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234315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23, 2021 (March 18,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4040" w:type="dxa"/>
            <w:vAlign w:val="bottom"/>
          </w:tcPr>
          <w:p>
            <w:pPr>
              <w:jc w:val="center"/>
              <w:ind w:right="2299"/>
              <w:spacing w:after="0"/>
              <w:rPr>
                <w:sz w:val="20"/>
                <w:szCs w:val="20"/>
                <w:color w:val="auto"/>
              </w:rPr>
            </w:pPr>
            <w:r>
              <w:rPr>
                <w:rFonts w:ascii="Arial" w:cs="Arial" w:eastAsia="Arial" w:hAnsi="Arial"/>
                <w:sz w:val="18"/>
                <w:szCs w:val="18"/>
                <w:b w:val="1"/>
                <w:bCs w:val="1"/>
                <w:color w:val="auto"/>
                <w:w w:val="98"/>
              </w:rPr>
              <w:t>Maryland</w:t>
            </w:r>
          </w:p>
        </w:tc>
        <w:tc>
          <w:tcPr>
            <w:tcW w:w="2200" w:type="dxa"/>
            <w:vAlign w:val="bottom"/>
          </w:tcPr>
          <w:p>
            <w:pPr>
              <w:ind w:left="140"/>
              <w:spacing w:after="0"/>
              <w:rPr>
                <w:sz w:val="20"/>
                <w:szCs w:val="20"/>
                <w:color w:val="auto"/>
              </w:rPr>
            </w:pPr>
            <w:r>
              <w:rPr>
                <w:rFonts w:ascii="Arial" w:cs="Arial" w:eastAsia="Arial" w:hAnsi="Arial"/>
                <w:sz w:val="18"/>
                <w:szCs w:val="18"/>
                <w:b w:val="1"/>
                <w:bCs w:val="1"/>
                <w:color w:val="auto"/>
              </w:rPr>
              <w:t>814-00891</w:t>
            </w:r>
          </w:p>
        </w:tc>
        <w:tc>
          <w:tcPr>
            <w:tcW w:w="2680" w:type="dxa"/>
            <w:vAlign w:val="bottom"/>
          </w:tcPr>
          <w:p>
            <w:pPr>
              <w:jc w:val="right"/>
              <w:ind w:right="201"/>
              <w:spacing w:after="0"/>
              <w:rPr>
                <w:sz w:val="20"/>
                <w:szCs w:val="20"/>
                <w:color w:val="auto"/>
              </w:rPr>
            </w:pPr>
            <w:r>
              <w:rPr>
                <w:rFonts w:ascii="Arial" w:cs="Arial" w:eastAsia="Arial" w:hAnsi="Arial"/>
                <w:sz w:val="18"/>
                <w:szCs w:val="18"/>
                <w:b w:val="1"/>
                <w:bCs w:val="1"/>
                <w:color w:val="auto"/>
              </w:rPr>
              <w:t>27-3794690</w:t>
            </w:r>
          </w:p>
        </w:tc>
      </w:tr>
      <w:tr>
        <w:trPr>
          <w:trHeight w:val="149"/>
        </w:trPr>
        <w:tc>
          <w:tcPr>
            <w:tcW w:w="4040" w:type="dxa"/>
            <w:vAlign w:val="bottom"/>
          </w:tcPr>
          <w:p>
            <w:pPr>
              <w:jc w:val="center"/>
              <w:ind w:right="23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(Commission</w:t>
            </w:r>
          </w:p>
        </w:tc>
        <w:tc>
          <w:tcPr>
            <w:tcW w:w="2680" w:type="dxa"/>
            <w:vAlign w:val="bottom"/>
          </w:tcPr>
          <w:p>
            <w:pPr>
              <w:jc w:val="center"/>
              <w:ind w:left="11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40" w:type="dxa"/>
            <w:vAlign w:val="bottom"/>
          </w:tcPr>
          <w:p>
            <w:pPr>
              <w:jc w:val="center"/>
              <w:ind w:right="2299"/>
              <w:spacing w:after="0"/>
              <w:rPr>
                <w:sz w:val="20"/>
                <w:szCs w:val="20"/>
                <w:color w:val="auto"/>
              </w:rPr>
            </w:pPr>
            <w:r>
              <w:rPr>
                <w:rFonts w:ascii="Arial" w:cs="Arial" w:eastAsia="Arial" w:hAnsi="Arial"/>
                <w:sz w:val="14"/>
                <w:szCs w:val="14"/>
                <w:b w:val="1"/>
                <w:bCs w:val="1"/>
                <w:color w:val="auto"/>
                <w:w w:val="94"/>
              </w:rPr>
              <w:t>of incorporation)</w:t>
            </w:r>
          </w:p>
        </w:tc>
        <w:tc>
          <w:tcPr>
            <w:tcW w:w="2200" w:type="dxa"/>
            <w:vAlign w:val="bottom"/>
          </w:tcPr>
          <w:p>
            <w:pPr>
              <w:ind w:left="120"/>
              <w:spacing w:after="0"/>
              <w:rPr>
                <w:sz w:val="20"/>
                <w:szCs w:val="20"/>
                <w:color w:val="auto"/>
              </w:rPr>
            </w:pPr>
            <w:r>
              <w:rPr>
                <w:rFonts w:ascii="Arial" w:cs="Arial" w:eastAsia="Arial" w:hAnsi="Arial"/>
                <w:sz w:val="14"/>
                <w:szCs w:val="14"/>
                <w:b w:val="1"/>
                <w:bCs w:val="1"/>
                <w:color w:val="auto"/>
              </w:rPr>
              <w:t>File Number)</w:t>
            </w: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4040" w:type="dxa"/>
            <w:vAlign w:val="bottom"/>
          </w:tcPr>
          <w:p>
            <w:pPr>
              <w:jc w:val="center"/>
              <w:ind w:left="1159"/>
              <w:spacing w:after="0"/>
              <w:rPr>
                <w:sz w:val="20"/>
                <w:szCs w:val="20"/>
                <w:color w:val="auto"/>
              </w:rPr>
            </w:pPr>
            <w:r>
              <w:rPr>
                <w:rFonts w:ascii="Arial" w:cs="Arial" w:eastAsia="Arial" w:hAnsi="Arial"/>
                <w:sz w:val="18"/>
                <w:szCs w:val="18"/>
                <w:b w:val="1"/>
                <w:bCs w:val="1"/>
                <w:color w:val="auto"/>
                <w:w w:val="89"/>
              </w:rPr>
              <w:t>590 Madison Avenue, 15th Floor,</w:t>
            </w:r>
          </w:p>
        </w:tc>
        <w:tc>
          <w:tcPr>
            <w:tcW w:w="22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5"/>
        </w:trPr>
        <w:tc>
          <w:tcPr>
            <w:tcW w:w="4040" w:type="dxa"/>
            <w:vAlign w:val="bottom"/>
          </w:tcPr>
          <w:p>
            <w:pPr>
              <w:jc w:val="center"/>
              <w:ind w:left="1179"/>
              <w:spacing w:after="0"/>
              <w:rPr>
                <w:sz w:val="20"/>
                <w:szCs w:val="20"/>
                <w:color w:val="auto"/>
              </w:rPr>
            </w:pPr>
            <w:r>
              <w:rPr>
                <w:rFonts w:ascii="Arial" w:cs="Arial" w:eastAsia="Arial" w:hAnsi="Arial"/>
                <w:sz w:val="18"/>
                <w:szCs w:val="18"/>
                <w:b w:val="1"/>
                <w:bCs w:val="1"/>
                <w:color w:val="auto"/>
                <w:w w:val="93"/>
              </w:rPr>
              <w:t>New York, NY</w:t>
            </w:r>
          </w:p>
        </w:tc>
        <w:tc>
          <w:tcPr>
            <w:tcW w:w="2200" w:type="dxa"/>
            <w:vAlign w:val="bottom"/>
          </w:tcPr>
          <w:p>
            <w:pPr>
              <w:spacing w:after="0"/>
              <w:rPr>
                <w:sz w:val="19"/>
                <w:szCs w:val="19"/>
                <w:color w:val="auto"/>
              </w:rPr>
            </w:pPr>
          </w:p>
        </w:tc>
        <w:tc>
          <w:tcPr>
            <w:tcW w:w="2680" w:type="dxa"/>
            <w:vAlign w:val="bottom"/>
          </w:tcPr>
          <w:p>
            <w:pPr>
              <w:jc w:val="right"/>
              <w:ind w:right="401"/>
              <w:spacing w:after="0"/>
              <w:rPr>
                <w:sz w:val="20"/>
                <w:szCs w:val="20"/>
                <w:color w:val="auto"/>
              </w:rPr>
            </w:pPr>
            <w:r>
              <w:rPr>
                <w:rFonts w:ascii="Arial" w:cs="Arial" w:eastAsia="Arial" w:hAnsi="Arial"/>
                <w:sz w:val="18"/>
                <w:szCs w:val="18"/>
                <w:b w:val="1"/>
                <w:bCs w:val="1"/>
                <w:color w:val="auto"/>
              </w:rPr>
              <w:t>10022</w:t>
            </w:r>
          </w:p>
        </w:tc>
      </w:tr>
      <w:tr>
        <w:trPr>
          <w:trHeight w:val="186"/>
        </w:trPr>
        <w:tc>
          <w:tcPr>
            <w:tcW w:w="4040" w:type="dxa"/>
            <w:vAlign w:val="bottom"/>
          </w:tcPr>
          <w:p>
            <w:pPr>
              <w:jc w:val="center"/>
              <w:ind w:left="11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00" w:type="dxa"/>
            <w:vAlign w:val="bottom"/>
          </w:tcPr>
          <w:p>
            <w:pPr>
              <w:spacing w:after="0"/>
              <w:rPr>
                <w:sz w:val="16"/>
                <w:szCs w:val="16"/>
                <w:color w:val="auto"/>
              </w:rPr>
            </w:pP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212-905-1000</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PFLT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14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201930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Underwriting Agreement</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March 18, 2021, PennantPark Floating Rate Capital Ltd. (the “Company”) entered into an underwriting agreement (the “Underwriting Agreement”) by and among the Company, PennantPark Investment Advisers, LLC, and Goldman Sachs &amp; Co. LLC, Keefe, Bruyette &amp; Woods, Inc. and Truist Securities, Inc., as representatives of the several underwriters named on Schedule A to the Underwriting Agreement, in connection with the issuance and sale of $100,000,000 aggregate principal amount of the Company’s 4.25% Notes due 2026 (the “Offering”).</w:t>
      </w:r>
    </w:p>
    <w:p>
      <w:pPr>
        <w:spacing w:after="0" w:line="17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Offering was made pursuant to the Company’s effective shelf registration statement on Form N-2 (Registration No. 333-235532) previously filed with the Securities and Exchange Commission (the “Registration Statement”), as supplemented by a preliminary prospectus supplement dated March 18, 2021 (the “Preliminary Prospectus Supplement”) and a final prospectus supplement dated March 18, 2021 (the “Final Prospectus Supplement”).</w:t>
      </w:r>
    </w:p>
    <w:p>
      <w:pPr>
        <w:spacing w:after="0" w:line="1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foregoing description of the Underwriting Agreement does not purport to be complete and is qualified in its entirety by reference to the full text of the Underwriting Agreement filed with this report as Exhibit 1.1 and which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Indenture</w:t>
      </w:r>
    </w:p>
    <w:p>
      <w:pPr>
        <w:spacing w:after="0" w:line="117" w:lineRule="exact"/>
        <w:rPr>
          <w:sz w:val="20"/>
          <w:szCs w:val="20"/>
          <w:color w:val="auto"/>
        </w:rPr>
      </w:pPr>
    </w:p>
    <w:p>
      <w:pPr>
        <w:jc w:val="both"/>
        <w:ind w:right="700"/>
        <w:spacing w:after="0" w:line="263" w:lineRule="auto"/>
        <w:rPr>
          <w:sz w:val="20"/>
          <w:szCs w:val="20"/>
          <w:color w:val="auto"/>
        </w:rPr>
      </w:pPr>
      <w:r>
        <w:rPr>
          <w:rFonts w:ascii="Arial" w:cs="Arial" w:eastAsia="Arial" w:hAnsi="Arial"/>
          <w:sz w:val="18"/>
          <w:szCs w:val="18"/>
          <w:color w:val="auto"/>
        </w:rPr>
        <w:t>On March 23, 2021, the Company and American Stock Transfer &amp; Trust Company, LLC (the “Trustee”), entered into the Indenture (the “Base Indenture”), and a First Supplemental Indenture to the Indenture (the “First Supplemental Indenture” and, together with the Base Indenture, the “Indenture”). The First Supplemental Indenture relates to the Offering.</w:t>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The Company’s 4.25% notes due 2026 (the “Notes”) will mature on April 1, 2026 and may be redeemed in whole or in part at the Company’s option. The Notes bear interest at a rate of 4.25% per year payable semi-annually on April 1 and October 1 of each year, commencing October 1, 2021. The Notes will be the Company’s direct unsecured obligations and will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the Company’s current and future unsecured unsubordinated indebtedness, senior to any of the Company’s future indebtedness that expressly states it is subordinated in right of payment to the Notes, effectively subordinated in right of payment to all of the Company’s existing and future secured indebtedness (including indebtedness that is initially unsecured, but to which the Company subsequently grant security) to the extent of the value of the assets securing such indebtedness, and structurally subordinated to all existing and future indebtedness and other obligations of any of the Company’s subsidiaries, financing vehicles, or similar facilities.</w:t>
      </w:r>
    </w:p>
    <w:p>
      <w:pPr>
        <w:spacing w:after="0" w:line="19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Indenture contains certain covenants, including covenants requiring the Company to comply with the asset coverage requirements of Section 18(a) (1)(A) as modified by Section 61(a)(1) and (2) of the Investment Company Act of 1940, as amended, and to provide financial information to the holders of the Notes and the Trustee if the Company is no longer subject to the reporting requirements under the Securities Exchange Act of 1934, as amended. These covenants are subject to important limitations and exceptions that are described in the Indenture.</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Notes were offered and sold in an offering registered under the Securities Act of 1933, as amended, pursuant to the Registration Statement, the Preliminary Prospectus Supplement, and the Final Prospectus Supplement. The transaction closed on March 23, 2021. The net proceeds to the Company were approximately $96.8 million, based on the public offering price per Note of 99.441% of the aggregate principal amount thereof, after deducting the underwriting discounts and commissions of $2.0 million payable by the Company and estimated offering expenses of approximately $600,000 payable by the Company. The Company intends to use the net proceeds to reduce outstanding obligations under its credit facility, to invest in new or existing portfolio companies or for other general corporate or strategic purposes.</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foregoing descriptions of the Base Indenture, the First Supplemental Indenture and the Notes do not purport to be complete and are qualified in their entirety by reference to the full text of the Base Indenture, First Supplemental Indenture and the Notes, respectively, each filed as exhibits hereto and incorporated by reference herein.</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2.03. 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Item 1.01 to this current report on Form 8-K is by this reference incorporated in this Item 2.03.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6" w:lineRule="exact"/>
        <w:rPr>
          <w:sz w:val="20"/>
          <w:szCs w:val="20"/>
          <w:color w:val="auto"/>
        </w:rPr>
      </w:pPr>
    </w:p>
    <w:p>
      <w:pPr>
        <w:ind w:left="660" w:hanging="660"/>
        <w:spacing w:after="0" w:line="263"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1.1</w:t>
      </w:r>
      <w:r>
        <w:rPr>
          <w:sz w:val="20"/>
          <w:szCs w:val="20"/>
          <w:color w:val="auto"/>
        </w:rPr>
        <w:tab/>
      </w:r>
      <w:hyperlink w:anchor="page5">
        <w:r>
          <w:rPr>
            <w:rFonts w:ascii="Arial" w:cs="Arial" w:eastAsia="Arial" w:hAnsi="Arial"/>
            <w:sz w:val="18"/>
            <w:szCs w:val="18"/>
            <w:u w:val="single" w:color="auto"/>
            <w:color w:val="0000EE"/>
          </w:rPr>
          <w:t>Underwriting Agreement, dated March 18, 2021 by and among the Company, PennantPark Investment Advisers, LLC, and Goldman Sachs &amp;</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Co. LLC, Keefe, Bruyette &amp; Woods, Inc. and Truist Securities, Inc., as representatives of the several underwriters named on Schedule A</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thereto.</w:t>
        </w:r>
      </w:hyperlink>
    </w:p>
    <w:p>
      <w:pPr>
        <w:spacing w:after="0" w:line="76" w:lineRule="exact"/>
        <w:rPr>
          <w:rFonts w:ascii="Arial" w:cs="Arial" w:eastAsia="Arial" w:hAnsi="Arial"/>
          <w:sz w:val="18"/>
          <w:szCs w:val="18"/>
          <w:u w:val="single" w:color="auto"/>
          <w:color w:val="0000EE"/>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w:anchor="page49">
        <w:r>
          <w:rPr>
            <w:rFonts w:ascii="Arial" w:cs="Arial" w:eastAsia="Arial" w:hAnsi="Arial"/>
            <w:sz w:val="16"/>
            <w:szCs w:val="16"/>
            <w:u w:val="single" w:color="auto"/>
            <w:color w:val="0000EE"/>
          </w:rPr>
          <w:t>Indenture, dated as of March 23, 2021, by and between the Company and American Stock Transfer &amp; Trust Company, LLC, as trustee.</w:t>
        </w:r>
      </w:hyperlink>
    </w:p>
    <w:p>
      <w:pPr>
        <w:spacing w:after="0" w:line="117" w:lineRule="exact"/>
        <w:rPr>
          <w:rFonts w:ascii="Arial" w:cs="Arial" w:eastAsia="Arial" w:hAnsi="Arial"/>
          <w:sz w:val="18"/>
          <w:szCs w:val="18"/>
          <w:u w:val="single" w:color="auto"/>
          <w:color w:val="0000EE"/>
        </w:rPr>
      </w:pPr>
    </w:p>
    <w:p>
      <w:pPr>
        <w:ind w:left="660" w:right="300" w:hanging="660"/>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w:anchor="page124">
        <w:r>
          <w:rPr>
            <w:rFonts w:ascii="Arial" w:cs="Arial" w:eastAsia="Arial" w:hAnsi="Arial"/>
            <w:sz w:val="18"/>
            <w:szCs w:val="18"/>
            <w:u w:val="single" w:color="auto"/>
            <w:color w:val="0000EE"/>
          </w:rPr>
          <w:t>First Supplemental Indenture, dated as of March 23, 2021, by and between the Company and American Stock Transfer &amp; Trust Company,</w:t>
        </w:r>
      </w:hyperlink>
      <w:r>
        <w:rPr>
          <w:rFonts w:ascii="Arial" w:cs="Arial" w:eastAsia="Arial" w:hAnsi="Arial"/>
          <w:sz w:val="18"/>
          <w:szCs w:val="18"/>
          <w:u w:val="single" w:color="auto"/>
          <w:color w:val="0000EE"/>
        </w:rPr>
        <w:t xml:space="preserve"> </w:t>
      </w:r>
      <w:hyperlink w:anchor="page124">
        <w:r>
          <w:rPr>
            <w:rFonts w:ascii="Arial" w:cs="Arial" w:eastAsia="Arial" w:hAnsi="Arial"/>
            <w:sz w:val="18"/>
            <w:szCs w:val="18"/>
            <w:u w:val="single" w:color="auto"/>
            <w:color w:val="0000EE"/>
          </w:rPr>
          <w:t>LLC, as trustee.</w:t>
        </w:r>
      </w:hyperlink>
    </w:p>
    <w:p>
      <w:pPr>
        <w:spacing w:after="0" w:line="62"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w:anchor="page124">
        <w:r>
          <w:rPr>
            <w:rFonts w:ascii="Arial" w:cs="Arial" w:eastAsia="Arial" w:hAnsi="Arial"/>
            <w:sz w:val="16"/>
            <w:szCs w:val="16"/>
            <w:u w:val="single" w:color="auto"/>
            <w:color w:val="0000EE"/>
          </w:rPr>
          <w:t>Form of 4.25% Notes due 2026 (Incorporated by reference to Exhibit 4.2 hereto).</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155">
        <w:r>
          <w:rPr>
            <w:rFonts w:ascii="Arial" w:cs="Arial" w:eastAsia="Arial" w:hAnsi="Arial"/>
            <w:sz w:val="16"/>
            <w:szCs w:val="16"/>
            <w:u w:val="single" w:color="auto"/>
            <w:color w:val="0000EE"/>
          </w:rPr>
          <w:t>Opinion of Dechert LLP.</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5.2</w:t>
      </w:r>
      <w:r>
        <w:rPr>
          <w:sz w:val="20"/>
          <w:szCs w:val="20"/>
          <w:color w:val="auto"/>
        </w:rPr>
        <w:tab/>
      </w:r>
      <w:hyperlink w:anchor="page159">
        <w:r>
          <w:rPr>
            <w:rFonts w:ascii="Arial" w:cs="Arial" w:eastAsia="Arial" w:hAnsi="Arial"/>
            <w:sz w:val="16"/>
            <w:szCs w:val="16"/>
            <w:u w:val="single" w:color="auto"/>
            <w:color w:val="0000EE"/>
          </w:rPr>
          <w:t>Opinion of Venable LLP</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55">
        <w:r>
          <w:rPr>
            <w:rFonts w:ascii="Arial" w:cs="Arial" w:eastAsia="Arial" w:hAnsi="Arial"/>
            <w:sz w:val="16"/>
            <w:szCs w:val="16"/>
            <w:u w:val="single" w:color="auto"/>
            <w:color w:val="0000EE"/>
          </w:rPr>
          <w:t>Consent of Dechert LLP (included in Exhibit 5.1).</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w:anchor="page159">
        <w:r>
          <w:rPr>
            <w:rFonts w:ascii="Arial" w:cs="Arial" w:eastAsia="Arial" w:hAnsi="Arial"/>
            <w:sz w:val="16"/>
            <w:szCs w:val="16"/>
            <w:u w:val="single" w:color="auto"/>
            <w:color w:val="0000EE"/>
          </w:rPr>
          <w:t>Consent of Venable LLP (included in Exhibit 5.2).</w:t>
        </w:r>
      </w:hyperlink>
    </w:p>
    <w:p>
      <w:pPr>
        <w:sectPr>
          <w:pgSz w:w="11900" w:h="16838" w:orient="portrait"/>
          <w:cols w:equalWidth="0" w:num="1">
            <w:col w:w="10880"/>
          </w:cols>
          <w:pgMar w:left="440" w:top="270" w:right="5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420" w:type="dxa"/>
            <w:vAlign w:val="bottom"/>
            <w:gridSpan w:val="2"/>
          </w:tcPr>
          <w:p>
            <w:pPr>
              <w:ind w:left="202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March 23, 2021</w:t>
            </w:r>
          </w:p>
        </w:tc>
        <w:tc>
          <w:tcPr>
            <w:tcW w:w="7420" w:type="dxa"/>
            <w:vAlign w:val="bottom"/>
            <w:gridSpan w:val="2"/>
          </w:tcPr>
          <w:p>
            <w:pPr>
              <w:ind w:left="2020"/>
              <w:spacing w:after="0"/>
              <w:rPr>
                <w:sz w:val="20"/>
                <w:szCs w:val="20"/>
                <w:color w:val="auto"/>
              </w:rPr>
            </w:pPr>
            <w:r>
              <w:rPr>
                <w:rFonts w:ascii="Arial" w:cs="Arial" w:eastAsia="Arial" w:hAnsi="Arial"/>
                <w:sz w:val="18"/>
                <w:szCs w:val="18"/>
                <w:color w:val="auto"/>
              </w:rPr>
              <w:t>By:  /s/ Aviv Efrat</w:t>
            </w:r>
          </w:p>
        </w:tc>
      </w:tr>
      <w:tr>
        <w:trPr>
          <w:trHeight w:val="195"/>
        </w:trPr>
        <w:tc>
          <w:tcPr>
            <w:tcW w:w="36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Aviv Efrat</w:t>
            </w:r>
          </w:p>
        </w:tc>
      </w:tr>
      <w:tr>
        <w:trPr>
          <w:trHeight w:val="230"/>
        </w:trPr>
        <w:tc>
          <w:tcPr>
            <w:tcW w:w="36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Chief Financial Officer &amp; Treasurer</w:t>
            </w:r>
          </w:p>
        </w:tc>
      </w:tr>
    </w:tbl>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PENNANTPARK FLOATING RATE CAPITAL LTD.</w:t>
      </w: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 Maryland corporation)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$100,000,000 4.25% Notes due 2026</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Dated: March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366395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408940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5" w:name="page6"/>
    <w:bookmarkEnd w:id="5"/>
    <w:p>
      <w:pPr>
        <w:ind w:left="3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PENNANTPARK FLOATING RATE CAPITAL LTD.</w:t>
      </w:r>
    </w:p>
    <w:p>
      <w:pPr>
        <w:spacing w:after="0" w:line="11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 Maryland corporation)</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$100,000,000 4.25% Notes due 2026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787 Seventh Avenue, Fourth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Truist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3333 Peachtree Road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 30326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PennantPark Floating Rate Capital Ltd., a Delaware corporation (the “Company”), confirms its agreement with Goldman Sachs &amp; Co. LLC (“GS”), Keefe, Bruyette and Woods, Inc. (“KBW”), Truist Securities, Inc. (“TS”) and each of the other underwriters named in Schedule A hereto (collectively, the “Underwriters,” which term shall also include any underwriter substituted as hereinafter provided in Section 10 hereof), for whom each of GS, KBW and TS is acting as a representative (each of GS, KBW and TS in such capacity, a “Representative” and collectively, the “Representatives”), with respect to the sale by the Company and the purchase by the Underwriters, acting severally and not jointly, of $100,000,000 aggregate principal amount of 4.25% Notes due 2026 (the “Securities”).</w:t>
      </w:r>
    </w:p>
    <w:p>
      <w:pPr>
        <w:spacing w:after="0" w:line="192"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The Securities will be issued under an indenture, dated as of the Closing Time (the “Base Indenture”), as supplemented by the First Supplemental Indenture, dated as of the Closing Time, (the “First Supplemental Indenture” and, together with the Base Indenture, the “Indenture”) between the Company and American Stock Transfer &amp; Trust Company, LLC, as trustee (the “Trustee”). The Securities will be issued to Cede &amp; Co. as nominee of The Depository Trust Company (“DTC”) pursuant to that certain blanket letter of representations (the “DTC Agreement”) between the Company and DTC. The Indenture has been qualified under the Trust Indenture Act of 1939, as amended (the “Trust Indenture Act”).</w:t>
      </w:r>
    </w:p>
    <w:p>
      <w:pPr>
        <w:spacing w:after="0" w:line="16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understands that the Underwriters propose to make a public offering of the Securities as soon as the Representatives deem advisable after this Underwriting Agreement (this “Agreement”) has been executed and delivered.</w:t>
      </w:r>
    </w:p>
    <w:p>
      <w:pPr>
        <w:sectPr>
          <w:pgSz w:w="11900" w:h="16838" w:orient="portrait"/>
          <w:cols w:equalWidth="0" w:num="1">
            <w:col w:w="11000"/>
          </w:cols>
          <w:pgMar w:left="440" w:top="274" w:right="459" w:bottom="1440" w:gutter="0" w:footer="0" w:header="0"/>
        </w:sectPr>
      </w:pPr>
    </w:p>
    <w:bookmarkStart w:id="6" w:name="page7"/>
    <w:bookmarkEnd w:id="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filed with the Securities and Exchange Commission (the “Commission”) a shelf registration statement on Form N-2 (File No. 333-235532), relating to the registration of the Securities and certain of the Company’s other securities under the Securities Act of 1933, as amended (the “1933 Act”), which registration statement was declared effective by the Commission on January 29, 2020. The Company has also filed with the Commission a preliminary prospectus supplement, dated March 18, 2021, as such prospectus supplement may be amended (the “Preliminary Prospectus Supplement”), which contains a base prospectus, dated January 29, 2020 (the “Base Prospectus” and, together with the Preliminary Prospectus Supplement, the (the “preliminary prospectus”). Promptly after execution and delivery of this Agreement, the Company will prepare and file a prospectus in accordance with the provisions of Rule 430B (“Rule 430B”) or Rule 430C (“Rule 430C”) of the rules and regulations of the Commission promulgated under the 1933 Act (such provisions, the “1933 Act Regulations”) and Rule 424(b) of the 1933 Act Regulations. The information included or incorporated by reference in such prospectus that was omitted from such registration statement at the time it became effective but that is deemed to be part of such registration statement at the time it became effective pursuant to Rule 430C is herein called the “Rule 430C Information” and the information, if any, included or incorporated by reference in such prospectus that was omitted from such registration statement at the time it became effective but that is deemed to be a part of such registration statement pursuant to Rule 430B is referred to as “Rule 430B Information.” Unless the context otherwise requires, such registration statement, including all documents filed as part thereof and any Rule 430B Information or Rule 430C Information contained in a prospectus subsequently filed with the Commission pursuant to Rule 424(b) under the 1933 Act and deemed to be part of the registration statement and also including any registration statement filed pursuant to Rule 462(b) of the 1933 Act Regulations, is herein called the “Registration Statement.” The final prospectus in the form filed by the Company with the Commission pursuant to Rule 424(b) on or before the second business day after the date hereof (or such earlier time as may be required under the 1933 Act) is herein called the “Prospectus.” All references in this Agreement to amendments or supplements to the Registration Statement or the Prospectus, including those made pursuant to Rule 424(b) under the 1933 Act or such other rule under the 1933 Act as may be applicable to the Company, shall be deemed to mean and include, without limitation the filing of any document under the Securities Exchange Act of 1934, as amended (the “1934 Act”) which is or is deemed to be incorporated by reference in or otherwise to be a part of or included in the Registration Statement or the Prospectus, as the case may be, as of any specified date.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(“EDGAR”).</w:t>
      </w:r>
    </w:p>
    <w:p>
      <w:pPr>
        <w:spacing w:after="0" w:line="3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Form N-54A Notification of Election to be Subject to Sections 55 through 65 of the Investment Company Act of 1940 Filed Pursuant to Section 54(a) of the Investment Company Act (File No. 814-00891) was filed with the Commission on April 7, 2011 under the Investment Company Act of 1940, as amended (the “1940 Act”), and the rules and regulations and any applicable guidance and/or interpretation of the Commission or its staff thereunder (the “1940 Act Regulations”).</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has entered into that certain Second Amended and Restated Investment Advisory Agreement, dated as of February 2, 2016 (the “Investment Management Agreement”), with PennantPark Investment Advisers, LLC (the “Adviser”), a Delaware limited liability company registered as an investment adviser under the Investment Advisers Act of 1940, as amended, and the rules and regulations thereunder (collectively, the “Advisers Act”).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7" w:name="page8"/>
    <w:bookmarkEnd w:id="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used in this Agreement: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6"/>
          <w:szCs w:val="16"/>
          <w:color w:val="auto"/>
        </w:rPr>
        <w:t>“Applicable Time” means 3:00 P.M., New York City time, on March 18, 2021 or such other time as agreed by the Company and the Representatives.</w:t>
      </w:r>
    </w:p>
    <w:p>
      <w:pPr>
        <w:spacing w:after="0" w:line="248" w:lineRule="exact"/>
        <w:rPr>
          <w:sz w:val="20"/>
          <w:szCs w:val="20"/>
          <w:color w:val="auto"/>
        </w:rPr>
      </w:pPr>
    </w:p>
    <w:p>
      <w:pPr>
        <w:ind w:left="4" w:right="460"/>
        <w:spacing w:after="0" w:line="277" w:lineRule="auto"/>
        <w:rPr>
          <w:sz w:val="20"/>
          <w:szCs w:val="20"/>
          <w:color w:val="auto"/>
        </w:rPr>
      </w:pPr>
      <w:r>
        <w:rPr>
          <w:rFonts w:ascii="Arial" w:cs="Arial" w:eastAsia="Arial" w:hAnsi="Arial"/>
          <w:sz w:val="18"/>
          <w:szCs w:val="18"/>
          <w:color w:val="auto"/>
        </w:rPr>
        <w:t>“General Disclosure Package” means the preliminary prospectus as of the Applicable Time and the information included on Schedule B hereto, all considered together.</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4" w:right="640" w:firstLine="436"/>
        <w:spacing w:after="0" w:line="277" w:lineRule="auto"/>
        <w:tabs>
          <w:tab w:leader="none" w:pos="689"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by the Company</w:t>
      </w:r>
      <w:r>
        <w:rPr>
          <w:rFonts w:ascii="Arial" w:cs="Arial" w:eastAsia="Arial" w:hAnsi="Arial"/>
          <w:sz w:val="18"/>
          <w:szCs w:val="18"/>
          <w:color w:val="auto"/>
        </w:rPr>
        <w:t>. The Company represents and warrants to each Underwriter as of the date hereof,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Time and the Closing Time (as defined below) and agrees with each Underwriter, as follows:</w:t>
      </w:r>
    </w:p>
    <w:p>
      <w:pPr>
        <w:spacing w:after="0" w:line="170" w:lineRule="exact"/>
        <w:rPr>
          <w:rFonts w:ascii="Arial" w:cs="Arial" w:eastAsia="Arial" w:hAnsi="Arial"/>
          <w:sz w:val="18"/>
          <w:szCs w:val="18"/>
          <w:color w:val="auto"/>
        </w:rPr>
      </w:pPr>
    </w:p>
    <w:p>
      <w:pPr>
        <w:ind w:left="4" w:right="140" w:hanging="4"/>
        <w:spacing w:after="0" w:line="273" w:lineRule="auto"/>
        <w:tabs>
          <w:tab w:leader="none" w:pos="219"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Registration Statement and Prospectuses</w:t>
      </w:r>
      <w:r>
        <w:rPr>
          <w:rFonts w:ascii="Arial" w:cs="Arial" w:eastAsia="Arial" w:hAnsi="Arial"/>
          <w:sz w:val="17"/>
          <w:szCs w:val="17"/>
          <w:color w:val="auto"/>
        </w:rPr>
        <w:t>. The Company is eligible to use Form N-2. Each of the Registration Statement and any amendment thereto have been declared effective by the Commission under the 1933 Act or have become effective pursuant to Rule 462 under the 1933 Act.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The Company has complied with each request (if any) from the Commission for additional information in connection with the Registration Statement.</w:t>
      </w:r>
    </w:p>
    <w:p>
      <w:pPr>
        <w:spacing w:after="0" w:line="178" w:lineRule="exact"/>
        <w:rPr>
          <w:sz w:val="20"/>
          <w:szCs w:val="20"/>
          <w:color w:val="auto"/>
        </w:rPr>
      </w:pPr>
    </w:p>
    <w:p>
      <w:pPr>
        <w:ind w:left="4" w:right="100"/>
        <w:spacing w:after="0" w:line="273" w:lineRule="auto"/>
        <w:rPr>
          <w:sz w:val="20"/>
          <w:szCs w:val="20"/>
          <w:color w:val="auto"/>
        </w:rPr>
      </w:pPr>
      <w:r>
        <w:rPr>
          <w:rFonts w:ascii="Arial" w:cs="Arial" w:eastAsia="Arial" w:hAnsi="Arial"/>
          <w:sz w:val="17"/>
          <w:szCs w:val="17"/>
          <w:color w:val="auto"/>
        </w:rPr>
        <w:t>Each of the Registration Statement and any post-effective amendment thereto, at the time it became effective, complied in all material respects with the requirements of the 1933 Act, the 1933 Act Regulations, the 1940 Act and the 1940 Act Regulations. Each preliminary prospectus, the Prospectus and any amendment or supplement thereto, at the time each was filed with the Commission, complied in all material respects with the requirements of the 1933 Act, the 1933 Act Regulations, the 1940 Act and the 1940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178" w:lineRule="exact"/>
        <w:rPr>
          <w:sz w:val="20"/>
          <w:szCs w:val="20"/>
          <w:color w:val="auto"/>
        </w:rPr>
      </w:pPr>
    </w:p>
    <w:p>
      <w:pPr>
        <w:ind w:left="4" w:hanging="4"/>
        <w:spacing w:after="0" w:line="285" w:lineRule="auto"/>
        <w:tabs>
          <w:tab w:leader="none" w:pos="269"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Issuer Free Writing Prospectus</w:t>
      </w:r>
      <w:r>
        <w:rPr>
          <w:rFonts w:ascii="Arial" w:cs="Arial" w:eastAsia="Arial" w:hAnsi="Arial"/>
          <w:sz w:val="16"/>
          <w:szCs w:val="16"/>
          <w:color w:val="auto"/>
        </w:rPr>
        <w:t>. The Company (including its agents and representatives, other than the Underwriters in their capacity as such) has not made, used, prepared, authorized, approved or referred to and will not prepare, make, use, authorize, approve or refer to any “written communication” (as defined in Rule 405 under the 1933 Act) that constitutes an offer to sell or solicitation of an offer to buy the Securities (each such communication by the Company or its agents and representatives (other than a communication referred to in clauses (i), (ii), (iii) and (iv) below) an “Issuer Free Writing Prospectus”) other than (i) any document not constituting a prospectus pursuant to Section 2(a)(10)(a) of the 1933 Act or Rule 134 under the 1933 Act,</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Registration Statement, (iii) any preliminary prospectus, (iv) the Prospectus,</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8" w:name="page9"/>
    <w:bookmarkEnd w:id="8"/>
    <w:p>
      <w:pPr>
        <w:ind w:left="4" w:right="40" w:hanging="4"/>
        <w:spacing w:after="0" w:line="255" w:lineRule="auto"/>
        <w:tabs>
          <w:tab w:leader="none" w:pos="259"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documents listed on Schedule B hereto, including a Term Sheet substantially in the form of Annex A hereto and (vi) any electronic road show or other written communications, in each case approved in writing in advance by the Representatives, such approval not to be unreasonably withheld. Each such Issuer Free Writing Prospectus, if any, complies in all material respects with the 1933 Act, has been or will be (within the time period specified in Rule 433) filed in accordance with the 1933 Act (to the extent required thereby). No Issuer Free Writing Prospectus conflicts or will conflict with the information contained in the Registration Statement or the Prospectus, and any preliminary or other prospectus deemed to be a part thereof that has not been superseded or modified.</w:t>
      </w:r>
    </w:p>
    <w:p>
      <w:pPr>
        <w:spacing w:after="0" w:line="192" w:lineRule="exact"/>
        <w:rPr>
          <w:sz w:val="20"/>
          <w:szCs w:val="20"/>
          <w:color w:val="auto"/>
        </w:rPr>
      </w:pPr>
    </w:p>
    <w:p>
      <w:pPr>
        <w:ind w:left="4" w:right="180" w:hanging="4"/>
        <w:spacing w:after="0" w:line="263" w:lineRule="auto"/>
        <w:tabs>
          <w:tab w:leader="none" w:pos="319"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Documents Incorporated by Reference</w:t>
      </w:r>
      <w:r>
        <w:rPr>
          <w:rFonts w:ascii="Arial" w:cs="Arial" w:eastAsia="Arial" w:hAnsi="Arial"/>
          <w:sz w:val="18"/>
          <w:szCs w:val="18"/>
          <w:color w:val="auto"/>
        </w:rPr>
        <w:t>. The documents incorporated by reference in each of the Registration Statement, the Prospectus and the preliminary prospectus, when they became effective or were filed with the Commission, as the case may be, conformed or will conform in all material respects to the requirements of the 1934 Act.</w:t>
      </w:r>
    </w:p>
    <w:p>
      <w:pPr>
        <w:spacing w:after="0" w:line="183" w:lineRule="exact"/>
        <w:rPr>
          <w:rFonts w:ascii="Arial" w:cs="Arial" w:eastAsia="Arial" w:hAnsi="Arial"/>
          <w:sz w:val="18"/>
          <w:szCs w:val="18"/>
          <w:color w:val="auto"/>
        </w:rPr>
      </w:pPr>
    </w:p>
    <w:p>
      <w:pPr>
        <w:ind w:left="304" w:hanging="304"/>
        <w:spacing w:after="0"/>
        <w:tabs>
          <w:tab w:leader="none" w:pos="304"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Testing-the-Waters Communications</w:t>
      </w:r>
      <w:r>
        <w:rPr>
          <w:rFonts w:ascii="Arial" w:cs="Arial" w:eastAsia="Arial" w:hAnsi="Arial"/>
          <w:sz w:val="18"/>
          <w:szCs w:val="18"/>
          <w:color w:val="auto"/>
        </w:rPr>
        <w:t>. The Company (i) has not alone engaged in any Testing-the-Waters Communication other than</w:t>
      </w:r>
    </w:p>
    <w:p>
      <w:pPr>
        <w:spacing w:after="0" w:line="23" w:lineRule="exact"/>
        <w:rPr>
          <w:sz w:val="20"/>
          <w:szCs w:val="20"/>
          <w:color w:val="auto"/>
        </w:rPr>
      </w:pPr>
    </w:p>
    <w:p>
      <w:pPr>
        <w:ind w:left="4"/>
        <w:spacing w:after="0" w:line="252" w:lineRule="auto"/>
        <w:rPr>
          <w:sz w:val="20"/>
          <w:szCs w:val="20"/>
          <w:color w:val="auto"/>
        </w:rPr>
      </w:pPr>
      <w:r>
        <w:rPr>
          <w:rFonts w:ascii="Arial" w:cs="Arial" w:eastAsia="Arial" w:hAnsi="Arial"/>
          <w:sz w:val="18"/>
          <w:szCs w:val="18"/>
          <w:color w:val="auto"/>
        </w:rPr>
        <w:t>Testing-the-Waters Communications with the consent of the Representatives with entities that are qualified institutional buyers within the meaning of Rule 144A under the 1933 Act or institutions that are accredited investors within the meaning of Rule 501 under the 1933 Act and (ii) has not authorized anyone to engage in Testing-the-Waters Communications. The Company has not distributed any Written Testing-the-Waters Communications. “Testing-the-Waters Communication” means any oral or written communication with potential investors undertaken in reliance on Rule 163B under the Act. “Written Testing-the-Waters Communication” means any Testing-the-Waters Communication that is a written communication within the meaning of Rule 405.</w:t>
      </w:r>
    </w:p>
    <w:p>
      <w:pPr>
        <w:spacing w:after="0" w:line="194" w:lineRule="exact"/>
        <w:rPr>
          <w:sz w:val="20"/>
          <w:szCs w:val="20"/>
          <w:color w:val="auto"/>
        </w:rPr>
      </w:pPr>
    </w:p>
    <w:p>
      <w:pPr>
        <w:ind w:left="4" w:hanging="4"/>
        <w:spacing w:after="0" w:line="270" w:lineRule="auto"/>
        <w:tabs>
          <w:tab w:leader="none" w:pos="259"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Accurate Disclosure</w:t>
      </w:r>
      <w:r>
        <w:rPr>
          <w:rFonts w:ascii="Arial" w:cs="Arial" w:eastAsia="Arial" w:hAnsi="Arial"/>
          <w:sz w:val="17"/>
          <w:szCs w:val="17"/>
          <w:color w:val="auto"/>
        </w:rPr>
        <w:t>. Neither the Registration Statement nor any amendment thereto, at its effective time or at the Closing Time, contained, contains or will contain an untrue statement of a material fact or omitted, omits or will omit to state a material fact required to be stated therein or necessary to make the statements therein, not misleading. As of the Applicable Time, none of the General Disclosure Package, nor any individual preliminary prospectus,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their respective date(s), at the time of any filing with the Commission pursuant to Rule 424(b) or at the Closing Time,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81" w:lineRule="exact"/>
        <w:rPr>
          <w:sz w:val="20"/>
          <w:szCs w:val="20"/>
          <w:color w:val="auto"/>
        </w:rPr>
      </w:pPr>
    </w:p>
    <w:p>
      <w:pPr>
        <w:ind w:left="4" w:right="60"/>
        <w:spacing w:after="0" w:line="285" w:lineRule="auto"/>
        <w:rPr>
          <w:sz w:val="20"/>
          <w:szCs w:val="20"/>
          <w:color w:val="auto"/>
        </w:rPr>
      </w:pPr>
      <w:r>
        <w:rPr>
          <w:rFonts w:ascii="Arial" w:cs="Arial" w:eastAsia="Arial" w:hAnsi="Arial"/>
          <w:sz w:val="16"/>
          <w:szCs w:val="16"/>
          <w:color w:val="auto"/>
        </w:rPr>
        <w:t>The representations and warranties in this subsection shall not apply to statements in or omissions from the Registration Statement (or any amendment thereto), the General Disclosure Package or the Prospectus (or any amendment or supplement thereto) made in reliance upon and in conformity with written information furnished to the Company by any Underwriter through a Representative expressly for use therein (collectively, the “Underwriter Information”). For purposes of this Agreement, the only Underwriter Information shall be (i) the concession amounts appearing in the second paragraph under the heading “Underwriting—Commissions and Discounts,” (ii) the information in “Underwriting—Price Stabilization, Short Positions” and</w:t>
      </w:r>
    </w:p>
    <w:p>
      <w:pPr>
        <w:spacing w:after="0" w:line="2" w:lineRule="exact"/>
        <w:rPr>
          <w:sz w:val="20"/>
          <w:szCs w:val="20"/>
          <w:color w:val="auto"/>
        </w:rPr>
      </w:pPr>
    </w:p>
    <w:p>
      <w:pPr>
        <w:ind w:left="5464" w:right="3820" w:hanging="5464"/>
        <w:spacing w:after="0" w:line="433" w:lineRule="auto"/>
        <w:tabs>
          <w:tab w:leader="none" w:pos="31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in “Underwriting—Principal Business Address, in each case, in the Prospectus. 4</w:t>
      </w:r>
    </w:p>
    <w:p>
      <w:pPr>
        <w:sectPr>
          <w:pgSz w:w="11900" w:h="16838" w:orient="portrait"/>
          <w:cols w:equalWidth="0" w:num="1">
            <w:col w:w="11004"/>
          </w:cols>
          <w:pgMar w:left="436" w:top="274" w:right="459" w:bottom="1440" w:gutter="0" w:footer="0" w:header="0"/>
        </w:sectPr>
      </w:pPr>
    </w:p>
    <w:bookmarkStart w:id="9" w:name="page10"/>
    <w:bookmarkEnd w:id="9"/>
    <w:p>
      <w:pPr>
        <w:ind w:left="4" w:right="160" w:hanging="4"/>
        <w:spacing w:after="0" w:line="301" w:lineRule="auto"/>
        <w:tabs>
          <w:tab w:leader="none" w:pos="309"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Not Ineligible Issuer</w:t>
      </w:r>
      <w:r>
        <w:rPr>
          <w:rFonts w:ascii="Arial" w:cs="Arial" w:eastAsia="Arial" w:hAnsi="Arial"/>
          <w:sz w:val="16"/>
          <w:szCs w:val="16"/>
          <w:color w:val="auto"/>
        </w:rPr>
        <w:t>. At the time of filing the Registration Statement and any post-effective amendment thereto, at the earliest time thereafter that the Company or another offering participant made a bona fide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157" w:lineRule="exact"/>
        <w:rPr>
          <w:rFonts w:ascii="Arial" w:cs="Arial" w:eastAsia="Arial" w:hAnsi="Arial"/>
          <w:sz w:val="16"/>
          <w:szCs w:val="16"/>
          <w:color w:val="auto"/>
        </w:rPr>
      </w:pPr>
    </w:p>
    <w:p>
      <w:pPr>
        <w:jc w:val="both"/>
        <w:ind w:left="4" w:right="440" w:hanging="4"/>
        <w:spacing w:after="0" w:line="279" w:lineRule="auto"/>
        <w:tabs>
          <w:tab w:leader="none" w:pos="359"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Independent Accountants of the Company</w:t>
      </w:r>
      <w:r>
        <w:rPr>
          <w:rFonts w:ascii="Arial" w:cs="Arial" w:eastAsia="Arial" w:hAnsi="Arial"/>
          <w:sz w:val="17"/>
          <w:szCs w:val="17"/>
          <w:color w:val="auto"/>
        </w:rPr>
        <w:t>. The accountants who audited or reviewed the financial statements and supporting schedules of the Company included or incorporated by reference in the Registration Statement, the General Disclosure Package and the Prospectus are independent registered public accountants with respect to the Company within the applicable rules and regulations of the Commission and the Public Company Accounting Oversight Board (United States) and as required by the 1933 Act.</w:t>
      </w:r>
    </w:p>
    <w:p>
      <w:pPr>
        <w:spacing w:after="0" w:line="171" w:lineRule="exact"/>
        <w:rPr>
          <w:rFonts w:ascii="Arial" w:cs="Arial" w:eastAsia="Arial" w:hAnsi="Arial"/>
          <w:sz w:val="17"/>
          <w:szCs w:val="17"/>
          <w:color w:val="auto"/>
        </w:rPr>
      </w:pPr>
    </w:p>
    <w:p>
      <w:pPr>
        <w:ind w:left="404" w:hanging="404"/>
        <w:spacing w:after="0"/>
        <w:tabs>
          <w:tab w:leader="none" w:pos="404"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financial statements included or incorporated by reference in the Registration Statement, the General Disclosure</w:t>
      </w:r>
    </w:p>
    <w:p>
      <w:pPr>
        <w:spacing w:after="0" w:line="34" w:lineRule="exact"/>
        <w:rPr>
          <w:rFonts w:ascii="Arial" w:cs="Arial" w:eastAsia="Arial" w:hAnsi="Arial"/>
          <w:sz w:val="17"/>
          <w:szCs w:val="17"/>
          <w:color w:val="auto"/>
        </w:rPr>
      </w:pPr>
    </w:p>
    <w:p>
      <w:pPr>
        <w:ind w:left="4"/>
        <w:spacing w:after="0" w:line="285" w:lineRule="auto"/>
        <w:rPr>
          <w:rFonts w:ascii="Arial" w:cs="Arial" w:eastAsia="Arial" w:hAnsi="Arial"/>
          <w:sz w:val="17"/>
          <w:szCs w:val="17"/>
          <w:color w:val="auto"/>
        </w:rPr>
      </w:pPr>
      <w:r>
        <w:rPr>
          <w:rFonts w:ascii="Arial" w:cs="Arial" w:eastAsia="Arial" w:hAnsi="Arial"/>
          <w:sz w:val="16"/>
          <w:szCs w:val="16"/>
          <w:color w:val="auto"/>
        </w:rPr>
        <w:t>Package and the Prospectus, together with the related schedules and notes, present fairly in all material respects the financial position of the Company and the Subsidiaries (as defined below) at the dates indicated and the results of their operations and the changes in the cash flows of the Company and the Subsidiaries for the periods specified (except that the unaudited financial statements were or are subject to normal year-end adjustments which were not, or are not expected to be, material in amount to the Company); said financial statements have been prepared in conformity with U.S. generally accepted accounting principles (“GAAP”) applied on a consistent basis throughout the periods involved (except, in each case, as may be permitted by the rules and regulations of the Commission). The supporting schedules, if any, included or incorporated by reference in the Registration Statement, the General Disclosure Package and the Prospectus present fairly in all material respects in accordance with GAAP the information required to be stated therein. The selected financial data and the summary financial information of the Company and the Subsidiaries included or incorporated by reference in the Registration Statement, the General Disclosure Package and the Prospectus have been derived from the accounting records and other books and records of the Company and the Subsidiaries and present fairly in all material respects the information shown therein. Except as included therein, no historical or pro forma financial statements or supporting schedules are required to be included in the Registration Statement, the General Disclosure Package or the Prospectus under the 1933 Act or the 1933 Act Regulations.</w:t>
      </w:r>
    </w:p>
    <w:p>
      <w:pPr>
        <w:spacing w:after="0" w:line="171" w:lineRule="exact"/>
        <w:rPr>
          <w:rFonts w:ascii="Arial" w:cs="Arial" w:eastAsia="Arial" w:hAnsi="Arial"/>
          <w:sz w:val="17"/>
          <w:szCs w:val="17"/>
          <w:color w:val="auto"/>
        </w:rPr>
      </w:pPr>
    </w:p>
    <w:p>
      <w:pPr>
        <w:ind w:left="4" w:right="120" w:hanging="4"/>
        <w:spacing w:after="0" w:line="293" w:lineRule="auto"/>
        <w:tabs>
          <w:tab w:leader="none" w:pos="309"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 in Business</w:t>
      </w:r>
      <w:r>
        <w:rPr>
          <w:rFonts w:ascii="Arial" w:cs="Arial" w:eastAsia="Arial" w:hAnsi="Arial"/>
          <w:sz w:val="16"/>
          <w:szCs w:val="16"/>
          <w:color w:val="auto"/>
        </w:rPr>
        <w:t>. Except as otherwise stated therein, since the respective dates as of which information is given in the Registration Statement, the General Disclosure Package or the Prospectus, (A) there has been no material adverse change in the business, management, financial condition, results of operations or prospects of the Company and the Subsidiaries considered as one enterprise, whether or not arising in the ordinary course of business (a “Material Adverse Effect”), (B) there have been no transactions entered into by the Company or any of the Subsidiaries, other than those in the ordinary course of business, which are material with respect to the Company and the Subsidiaries considered as one enterprise and (C) there has been no dividend or distribution of any kind declared, paid or made by the Company on any class of its capital stock.</w:t>
      </w:r>
    </w:p>
    <w:p>
      <w:pPr>
        <w:spacing w:after="0" w:line="9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10" w:name="page11"/>
    <w:bookmarkEnd w:id="10"/>
    <w:p>
      <w:pPr>
        <w:ind w:left="4" w:right="60" w:hanging="4"/>
        <w:spacing w:after="0" w:line="272" w:lineRule="auto"/>
        <w:tabs>
          <w:tab w:leader="none" w:pos="259"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Good Standing of the Company</w:t>
      </w:r>
      <w:r>
        <w:rPr>
          <w:rFonts w:ascii="Arial" w:cs="Arial" w:eastAsia="Arial" w:hAnsi="Arial"/>
          <w:sz w:val="17"/>
          <w:szCs w:val="17"/>
          <w:color w:val="auto"/>
        </w:rPr>
        <w:t>. The Company has been duly organized and is validly existing as a corporation in good standing under the laws of the State of Maryland and has corporate power and authority to own, lease and operate its properties and to conduct its business as described in the Registration Statement, the General Disclosure Package and the Prospectus and to enter into this Agreement and perform its obligations under this Agreement, the Investment Management Agreement, the Indenture, the Securities and the DTC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reasonably be expected to result in a Material Adverse Effect.</w:t>
      </w:r>
    </w:p>
    <w:p>
      <w:pPr>
        <w:spacing w:after="0" w:line="177" w:lineRule="exact"/>
        <w:rPr>
          <w:rFonts w:ascii="Arial" w:cs="Arial" w:eastAsia="Arial" w:hAnsi="Arial"/>
          <w:sz w:val="17"/>
          <w:szCs w:val="17"/>
          <w:color w:val="auto"/>
        </w:rPr>
      </w:pPr>
    </w:p>
    <w:p>
      <w:pPr>
        <w:ind w:left="4" w:hanging="4"/>
        <w:spacing w:after="0" w:line="283" w:lineRule="auto"/>
        <w:tabs>
          <w:tab w:leader="none" w:pos="309"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Subsidiaries of the Company; Portfolio Companies</w:t>
      </w:r>
      <w:r>
        <w:rPr>
          <w:rFonts w:ascii="Arial" w:cs="Arial" w:eastAsia="Arial" w:hAnsi="Arial"/>
          <w:sz w:val="16"/>
          <w:szCs w:val="16"/>
          <w:color w:val="auto"/>
        </w:rPr>
        <w:t>. The Company’s only subsidiaries that were consolidated with the Company for financial reporting purposes under GAAP as of December 31, 2020 are those listed on Schedule C hereto (each a “Subsidiary” and, collectively, the “Subsidiaries”). Each of the Subsidiaries has been duly organized and is validly existing as a corporation, limited liability company or limited partnership in good standing under the laws of the jurisdiction of its organization, has power and authority to own, lease and operate its properties and to conduct its business as described in the General Disclosure Package and the Prospectus and is duly qualified as a foreign corporation, limited liability company or limited partnership to transact business and is in good standing in each jurisdiction in which such qualification is required, whether by reason of the ownership or leasing of property or the conduct of business, except where the failure to be so qualified or in good standing would not reasonably be expected to result in a Material Adverse Effect; except as disclosed in the General Disclosure Package and the Prospectus, all of the issued and outstanding capital stock of each such Subsidiary has been duly authorized and validly issued and is fully paid and non-assessable; none of the outstanding shares of capital stock of any of the Subsidiaries was issued in violation of the preemptive or other similar rights of any securityholder of such Subsidiary. Except for any investments made in the ordinary course of business since the most recent quarter end, the Company does not own, directly or indirectly, any investments or shares of stock or any other equity or long-term debt securities of any corporation or other entity other than</w:t>
      </w:r>
    </w:p>
    <w:p>
      <w:pPr>
        <w:spacing w:after="0" w:line="2" w:lineRule="exact"/>
        <w:rPr>
          <w:rFonts w:ascii="Arial" w:cs="Arial" w:eastAsia="Arial" w:hAnsi="Arial"/>
          <w:sz w:val="16"/>
          <w:szCs w:val="16"/>
          <w:color w:val="auto"/>
        </w:rPr>
      </w:pPr>
    </w:p>
    <w:p>
      <w:pPr>
        <w:ind w:left="4"/>
        <w:spacing w:after="0" w:line="273" w:lineRule="auto"/>
        <w:rPr>
          <w:rFonts w:ascii="Arial" w:cs="Arial" w:eastAsia="Arial" w:hAnsi="Arial"/>
          <w:sz w:val="16"/>
          <w:szCs w:val="16"/>
          <w:color w:val="auto"/>
        </w:rPr>
      </w:pPr>
      <w:r>
        <w:rPr>
          <w:rFonts w:ascii="Arial" w:cs="Arial" w:eastAsia="Arial" w:hAnsi="Arial"/>
          <w:sz w:val="17"/>
          <w:szCs w:val="17"/>
          <w:color w:val="auto"/>
        </w:rPr>
        <w:t>(A) the Subsidiaries and (B) those corporations or other entities described in the Registration Statement, General Disclosure Package and the Prospectus under the caption “Portfolio Companies” (each a “Portfolio Company” and collectively the “Portfolio Companies”). Except as otherwise disclosed in the General Disclosure Package and the Prospectus, the Company does not control (as such term is defined in Section 2(a)(9) of the 1940 Act), any of the Portfolio Companies or any corporation or other entity in which it invested since the most recent quarter end.</w:t>
      </w:r>
    </w:p>
    <w:p>
      <w:pPr>
        <w:spacing w:after="0" w:line="176" w:lineRule="exact"/>
        <w:rPr>
          <w:rFonts w:ascii="Arial" w:cs="Arial" w:eastAsia="Arial" w:hAnsi="Arial"/>
          <w:sz w:val="16"/>
          <w:szCs w:val="16"/>
          <w:color w:val="auto"/>
        </w:rPr>
      </w:pPr>
    </w:p>
    <w:p>
      <w:pPr>
        <w:jc w:val="both"/>
        <w:ind w:left="4" w:right="300" w:hanging="4"/>
        <w:spacing w:after="0" w:line="259" w:lineRule="auto"/>
        <w:tabs>
          <w:tab w:leader="none" w:pos="359"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Capitalization</w:t>
      </w:r>
      <w:r>
        <w:rPr>
          <w:rFonts w:ascii="Arial" w:cs="Arial" w:eastAsia="Arial" w:hAnsi="Arial"/>
          <w:sz w:val="18"/>
          <w:szCs w:val="18"/>
          <w:color w:val="auto"/>
        </w:rPr>
        <w:t>. The authorized, issued and outstanding shares of capital stock of the Company are as set forth in the Registration Statement, the General Disclosure Package and the Prospectus in the column entitled “Actual” under the caption “Capitalization.” The outstanding shares of capital stock of the Company have been duly authorized and validly issued and are fully paid and non-assessable. None of the outstanding shares of capital stock of the Company were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11" w:name="page12"/>
    <w:bookmarkEnd w:id="11"/>
    <w:p>
      <w:pPr>
        <w:ind w:left="4" w:right="1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issued in violation of the preemptive or other similar rights of any securityholder of the Company. Except as set forth in the Registration Statement, the General Disclosure Package and the Prospectus, no options, warrants or other rights to purchase, agreements or other obligations to issue, or rights to convert any obligations into or exchange any securities for, shares of capital stock of or ownership interests in the Company are outstanding.</w:t>
      </w:r>
    </w:p>
    <w:p>
      <w:pPr>
        <w:spacing w:after="0" w:line="149" w:lineRule="exact"/>
        <w:rPr>
          <w:sz w:val="20"/>
          <w:szCs w:val="20"/>
          <w:color w:val="auto"/>
        </w:rPr>
      </w:pPr>
    </w:p>
    <w:p>
      <w:pPr>
        <w:ind w:left="404" w:hanging="404"/>
        <w:spacing w:after="0"/>
        <w:tabs>
          <w:tab w:leader="none" w:pos="404"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Authorization of Agreements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30" w:lineRule="exact"/>
        <w:rPr>
          <w:rFonts w:ascii="Arial" w:cs="Arial" w:eastAsia="Arial" w:hAnsi="Arial"/>
          <w:sz w:val="18"/>
          <w:szCs w:val="18"/>
          <w:color w:val="auto"/>
        </w:rPr>
      </w:pPr>
    </w:p>
    <w:p>
      <w:pPr>
        <w:ind w:left="964" w:hanging="532"/>
        <w:spacing w:after="0" w:line="275" w:lineRule="auto"/>
        <w:tabs>
          <w:tab w:leader="none" w:pos="964"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Base Indenture has been duly authorized, and, at the Closing Time, will be duly executed and delivered by the Company and, when duly executed and delivered by the Trustee, will constitute a valid and binding obligation of the Company, enforceable against the Company in accordance with its terms, except as the enforcement thereof may be subject to (i) bankruptcy, insolvency, reorganization, moratorium or other similar laws now or thereafter in effect relating to creditors’ rights generally or (ii) general principles of equity and the discretion of the court before which any proceeding therefor may be brought.</w:t>
      </w:r>
    </w:p>
    <w:p>
      <w:pPr>
        <w:spacing w:after="0" w:line="81" w:lineRule="exact"/>
        <w:rPr>
          <w:rFonts w:ascii="Arial" w:cs="Arial" w:eastAsia="Arial" w:hAnsi="Arial"/>
          <w:sz w:val="17"/>
          <w:szCs w:val="17"/>
          <w:color w:val="auto"/>
        </w:rPr>
      </w:pPr>
    </w:p>
    <w:p>
      <w:pPr>
        <w:ind w:left="964" w:hanging="532"/>
        <w:spacing w:after="0" w:line="275" w:lineRule="auto"/>
        <w:tabs>
          <w:tab w:leader="none" w:pos="964"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First Supplemental Indenture has been duly authorized, and, at the Closing Time, will be duly executed and delivered by the Company and, when duly executed and delivered by the Trustee, will constitute the valid and binding obligation of the Company, enforceable against the Company in accordance with its terms, except as the enforcement thereof may be subject to (i) bankruptcy, insolvency, reorganization, moratorium or other similar laws now or thereafter in effect relating to creditors’ rights generally or (ii) general principles of equity and the discretion of the court before which any proceeding therefor may be brought.</w:t>
      </w:r>
    </w:p>
    <w:p>
      <w:pPr>
        <w:spacing w:after="0" w:line="81" w:lineRule="exact"/>
        <w:rPr>
          <w:rFonts w:ascii="Arial" w:cs="Arial" w:eastAsia="Arial" w:hAnsi="Arial"/>
          <w:sz w:val="17"/>
          <w:szCs w:val="17"/>
          <w:color w:val="auto"/>
        </w:rPr>
      </w:pPr>
    </w:p>
    <w:p>
      <w:pPr>
        <w:ind w:left="964" w:right="540" w:hanging="532"/>
        <w:spacing w:after="0" w:line="291" w:lineRule="auto"/>
        <w:tabs>
          <w:tab w:leader="none" w:pos="964"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DTC Agreement has been duly authorized, executed and delivered by the Company and is a valid and binding obligation of the Company, enforceable against the Company in accordance with its terms, except as the enforcement thereof may be subject to</w:t>
      </w:r>
    </w:p>
    <w:p>
      <w:pPr>
        <w:jc w:val="both"/>
        <w:ind w:left="964" w:right="680"/>
        <w:spacing w:after="0" w:line="323" w:lineRule="auto"/>
        <w:rPr>
          <w:rFonts w:ascii="Arial" w:cs="Arial" w:eastAsia="Arial" w:hAnsi="Arial"/>
          <w:sz w:val="16"/>
          <w:szCs w:val="16"/>
          <w:color w:val="auto"/>
        </w:rPr>
      </w:pPr>
      <w:r>
        <w:rPr>
          <w:rFonts w:ascii="Arial" w:cs="Arial" w:eastAsia="Arial" w:hAnsi="Arial"/>
          <w:sz w:val="16"/>
          <w:szCs w:val="16"/>
          <w:color w:val="auto"/>
        </w:rPr>
        <w:t>(i) bankruptcy, insolvency, reorganization, moratorium or other similar laws now or thereafter in effect relating to creditors’ rights generally or (ii) general principles of equity and the discretion of the court before which any proceeding therefor may be brought.</w:t>
      </w:r>
    </w:p>
    <w:p>
      <w:pPr>
        <w:spacing w:after="0" w:line="138" w:lineRule="exact"/>
        <w:rPr>
          <w:rFonts w:ascii="Arial" w:cs="Arial" w:eastAsia="Arial" w:hAnsi="Arial"/>
          <w:sz w:val="16"/>
          <w:szCs w:val="16"/>
          <w:color w:val="auto"/>
        </w:rPr>
      </w:pPr>
    </w:p>
    <w:p>
      <w:pPr>
        <w:ind w:left="4" w:hanging="4"/>
        <w:spacing w:after="0" w:line="254" w:lineRule="auto"/>
        <w:tabs>
          <w:tab w:leader="none" w:pos="399"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Authorization and Description of Securities</w:t>
      </w:r>
      <w:r>
        <w:rPr>
          <w:rFonts w:ascii="Arial" w:cs="Arial" w:eastAsia="Arial" w:hAnsi="Arial"/>
          <w:sz w:val="18"/>
          <w:szCs w:val="18"/>
          <w:color w:val="auto"/>
        </w:rPr>
        <w:t>. The Securities to be purchased by the Underwriters from the Company have been duly authorized and, when issued and delivered by the Company and authenticated by the Trustee pursuant to this Agreement and the Indenture relating thereto, against payment of the purchase price set forth herein, will be valid and legally binding obligations of the Company enforceable in accordance with their terms, except as the enforcement thereof may be subject to the effect of (i) bankruptcy, insolvency, reorganization, moratorium or other similar laws now or thereafter in effect relating to creditors’ rights generally and (ii) general principles of equity and the discretion of the court before which any proceeding therefor may be brought, and will be entitled to the benefits of the Indenture relating thereto; and the Securities and the Indenture conform to all statements relating thereto contained in the General Disclosure Package and the Prospectus and such description conforms to the rights set forth in the instruments defining the same.</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12" w:name="page13"/>
    <w:bookmarkEnd w:id="12"/>
    <w:p>
      <w:pPr>
        <w:ind w:left="4" w:right="60" w:hanging="4"/>
        <w:spacing w:after="0" w:line="270" w:lineRule="auto"/>
        <w:tabs>
          <w:tab w:leader="none" w:pos="349"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Violations and Defaults</w:t>
      </w:r>
      <w:r>
        <w:rPr>
          <w:rFonts w:ascii="Arial" w:cs="Arial" w:eastAsia="Arial" w:hAnsi="Arial"/>
          <w:sz w:val="17"/>
          <w:szCs w:val="17"/>
          <w:color w:val="auto"/>
        </w:rPr>
        <w:t>. Neither the Company nor any of the Subsidiaries is (A) in violation of its charter, bylaws or similar organizational document, each as amended or supplemented as of the date of this Agreement and the Closing Time, (B) in default under any contract, indenture, mortgage, deed of trust, loan or credit agreement, note, lease or other agreement or instrument to which the Company or any of the Subsidiaries is a party or by which it or any of them may be bound or to which any of the properties or assets of the Company or any of the Subsidiaries is subject (collectively, “Agreements and Instruments”), except for such defaults that would not reasonably be expected, singly or in the aggregate,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the Subsidiaries or any of their respective properties, assets or operations (each, a “Governmental Entity”), except for such violations that would not reasonably be expected, singly or in the aggregate, to result in a Material Adverse Effect.</w:t>
      </w:r>
    </w:p>
    <w:p>
      <w:pPr>
        <w:spacing w:after="0" w:line="180" w:lineRule="exact"/>
        <w:rPr>
          <w:rFonts w:ascii="Arial" w:cs="Arial" w:eastAsia="Arial" w:hAnsi="Arial"/>
          <w:sz w:val="17"/>
          <w:szCs w:val="17"/>
          <w:color w:val="auto"/>
        </w:rPr>
      </w:pPr>
    </w:p>
    <w:p>
      <w:pPr>
        <w:ind w:left="4" w:hanging="4"/>
        <w:spacing w:after="0" w:line="286" w:lineRule="auto"/>
        <w:tabs>
          <w:tab w:leader="none" w:pos="399"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Absence of Conflicts</w:t>
      </w:r>
      <w:r>
        <w:rPr>
          <w:rFonts w:ascii="Arial" w:cs="Arial" w:eastAsia="Arial" w:hAnsi="Arial"/>
          <w:sz w:val="16"/>
          <w:szCs w:val="16"/>
          <w:color w:val="auto"/>
        </w:rPr>
        <w:t>. The execution, delivery and performance of this Agreement, the performance of the Investment Management Agreement, the Indenture, the Securities and the DTC Agreement and the consummation of the transactions contemplated herein and therein and in the Registration Statement, the General Disclosure Package and the Prospectus (including the issuance and sale of the Securities and the use of the proceeds from the sale of the Securities as described therein under the caption “Use of Proceeds”) and compliance by the Company with its obligations hereunder and thereunder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of the Subsidiaries pursuant to, the Agreements and Instruments (except for such conflicts, breaches, defaults or Repayment Events or liens, charges or encumbrances that would not reasonably be expected, singly or in the aggregate, to result in a Material Adverse Effect), nor will such action result in any violation of the provisions of (a) the charter, bylaws or similar organizational document of the Company or any of the Subsidiaries or (b) any law, statute, rule, regulation, judgment, order, writ or decree of any Governmental Entity, except, in the case of (b) above, for any violation that would not reasonably be expected, singly or in the aggregate,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the Subsidiaries.</w:t>
      </w:r>
    </w:p>
    <w:p>
      <w:pPr>
        <w:spacing w:after="0" w:line="170" w:lineRule="exact"/>
        <w:rPr>
          <w:rFonts w:ascii="Arial" w:cs="Arial" w:eastAsia="Arial" w:hAnsi="Arial"/>
          <w:sz w:val="16"/>
          <w:szCs w:val="16"/>
          <w:color w:val="auto"/>
        </w:rPr>
      </w:pPr>
    </w:p>
    <w:p>
      <w:pPr>
        <w:ind w:left="4" w:right="140" w:hanging="4"/>
        <w:spacing w:after="0" w:line="277" w:lineRule="auto"/>
        <w:tabs>
          <w:tab w:leader="none" w:pos="449"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Employees</w:t>
      </w:r>
      <w:r>
        <w:rPr>
          <w:rFonts w:ascii="Arial" w:cs="Arial" w:eastAsia="Arial" w:hAnsi="Arial"/>
          <w:sz w:val="18"/>
          <w:szCs w:val="18"/>
          <w:color w:val="auto"/>
        </w:rPr>
        <w:t>. As of the date hereof, neither the Company nor any of the Subsidiaries has, and as of the Closing Time neither the Company nor any of the Subsidiaries will have, any employees.</w:t>
      </w:r>
    </w:p>
    <w:p>
      <w:pPr>
        <w:spacing w:after="0" w:line="170" w:lineRule="exact"/>
        <w:rPr>
          <w:rFonts w:ascii="Arial" w:cs="Arial" w:eastAsia="Arial" w:hAnsi="Arial"/>
          <w:sz w:val="18"/>
          <w:szCs w:val="18"/>
          <w:color w:val="auto"/>
        </w:rPr>
      </w:pPr>
    </w:p>
    <w:p>
      <w:pPr>
        <w:ind w:left="4" w:right="40" w:hanging="4"/>
        <w:spacing w:after="0" w:line="259" w:lineRule="auto"/>
        <w:tabs>
          <w:tab w:leader="none" w:pos="499"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Absence of Proceedings</w:t>
      </w:r>
      <w:r>
        <w:rPr>
          <w:rFonts w:ascii="Arial" w:cs="Arial" w:eastAsia="Arial" w:hAnsi="Arial"/>
          <w:sz w:val="18"/>
          <w:szCs w:val="18"/>
          <w:color w:val="auto"/>
        </w:rPr>
        <w:t>. Except as disclosed in the Registration Statement, the General Disclosure Package and the Prospectus, there is no action, suit, proceeding or, to the knowledge of the Company, inquiry or investigation before or brought by any Governmental Entity now pending or, to the knowledge of the Company, threatened, against or affecting the Company or any of the Subsidiaries, which would reasonably be expected to result in a Material Adverse Effect,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3" w:name="page14"/>
    <w:bookmarkEnd w:id="13"/>
    <w:p>
      <w:pPr>
        <w:ind w:left="4" w:right="3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which would reasonably be expected to materially and adversely affect the consummation of the transactions contemplated in this Agreement, the Investment Management Agreement, the Indenture, the Securities or the DTC Agreement or the performance by the Company of its obligations hereunder or thereunder.</w:t>
      </w:r>
    </w:p>
    <w:p>
      <w:pPr>
        <w:spacing w:after="0" w:line="184" w:lineRule="exact"/>
        <w:rPr>
          <w:sz w:val="20"/>
          <w:szCs w:val="20"/>
          <w:color w:val="auto"/>
        </w:rPr>
      </w:pPr>
    </w:p>
    <w:p>
      <w:pPr>
        <w:jc w:val="center"/>
        <w:ind w:left="4" w:right="360" w:hanging="4"/>
        <w:spacing w:after="0" w:line="342" w:lineRule="auto"/>
        <w:tabs>
          <w:tab w:leader="none" w:pos="399"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Accuracy of Exhibits</w:t>
      </w:r>
      <w:r>
        <w:rPr>
          <w:rFonts w:ascii="Arial" w:cs="Arial" w:eastAsia="Arial" w:hAnsi="Arial"/>
          <w:sz w:val="16"/>
          <w:szCs w:val="16"/>
          <w:color w:val="auto"/>
        </w:rPr>
        <w:t>. There are no contracts or documents which are required to be described in the Registration Statement, the General Disclosure Package or the Prospectus or to be filed as exhibits to the Registration Statement which have not been so described and filed as required.</w:t>
      </w:r>
    </w:p>
    <w:p>
      <w:pPr>
        <w:spacing w:after="0" w:line="123" w:lineRule="exact"/>
        <w:rPr>
          <w:rFonts w:ascii="Arial" w:cs="Arial" w:eastAsia="Arial" w:hAnsi="Arial"/>
          <w:sz w:val="16"/>
          <w:szCs w:val="16"/>
          <w:color w:val="auto"/>
        </w:rPr>
      </w:pPr>
    </w:p>
    <w:p>
      <w:pPr>
        <w:ind w:left="4" w:hanging="4"/>
        <w:spacing w:after="0" w:line="284" w:lineRule="auto"/>
        <w:tabs>
          <w:tab w:leader="none" w:pos="349"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Absence of Further Requirements</w:t>
      </w:r>
      <w:r>
        <w:rPr>
          <w:rFonts w:ascii="Arial" w:cs="Arial" w:eastAsia="Arial" w:hAnsi="Arial"/>
          <w:sz w:val="16"/>
          <w:szCs w:val="16"/>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or the Investment Management Agreement, the Indenture, the Securities, the DTC Agreement or the General Disclosure Package and the Prospectus (including the issuance and sale of the Securities and the use of the proceeds from the sale of the Securities as described in the General Disclosure Package and the Prospectus under the caption “Use of Proceeds”), except (A) such as have been already made or obtained, including under the 1933 Act, the 1933 Act Regulations, the 1940 Act, the 1940 Act Regulations, the Trust Indenture Act, state securities laws or the rules of the Financial Industry Regulatory Authority, Inc. (“FINRA”),</w:t>
      </w:r>
    </w:p>
    <w:p>
      <w:pPr>
        <w:spacing w:after="0" w:line="2" w:lineRule="exact"/>
        <w:rPr>
          <w:rFonts w:ascii="Arial" w:cs="Arial" w:eastAsia="Arial" w:hAnsi="Arial"/>
          <w:sz w:val="16"/>
          <w:szCs w:val="16"/>
          <w:color w:val="auto"/>
        </w:rPr>
      </w:pPr>
    </w:p>
    <w:p>
      <w:pPr>
        <w:ind w:left="4"/>
        <w:spacing w:after="0" w:line="255" w:lineRule="auto"/>
        <w:rPr>
          <w:rFonts w:ascii="Arial" w:cs="Arial" w:eastAsia="Arial" w:hAnsi="Arial"/>
          <w:sz w:val="16"/>
          <w:szCs w:val="16"/>
          <w:color w:val="auto"/>
        </w:rPr>
      </w:pPr>
      <w:r>
        <w:rPr>
          <w:rFonts w:ascii="Arial" w:cs="Arial" w:eastAsia="Arial" w:hAnsi="Arial"/>
          <w:sz w:val="18"/>
          <w:szCs w:val="18"/>
          <w:color w:val="auto"/>
        </w:rPr>
        <w:t>(B) the filing of the Notifications of Election under the 1940 Act, which has been effected and (C) where the failure to obtain any such filing, authorization, approval, consent, license, order, registration, qualification or decree would not reasonably be expected, singly or in the aggregate, to have a Material Adverse Effect.</w:t>
      </w:r>
    </w:p>
    <w:p>
      <w:pPr>
        <w:spacing w:after="0" w:line="189" w:lineRule="exact"/>
        <w:rPr>
          <w:rFonts w:ascii="Arial" w:cs="Arial" w:eastAsia="Arial" w:hAnsi="Arial"/>
          <w:sz w:val="16"/>
          <w:szCs w:val="16"/>
          <w:color w:val="auto"/>
        </w:rPr>
      </w:pPr>
    </w:p>
    <w:p>
      <w:pPr>
        <w:ind w:left="4" w:right="40" w:hanging="4"/>
        <w:spacing w:after="0" w:line="289" w:lineRule="auto"/>
        <w:tabs>
          <w:tab w:leader="none" w:pos="399"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Possession of Licenses and Permits</w:t>
      </w:r>
      <w:r>
        <w:rPr>
          <w:rFonts w:ascii="Arial" w:cs="Arial" w:eastAsia="Arial" w:hAnsi="Arial"/>
          <w:sz w:val="16"/>
          <w:szCs w:val="16"/>
          <w:color w:val="auto"/>
        </w:rPr>
        <w:t>. The Company and the Subsidiaries possess such permits, licenses, approvals, consents and other authorizations (collectively, “Governmental Licenses”) issued by the appropriate Governmental Entities necessary to conduct the business now operated by them, except where the failure so to possess would not reasonably be expected, singly or in the aggregate, to result in a Material Adverse Effect. The Company and the Subsidiaries are in compliance with the terms and conditions of all Governmental Licenses, except where the failure so to comply would not reasonably be expected, singly or in the aggregate, to result in a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 Material Adverse Effect. Neither the Company nor any of the Subsidiaries has received any notice of proceedings relating to the revocation or modification of any Governmental Licenses which, singly or in the aggregate, if the subject of an unfavorable decision, ruling or finding, would reasonably be expected to result in a Material Adverse Effect.</w:t>
      </w:r>
    </w:p>
    <w:p>
      <w:pPr>
        <w:spacing w:after="0" w:line="166" w:lineRule="exact"/>
        <w:rPr>
          <w:rFonts w:ascii="Arial" w:cs="Arial" w:eastAsia="Arial" w:hAnsi="Arial"/>
          <w:sz w:val="16"/>
          <w:szCs w:val="16"/>
          <w:color w:val="auto"/>
        </w:rPr>
      </w:pPr>
    </w:p>
    <w:p>
      <w:pPr>
        <w:ind w:left="4" w:right="160" w:hanging="4"/>
        <w:spacing w:after="0" w:line="296" w:lineRule="auto"/>
        <w:tabs>
          <w:tab w:leader="none" w:pos="449"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Title to Property</w:t>
      </w:r>
      <w:r>
        <w:rPr>
          <w:rFonts w:ascii="Arial" w:cs="Arial" w:eastAsia="Arial" w:hAnsi="Arial"/>
          <w:sz w:val="16"/>
          <w:szCs w:val="16"/>
          <w:color w:val="auto"/>
        </w:rPr>
        <w:t>. The Company and the Subsidiaries do not own any real property; and all of the leases and subleases material to the business of the Company and the Subsidiaries, considered as one enterprise, and under which the Company or any of the Subsidiaries holds properties,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14" w:name="page15"/>
    <w:bookmarkEnd w:id="14"/>
    <w:p>
      <w:pPr>
        <w:ind w:left="4" w:hanging="4"/>
        <w:spacing w:after="0" w:line="253" w:lineRule="auto"/>
        <w:tabs>
          <w:tab w:leader="none" w:pos="499"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Possession of Intellectual Property</w:t>
      </w:r>
      <w:r>
        <w:rPr>
          <w:rFonts w:ascii="Arial" w:cs="Arial" w:eastAsia="Arial" w:hAnsi="Arial"/>
          <w:sz w:val="18"/>
          <w:szCs w:val="18"/>
          <w:color w:val="auto"/>
        </w:rPr>
        <w:t>. Except as would not reasonably be expected, singly or in the aggregate, to have a Material Adverse Effect, the Company and the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and neither the Company nor any of the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the Subsidiaries therein, and which infringement or conflict (if the subject of any unfavorable decision, ruling or finding) or invalidity or inadequacy, singly or in the aggregate, would reasonably be expected to result in a Material Adverse Effect.</w:t>
      </w:r>
    </w:p>
    <w:p>
      <w:pPr>
        <w:spacing w:after="0" w:line="196" w:lineRule="exact"/>
        <w:rPr>
          <w:rFonts w:ascii="Arial" w:cs="Arial" w:eastAsia="Arial" w:hAnsi="Arial"/>
          <w:sz w:val="18"/>
          <w:szCs w:val="18"/>
          <w:color w:val="auto"/>
        </w:rPr>
      </w:pPr>
    </w:p>
    <w:p>
      <w:pPr>
        <w:ind w:left="4" w:hanging="4"/>
        <w:spacing w:after="0" w:line="287" w:lineRule="auto"/>
        <w:tabs>
          <w:tab w:leader="none" w:pos="489"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Accounting Controls</w:t>
      </w:r>
      <w:r>
        <w:rPr>
          <w:rFonts w:ascii="Arial" w:cs="Arial" w:eastAsia="Arial" w:hAnsi="Arial"/>
          <w:sz w:val="16"/>
          <w:szCs w:val="16"/>
          <w:color w:val="auto"/>
        </w:rPr>
        <w:t>. The Company, on a consolidated basis, maintains a system of internal control over financial reporting (as defined under Rule 13a-15(f) and 15d-15(f) under the rules and regulations of the Commission under the 1934 Act (such rules and regulations,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the Company’s consolidated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the General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(it being understood that the Company is not as of the date hereof required to comply with the auditor attestation requirements under Section 404 of the Sarbanes Oxley Act of 2002).</w:t>
      </w:r>
    </w:p>
    <w:p>
      <w:pPr>
        <w:spacing w:after="0" w:line="171" w:lineRule="exact"/>
        <w:rPr>
          <w:rFonts w:ascii="Arial" w:cs="Arial" w:eastAsia="Arial" w:hAnsi="Arial"/>
          <w:sz w:val="16"/>
          <w:szCs w:val="16"/>
          <w:color w:val="auto"/>
        </w:rPr>
      </w:pPr>
    </w:p>
    <w:p>
      <w:pPr>
        <w:ind w:left="4" w:right="100" w:hanging="4"/>
        <w:spacing w:after="0" w:line="272" w:lineRule="auto"/>
        <w:tabs>
          <w:tab w:leader="none" w:pos="439"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Payment of Taxes</w:t>
      </w:r>
      <w:r>
        <w:rPr>
          <w:rFonts w:ascii="Arial" w:cs="Arial" w:eastAsia="Arial" w:hAnsi="Arial"/>
          <w:sz w:val="17"/>
          <w:szCs w:val="17"/>
          <w:color w:val="auto"/>
        </w:rPr>
        <w:t>. All United States federal income tax returns of the Company and the Subsidiaries required by law to have been filed by them (taking into account any applicable extensions) have been filed and all taxes shown by such returns or otherwise assessed, which are due and payable, have been paid, in each case, except assessments against which appeals have been or will be promptly taken and as to which adequate reserves have been provided or insofar as the failure to do so would not reasonably be expected, singly or in the aggregate, to result in a Material Adverse Effect. The United States federal income tax returns of the Company through the fiscal year ended September 30, 2019 have been filed, and no assessment in connection therewith has been made against the Company. The Company and the Subsidiaries have filed all other tax returns that are required to have been filed by them (taking into account any applicable</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15" w:name="page16"/>
    <w:bookmarkEnd w:id="15"/>
    <w:p>
      <w:pPr>
        <w:ind w:left="4"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extensions) pursuant to applicable foreign, state, local or other law and have paid all taxes due pursuant to such returns or pursuant to any assessment received by the Company and the Subsidiaries, except for such taxes, if any, as are being contested in good faith and as to which adequate reserves have been established by the Company or, in each case, insofar as the failure to pay such taxes or file such returns would not reasonably be expected to result in a Material Adverse Effect. The charges, accruals and reserves on the books of the Company in respect of any income and corporation tax liability for any years not finally determined are adequate to meet any current assessments or re-assessments for additional income tax for any years not finally determined, except to the extent of any inadequacy that would not reasonably be expected to result in a Material Adverse Effect.</w:t>
      </w:r>
    </w:p>
    <w:p>
      <w:pPr>
        <w:spacing w:after="0" w:line="164" w:lineRule="exact"/>
        <w:rPr>
          <w:sz w:val="20"/>
          <w:szCs w:val="20"/>
          <w:color w:val="auto"/>
        </w:rPr>
      </w:pPr>
    </w:p>
    <w:p>
      <w:pPr>
        <w:ind w:left="4" w:right="20" w:hanging="4"/>
        <w:spacing w:after="0" w:line="275" w:lineRule="auto"/>
        <w:tabs>
          <w:tab w:leader="none" w:pos="489"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The Company and the Subsidiaries carry or are entitled to the benefits of insurance, with financially sound and reputable insurers, in such amounts and covering such risks as the Company reasonably believes is prudent, and all such insurance is in full force and effect. The Company has no reason to believe that it or any of the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w:t>
      </w:r>
    </w:p>
    <w:p>
      <w:pPr>
        <w:spacing w:after="0" w:line="176" w:lineRule="exact"/>
        <w:rPr>
          <w:rFonts w:ascii="Arial" w:cs="Arial" w:eastAsia="Arial" w:hAnsi="Arial"/>
          <w:sz w:val="17"/>
          <w:szCs w:val="17"/>
          <w:color w:val="auto"/>
        </w:rPr>
      </w:pPr>
    </w:p>
    <w:p>
      <w:pPr>
        <w:ind w:left="4" w:right="120" w:hanging="4"/>
        <w:spacing w:after="0" w:line="263" w:lineRule="auto"/>
        <w:tabs>
          <w:tab w:leader="none" w:pos="539"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is not required and, upon the issuance and sale of the Securities as herein contemplated and the application of the net proceeds therefrom as described in the Prospectus, will not be required to register as a “management investment company” under the 1940 Act.</w:t>
      </w:r>
    </w:p>
    <w:p>
      <w:pPr>
        <w:spacing w:after="0" w:line="183" w:lineRule="exact"/>
        <w:rPr>
          <w:rFonts w:ascii="Arial" w:cs="Arial" w:eastAsia="Arial" w:hAnsi="Arial"/>
          <w:sz w:val="18"/>
          <w:szCs w:val="18"/>
          <w:color w:val="auto"/>
        </w:rPr>
      </w:pPr>
    </w:p>
    <w:p>
      <w:pPr>
        <w:ind w:left="4" w:right="120" w:hanging="4"/>
        <w:spacing w:after="0" w:line="263" w:lineRule="auto"/>
        <w:tabs>
          <w:tab w:leader="none" w:pos="589"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Stabilization and Manipulation</w:t>
      </w:r>
      <w:r>
        <w:rPr>
          <w:rFonts w:ascii="Arial" w:cs="Arial" w:eastAsia="Arial" w:hAnsi="Arial"/>
          <w:sz w:val="18"/>
          <w:szCs w:val="18"/>
          <w:color w:val="auto"/>
        </w:rPr>
        <w:t>. The Company has not taken, nor will it take, directly or indirectly, without giving effect to any activities by the Underwriters, any action designed, or that would reasonably be expected, to cause or result in, or that constitutes, any stabilization or manipulation of the price of the Securities, other than activity permitted pursuant to Rule 10b-18 under the 1934 Act.</w:t>
      </w:r>
    </w:p>
    <w:p>
      <w:pPr>
        <w:spacing w:after="0" w:line="183" w:lineRule="exact"/>
        <w:rPr>
          <w:rFonts w:ascii="Arial" w:cs="Arial" w:eastAsia="Arial" w:hAnsi="Arial"/>
          <w:sz w:val="18"/>
          <w:szCs w:val="18"/>
          <w:color w:val="auto"/>
        </w:rPr>
      </w:pPr>
    </w:p>
    <w:p>
      <w:pPr>
        <w:ind w:left="4" w:hanging="4"/>
        <w:spacing w:after="0" w:line="289" w:lineRule="auto"/>
        <w:tabs>
          <w:tab w:leader="none" w:pos="489"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None of the Company, any of the Subsidiaries, or, to the knowledge of the Company, any director, officer or employee of the Company or any of the Subsidiaries or any agent, controlled affiliate or other person acting on behalf of the Company or any of the Subsidiaries is aware of, has taken or will take any action, directly or indirectly, that would result in a violation by such persons of the Foreign Corrupt Practices Act of 1977, as amended, and the rules and regulations thereunder (the “FCPA”),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Company, the Company and its Subsidiaries have conducted their businesses in compliance with the FCPA and have instituted and maintain policies and procedures designed to ensure, and which are reasonably expected to continue to ensure, continued compliance therewith.</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16" w:name="page17"/>
    <w:bookmarkEnd w:id="16"/>
    <w:p>
      <w:pPr>
        <w:ind w:left="4" w:right="100" w:hanging="4"/>
        <w:spacing w:after="0" w:line="293" w:lineRule="auto"/>
        <w:tabs>
          <w:tab w:leader="none" w:pos="439"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Money Laundering Laws</w:t>
      </w:r>
      <w:r>
        <w:rPr>
          <w:rFonts w:ascii="Arial" w:cs="Arial" w:eastAsia="Arial" w:hAnsi="Arial"/>
          <w:sz w:val="16"/>
          <w:szCs w:val="16"/>
          <w:color w:val="auto"/>
        </w:rPr>
        <w:t>. The operations of the Company and the Subsidiaries are and have been conducted at all times in compliance with applicable financial recordkeeping and reporting requirements of the Currency and Foreign Transactions Reporting Act of 1970, as amended, the applicable money laundering statutes of the jurisdictions in which the Company and the Subsidiaries conduct business, the rules and regulations thereunder and any other relevant laws, rules, regulations or guidelines, issued, administered or enforced by any Governmental Entity (collectively, the “Money Laundering Laws”); and no action, suit or proceeding by or before any Governmental Entity involving the Company or any of the Subsidiaries with respect to the Money Laundering Laws is pending or, to the best knowledge of the Company, threatened.</w:t>
      </w:r>
    </w:p>
    <w:p>
      <w:pPr>
        <w:spacing w:after="0" w:line="164" w:lineRule="exact"/>
        <w:rPr>
          <w:rFonts w:ascii="Arial" w:cs="Arial" w:eastAsia="Arial" w:hAnsi="Arial"/>
          <w:sz w:val="16"/>
          <w:szCs w:val="16"/>
          <w:color w:val="auto"/>
        </w:rPr>
      </w:pPr>
    </w:p>
    <w:p>
      <w:pPr>
        <w:ind w:left="4" w:right="40" w:hanging="4"/>
        <w:spacing w:after="0" w:line="271" w:lineRule="auto"/>
        <w:tabs>
          <w:tab w:leader="none" w:pos="489"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OFAC</w:t>
      </w:r>
      <w:r>
        <w:rPr>
          <w:rFonts w:ascii="Arial" w:cs="Arial" w:eastAsia="Arial" w:hAnsi="Arial"/>
          <w:sz w:val="17"/>
          <w:szCs w:val="17"/>
          <w:color w:val="auto"/>
        </w:rPr>
        <w:t>. None of the Company, any of the Subsidiaries, or, to the knowledge of the Company, any director, officer or employee of the Company or any of the Subsidiaries or any agent, controlled affiliate or other person acting on behalf of the Company or any of the Subsidiaries is an individual or entity (“Person”), or is controlled by a Person that is, (i) currently the subject or target of any sanctions administered or enforced by the United States Government, including the U.S. Department of the Treasury’s Office of Foreign Assets Control (“OFAC”), the United Nations Security Council (“UNSC”), the European Union, Her Majesty’s Treasury (“HMT”), or other relevant sanctions authority (collectively, “Sanctions”), or (ii) located, organized or resident in a country or territory that is itself the subject of Sanctions. In the past five (5) years, the Company and the Subsidiaries have not knowingly engaged in, and are not now knowingly engaged in, any unauthorized dealings or transactions with any Person that at the time of the dealing or transaction is or was the subject or target of Sanctions.</w:t>
      </w:r>
    </w:p>
    <w:p>
      <w:pPr>
        <w:spacing w:after="0" w:line="178" w:lineRule="exact"/>
        <w:rPr>
          <w:rFonts w:ascii="Arial" w:cs="Arial" w:eastAsia="Arial" w:hAnsi="Arial"/>
          <w:sz w:val="17"/>
          <w:szCs w:val="17"/>
          <w:color w:val="auto"/>
        </w:rPr>
      </w:pPr>
    </w:p>
    <w:p>
      <w:pPr>
        <w:ind w:left="544" w:hanging="544"/>
        <w:spacing w:after="0"/>
        <w:tabs>
          <w:tab w:leader="none" w:pos="544"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Lending Relationship</w:t>
      </w:r>
      <w:r>
        <w:rPr>
          <w:rFonts w:ascii="Arial" w:cs="Arial" w:eastAsia="Arial" w:hAnsi="Arial"/>
          <w:sz w:val="16"/>
          <w:szCs w:val="16"/>
          <w:color w:val="auto"/>
        </w:rPr>
        <w:t>. Except as disclosed in the Registration Statement, the General Disclosure Package and the Prospectus, the Company</w:t>
      </w:r>
    </w:p>
    <w:p>
      <w:pPr>
        <w:spacing w:after="0" w:line="46" w:lineRule="exact"/>
        <w:rPr>
          <w:sz w:val="20"/>
          <w:szCs w:val="20"/>
          <w:color w:val="auto"/>
        </w:rPr>
      </w:pPr>
    </w:p>
    <w:p>
      <w:pPr>
        <w:ind w:left="4" w:right="220" w:hanging="4"/>
        <w:spacing w:after="0" w:line="260" w:lineRule="auto"/>
        <w:tabs>
          <w:tab w:leader="none" w:pos="2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does not have any material lending or other relationship with any bank or lending affiliate of any Underwriter and (ii) does not intend to use any of the proceeds from the sale of the Securities to repay any outstanding debt owed to any affiliate of any Underwriter.</w:t>
      </w:r>
    </w:p>
    <w:p>
      <w:pPr>
        <w:spacing w:after="0" w:line="185" w:lineRule="exact"/>
        <w:rPr>
          <w:sz w:val="20"/>
          <w:szCs w:val="20"/>
          <w:color w:val="auto"/>
        </w:rPr>
      </w:pPr>
    </w:p>
    <w:p>
      <w:pPr>
        <w:jc w:val="both"/>
        <w:ind w:left="4" w:right="40" w:hanging="4"/>
        <w:spacing w:after="0" w:line="286" w:lineRule="auto"/>
        <w:tabs>
          <w:tab w:leader="none" w:pos="589"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Statistical and Market-Related Data</w:t>
      </w:r>
      <w:r>
        <w:rPr>
          <w:rFonts w:ascii="Arial" w:cs="Arial" w:eastAsia="Arial" w:hAnsi="Arial"/>
          <w:sz w:val="17"/>
          <w:szCs w:val="17"/>
          <w:color w:val="auto"/>
        </w:rPr>
        <w:t>. Any statistical and market-related data included or incorporated by reference in the Registration Statement, the General Disclosure Package or the Prospectus are based on or derived from sources that the Company believes to be reliable and accurate and, to the extent required, the Company has obtained the written consent to the use of such data from such sources.</w:t>
      </w:r>
    </w:p>
    <w:p>
      <w:pPr>
        <w:spacing w:after="0" w:line="165" w:lineRule="exact"/>
        <w:rPr>
          <w:rFonts w:ascii="Arial" w:cs="Arial" w:eastAsia="Arial" w:hAnsi="Arial"/>
          <w:sz w:val="17"/>
          <w:szCs w:val="17"/>
          <w:color w:val="auto"/>
        </w:rPr>
      </w:pPr>
    </w:p>
    <w:p>
      <w:pPr>
        <w:ind w:left="4" w:hanging="4"/>
        <w:spacing w:after="0" w:line="263" w:lineRule="auto"/>
        <w:tabs>
          <w:tab w:leader="none" w:pos="579"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Ratings</w:t>
      </w:r>
      <w:r>
        <w:rPr>
          <w:rFonts w:ascii="Arial" w:cs="Arial" w:eastAsia="Arial" w:hAnsi="Arial"/>
          <w:sz w:val="18"/>
          <w:szCs w:val="18"/>
          <w:color w:val="auto"/>
        </w:rPr>
        <w:t>. Other than the Company’s 4.3% Series A Notes due 2023, the Company does not have any debt securities or preferred stock that are rated by any “nationally recognized statistical rating agency” (as that term is defined by the Commission for purposes of Section 3(a)(62) under the 1934 Act).</w:t>
      </w:r>
    </w:p>
    <w:p>
      <w:pPr>
        <w:spacing w:after="0" w:line="183" w:lineRule="exact"/>
        <w:rPr>
          <w:rFonts w:ascii="Arial" w:cs="Arial" w:eastAsia="Arial" w:hAnsi="Arial"/>
          <w:sz w:val="18"/>
          <w:szCs w:val="18"/>
          <w:color w:val="auto"/>
        </w:rPr>
      </w:pPr>
    </w:p>
    <w:p>
      <w:pPr>
        <w:ind w:left="4" w:right="220" w:hanging="4"/>
        <w:spacing w:after="0" w:line="263" w:lineRule="auto"/>
        <w:tabs>
          <w:tab w:leader="none" w:pos="529"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There are no business relationships or related party transactions involving the Company, any of the Subsidiaries or any other person required to be described in the Registration Statement, the General Disclosure Package or the Prospectus which have not been described as required.</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17" w:name="page18"/>
    <w:bookmarkEnd w:id="17"/>
    <w:p>
      <w:pPr>
        <w:jc w:val="both"/>
        <w:ind w:left="4" w:right="100" w:hanging="4"/>
        <w:spacing w:after="0" w:line="259" w:lineRule="auto"/>
        <w:tabs>
          <w:tab w:leader="none" w:pos="579"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Notification of Election</w:t>
      </w:r>
      <w:r>
        <w:rPr>
          <w:rFonts w:ascii="Arial" w:cs="Arial" w:eastAsia="Arial" w:hAnsi="Arial"/>
          <w:sz w:val="18"/>
          <w:szCs w:val="18"/>
          <w:color w:val="auto"/>
        </w:rPr>
        <w:t>. When the Notification of Election was filed with the Commission, it (A) contained all statements required to be stated therein in accordance with, and complied in all material respects with the requirements of, the 1940 Act and (B) did not include any untrue statement of a material fact or omit to state a material fact necessary in order to make the statements therein, in the light of the circumstances under which they were made, not misleading.</w:t>
      </w:r>
    </w:p>
    <w:p>
      <w:pPr>
        <w:spacing w:after="0" w:line="186" w:lineRule="exact"/>
        <w:rPr>
          <w:rFonts w:ascii="Arial" w:cs="Arial" w:eastAsia="Arial" w:hAnsi="Arial"/>
          <w:sz w:val="18"/>
          <w:szCs w:val="18"/>
          <w:color w:val="auto"/>
        </w:rPr>
      </w:pPr>
    </w:p>
    <w:p>
      <w:pPr>
        <w:ind w:left="4" w:right="160" w:hanging="4"/>
        <w:spacing w:after="0" w:line="290" w:lineRule="auto"/>
        <w:tabs>
          <w:tab w:leader="none" w:pos="629"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Investment Management Agreement</w:t>
      </w:r>
      <w:r>
        <w:rPr>
          <w:rFonts w:ascii="Arial" w:cs="Arial" w:eastAsia="Arial" w:hAnsi="Arial"/>
          <w:sz w:val="16"/>
          <w:szCs w:val="16"/>
          <w:color w:val="auto"/>
        </w:rPr>
        <w:t>. (A) The terms of the Investment Management Agreement, including compensation terms, comply in all material respects with all applicable provisions of the 1940 Act, the 1940 Act Regulations and the Advisers Act and (B) the approvals by the board of directors and the stockholders of the Company of the Investment Management Agreement have been made in accordance with the requirements of Section 15(a) and (c) of the 1940 Act and the 1940 Act Regulations applicable to companies that have elected to be regulated as business development companies under the 1940 Act. The Investment Management Agreement has been duly authorized, executed and delivered by the Company and is a valid and binding obligation of the Company, enforceable against the Company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w:t>
      </w:r>
    </w:p>
    <w:p>
      <w:pPr>
        <w:spacing w:after="0" w:line="165" w:lineRule="exact"/>
        <w:rPr>
          <w:rFonts w:ascii="Arial" w:cs="Arial" w:eastAsia="Arial" w:hAnsi="Arial"/>
          <w:sz w:val="16"/>
          <w:szCs w:val="16"/>
          <w:color w:val="auto"/>
        </w:rPr>
      </w:pPr>
    </w:p>
    <w:p>
      <w:pPr>
        <w:ind w:left="4" w:hanging="4"/>
        <w:spacing w:after="0" w:line="259" w:lineRule="auto"/>
        <w:tabs>
          <w:tab w:leader="none" w:pos="679"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Interested Persons</w:t>
      </w:r>
      <w:r>
        <w:rPr>
          <w:rFonts w:ascii="Arial" w:cs="Arial" w:eastAsia="Arial" w:hAnsi="Arial"/>
          <w:sz w:val="18"/>
          <w:szCs w:val="18"/>
          <w:color w:val="auto"/>
        </w:rPr>
        <w:t>. Except as disclosed in the Registration Statement, the General Disclosure Package and the Prospectus (A) no person is serving or acting as an officer, director or investment adviser of the Company, except in accordance with the provisions of the 1940 Act and the Advisers Act, and (B) to the knowledge of the Company, no director of the Company is an “interested person” (as defined in the 1940 Act) of the Company or an “affiliated person” (as defined in the 1940 Act) of any of the Underwriters.</w:t>
      </w:r>
    </w:p>
    <w:p>
      <w:pPr>
        <w:spacing w:after="0" w:line="186" w:lineRule="exact"/>
        <w:rPr>
          <w:rFonts w:ascii="Arial" w:cs="Arial" w:eastAsia="Arial" w:hAnsi="Arial"/>
          <w:sz w:val="18"/>
          <w:szCs w:val="18"/>
          <w:color w:val="auto"/>
        </w:rPr>
      </w:pPr>
    </w:p>
    <w:p>
      <w:pPr>
        <w:ind w:left="4" w:right="160" w:hanging="4"/>
        <w:spacing w:after="0" w:line="273" w:lineRule="auto"/>
        <w:tabs>
          <w:tab w:leader="none" w:pos="579"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Business Development Company</w:t>
      </w:r>
      <w:r>
        <w:rPr>
          <w:rFonts w:ascii="Arial" w:cs="Arial" w:eastAsia="Arial" w:hAnsi="Arial"/>
          <w:sz w:val="17"/>
          <w:szCs w:val="17"/>
          <w:color w:val="auto"/>
        </w:rPr>
        <w:t>. (A) The Company has duly elected to be treated by the Commission under the 1940 Act as a business development company, such election is effective and all required action has been taken by the Company under the 1933 Act and the 1940 Act to make the public offering and consummate the sale of the Securities as provided in this Agreement; (B) the provisions of the charter and bylaws of the Company, and the investment objectives, policies and restrictions described in the Prospectus comply in all material respects with the requirements of the 1940 Act applicable to business development companies; and (C) the operations of the Company are in compliance in all material respects with the provisions of the 1940 Act and the 1940 Act Regulations applicable to business development companies.</w:t>
      </w:r>
    </w:p>
    <w:p>
      <w:pPr>
        <w:spacing w:after="0" w:line="178" w:lineRule="exact"/>
        <w:rPr>
          <w:sz w:val="20"/>
          <w:szCs w:val="20"/>
          <w:color w:val="auto"/>
        </w:rPr>
      </w:pPr>
    </w:p>
    <w:p>
      <w:pPr>
        <w:jc w:val="both"/>
        <w:ind w:left="4" w:right="160"/>
        <w:spacing w:after="0" w:line="286" w:lineRule="auto"/>
        <w:rPr>
          <w:sz w:val="20"/>
          <w:szCs w:val="20"/>
          <w:color w:val="auto"/>
        </w:rPr>
      </w:pPr>
      <w:r>
        <w:rPr>
          <w:rFonts w:ascii="Arial" w:cs="Arial" w:eastAsia="Arial" w:hAnsi="Arial"/>
          <w:sz w:val="17"/>
          <w:szCs w:val="17"/>
          <w:color w:val="auto"/>
        </w:rPr>
        <w:t xml:space="preserve">(xl) </w:t>
      </w:r>
      <w:r>
        <w:rPr>
          <w:rFonts w:ascii="Arial" w:cs="Arial" w:eastAsia="Arial" w:hAnsi="Arial"/>
          <w:sz w:val="17"/>
          <w:szCs w:val="17"/>
          <w:u w:val="single" w:color="auto"/>
          <w:color w:val="auto"/>
        </w:rPr>
        <w:t>No Extension of Credit</w:t>
      </w:r>
      <w:r>
        <w:rPr>
          <w:rFonts w:ascii="Arial" w:cs="Arial" w:eastAsia="Arial" w:hAnsi="Arial"/>
          <w:sz w:val="17"/>
          <w:szCs w:val="17"/>
          <w:color w:val="auto"/>
        </w:rPr>
        <w:t>. The Company has not, directly or indirectly, extended credit, agreed to extend credit, arranged to extend credit or renewed any extension of credit, in the form of a personal loan, to or for any director or executive officer of the Company or any of the Subsidiaries, or to or for any family member or affiliate of any director or executive officer of the Company or any of the Subsidiaries.</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4"/>
          </w:cols>
          <w:pgMar w:left="436" w:top="274" w:right="439" w:bottom="1440" w:gutter="0" w:footer="0" w:header="0"/>
        </w:sectPr>
      </w:pPr>
    </w:p>
    <w:bookmarkStart w:id="18" w:name="page19"/>
    <w:bookmarkEnd w:id="18"/>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(xli) </w:t>
      </w:r>
      <w:r>
        <w:rPr>
          <w:rFonts w:ascii="Arial" w:cs="Arial" w:eastAsia="Arial" w:hAnsi="Arial"/>
          <w:sz w:val="18"/>
          <w:szCs w:val="18"/>
          <w:u w:val="single" w:color="auto"/>
          <w:color w:val="auto"/>
        </w:rPr>
        <w:t>Regulated Investment Company</w:t>
      </w:r>
      <w:r>
        <w:rPr>
          <w:rFonts w:ascii="Arial" w:cs="Arial" w:eastAsia="Arial" w:hAnsi="Arial"/>
          <w:sz w:val="18"/>
          <w:szCs w:val="18"/>
          <w:color w:val="auto"/>
        </w:rPr>
        <w:t>. The Company has elected to be treated, and has operated, and intends to continue to operate, its business in such a manner as to enable the Company to continue to qualify as a regulated investment company under Subchapter M of U.S. Internal Revenue Code of 1986, as amended (the “Code”). The Company intends to direct the investment of the proceeds of the offering of the Securities in a manner as to comply with the requirements of Subchapter M of the Code.</w:t>
      </w:r>
    </w:p>
    <w:p>
      <w:pPr>
        <w:spacing w:after="0" w:line="187"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 xml:space="preserve">(xlii) </w:t>
      </w:r>
      <w:r>
        <w:rPr>
          <w:rFonts w:ascii="Arial" w:cs="Arial" w:eastAsia="Arial" w:hAnsi="Arial"/>
          <w:sz w:val="18"/>
          <w:szCs w:val="18"/>
          <w:u w:val="single" w:color="auto"/>
          <w:color w:val="auto"/>
        </w:rPr>
        <w:t>Sarbanes-Oxley Act</w:t>
      </w:r>
      <w:r>
        <w:rPr>
          <w:rFonts w:ascii="Arial" w:cs="Arial" w:eastAsia="Arial" w:hAnsi="Arial"/>
          <w:sz w:val="18"/>
          <w:szCs w:val="18"/>
          <w:color w:val="auto"/>
        </w:rPr>
        <w:t>. To the extent applicable to the Company on the date hereof, there is and has been no failure on the part of the Company or, to the knowledge of the Company, any of the Company’s directors or officers, in their capacities as such, to comply in all material respects with any provision of the Sarbanes-Oxley Act of 2002 and the rules and regulations promulgated in connection therewith, including Section 402 related to loans and Sections 302 and 906 related to certifications.</w:t>
      </w:r>
    </w:p>
    <w:p>
      <w:pPr>
        <w:spacing w:after="0" w:line="187"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 xml:space="preserve">(xliii) </w:t>
      </w:r>
      <w:r>
        <w:rPr>
          <w:rFonts w:ascii="Arial" w:cs="Arial" w:eastAsia="Arial" w:hAnsi="Arial"/>
          <w:sz w:val="18"/>
          <w:szCs w:val="18"/>
          <w:u w:val="single" w:color="auto"/>
          <w:color w:val="auto"/>
        </w:rPr>
        <w:t>Forward-Looking Statements</w:t>
      </w:r>
      <w:r>
        <w:rPr>
          <w:rFonts w:ascii="Arial" w:cs="Arial" w:eastAsia="Arial" w:hAnsi="Arial"/>
          <w:sz w:val="18"/>
          <w:szCs w:val="18"/>
          <w:i w:val="1"/>
          <w:iCs w:val="1"/>
          <w:color w:val="auto"/>
        </w:rPr>
        <w:t>.</w:t>
      </w:r>
      <w:r>
        <w:rPr>
          <w:rFonts w:ascii="Arial" w:cs="Arial" w:eastAsia="Arial" w:hAnsi="Arial"/>
          <w:sz w:val="18"/>
          <w:szCs w:val="18"/>
          <w:color w:val="auto"/>
        </w:rPr>
        <w:t xml:space="preserve"> No forward-looking statement (within the meaning of Section 27A of the 1933 Act and Section 21E of the 1934 Act) contained in the Registration Statement, the General Disclosure Package or the Prospectus has been made or reaffirmed without a reasonable basis or has been disclosed other than in good faith.</w:t>
      </w:r>
    </w:p>
    <w:p>
      <w:pPr>
        <w:spacing w:after="0" w:line="184" w:lineRule="exact"/>
        <w:rPr>
          <w:sz w:val="20"/>
          <w:szCs w:val="20"/>
          <w:color w:val="auto"/>
        </w:rPr>
      </w:pPr>
    </w:p>
    <w:p>
      <w:pPr>
        <w:ind w:left="4" w:right="480" w:hanging="4"/>
        <w:spacing w:after="0" w:line="277" w:lineRule="auto"/>
        <w:tabs>
          <w:tab w:leader="none" w:pos="259"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by the Adviser</w:t>
      </w:r>
      <w:r>
        <w:rPr>
          <w:rFonts w:ascii="Arial" w:cs="Arial" w:eastAsia="Arial" w:hAnsi="Arial"/>
          <w:sz w:val="18"/>
          <w:szCs w:val="18"/>
          <w:color w:val="auto"/>
        </w:rPr>
        <w:t>. The Adviser represents to each Underwriter as of the date hereof, the Applicable Time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Time (as defined below), and agrees with each Underwriter, as follows:</w:t>
      </w:r>
    </w:p>
    <w:p>
      <w:pPr>
        <w:spacing w:after="0" w:line="170" w:lineRule="exact"/>
        <w:rPr>
          <w:sz w:val="20"/>
          <w:szCs w:val="20"/>
          <w:color w:val="auto"/>
        </w:rPr>
      </w:pPr>
    </w:p>
    <w:p>
      <w:pPr>
        <w:ind w:left="4" w:right="20" w:hanging="4"/>
        <w:spacing w:after="0" w:line="257" w:lineRule="auto"/>
        <w:tabs>
          <w:tab w:leader="none" w:pos="219"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Except as otherwise stated therein, since the respective dates as of which information is given or incorporated by reference in the Registration Statement, the General Disclosure Package or the Prospectus, there has been no material adverse change in the condition, financial or otherwise, or in the business, financial condition, capitalization, prospects or regulatory status of the Adviser, whether or not arising in the ordinary course of business, or on the ability of the Adviser to carry out its obligations under this Agreement or the Investment Management Agreement (collectively, an “Adviser Material Adverse Effect”).</w:t>
      </w:r>
    </w:p>
    <w:p>
      <w:pPr>
        <w:spacing w:after="0" w:line="187" w:lineRule="exact"/>
        <w:rPr>
          <w:rFonts w:ascii="Arial" w:cs="Arial" w:eastAsia="Arial" w:hAnsi="Arial"/>
          <w:sz w:val="18"/>
          <w:szCs w:val="18"/>
          <w:color w:val="auto"/>
        </w:rPr>
      </w:pPr>
    </w:p>
    <w:p>
      <w:pPr>
        <w:ind w:left="4" w:hanging="4"/>
        <w:spacing w:after="0" w:line="254" w:lineRule="auto"/>
        <w:tabs>
          <w:tab w:leader="none" w:pos="269"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Good Standing</w:t>
      </w:r>
      <w:r>
        <w:rPr>
          <w:rFonts w:ascii="Arial" w:cs="Arial" w:eastAsia="Arial" w:hAnsi="Arial"/>
          <w:sz w:val="18"/>
          <w:szCs w:val="18"/>
          <w:color w:val="auto"/>
        </w:rPr>
        <w:t>. The Adviser has been duly organized and is validly existing as a limited partnership, in good standing under the laws of its state of organization and has limited partnership power and authority to own, lease and operate its properties and to conduct its business as described in the Registration Statement, the General Disclosure Package and the Prospectus and to enter into this Agreement and perform its obligations under this Agreement and the Investment Management Agreement; and the Adviser is duly qualified as a foreign entity to transact business and is in good standing in each other jurisdiction in which such qualification is required, whether by reason of the ownership or leasing of property or the conduct of business, except where the failure so to qualify or to be in good standing would not otherwise reasonably be expected to result in an Adviser Material Adverse Effect.</w:t>
      </w:r>
    </w:p>
    <w:p>
      <w:pPr>
        <w:spacing w:after="0" w:line="194" w:lineRule="exact"/>
        <w:rPr>
          <w:rFonts w:ascii="Arial" w:cs="Arial" w:eastAsia="Arial" w:hAnsi="Arial"/>
          <w:sz w:val="18"/>
          <w:szCs w:val="18"/>
          <w:color w:val="auto"/>
        </w:rPr>
      </w:pPr>
    </w:p>
    <w:p>
      <w:pPr>
        <w:ind w:left="4" w:right="200" w:hanging="4"/>
        <w:spacing w:after="0" w:line="257" w:lineRule="auto"/>
        <w:tabs>
          <w:tab w:leader="none" w:pos="319"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Registration Under Advisers Act</w:t>
      </w:r>
      <w:r>
        <w:rPr>
          <w:rFonts w:ascii="Arial" w:cs="Arial" w:eastAsia="Arial" w:hAnsi="Arial"/>
          <w:sz w:val="18"/>
          <w:szCs w:val="18"/>
          <w:color w:val="auto"/>
        </w:rPr>
        <w:t>. The Adviser is duly registered with the Commission as an investment adviser under the Advisers Act and is not prohibited by the Advisers Act or the 1940 Act from acting under the Investment Management Agreement for the Company as contemplated by the Registration Statement, the General Disclosure Package and the Prospectus. There does not exist any proceeding or, to the Adviser’s knowledge, any facts or circumstances the existence of which could lead to any proceeding which might adversely affect the registration of the Adviser with the Commission.</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4" w:right="479" w:bottom="1440" w:gutter="0" w:footer="0" w:header="0"/>
        </w:sectPr>
      </w:pPr>
    </w:p>
    <w:bookmarkStart w:id="19" w:name="page20"/>
    <w:bookmarkEnd w:id="19"/>
    <w:p>
      <w:pPr>
        <w:ind w:left="4" w:right="20" w:hanging="4"/>
        <w:spacing w:after="0" w:line="291" w:lineRule="auto"/>
        <w:tabs>
          <w:tab w:leader="none" w:pos="309"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Proceedings</w:t>
      </w:r>
      <w:r>
        <w:rPr>
          <w:rFonts w:ascii="Arial" w:cs="Arial" w:eastAsia="Arial" w:hAnsi="Arial"/>
          <w:sz w:val="16"/>
          <w:szCs w:val="16"/>
          <w:color w:val="auto"/>
        </w:rPr>
        <w:t>. Except as disclosed in the Registration Statement, the General Disclosure Package and the Prospectus, there is no action, suit, proceeding or, to the knowledge of the Adviser, inquiry or investigation before or brought by any arbitrator, court, governmental body, regulatory body, administrative agency or other authority, body or agency having jurisdiction over the Adviser or any of its properties, assets or operations now pending or, to the knowledge of the Adviser, threatened, against or affecting the Adviser, which is required to be disclosed in the Registration Statement (other than as disclosed therein) or which would reasonably be expected to result in an Adviser Material Adverse Effect, or which would reasonably be expected to materially and adversely affect the consummation of the transactions contemplated in this Agreement, the Indenture, the Securities or the Investment Management Agreement or the performance by the Adviser of its obligations hereunder or thereunder.</w:t>
      </w:r>
    </w:p>
    <w:p>
      <w:pPr>
        <w:spacing w:after="0" w:line="166" w:lineRule="exact"/>
        <w:rPr>
          <w:rFonts w:ascii="Arial" w:cs="Arial" w:eastAsia="Arial" w:hAnsi="Arial"/>
          <w:sz w:val="16"/>
          <w:szCs w:val="16"/>
          <w:color w:val="auto"/>
        </w:rPr>
      </w:pPr>
    </w:p>
    <w:p>
      <w:pPr>
        <w:ind w:left="4" w:hanging="4"/>
        <w:spacing w:after="0" w:line="272" w:lineRule="auto"/>
        <w:tabs>
          <w:tab w:leader="none" w:pos="259"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Absence of Violations and Defaults</w:t>
      </w:r>
      <w:r>
        <w:rPr>
          <w:rFonts w:ascii="Arial" w:cs="Arial" w:eastAsia="Arial" w:hAnsi="Arial"/>
          <w:sz w:val="17"/>
          <w:szCs w:val="17"/>
          <w:color w:val="auto"/>
        </w:rPr>
        <w:t>. The Adviser is not (A) in violation of its limited partnership agreement, (B) in default under any contract, indenture, mortgage, deed of trust, loan or credit agreement, note, lease or other agreement or instrument to which the Adviser is a party or by which it may be bound or to which any of its properties or assets is subject (collectively, the “Adviser Agreements and Instruments”), except for such defaults that would not reasonably be expected, singly or in the aggregate, to result in an Adviser Material Adverse Effect, or (C) in violation of any applicable law, statute, rule, regulation, judgment, order, writ or decree of any arbitrator, court, governmental body, regulatory body, administrative agency or other authority, body or agency having jurisdiction over the Adviser or any of its properties, assets or operations, except for such violations that would not reasonably be expected, singly or in the aggregate, to result in an Adviser Material Adverse Effect.</w:t>
      </w:r>
    </w:p>
    <w:p>
      <w:pPr>
        <w:spacing w:after="0" w:line="177" w:lineRule="exact"/>
        <w:rPr>
          <w:rFonts w:ascii="Arial" w:cs="Arial" w:eastAsia="Arial" w:hAnsi="Arial"/>
          <w:sz w:val="17"/>
          <w:szCs w:val="17"/>
          <w:color w:val="auto"/>
        </w:rPr>
      </w:pPr>
    </w:p>
    <w:p>
      <w:pPr>
        <w:ind w:left="4" w:hanging="4"/>
        <w:spacing w:after="0" w:line="286" w:lineRule="auto"/>
        <w:tabs>
          <w:tab w:leader="none" w:pos="309"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Absence of Conflicts</w:t>
      </w:r>
      <w:r>
        <w:rPr>
          <w:rFonts w:ascii="Arial" w:cs="Arial" w:eastAsia="Arial" w:hAnsi="Arial"/>
          <w:sz w:val="16"/>
          <w:szCs w:val="16"/>
          <w:color w:val="auto"/>
        </w:rPr>
        <w:t>. The execution, delivery and performance of this Agreement, the performance of the Investment Management Agreement and the consummation of the transactions contemplated herein and therein and in the Registration Statement, the General Disclosure Package and the Prospectus (including the issuance and sale of the Securities and the use of the proceeds from the sale of the Securities as described therein under the caption “Use of Proceeds”) and compliance by the Adviser with its obligations hereunder and thereunder do not and will not, whether with or without the giving of notice of passage of time or both, conflict with or constitute a breach of, or default under, or result in the creation or imposition of any lien, charge or encumbrance upon any properties or assets of the Adviser or pursuant to, the Adviser Agreements and Instruments (except for such conflicts, breaches, defaults, events or conditions giving the holder of any note, debenture or other evidence of indebtedness (or any person acting on such holder’s behalf) the right to require the repurchase, redemption or repayment of all or a portion of such indebtedness by the Adviser, or liens, charges or encumbrances that would not reasonably be expected, singly or in the aggregate, to result in an Adviser Material Adverse Effect), nor will such action result in any violation of the provisions of (a) the limited partnership agreement of the Adviser, or (b) any applicable law, statute, rule, regulation, judgment, order, writ or decree of any arbitrator, court, governmental body, regulatory body, administrative agency or other authority, body or agency having jurisdiction over the Adviser or any of its properties, assets or operations except, in the case of (b) above, for any violation that would not reasonably be expected, singly or in the aggregate, to result in an Adviser Material Adverse Effect.</w:t>
      </w:r>
    </w:p>
    <w:p>
      <w:pPr>
        <w:spacing w:after="0" w:line="10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4"/>
          </w:cols>
          <w:pgMar w:left="436" w:top="274" w:right="499" w:bottom="1440" w:gutter="0" w:footer="0" w:header="0"/>
        </w:sectPr>
      </w:pPr>
    </w:p>
    <w:bookmarkStart w:id="20" w:name="page21"/>
    <w:bookmarkEnd w:id="20"/>
    <w:p>
      <w:pPr>
        <w:ind w:left="364" w:hanging="364"/>
        <w:spacing w:after="0"/>
        <w:tabs>
          <w:tab w:leader="none" w:pos="36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Authorization of this Agreement</w:t>
      </w:r>
      <w:r>
        <w:rPr>
          <w:rFonts w:ascii="Arial" w:cs="Arial" w:eastAsia="Arial" w:hAnsi="Arial"/>
          <w:sz w:val="18"/>
          <w:szCs w:val="18"/>
          <w:color w:val="auto"/>
        </w:rPr>
        <w:t>. This Agreement has been duly authorized, executed and delivered by the Adviser.</w:t>
      </w:r>
    </w:p>
    <w:p>
      <w:pPr>
        <w:spacing w:after="0" w:line="225" w:lineRule="exact"/>
        <w:rPr>
          <w:rFonts w:ascii="Arial" w:cs="Arial" w:eastAsia="Arial" w:hAnsi="Arial"/>
          <w:sz w:val="18"/>
          <w:szCs w:val="18"/>
          <w:color w:val="auto"/>
        </w:rPr>
      </w:pPr>
    </w:p>
    <w:p>
      <w:pPr>
        <w:ind w:left="4" w:right="200" w:hanging="4"/>
        <w:spacing w:after="0" w:line="301" w:lineRule="auto"/>
        <w:tabs>
          <w:tab w:leader="none" w:pos="409"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Investment Management Agreement</w:t>
      </w:r>
      <w:r>
        <w:rPr>
          <w:rFonts w:ascii="Arial" w:cs="Arial" w:eastAsia="Arial" w:hAnsi="Arial"/>
          <w:sz w:val="16"/>
          <w:szCs w:val="16"/>
          <w:color w:val="auto"/>
        </w:rPr>
        <w:t>. The Investment Management Agreement has been duly authorized, executed and delivered by the Adviser and is a valid and binding obligation of the Adviser, enforceable against it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w:t>
      </w:r>
    </w:p>
    <w:p>
      <w:pPr>
        <w:spacing w:after="0" w:line="157" w:lineRule="exact"/>
        <w:rPr>
          <w:rFonts w:ascii="Arial" w:cs="Arial" w:eastAsia="Arial" w:hAnsi="Arial"/>
          <w:sz w:val="16"/>
          <w:szCs w:val="16"/>
          <w:color w:val="auto"/>
        </w:rPr>
      </w:pPr>
    </w:p>
    <w:p>
      <w:pPr>
        <w:ind w:left="4" w:hanging="4"/>
        <w:spacing w:after="0" w:line="290" w:lineRule="auto"/>
        <w:tabs>
          <w:tab w:leader="none" w:pos="309"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Absence of Further Requirements</w:t>
      </w:r>
      <w:r>
        <w:rPr>
          <w:rFonts w:ascii="Arial" w:cs="Arial" w:eastAsia="Arial" w:hAnsi="Arial"/>
          <w:sz w:val="16"/>
          <w:szCs w:val="16"/>
          <w:color w:val="auto"/>
        </w:rPr>
        <w:t>. No filing with, or authorization, approval, consent, license, order, registration, qualification or decree of, any court or governmental authority or agency is necessary or required for the performance by the Adviser of its obligations hereunder or, in connection with the offering, the issuance or sale of the Securities hereunder or the consummation of the transactions contemplated by this Agreement, the Indenture, the DTC Agreement, the General Disclosure Package, the Investment Management Agreement or the Prospectus (including the issuance and sale of the Securities and the use of the proceeds from the sale of the Securities as described in the General Disclosure Package and the Prospectus under the caption “Use of Proceeds”), except (A) such as have been already made or obtained, including under the 1933 Act, the 1933 Act Regulations, the Trust Indenture Act, state securities laws or the rules of FINRA and (B) where the failure to obtain any such filing, authorization, approval, consent, license, order, registration, qualification or decree would not reasonably be expected, singly or in the aggregate, to result in an Adviser Material Adverse Effect.</w:t>
      </w:r>
    </w:p>
    <w:p>
      <w:pPr>
        <w:spacing w:after="0" w:line="165" w:lineRule="exact"/>
        <w:rPr>
          <w:rFonts w:ascii="Arial" w:cs="Arial" w:eastAsia="Arial" w:hAnsi="Arial"/>
          <w:sz w:val="16"/>
          <w:szCs w:val="16"/>
          <w:color w:val="auto"/>
        </w:rPr>
      </w:pPr>
    </w:p>
    <w:p>
      <w:pPr>
        <w:jc w:val="both"/>
        <w:ind w:left="4" w:right="120" w:hanging="4"/>
        <w:spacing w:after="0" w:line="263" w:lineRule="auto"/>
        <w:tabs>
          <w:tab w:leader="none" w:pos="259"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Description of Adviser</w:t>
      </w:r>
      <w:r>
        <w:rPr>
          <w:rFonts w:ascii="Arial" w:cs="Arial" w:eastAsia="Arial" w:hAnsi="Arial"/>
          <w:sz w:val="18"/>
          <w:szCs w:val="18"/>
          <w:color w:val="auto"/>
        </w:rPr>
        <w:t>. The description of the Adviser contained in the Registration Statement, the General Disclosure Package and the Prospectus does not contain any untrue statement of a material fact or omit to state a material fact required to be stated therein or necessary to make the statements therein, in the light of the circumstances under which they were made, not misleading.</w:t>
      </w:r>
    </w:p>
    <w:p>
      <w:pPr>
        <w:spacing w:after="0" w:line="183" w:lineRule="exact"/>
        <w:rPr>
          <w:rFonts w:ascii="Arial" w:cs="Arial" w:eastAsia="Arial" w:hAnsi="Arial"/>
          <w:sz w:val="18"/>
          <w:szCs w:val="18"/>
          <w:color w:val="auto"/>
        </w:rPr>
      </w:pPr>
    </w:p>
    <w:p>
      <w:pPr>
        <w:ind w:left="4" w:hanging="4"/>
        <w:spacing w:after="0" w:line="270" w:lineRule="auto"/>
        <w:tabs>
          <w:tab w:leader="none" w:pos="309"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Possession of Licenses and Permits</w:t>
      </w:r>
      <w:r>
        <w:rPr>
          <w:rFonts w:ascii="Arial" w:cs="Arial" w:eastAsia="Arial" w:hAnsi="Arial"/>
          <w:sz w:val="17"/>
          <w:szCs w:val="17"/>
          <w:color w:val="auto"/>
        </w:rPr>
        <w:t>. The Adviser possesses such Governmental Licenses issued by the appropriate federal, state, local or foreign regulatory agencies or bodies necessary to conduct the business now operated by it, except where the failure so to possess would not reasonably be expected, singly or in the aggregate, to result in an Adviser Material Adverse Effect. The Adviser is in compliance with the terms and conditions of all such Governmental Licenses, except where the failure so to comply would not reasonably be expected, singly or in the aggregate, to result in an Adviser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an Adviser Material Adverse Effect. The Adviser has not received any notice of proceedings relating to the revocation or modification of any such Governmental Licenses which, singly or in the aggregate, if the subject of an unfavorable decision, ruling or finding, would reasonably be expected to result in an Adviser Material Adverse Effect.</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21" w:name="page22"/>
    <w:bookmarkEnd w:id="21"/>
    <w:p>
      <w:pPr>
        <w:ind w:left="4" w:right="60" w:hanging="4"/>
        <w:spacing w:after="0" w:line="263" w:lineRule="auto"/>
        <w:tabs>
          <w:tab w:leader="none" w:pos="359"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Stabilization and Manipulation</w:t>
      </w:r>
      <w:r>
        <w:rPr>
          <w:rFonts w:ascii="Arial" w:cs="Arial" w:eastAsia="Arial" w:hAnsi="Arial"/>
          <w:sz w:val="18"/>
          <w:szCs w:val="18"/>
          <w:color w:val="auto"/>
        </w:rPr>
        <w:t>. The Adviser has not taken, nor will take, directly or indirectly, without giving effect to any activities by the Underwriters, any action designed, or that would reasonably be expected, to cause or result in, or which constitutes, the stabilization or manipulation of the price of the Securities, other than activity permitted pursuant to Rule 10b-18 under the 1934 Act.</w:t>
      </w:r>
    </w:p>
    <w:p>
      <w:pPr>
        <w:spacing w:after="0" w:line="183" w:lineRule="exact"/>
        <w:rPr>
          <w:rFonts w:ascii="Arial" w:cs="Arial" w:eastAsia="Arial" w:hAnsi="Arial"/>
          <w:sz w:val="18"/>
          <w:szCs w:val="18"/>
          <w:color w:val="auto"/>
        </w:rPr>
      </w:pPr>
    </w:p>
    <w:p>
      <w:pPr>
        <w:ind w:left="4" w:hanging="4"/>
        <w:spacing w:after="0" w:line="290" w:lineRule="auto"/>
        <w:tabs>
          <w:tab w:leader="none" w:pos="409"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None of the Adviser or, to the knowledge of the Adviser, any director, officer or employee of the Adviser or any agent, controlled affiliate or other person acting on behalf of the Adviser is aware of, has taken or will take any action, directly or indirectly, that would result in a violation by such persons of the FCPA, in connection with the business of the Company,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Adviser, the Adviser has conducted its business, in relation to the Company, in compliance with the FCPA and has instituted and maintain policies and procedures designed to ensure, and which are reasonably expected to continue to ensure, continued compliance therewith.</w:t>
      </w:r>
    </w:p>
    <w:p>
      <w:pPr>
        <w:spacing w:after="0" w:line="165" w:lineRule="exact"/>
        <w:rPr>
          <w:rFonts w:ascii="Arial" w:cs="Arial" w:eastAsia="Arial" w:hAnsi="Arial"/>
          <w:sz w:val="16"/>
          <w:szCs w:val="16"/>
          <w:color w:val="auto"/>
        </w:rPr>
      </w:pPr>
    </w:p>
    <w:p>
      <w:pPr>
        <w:ind w:left="4" w:right="140" w:hanging="4"/>
        <w:spacing w:after="0" w:line="257" w:lineRule="auto"/>
        <w:tabs>
          <w:tab w:leader="none" w:pos="399"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Money Laundering Laws</w:t>
      </w:r>
      <w:r>
        <w:rPr>
          <w:rFonts w:ascii="Arial" w:cs="Arial" w:eastAsia="Arial" w:hAnsi="Arial"/>
          <w:sz w:val="18"/>
          <w:szCs w:val="18"/>
          <w:color w:val="auto"/>
        </w:rPr>
        <w:t>. The operations of the Adviser are and have been conducted at all times in compliance with applicable financial recordkeeping and reporting requirements of the Money Laundering Laws; and no action, suit or proceeding by or before any arbitrator, court, governmental body, regulatory body, administrative agency or other authority, body or agency having jurisdiction over the Adviser or any of its properties, assets or operations involving the Adviser with respect to the Money Laundering Laws is pending or, to the best knowledge of the Adviser, threatened.</w:t>
      </w:r>
    </w:p>
    <w:p>
      <w:pPr>
        <w:spacing w:after="0" w:line="187" w:lineRule="exact"/>
        <w:rPr>
          <w:rFonts w:ascii="Arial" w:cs="Arial" w:eastAsia="Arial" w:hAnsi="Arial"/>
          <w:sz w:val="18"/>
          <w:szCs w:val="18"/>
          <w:color w:val="auto"/>
        </w:rPr>
      </w:pPr>
    </w:p>
    <w:p>
      <w:pPr>
        <w:ind w:left="4" w:right="140" w:hanging="4"/>
        <w:spacing w:after="0" w:line="291" w:lineRule="auto"/>
        <w:tabs>
          <w:tab w:leader="none" w:pos="349"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OFAC</w:t>
      </w:r>
      <w:r>
        <w:rPr>
          <w:rFonts w:ascii="Arial" w:cs="Arial" w:eastAsia="Arial" w:hAnsi="Arial"/>
          <w:sz w:val="16"/>
          <w:szCs w:val="16"/>
          <w:color w:val="auto"/>
        </w:rPr>
        <w:t>. None of the Adviser or, to the knowledge of the Adviser, any director, officer or employee of the Adviser or any agent, controlled affiliate or other person acting on behalf of the Adviser is a Person, or is controlled by a Person that is, (i) currently the subject or target of Sanctions, or</w:t>
      </w:r>
    </w:p>
    <w:p>
      <w:pPr>
        <w:ind w:left="4" w:right="380" w:hanging="4"/>
        <w:spacing w:after="0" w:line="302" w:lineRule="auto"/>
        <w:tabs>
          <w:tab w:leader="none" w:pos="269" w:val="left"/>
        </w:tabs>
        <w:numPr>
          <w:ilvl w:val="0"/>
          <w:numId w:val="26"/>
        </w:numPr>
        <w:rPr>
          <w:rFonts w:ascii="Arial" w:cs="Arial" w:eastAsia="Arial" w:hAnsi="Arial"/>
          <w:sz w:val="16"/>
          <w:szCs w:val="16"/>
          <w:color w:val="auto"/>
        </w:rPr>
      </w:pPr>
      <w:r>
        <w:rPr>
          <w:rFonts w:ascii="Arial" w:cs="Arial" w:eastAsia="Arial" w:hAnsi="Arial"/>
          <w:sz w:val="16"/>
          <w:szCs w:val="16"/>
          <w:color w:val="auto"/>
        </w:rPr>
        <w:t>located, organized or resident in a country or territory that is itself the subject of comprehensive Sanctions (currently Crimea, Cuba, Iran, North Korea, and Syria). During the last five years, the Adviser has not knowingly engaged in, and is not now knowingly engaged in, any unauthorized dealings or transactions with any Person that at the time of the dealing or transaction is or was the subject or target of Sanctions.</w:t>
      </w:r>
    </w:p>
    <w:p>
      <w:pPr>
        <w:spacing w:after="0" w:line="155" w:lineRule="exact"/>
        <w:rPr>
          <w:rFonts w:ascii="Arial" w:cs="Arial" w:eastAsia="Arial" w:hAnsi="Arial"/>
          <w:sz w:val="16"/>
          <w:szCs w:val="16"/>
          <w:color w:val="auto"/>
        </w:rPr>
      </w:pPr>
    </w:p>
    <w:p>
      <w:pPr>
        <w:ind w:left="4" w:hanging="4"/>
        <w:spacing w:after="0" w:line="279" w:lineRule="auto"/>
        <w:tabs>
          <w:tab w:leader="none" w:pos="399"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Key Employees</w:t>
      </w:r>
      <w:r>
        <w:rPr>
          <w:rFonts w:ascii="Arial" w:cs="Arial" w:eastAsia="Arial" w:hAnsi="Arial"/>
          <w:sz w:val="17"/>
          <w:szCs w:val="17"/>
          <w:color w:val="auto"/>
        </w:rPr>
        <w:t>. The Adviser is not aware that (i) any of its executives, key employees or significant group of employees plans to terminate employment with the Adviser or (ii) any such executive or key employee is subject to any noncompete, nondisclosure, confidentiality, employment, consulting or similar agreement that would be violated by either the Adviser’s present or proposed business activities, except, in each case, as would not reasonably be expected, singly or in the aggregate, to result in an Adviser Material Adverse Effect.</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4"/>
          </w:cols>
          <w:pgMar w:left="436" w:top="274" w:right="499" w:bottom="1440" w:gutter="0" w:footer="0" w:header="0"/>
        </w:sectPr>
      </w:pPr>
    </w:p>
    <w:bookmarkStart w:id="22" w:name="page23"/>
    <w:bookmarkEnd w:id="22"/>
    <w:p>
      <w:pPr>
        <w:ind w:left="4" w:right="40" w:hanging="4"/>
        <w:spacing w:after="0" w:line="259" w:lineRule="auto"/>
        <w:tabs>
          <w:tab w:leader="none" w:pos="449"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Labor Disputes</w:t>
      </w:r>
      <w:r>
        <w:rPr>
          <w:rFonts w:ascii="Arial" w:cs="Arial" w:eastAsia="Arial" w:hAnsi="Arial"/>
          <w:sz w:val="18"/>
          <w:szCs w:val="18"/>
          <w:color w:val="auto"/>
        </w:rPr>
        <w:t>. No labor disturbance by or dispute with employees of the Adviser or any of its subsidiaries exists or, to the knowledge of the Adviser, is contemplated or threatened, and the Adviser is not aware of any existing or imminent labor disturbance by, or dispute with, the employees or any of its or its subsidiaries’ principal suppliers, contractors or customers, except in each case as would not reasonably be expected to result in an Adviser Material Adverse Effect.</w:t>
      </w:r>
    </w:p>
    <w:p>
      <w:pPr>
        <w:spacing w:after="0" w:line="186" w:lineRule="exact"/>
        <w:rPr>
          <w:rFonts w:ascii="Arial" w:cs="Arial" w:eastAsia="Arial" w:hAnsi="Arial"/>
          <w:sz w:val="18"/>
          <w:szCs w:val="18"/>
          <w:color w:val="auto"/>
        </w:rPr>
      </w:pPr>
    </w:p>
    <w:p>
      <w:pPr>
        <w:ind w:left="504" w:hanging="504"/>
        <w:spacing w:after="0"/>
        <w:tabs>
          <w:tab w:leader="none" w:pos="50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Accounting Controls</w:t>
      </w:r>
      <w:r>
        <w:rPr>
          <w:rFonts w:ascii="Arial" w:cs="Arial" w:eastAsia="Arial" w:hAnsi="Arial"/>
          <w:sz w:val="18"/>
          <w:szCs w:val="18"/>
          <w:color w:val="auto"/>
        </w:rPr>
        <w:t>. The Adviser maintains a system of internal accounting controls sufficient to provide reasonable assurance that</w:t>
      </w:r>
    </w:p>
    <w:p>
      <w:pPr>
        <w:spacing w:after="0" w:line="23" w:lineRule="exact"/>
        <w:rPr>
          <w:sz w:val="20"/>
          <w:szCs w:val="20"/>
          <w:color w:val="auto"/>
        </w:rPr>
      </w:pPr>
    </w:p>
    <w:p>
      <w:pPr>
        <w:ind w:left="4" w:right="40" w:hanging="4"/>
        <w:spacing w:after="0" w:line="290" w:lineRule="auto"/>
        <w:tabs>
          <w:tab w:leader="none" w:pos="299" w:val="left"/>
        </w:tabs>
        <w:numPr>
          <w:ilvl w:val="0"/>
          <w:numId w:val="29"/>
        </w:numPr>
        <w:rPr>
          <w:rFonts w:ascii="Arial" w:cs="Arial" w:eastAsia="Arial" w:hAnsi="Arial"/>
          <w:sz w:val="16"/>
          <w:szCs w:val="16"/>
          <w:color w:val="auto"/>
        </w:rPr>
      </w:pPr>
      <w:r>
        <w:rPr>
          <w:rFonts w:ascii="Arial" w:cs="Arial" w:eastAsia="Arial" w:hAnsi="Arial"/>
          <w:sz w:val="16"/>
          <w:szCs w:val="16"/>
          <w:color w:val="auto"/>
        </w:rPr>
        <w:t>transactions effectuated by it under the Investment Management Agreement are executed in accordance with its management’s general or specific authorization; (B) access to the Company’s consolidated assets that are in its possession or control is permitted only in accordance with its management’s general or specific authorization; (C) transactions for which it has bookkeeping and record-keeping responsibility under the Investment Management Agreement are recorded as necessary to permit preparation of the Company’s financial statements in conformity with GAAP and to maintain financial statements in conformity with GAAP and to maintain accountability for the Company’s assets and (D) the recorded accountability for such assets is compared with existing assets at reasonable intervals and appropriate action is taken with respect to any differences.</w:t>
      </w:r>
    </w:p>
    <w:p>
      <w:pPr>
        <w:spacing w:after="0" w:line="164" w:lineRule="exact"/>
        <w:rPr>
          <w:sz w:val="20"/>
          <w:szCs w:val="20"/>
          <w:color w:val="auto"/>
        </w:rPr>
      </w:pPr>
    </w:p>
    <w:p>
      <w:pPr>
        <w:ind w:left="4" w:right="600" w:hanging="4"/>
        <w:spacing w:after="0" w:line="342" w:lineRule="auto"/>
        <w:tabs>
          <w:tab w:leader="none" w:pos="399"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Financial Resources</w:t>
      </w:r>
      <w:r>
        <w:rPr>
          <w:rFonts w:ascii="Arial" w:cs="Arial" w:eastAsia="Arial" w:hAnsi="Arial"/>
          <w:sz w:val="16"/>
          <w:szCs w:val="16"/>
          <w:color w:val="auto"/>
        </w:rPr>
        <w:t>. The Adviser has the financial resources available to it necessary for the performance of its services and obligations as contemplated by the Registration Statement, the General Disclosure Package, the Prospectus and the Investment Management Agreement.</w:t>
      </w:r>
    </w:p>
    <w:p>
      <w:pPr>
        <w:spacing w:after="0" w:line="124" w:lineRule="exact"/>
        <w:rPr>
          <w:sz w:val="20"/>
          <w:szCs w:val="20"/>
          <w:color w:val="auto"/>
        </w:rPr>
      </w:pPr>
    </w:p>
    <w:p>
      <w:pPr>
        <w:ind w:left="4" w:hanging="4"/>
        <w:spacing w:after="0" w:line="263" w:lineRule="auto"/>
        <w:tabs>
          <w:tab w:leader="none" w:pos="248"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Officer’s Certificates</w:t>
      </w:r>
      <w:r>
        <w:rPr>
          <w:rFonts w:ascii="Arial" w:cs="Arial" w:eastAsia="Arial" w:hAnsi="Arial"/>
          <w:sz w:val="18"/>
          <w:szCs w:val="18"/>
          <w:color w:val="auto"/>
        </w:rPr>
        <w:t>. Any certificate signed by any officer of the Company, any of the Subsidiaries or the Adviser delivered to a Representative or to</w:t>
      </w:r>
      <w:r>
        <w:rPr>
          <w:rFonts w:ascii="Arial" w:cs="Arial" w:eastAsia="Arial" w:hAnsi="Arial"/>
          <w:sz w:val="18"/>
          <w:szCs w:val="18"/>
          <w:i w:val="1"/>
          <w:iCs w:val="1"/>
          <w:color w:val="auto"/>
        </w:rPr>
        <w:t xml:space="preserve"> </w:t>
      </w:r>
      <w:r>
        <w:rPr>
          <w:rFonts w:ascii="Arial" w:cs="Arial" w:eastAsia="Arial" w:hAnsi="Arial"/>
          <w:sz w:val="18"/>
          <w:szCs w:val="18"/>
          <w:color w:val="auto"/>
        </w:rPr>
        <w:t>counsel for the Underwriters shall be deemed a representation and warranty by the Company or the Adviser, as applicable, to each Underwriter as to the matters covered thereby.</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Sale and Delivery to Underwriters; Closing</w:t>
      </w:r>
      <w:r>
        <w:rPr>
          <w:rFonts w:ascii="Arial" w:cs="Arial" w:eastAsia="Arial" w:hAnsi="Arial"/>
          <w:sz w:val="18"/>
          <w:szCs w:val="18"/>
          <w:color w:val="auto"/>
        </w:rPr>
        <w:t>.</w:t>
      </w:r>
    </w:p>
    <w:p>
      <w:pPr>
        <w:spacing w:after="0" w:line="225" w:lineRule="exact"/>
        <w:rPr>
          <w:sz w:val="20"/>
          <w:szCs w:val="20"/>
          <w:color w:val="auto"/>
        </w:rPr>
      </w:pPr>
    </w:p>
    <w:p>
      <w:pPr>
        <w:ind w:left="4" w:hanging="4"/>
        <w:spacing w:after="0" w:line="257" w:lineRule="auto"/>
        <w:tabs>
          <w:tab w:leader="none" w:pos="248"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Securities</w:t>
      </w:r>
      <w:r>
        <w:rPr>
          <w:rFonts w:ascii="Arial" w:cs="Arial" w:eastAsia="Arial" w:hAnsi="Arial"/>
          <w:sz w:val="18"/>
          <w:szCs w:val="18"/>
          <w:color w:val="auto"/>
        </w:rPr>
        <w:t>. On the basis of the representations and warranties herein contained and subject to the terms and conditions herein set forth,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agrees to sell to each Underwriter, severally and not jointly, and each Underwriter, severally and not jointly, agrees to purchase from the Company, at the price (the “Purchase Price”) set forth in Schedule A, the aggregate principal amount of Securities set forth in Schedule A opposite the name of such Underwriter, plus any additional aggregate principal amount of Securities which such Underwriter may become obligated to purchase pursuant to the provisions of Section 10 hereof.</w:t>
      </w:r>
    </w:p>
    <w:p>
      <w:pPr>
        <w:spacing w:after="0" w:line="187" w:lineRule="exact"/>
        <w:rPr>
          <w:rFonts w:ascii="Arial" w:cs="Arial" w:eastAsia="Arial" w:hAnsi="Arial"/>
          <w:sz w:val="18"/>
          <w:szCs w:val="18"/>
          <w:color w:val="auto"/>
        </w:rPr>
      </w:pPr>
    </w:p>
    <w:p>
      <w:pPr>
        <w:ind w:left="4" w:right="20" w:hanging="4"/>
        <w:spacing w:after="0" w:line="257" w:lineRule="auto"/>
        <w:tabs>
          <w:tab w:leader="none" w:pos="259"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Payment of the price for the Securities and delivery of the Securities, shall be made at the offices of Ropes &amp; Gray LLP, 1211 Avenue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Americas, New York, New York 10036, or at such other place as shall be agreed upon by the Representatives and the Company, at 10:00 A.M. (New York City time) on the third business day after the date hereof (unless postponed in accordance with the provisions of Section 10), or such other time not later than ten business days after such date as shall be agreed upon by all of the Representatives and the Company (such time and date of payment and delivery being herein called “Closing Time”).</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23" w:name="page24"/>
    <w:bookmarkEnd w:id="23"/>
    <w:p>
      <w:pPr>
        <w:ind w:left="4"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of the price of the Securities shall be made to the Company by wire transfer of immediately available funds to a bank account designated by the Company against delivery to a Representative through the facilities of the Depositary Trust Company for the respective accounts of the Underwriters of the Securities to be purchased by them. It is understood that each Underwriter has authorized the Representatives, for its account, to accept delivery of, receipt for, and make payment of the purchase price for, the Securities that it has agreed to purchase. The Representatives may (but shall not be obligated to) make payment of the purchase price for the Securities to be purchased by any Underwriter whose funds have not been received by the Closing Time, but such payment shall not relieve such Underwriter from its obligations hereunder.</w:t>
      </w:r>
    </w:p>
    <w:p>
      <w:pPr>
        <w:spacing w:after="0" w:line="178" w:lineRule="exact"/>
        <w:rPr>
          <w:sz w:val="20"/>
          <w:szCs w:val="20"/>
          <w:color w:val="auto"/>
        </w:rPr>
      </w:pPr>
    </w:p>
    <w:p>
      <w:pPr>
        <w:ind w:left="4" w:right="200" w:hanging="4"/>
        <w:spacing w:after="0" w:line="259" w:lineRule="auto"/>
        <w:tabs>
          <w:tab w:leader="none" w:pos="248"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Denominations; Registration</w:t>
      </w:r>
      <w:r>
        <w:rPr>
          <w:rFonts w:ascii="Arial" w:cs="Arial" w:eastAsia="Arial" w:hAnsi="Arial"/>
          <w:sz w:val="18"/>
          <w:szCs w:val="18"/>
          <w:color w:val="auto"/>
        </w:rPr>
        <w:t>. The Securities shall be transferred electronically at the Closing Time in such denominations and registered in such</w:t>
      </w:r>
      <w:r>
        <w:rPr>
          <w:rFonts w:ascii="Arial" w:cs="Arial" w:eastAsia="Arial" w:hAnsi="Arial"/>
          <w:sz w:val="18"/>
          <w:szCs w:val="18"/>
          <w:i w:val="1"/>
          <w:iCs w:val="1"/>
          <w:color w:val="auto"/>
        </w:rPr>
        <w:t xml:space="preserve"> </w:t>
      </w:r>
      <w:r>
        <w:rPr>
          <w:rFonts w:ascii="Arial" w:cs="Arial" w:eastAsia="Arial" w:hAnsi="Arial"/>
          <w:sz w:val="18"/>
          <w:szCs w:val="18"/>
          <w:color w:val="auto"/>
        </w:rPr>
        <w:t>names as the Representatives may request in writing at least one full business day before the Closing Time. The Securities will be made available for examining and packaging by the Representatives in the City of New York not later than 10:00 A.M. (New York City time) on the business day prior to the Closing Time.</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with each Underwriter as follows:</w:t>
      </w:r>
    </w:p>
    <w:p>
      <w:pPr>
        <w:spacing w:after="0" w:line="225" w:lineRule="exact"/>
        <w:rPr>
          <w:sz w:val="20"/>
          <w:szCs w:val="20"/>
          <w:color w:val="auto"/>
        </w:rPr>
      </w:pPr>
    </w:p>
    <w:p>
      <w:pPr>
        <w:ind w:left="4" w:right="380" w:hanging="4"/>
        <w:spacing w:after="0" w:line="287" w:lineRule="auto"/>
        <w:tabs>
          <w:tab w:leader="none" w:pos="248"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Compliance with Securities Regulations and Commission Requests</w:t>
      </w:r>
      <w:r>
        <w:rPr>
          <w:rFonts w:ascii="Arial" w:cs="Arial" w:eastAsia="Arial" w:hAnsi="Arial"/>
          <w:sz w:val="16"/>
          <w:szCs w:val="16"/>
          <w:color w:val="auto"/>
        </w:rPr>
        <w:t>. The Company, subject to Section 3(b), will comply with the requirements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Rule 430B or Rule 430C and Rule 424(b), and will notify each Representative immediately, and confirm the notice in writing, (i) when any post-effective amendment to the Registration Statement shall become effective or any amendment or supplement to the Prospectus shall have been filed,</w:t>
      </w:r>
    </w:p>
    <w:p>
      <w:pPr>
        <w:spacing w:after="0" w:line="2" w:lineRule="exact"/>
        <w:rPr>
          <w:rFonts w:ascii="Arial" w:cs="Arial" w:eastAsia="Arial" w:hAnsi="Arial"/>
          <w:sz w:val="16"/>
          <w:szCs w:val="16"/>
          <w:color w:val="auto"/>
        </w:rPr>
      </w:pPr>
    </w:p>
    <w:p>
      <w:pPr>
        <w:ind w:left="4" w:hanging="4"/>
        <w:spacing w:after="0" w:line="286" w:lineRule="auto"/>
        <w:tabs>
          <w:tab w:leader="none" w:pos="269" w:val="left"/>
        </w:tabs>
        <w:numPr>
          <w:ilvl w:val="0"/>
          <w:numId w:val="35"/>
        </w:numPr>
        <w:rPr>
          <w:rFonts w:ascii="Arial" w:cs="Arial" w:eastAsia="Arial" w:hAnsi="Arial"/>
          <w:sz w:val="16"/>
          <w:szCs w:val="16"/>
          <w:color w:val="auto"/>
        </w:rPr>
      </w:pPr>
      <w:r>
        <w:rPr>
          <w:rFonts w:ascii="Arial" w:cs="Arial" w:eastAsia="Arial" w:hAnsi="Arial"/>
          <w:sz w:val="16"/>
          <w:szCs w:val="16"/>
          <w:color w:val="auto"/>
        </w:rPr>
        <w:t>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within the time period required by Rule 424(b), and will take such steps as it deems necessary to ascertain promptly whether the form of prospectus transmitted for filing under Rule 424(b) was received for filing by the Commission and, in the event that it was not, it will promptly file such prospectus. The Company will use its commercially reasonable efforts to prevent the issuance of any stop order, prevention or suspension and, if any such order is issued, to obtain the lifting thereof at the earliest possible moment.</w:t>
      </w:r>
    </w:p>
    <w:p>
      <w:pPr>
        <w:spacing w:after="0" w:line="169" w:lineRule="exact"/>
        <w:rPr>
          <w:rFonts w:ascii="Arial" w:cs="Arial" w:eastAsia="Arial" w:hAnsi="Arial"/>
          <w:sz w:val="16"/>
          <w:szCs w:val="16"/>
          <w:color w:val="auto"/>
        </w:rPr>
      </w:pPr>
    </w:p>
    <w:p>
      <w:pPr>
        <w:ind w:left="4" w:right="60" w:hanging="4"/>
        <w:spacing w:after="0" w:line="255" w:lineRule="auto"/>
        <w:tabs>
          <w:tab w:leader="none" w:pos="259"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Continued Compliance with Securities Laws</w:t>
      </w:r>
      <w:r>
        <w:rPr>
          <w:rFonts w:ascii="Arial" w:cs="Arial" w:eastAsia="Arial" w:hAnsi="Arial"/>
          <w:sz w:val="18"/>
          <w:szCs w:val="18"/>
          <w:color w:val="auto"/>
        </w:rPr>
        <w:t>. The Company will use its commercially reasonable efforts to comply with the 1933 Act and the 1933</w:t>
      </w:r>
      <w:r>
        <w:rPr>
          <w:rFonts w:ascii="Arial" w:cs="Arial" w:eastAsia="Arial" w:hAnsi="Arial"/>
          <w:sz w:val="18"/>
          <w:szCs w:val="18"/>
          <w:i w:val="1"/>
          <w:iCs w:val="1"/>
          <w:color w:val="auto"/>
        </w:rPr>
        <w:t xml:space="preserve"> </w:t>
      </w:r>
      <w:r>
        <w:rPr>
          <w:rFonts w:ascii="Arial" w:cs="Arial" w:eastAsia="Arial" w:hAnsi="Arial"/>
          <w:sz w:val="18"/>
          <w:szCs w:val="18"/>
          <w:color w:val="auto"/>
        </w:rPr>
        <w:t>Act Regulations so as to permit the completion of the distribution of the Securities as contemplated in this Agreement and in the Registration Statement, the General Disclosure Package and the Prospectus. If at any time when a prospectus relating to the Securities is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4"/>
          </w:cols>
          <w:pgMar w:left="436" w:top="274" w:right="439" w:bottom="1440" w:gutter="0" w:footer="0" w:header="0"/>
        </w:sectPr>
      </w:pPr>
    </w:p>
    <w:bookmarkStart w:id="24" w:name="page25"/>
    <w:bookmarkEnd w:id="24"/>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Representatives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Representatives with copies of any such amendment or supplement and</w:t>
      </w:r>
    </w:p>
    <w:p>
      <w:pPr>
        <w:spacing w:after="0" w:line="1" w:lineRule="exact"/>
        <w:rPr>
          <w:sz w:val="20"/>
          <w:szCs w:val="20"/>
          <w:color w:val="auto"/>
        </w:rPr>
      </w:pPr>
    </w:p>
    <w:p>
      <w:pPr>
        <w:ind w:left="4" w:right="20" w:hanging="4"/>
        <w:spacing w:after="0" w:line="271" w:lineRule="auto"/>
        <w:tabs>
          <w:tab w:leader="none" w:pos="289" w:val="left"/>
        </w:tabs>
        <w:numPr>
          <w:ilvl w:val="0"/>
          <w:numId w:val="37"/>
        </w:numPr>
        <w:rPr>
          <w:rFonts w:ascii="Arial" w:cs="Arial" w:eastAsia="Arial" w:hAnsi="Arial"/>
          <w:sz w:val="17"/>
          <w:szCs w:val="17"/>
          <w:color w:val="auto"/>
        </w:rPr>
      </w:pPr>
      <w:r>
        <w:rPr>
          <w:rFonts w:ascii="Arial" w:cs="Arial" w:eastAsia="Arial" w:hAnsi="Arial"/>
          <w:sz w:val="17"/>
          <w:szCs w:val="17"/>
          <w:color w:val="auto"/>
        </w:rPr>
        <w:t>file with the Commission any such amendment or supplement. The Company will furnish to the Underwriters such number of copies of such amendment or supplement as the Underwriters may reasonably request. The Company has given the Representatives notice of any filings made pursuant to the 1934 Act or 1934 Act Regulations within 48 hours prior to the Applicable Time; the Company shall give the Representatives notice of its intention to make any such filing from the Applicable Time to the Closing Time and shall furnish the Representatives with copies of any such documents a reasonable amount of time prior to such proposed filing or use, as the case may be.</w:t>
      </w:r>
    </w:p>
    <w:p>
      <w:pPr>
        <w:spacing w:after="0" w:line="178" w:lineRule="exact"/>
        <w:rPr>
          <w:sz w:val="20"/>
          <w:szCs w:val="20"/>
          <w:color w:val="auto"/>
        </w:rPr>
      </w:pPr>
    </w:p>
    <w:p>
      <w:pPr>
        <w:ind w:left="4" w:right="40" w:hanging="4"/>
        <w:spacing w:after="0" w:line="293" w:lineRule="auto"/>
        <w:tabs>
          <w:tab w:leader="none" w:pos="248"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Delivery of Commission Filings</w:t>
      </w:r>
      <w:r>
        <w:rPr>
          <w:rFonts w:ascii="Arial" w:cs="Arial" w:eastAsia="Arial" w:hAnsi="Arial"/>
          <w:sz w:val="16"/>
          <w:szCs w:val="16"/>
          <w:color w:val="auto"/>
        </w:rPr>
        <w:t>. The Company has furnished or, upon written request of the Representative, shall deliver to the Representatives and</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for the Underwriters, without charge, conformed copies of the Registration Statement, as originally filed, and of each amendment thereto (including exhibits filed therewith) and conformed copies of all consents and certificates of experts, and will also deliver to the Representatives, without charge, a conformed copy of the Registration Statement as originally filed and of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64" w:lineRule="exact"/>
        <w:rPr>
          <w:rFonts w:ascii="Arial" w:cs="Arial" w:eastAsia="Arial" w:hAnsi="Arial"/>
          <w:sz w:val="16"/>
          <w:szCs w:val="16"/>
          <w:color w:val="auto"/>
        </w:rPr>
      </w:pPr>
    </w:p>
    <w:p>
      <w:pPr>
        <w:ind w:left="4" w:right="60" w:hanging="4"/>
        <w:spacing w:after="0" w:line="273" w:lineRule="auto"/>
        <w:tabs>
          <w:tab w:leader="none" w:pos="259"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Delivery of Prospectuses</w:t>
      </w:r>
      <w:r>
        <w:rPr>
          <w:rFonts w:ascii="Arial" w:cs="Arial" w:eastAsia="Arial" w:hAnsi="Arial"/>
          <w:sz w:val="17"/>
          <w:szCs w:val="17"/>
          <w:color w:val="auto"/>
        </w:rPr>
        <w:t>. The Company has delivered to each Underwriter, without charge, as many copies of each preliminary prospectus as such</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 reasonably requested, and the Company hereby consents to the use of such copies for purposes permitted by the 1933 Act. The Company will furnish to each Underwriter, without charge, during the period when a prospectus relating to the Securities is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77" w:lineRule="exact"/>
        <w:rPr>
          <w:rFonts w:ascii="Arial" w:cs="Arial" w:eastAsia="Arial" w:hAnsi="Arial"/>
          <w:sz w:val="17"/>
          <w:szCs w:val="17"/>
          <w:color w:val="auto"/>
        </w:rPr>
      </w:pPr>
    </w:p>
    <w:p>
      <w:pPr>
        <w:ind w:left="4" w:right="200" w:hanging="4"/>
        <w:spacing w:after="0" w:line="263" w:lineRule="auto"/>
        <w:tabs>
          <w:tab w:leader="none" w:pos="248"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Blue Sky Qualifications</w:t>
      </w:r>
      <w:r>
        <w:rPr>
          <w:rFonts w:ascii="Arial" w:cs="Arial" w:eastAsia="Arial" w:hAnsi="Arial"/>
          <w:sz w:val="18"/>
          <w:szCs w:val="18"/>
          <w:color w:val="auto"/>
        </w:rPr>
        <w:t>. The Company will use its commercially reasonable efforts, in cooperation with the Underwriters, to qualify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offering and sale under the applicable securities laws of such states and other jurisdictions (domestic or foreign) as the Representatives may designate and to maintain such qualifications in effect so long as reasonably</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25" w:name="page26"/>
    <w:bookmarkEnd w:id="25"/>
    <w:p>
      <w:pPr>
        <w:jc w:val="both"/>
        <w:ind w:left="4"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84" w:lineRule="exact"/>
        <w:rPr>
          <w:sz w:val="20"/>
          <w:szCs w:val="20"/>
          <w:color w:val="auto"/>
        </w:rPr>
      </w:pPr>
    </w:p>
    <w:p>
      <w:pPr>
        <w:ind w:left="4" w:right="100" w:hanging="4"/>
        <w:spacing w:after="0" w:line="279" w:lineRule="auto"/>
        <w:tabs>
          <w:tab w:leader="none" w:pos="229"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Rule 158</w:t>
      </w:r>
      <w:r>
        <w:rPr>
          <w:rFonts w:ascii="Arial" w:cs="Arial" w:eastAsia="Arial" w:hAnsi="Arial"/>
          <w:sz w:val="17"/>
          <w:szCs w:val="17"/>
          <w:color w:val="auto"/>
        </w:rPr>
        <w:t>. The Company will make generally available to its securityholders as soon as practicable an earnings statement that satisfies the provisions</w:t>
      </w:r>
      <w:r>
        <w:rPr>
          <w:rFonts w:ascii="Arial" w:cs="Arial" w:eastAsia="Arial" w:hAnsi="Arial"/>
          <w:sz w:val="17"/>
          <w:szCs w:val="17"/>
          <w:i w:val="1"/>
          <w:iCs w:val="1"/>
          <w:color w:val="auto"/>
        </w:rPr>
        <w:t xml:space="preserve"> </w:t>
      </w:r>
      <w:r>
        <w:rPr>
          <w:rFonts w:ascii="Arial" w:cs="Arial" w:eastAsia="Arial" w:hAnsi="Arial"/>
          <w:sz w:val="17"/>
          <w:szCs w:val="17"/>
          <w:color w:val="auto"/>
        </w:rPr>
        <w:t>of Section 11(a) of the 1933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complied with such request by filing such an earnings statement on EDGAR.</w:t>
      </w:r>
    </w:p>
    <w:p>
      <w:pPr>
        <w:spacing w:after="0" w:line="171" w:lineRule="exact"/>
        <w:rPr>
          <w:rFonts w:ascii="Arial" w:cs="Arial" w:eastAsia="Arial" w:hAnsi="Arial"/>
          <w:sz w:val="17"/>
          <w:szCs w:val="17"/>
          <w:color w:val="auto"/>
        </w:rPr>
      </w:pPr>
    </w:p>
    <w:p>
      <w:pPr>
        <w:ind w:left="4" w:right="560" w:hanging="4"/>
        <w:spacing w:after="0" w:line="277" w:lineRule="auto"/>
        <w:tabs>
          <w:tab w:leader="none" w:pos="259"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DTC. </w:t>
      </w:r>
      <w:r>
        <w:rPr>
          <w:rFonts w:ascii="Arial" w:cs="Arial" w:eastAsia="Arial" w:hAnsi="Arial"/>
          <w:sz w:val="18"/>
          <w:szCs w:val="18"/>
          <w:color w:val="auto"/>
        </w:rPr>
        <w:t>The Company will cooperate with the Representatives and use its commercially reasonable efforts to permit the offered Securities to be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for clearance and settlement through the facilities of DTC.</w:t>
      </w:r>
    </w:p>
    <w:p>
      <w:pPr>
        <w:spacing w:after="0" w:line="170" w:lineRule="exact"/>
        <w:rPr>
          <w:rFonts w:ascii="Arial" w:cs="Arial" w:eastAsia="Arial" w:hAnsi="Arial"/>
          <w:sz w:val="18"/>
          <w:szCs w:val="18"/>
          <w:color w:val="auto"/>
        </w:rPr>
      </w:pPr>
    </w:p>
    <w:p>
      <w:pPr>
        <w:ind w:left="4" w:right="160" w:hanging="4"/>
        <w:spacing w:after="0" w:line="291" w:lineRule="auto"/>
        <w:tabs>
          <w:tab w:leader="none" w:pos="259"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Use of Proceeds; OFAC</w:t>
      </w:r>
      <w:r>
        <w:rPr>
          <w:rFonts w:ascii="Arial" w:cs="Arial" w:eastAsia="Arial" w:hAnsi="Arial"/>
          <w:sz w:val="16"/>
          <w:szCs w:val="16"/>
          <w:color w:val="auto"/>
        </w:rPr>
        <w:t>. The Company will use the net proceeds received by it from the sale of the Securities in the manner specified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the General Disclosure Package and the Prospectus under “Use of Proceeds.” The Company will not directly or, to its knowledge,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 funding, is the subject of Sanctions (to the extent that such action would result in the violation by any person (including any person participating in the transaction, whether as underwriter, adviser, investor or otherwise) of Sanctions) or in any other manner that will result in a violation by any Person (including any Person participating in the transaction, whether as underwriter, advisor, investor or otherwise) of Sanctions.</w:t>
      </w:r>
    </w:p>
    <w:p>
      <w:pPr>
        <w:spacing w:after="0" w:line="166" w:lineRule="exact"/>
        <w:rPr>
          <w:rFonts w:ascii="Arial" w:cs="Arial" w:eastAsia="Arial" w:hAnsi="Arial"/>
          <w:sz w:val="16"/>
          <w:szCs w:val="16"/>
          <w:color w:val="auto"/>
        </w:rPr>
      </w:pPr>
    </w:p>
    <w:p>
      <w:pPr>
        <w:ind w:left="4" w:right="140" w:firstLine="436"/>
        <w:spacing w:after="0" w:line="272" w:lineRule="auto"/>
        <w:tabs>
          <w:tab w:leader="none" w:pos="659" w:val="left"/>
        </w:tabs>
        <w:numPr>
          <w:ilvl w:val="1"/>
          <w:numId w:val="39"/>
        </w:numPr>
        <w:rPr>
          <w:rFonts w:ascii="Arial" w:cs="Arial" w:eastAsia="Arial" w:hAnsi="Arial"/>
          <w:sz w:val="17"/>
          <w:szCs w:val="17"/>
          <w:color w:val="auto"/>
        </w:rPr>
      </w:pPr>
      <w:r>
        <w:rPr>
          <w:rFonts w:ascii="Arial" w:cs="Arial" w:eastAsia="Arial" w:hAnsi="Arial"/>
          <w:sz w:val="17"/>
          <w:szCs w:val="17"/>
          <w:i w:val="1"/>
          <w:iCs w:val="1"/>
          <w:color w:val="auto"/>
        </w:rPr>
        <w:t>Clear Market</w:t>
      </w:r>
      <w:r>
        <w:rPr>
          <w:rFonts w:ascii="Arial" w:cs="Arial" w:eastAsia="Arial" w:hAnsi="Arial"/>
          <w:sz w:val="17"/>
          <w:szCs w:val="17"/>
          <w:color w:val="auto"/>
        </w:rPr>
        <w:t>. Through the Closing Time, the Company will not, without the prior written consent of the Representatives, (i) directly or</w:t>
      </w:r>
      <w:r>
        <w:rPr>
          <w:rFonts w:ascii="Arial" w:cs="Arial" w:eastAsia="Arial" w:hAnsi="Arial"/>
          <w:sz w:val="17"/>
          <w:szCs w:val="17"/>
          <w:i w:val="1"/>
          <w:iCs w:val="1"/>
          <w:color w:val="auto"/>
        </w:rPr>
        <w:t xml:space="preserve"> </w:t>
      </w:r>
      <w:r>
        <w:rPr>
          <w:rFonts w:ascii="Arial" w:cs="Arial" w:eastAsia="Arial" w:hAnsi="Arial"/>
          <w:sz w:val="17"/>
          <w:szCs w:val="17"/>
          <w:color w:val="auto"/>
        </w:rPr>
        <w:t>indirectly, offer, pledge, sell, contract to sell, sell any option or contract to purchase, purchase any option or contract to sell, grant any option, right or warrant to purchase or otherwise transfer or dispose of any debt securities issued or guaranteed by the Company or any securities convertible into or exercisable or exchangeable for debt securities issued or guaranteed by the Company or file any registration statement under the 1933 Act with respect to any of the foregoing or (ii) enter into any swap or any other agreement or any transaction that transfers, in whole or in part, directly or indirectly, the economic consequence of ownership of debt securities issued or guaranteed by the Company or any such other securities, without the prior written consent of the Representatives on behalf of the Underwriters, other than the Securities to be sold hereunder.</w:t>
      </w:r>
    </w:p>
    <w:p>
      <w:pPr>
        <w:spacing w:after="0" w:line="177" w:lineRule="exact"/>
        <w:rPr>
          <w:sz w:val="20"/>
          <w:szCs w:val="20"/>
          <w:color w:val="auto"/>
        </w:rPr>
      </w:pPr>
    </w:p>
    <w:p>
      <w:pPr>
        <w:jc w:val="both"/>
        <w:ind w:left="4" w:hanging="4"/>
        <w:spacing w:after="0" w:line="263" w:lineRule="auto"/>
        <w:tabs>
          <w:tab w:leader="none" w:pos="219"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Reporting Requirements</w:t>
      </w:r>
      <w:r>
        <w:rPr>
          <w:rFonts w:ascii="Arial" w:cs="Arial" w:eastAsia="Arial" w:hAnsi="Arial"/>
          <w:sz w:val="18"/>
          <w:szCs w:val="18"/>
          <w:color w:val="auto"/>
        </w:rPr>
        <w:t>. The Company, during the period when a Prospectus relating to the Securities is required to be delivered under the 1933 Act,</w:t>
      </w:r>
      <w:r>
        <w:rPr>
          <w:rFonts w:ascii="Arial" w:cs="Arial" w:eastAsia="Arial" w:hAnsi="Arial"/>
          <w:sz w:val="18"/>
          <w:szCs w:val="18"/>
          <w:i w:val="1"/>
          <w:iCs w:val="1"/>
          <w:color w:val="auto"/>
        </w:rPr>
        <w:t xml:space="preserve"> </w:t>
      </w:r>
      <w:r>
        <w:rPr>
          <w:rFonts w:ascii="Arial" w:cs="Arial" w:eastAsia="Arial" w:hAnsi="Arial"/>
          <w:sz w:val="18"/>
          <w:szCs w:val="18"/>
          <w:color w:val="auto"/>
        </w:rPr>
        <w:t>will file all documents required to be filed with the Commission pursuant to the 1934 Act within the time periods required by the 1934 Act and 1934 Act Regulations.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26" w:name="page27"/>
    <w:bookmarkEnd w:id="26"/>
    <w:p>
      <w:pPr>
        <w:ind w:left="4" w:right="60" w:hanging="4"/>
        <w:spacing w:after="0" w:line="259" w:lineRule="auto"/>
        <w:tabs>
          <w:tab w:leader="none" w:pos="259"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Business Development Company Status</w:t>
      </w:r>
      <w:r>
        <w:rPr>
          <w:rFonts w:ascii="Arial" w:cs="Arial" w:eastAsia="Arial" w:hAnsi="Arial"/>
          <w:sz w:val="18"/>
          <w:szCs w:val="18"/>
          <w:color w:val="auto"/>
        </w:rPr>
        <w:t>. The Company, during the period of at least two years from the Closing Time, will use its commercially</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efforts to maintain its status as a business development company; provided, however, the Company may cease to be, or withdraw its election as, a business development company, with the approval of the board of directors and a vote of stockholders as required by Section 58 of the 1940 Act or any successor provision.</w:t>
      </w:r>
    </w:p>
    <w:p>
      <w:pPr>
        <w:spacing w:after="0" w:line="186" w:lineRule="exact"/>
        <w:rPr>
          <w:rFonts w:ascii="Arial" w:cs="Arial" w:eastAsia="Arial" w:hAnsi="Arial"/>
          <w:sz w:val="18"/>
          <w:szCs w:val="18"/>
          <w:color w:val="auto"/>
        </w:rPr>
      </w:pPr>
    </w:p>
    <w:p>
      <w:pPr>
        <w:ind w:left="4" w:right="160" w:hanging="4"/>
        <w:spacing w:after="0" w:line="342" w:lineRule="auto"/>
        <w:tabs>
          <w:tab w:leader="none" w:pos="219"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Regulated Investment Company Status</w:t>
      </w:r>
      <w:r>
        <w:rPr>
          <w:rFonts w:ascii="Arial" w:cs="Arial" w:eastAsia="Arial" w:hAnsi="Arial"/>
          <w:sz w:val="16"/>
          <w:szCs w:val="16"/>
          <w:color w:val="auto"/>
        </w:rPr>
        <w:t>. The Company will use its commercially reasonable efforts to maintain its qualification as a regulated</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company under Subchapter M of the Code for each full fiscal year during which it is a business development company under the 1940 Act.</w:t>
      </w:r>
    </w:p>
    <w:p>
      <w:pPr>
        <w:spacing w:after="0" w:line="123" w:lineRule="exact"/>
        <w:rPr>
          <w:rFonts w:ascii="Arial" w:cs="Arial" w:eastAsia="Arial" w:hAnsi="Arial"/>
          <w:sz w:val="16"/>
          <w:szCs w:val="16"/>
          <w:color w:val="auto"/>
        </w:rPr>
      </w:pPr>
    </w:p>
    <w:p>
      <w:pPr>
        <w:ind w:left="4" w:right="360" w:hanging="4"/>
        <w:spacing w:after="0" w:line="259" w:lineRule="auto"/>
        <w:tabs>
          <w:tab w:leader="none" w:pos="309"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Annual Compliance Reviews</w:t>
      </w:r>
      <w:r>
        <w:rPr>
          <w:rFonts w:ascii="Arial" w:cs="Arial" w:eastAsia="Arial" w:hAnsi="Arial"/>
          <w:sz w:val="18"/>
          <w:szCs w:val="18"/>
          <w:color w:val="auto"/>
        </w:rPr>
        <w:t>. The Company will retain qualified accountants and qualified tax experts to (i) test procedures and conduct annual</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reviews designed to determine compliance with the regulated investment company provisions of the Code and (ii) otherwise assist the Company in monitoring appropriate accounting systems and procedures designed to determine compliance with the regulated investment company provisions of the Code.</w:t>
      </w:r>
    </w:p>
    <w:p>
      <w:pPr>
        <w:spacing w:after="0" w:line="186" w:lineRule="exact"/>
        <w:rPr>
          <w:rFonts w:ascii="Arial" w:cs="Arial" w:eastAsia="Arial" w:hAnsi="Arial"/>
          <w:sz w:val="18"/>
          <w:szCs w:val="18"/>
          <w:color w:val="auto"/>
        </w:rPr>
      </w:pPr>
    </w:p>
    <w:p>
      <w:pPr>
        <w:ind w:left="4" w:right="40" w:hanging="4"/>
        <w:spacing w:after="0" w:line="269" w:lineRule="auto"/>
        <w:tabs>
          <w:tab w:leader="none" w:pos="259"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Accounting Controls</w:t>
      </w:r>
      <w:r>
        <w:rPr>
          <w:rFonts w:ascii="Arial" w:cs="Arial" w:eastAsia="Arial" w:hAnsi="Arial"/>
          <w:sz w:val="17"/>
          <w:szCs w:val="17"/>
          <w:color w:val="auto"/>
        </w:rPr>
        <w:t>. The Company will use commercially reasonable efforts to establish and maintain a system of internal accounting controls</w:t>
      </w:r>
      <w:r>
        <w:rPr>
          <w:rFonts w:ascii="Arial" w:cs="Arial" w:eastAsia="Arial" w:hAnsi="Arial"/>
          <w:sz w:val="17"/>
          <w:szCs w:val="17"/>
          <w:i w:val="1"/>
          <w:iCs w:val="1"/>
          <w:color w:val="auto"/>
        </w:rPr>
        <w:t xml:space="preserve"> </w:t>
      </w:r>
      <w:r>
        <w:rPr>
          <w:rFonts w:ascii="Arial" w:cs="Arial" w:eastAsia="Arial" w:hAnsi="Arial"/>
          <w:sz w:val="17"/>
          <w:szCs w:val="17"/>
          <w:color w:val="auto"/>
        </w:rPr>
        <w:t>sufficient to provide reasonable assurances that (A) transactions are executed in accordance with management’s authorization; (B) transactions are recorded as necessary to permit preparation of financial statements in conformity with GAAP and to maintain accountability for assets; (C) access to the Company’s consolidated assets is permitted only in accordance with management’s authorization; (D) the recorded accountability for assets is compared with the existing assets at reasonable intervals and appropriate action is taken with respect to any differences; (E) material information relating to the Company and the assets managed by the Adviser is promptly made known to the officers responsible for establishing and maintaining the system of internal accounting controls; and (F) any significant deficiencies or weaknesses in the design or operation of internal accounting controls that could adversely affect the Company’s ability to record, process, summarize and report financial data, and any fraud whether or not material that involves management or other employees who have a significant role in internal controls, are adequately and promptly disclosed to the Company’s independent auditors and the audit committee of the Company’s board of directors.</w:t>
      </w:r>
    </w:p>
    <w:p>
      <w:pPr>
        <w:spacing w:after="0" w:line="185" w:lineRule="exact"/>
        <w:rPr>
          <w:rFonts w:ascii="Arial" w:cs="Arial" w:eastAsia="Arial" w:hAnsi="Arial"/>
          <w:sz w:val="17"/>
          <w:szCs w:val="17"/>
          <w:color w:val="auto"/>
        </w:rPr>
      </w:pPr>
    </w:p>
    <w:p>
      <w:pPr>
        <w:ind w:left="4" w:right="40" w:hanging="4"/>
        <w:spacing w:after="0" w:line="257" w:lineRule="auto"/>
        <w:tabs>
          <w:tab w:leader="none" w:pos="259"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Disclosure Controls</w:t>
      </w:r>
      <w:r>
        <w:rPr>
          <w:rFonts w:ascii="Arial" w:cs="Arial" w:eastAsia="Arial" w:hAnsi="Arial"/>
          <w:sz w:val="18"/>
          <w:szCs w:val="18"/>
          <w:color w:val="auto"/>
        </w:rPr>
        <w:t>. The Company will use commercially reasonable efforts to establish and employ disclosure controls and procedures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187" w:lineRule="exact"/>
        <w:rPr>
          <w:rFonts w:ascii="Arial" w:cs="Arial" w:eastAsia="Arial" w:hAnsi="Arial"/>
          <w:sz w:val="18"/>
          <w:szCs w:val="18"/>
          <w:color w:val="auto"/>
        </w:rPr>
      </w:pPr>
    </w:p>
    <w:p>
      <w:pPr>
        <w:ind w:left="4" w:hanging="4"/>
        <w:spacing w:after="0" w:line="275" w:lineRule="auto"/>
        <w:tabs>
          <w:tab w:leader="none" w:pos="259"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Testing-the-Waters Materials</w:t>
      </w:r>
      <w:r>
        <w:rPr>
          <w:rFonts w:ascii="Arial" w:cs="Arial" w:eastAsia="Arial" w:hAnsi="Arial"/>
          <w:sz w:val="17"/>
          <w:szCs w:val="17"/>
          <w:color w:val="auto"/>
        </w:rPr>
        <w:t>. If at any time following the distribution of any Written Testing-the-Waters Communication there has occurred or</w:t>
      </w:r>
      <w:r>
        <w:rPr>
          <w:rFonts w:ascii="Arial" w:cs="Arial" w:eastAsia="Arial" w:hAnsi="Arial"/>
          <w:sz w:val="17"/>
          <w:szCs w:val="17"/>
          <w:i w:val="1"/>
          <w:iCs w:val="1"/>
          <w:color w:val="auto"/>
        </w:rPr>
        <w:t xml:space="preserve"> </w:t>
      </w:r>
      <w:r>
        <w:rPr>
          <w:rFonts w:ascii="Arial" w:cs="Arial" w:eastAsia="Arial" w:hAnsi="Arial"/>
          <w:sz w:val="17"/>
          <w:szCs w:val="17"/>
          <w:color w:val="auto"/>
        </w:rPr>
        <w:t>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27" w:name="page28"/>
    <w:bookmarkEnd w:id="27"/>
    <w:p>
      <w:pPr>
        <w:ind w:left="4" w:right="80" w:hanging="4"/>
        <w:spacing w:after="0" w:line="291" w:lineRule="auto"/>
        <w:tabs>
          <w:tab w:leader="none" w:pos="259"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Issuer Free Writing Prospectus</w:t>
      </w:r>
      <w:r>
        <w:rPr>
          <w:rFonts w:ascii="Arial" w:cs="Arial" w:eastAsia="Arial" w:hAnsi="Arial"/>
          <w:sz w:val="16"/>
          <w:szCs w:val="16"/>
          <w:color w:val="auto"/>
        </w:rPr>
        <w:t>. The Company represents and agrees that, without the prior consent of the Representatives (i) it will not distribute</w:t>
      </w:r>
      <w:r>
        <w:rPr>
          <w:rFonts w:ascii="Arial" w:cs="Arial" w:eastAsia="Arial" w:hAnsi="Arial"/>
          <w:sz w:val="16"/>
          <w:szCs w:val="16"/>
          <w:i w:val="1"/>
          <w:iCs w:val="1"/>
          <w:color w:val="auto"/>
        </w:rPr>
        <w:t xml:space="preserve"> </w:t>
      </w:r>
      <w:r>
        <w:rPr>
          <w:rFonts w:ascii="Arial" w:cs="Arial" w:eastAsia="Arial" w:hAnsi="Arial"/>
          <w:sz w:val="16"/>
          <w:szCs w:val="16"/>
          <w:color w:val="auto"/>
        </w:rPr>
        <w:t>any offering material other than the Registration Statement, the General Disclosure Package, the Prospectus or the information set forth on Schedule B hereto, and (ii) it has not made and will not make any offer relating to the Securities that would constitute a “free writing prospectus” as defined in Rule 405 under the 1933 Act (other than for the information set forth on Schedule B hereto), and which the parties agree, for the purposes of this Agreement, includes (x) any “advertisement” as defined in Rule 482 under the 1933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Expenses</w:t>
      </w:r>
      <w:r>
        <w:rPr>
          <w:rFonts w:ascii="Arial" w:cs="Arial" w:eastAsia="Arial" w:hAnsi="Arial"/>
          <w:sz w:val="16"/>
          <w:szCs w:val="16"/>
          <w:color w:val="auto"/>
        </w:rPr>
        <w:t>. The Company will pay or cause to be paid all expenses incident to the performance of its obligations under this Agreement, including</w:t>
      </w:r>
    </w:p>
    <w:p>
      <w:pPr>
        <w:spacing w:after="0" w:line="46" w:lineRule="exact"/>
        <w:rPr>
          <w:sz w:val="20"/>
          <w:szCs w:val="20"/>
          <w:color w:val="auto"/>
        </w:rPr>
      </w:pPr>
    </w:p>
    <w:p>
      <w:pPr>
        <w:ind w:left="4" w:right="40" w:hanging="4"/>
        <w:spacing w:after="0" w:line="267" w:lineRule="auto"/>
        <w:tabs>
          <w:tab w:leader="none" w:pos="219"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preparation, printing and filing of the Registration Statement (including financial statements and exhibits) as originally filed and each amendment thereto, (ii) the preparation, printing and delivery to the Underwriters of copies of each preliminary prospectus and the Prospectus and any amendments or supplements thereto, this Agreement, the Indenture, the DTC Agreement and such other documents as may be required in connection with the offering, purchase, sale, issuance or delivery of the Securities, and any costs associated with electronic delivery of any of the foregoing by the Underwriters to investors, (iii) the preparation, issuance and delivery of the certificates for the Securities to the Underwriters, including any stock or other transfer taxes and any stamp or other duties payable upon the sale, issuance or delivery of the Securities to the Underwriters, (iv) the fees and disbursements of the Company’s and the Adviser’s counsel, accountants and other advisors, (v) the qualification of the Securities under securities laws in accordance with the provisions of Section 3(e) hereof, (vi) the fees and expenses of the Trustee for the Securities, (vii) the costs and expenses of the Company relating to investor presentations on any “road show” undertaken in connection with the marketing of the Securities, including without limitation, reasonable and documented expenses associated with the production of road show slides and graphics, fees and expenses of any consultants engaged in connection with the road show presentations, documented travel and lodging expenses of officers of the Company and any such consultants and (viii)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second sentence of Section 1(a)(iv).</w:t>
      </w:r>
    </w:p>
    <w:p>
      <w:pPr>
        <w:spacing w:after="0" w:line="181" w:lineRule="exact"/>
        <w:rPr>
          <w:sz w:val="20"/>
          <w:szCs w:val="20"/>
          <w:color w:val="auto"/>
        </w:rPr>
      </w:pPr>
    </w:p>
    <w:p>
      <w:pPr>
        <w:ind w:left="264" w:hanging="264"/>
        <w:spacing w:after="0"/>
        <w:tabs>
          <w:tab w:leader="none" w:pos="264"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Termination of Agreement</w:t>
      </w:r>
      <w:r>
        <w:rPr>
          <w:rFonts w:ascii="Arial" w:cs="Arial" w:eastAsia="Arial" w:hAnsi="Arial"/>
          <w:sz w:val="16"/>
          <w:szCs w:val="16"/>
          <w:color w:val="auto"/>
        </w:rPr>
        <w:t>. If this Agreement is terminated by the Representatives in accordance with the provisions of Section 5 or Section 9(a)(i) or</w:t>
      </w:r>
    </w:p>
    <w:p>
      <w:pPr>
        <w:spacing w:after="0" w:line="46" w:lineRule="exact"/>
        <w:rPr>
          <w:rFonts w:ascii="Arial" w:cs="Arial" w:eastAsia="Arial" w:hAnsi="Arial"/>
          <w:sz w:val="16"/>
          <w:szCs w:val="16"/>
          <w:color w:val="auto"/>
        </w:rPr>
      </w:pPr>
    </w:p>
    <w:p>
      <w:pPr>
        <w:ind w:left="4" w:right="100" w:hanging="4"/>
        <w:spacing w:after="0" w:line="260" w:lineRule="auto"/>
        <w:tabs>
          <w:tab w:leader="none" w:pos="319" w:val="left"/>
        </w:tabs>
        <w:numPr>
          <w:ilvl w:val="0"/>
          <w:numId w:val="45"/>
        </w:numPr>
        <w:rPr>
          <w:rFonts w:ascii="Arial" w:cs="Arial" w:eastAsia="Arial" w:hAnsi="Arial"/>
          <w:sz w:val="18"/>
          <w:szCs w:val="18"/>
          <w:color w:val="auto"/>
        </w:rPr>
      </w:pPr>
      <w:r>
        <w:rPr>
          <w:rFonts w:ascii="Arial" w:cs="Arial" w:eastAsia="Arial" w:hAnsi="Arial"/>
          <w:sz w:val="18"/>
          <w:szCs w:val="18"/>
          <w:color w:val="auto"/>
        </w:rPr>
        <w:t>hereof, the Company shall reimburse the Underwriters for all of their reasonable and documented out-of-pocket expenses, including the reasonable and documented fees and disbursements of counsel for the Underwriters.</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28" w:name="page29"/>
    <w:bookmarkEnd w:id="28"/>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 </w:t>
      </w: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obligations of the several Underwriters hereunder are subject to the accuracy of the representations and warranties of the Company and the Adviser contained herein or in certificates of any officer of the Company, any of the Subsidiaries or the Adviser delivered pursuant to the provisions hereof, to the performance by the Company and the Adviser of their respective covenants and other obligations hereunder, and to the following further conditions:</w:t>
      </w:r>
    </w:p>
    <w:p>
      <w:pPr>
        <w:spacing w:after="0" w:line="187" w:lineRule="exact"/>
        <w:rPr>
          <w:sz w:val="20"/>
          <w:szCs w:val="20"/>
          <w:color w:val="auto"/>
        </w:rPr>
      </w:pPr>
    </w:p>
    <w:p>
      <w:pPr>
        <w:ind w:left="4" w:right="320" w:hanging="4"/>
        <w:spacing w:after="0" w:line="273" w:lineRule="auto"/>
        <w:tabs>
          <w:tab w:leader="none" w:pos="248"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Registration Statement</w:t>
      </w:r>
      <w:r>
        <w:rPr>
          <w:rFonts w:ascii="Arial" w:cs="Arial" w:eastAsia="Arial" w:hAnsi="Arial"/>
          <w:sz w:val="17"/>
          <w:szCs w:val="17"/>
          <w:color w:val="auto"/>
        </w:rPr>
        <w:t>. At the Closing Time, no stop order suspending the effectiveness of the Registration Statement or any post-effective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thereto has been issued under the 1933 Act, no order preventing or suspending the use of any preliminary prospectus, any Issuer Free Writing Prospectus or the Prospectus has been issued and no proceedings for any of those purposes have been instituted or are pending or, to the Company’s knowledge, contemplated; and the Company has complied with each request (if any) from the Commission for additional information in connection with the Registration Statement. Any required filing of each Issuer Free Writing Prospectus pursuant to Rule 433 has been made in the manner and within the time period required by Rule 433(d).</w:t>
      </w:r>
    </w:p>
    <w:p>
      <w:pPr>
        <w:spacing w:after="0" w:line="177" w:lineRule="exact"/>
        <w:rPr>
          <w:rFonts w:ascii="Arial" w:cs="Arial" w:eastAsia="Arial" w:hAnsi="Arial"/>
          <w:sz w:val="17"/>
          <w:szCs w:val="17"/>
          <w:color w:val="auto"/>
        </w:rPr>
      </w:pPr>
    </w:p>
    <w:p>
      <w:pPr>
        <w:ind w:left="4" w:right="80" w:hanging="4"/>
        <w:spacing w:after="0" w:line="255" w:lineRule="auto"/>
        <w:tabs>
          <w:tab w:leader="none" w:pos="259"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Opinions of Counsel for Company</w:t>
      </w:r>
      <w:r>
        <w:rPr>
          <w:rFonts w:ascii="Arial" w:cs="Arial" w:eastAsia="Arial" w:hAnsi="Arial"/>
          <w:sz w:val="18"/>
          <w:szCs w:val="18"/>
          <w:color w:val="auto"/>
        </w:rPr>
        <w:t>. At the Closing Time, the Representatives shall have received the favorable opinions, dated the Closing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Dechert LLP, counsel for the Company, and of Venable LLP, counsel for the Company, in form and substance reasonably satisfactory to counsel for the Underwriters, together with signed or reproduced copies of such letters for each of the other Underwriters to the effect set forth in Exhibit A-1 and Exhibit A-2 hereto and to such further effect as counsel to the Underwriters may reasonably request. Such counsels may state that insofar as such opinions involve factual matters, they have relied, to the extent they deem proper, upon certificates of officers of the Company and the Subsidiaries and the Adviser and certificates of public officials.</w:t>
      </w:r>
    </w:p>
    <w:p>
      <w:pPr>
        <w:spacing w:after="0" w:line="192" w:lineRule="exact"/>
        <w:rPr>
          <w:rFonts w:ascii="Arial" w:cs="Arial" w:eastAsia="Arial" w:hAnsi="Arial"/>
          <w:sz w:val="18"/>
          <w:szCs w:val="18"/>
          <w:color w:val="auto"/>
        </w:rPr>
      </w:pPr>
    </w:p>
    <w:p>
      <w:pPr>
        <w:jc w:val="both"/>
        <w:ind w:left="4" w:hanging="4"/>
        <w:spacing w:after="0" w:line="259" w:lineRule="auto"/>
        <w:tabs>
          <w:tab w:leader="none" w:pos="248"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Opinion of Counsel for Underwriters</w:t>
      </w:r>
      <w:r>
        <w:rPr>
          <w:rFonts w:ascii="Arial" w:cs="Arial" w:eastAsia="Arial" w:hAnsi="Arial"/>
          <w:sz w:val="18"/>
          <w:szCs w:val="18"/>
          <w:color w:val="auto"/>
        </w:rPr>
        <w:t>. At the Closing Time, the Representatives shall have received the favorable opinion, dated the Closing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Ropes &amp; Gray LLP, counsel for the Underwriters. Such counsel may also state that, insofar as such opinion involves factual matters, they have relied, to the extent they deem proper, upon certificates of officers and other representatives of the Company and the Subsidiaries and the Adviser and certificates of public officials.</w:t>
      </w:r>
    </w:p>
    <w:p>
      <w:pPr>
        <w:spacing w:after="0" w:line="186" w:lineRule="exact"/>
        <w:rPr>
          <w:rFonts w:ascii="Arial" w:cs="Arial" w:eastAsia="Arial" w:hAnsi="Arial"/>
          <w:sz w:val="18"/>
          <w:szCs w:val="18"/>
          <w:color w:val="auto"/>
        </w:rPr>
      </w:pPr>
    </w:p>
    <w:p>
      <w:pPr>
        <w:ind w:left="264" w:hanging="264"/>
        <w:spacing w:after="0"/>
        <w:tabs>
          <w:tab w:leader="none" w:pos="264"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Officers’ Certificates</w:t>
      </w:r>
      <w:r>
        <w:rPr>
          <w:rFonts w:ascii="Arial" w:cs="Arial" w:eastAsia="Arial" w:hAnsi="Arial"/>
          <w:sz w:val="18"/>
          <w:szCs w:val="18"/>
          <w:color w:val="auto"/>
        </w:rPr>
        <w:t>.</w:t>
      </w:r>
    </w:p>
    <w:p>
      <w:pPr>
        <w:spacing w:after="0" w:line="225" w:lineRule="exact"/>
        <w:rPr>
          <w:sz w:val="20"/>
          <w:szCs w:val="20"/>
          <w:color w:val="auto"/>
        </w:rPr>
      </w:pPr>
    </w:p>
    <w:p>
      <w:pPr>
        <w:ind w:left="4" w:right="40" w:hanging="4"/>
        <w:spacing w:after="0" w:line="285" w:lineRule="auto"/>
        <w:tabs>
          <w:tab w:leader="none" w:pos="219" w:val="left"/>
        </w:tabs>
        <w:numPr>
          <w:ilvl w:val="0"/>
          <w:numId w:val="47"/>
        </w:numPr>
        <w:rPr>
          <w:rFonts w:ascii="Arial" w:cs="Arial" w:eastAsia="Arial" w:hAnsi="Arial"/>
          <w:sz w:val="16"/>
          <w:szCs w:val="16"/>
          <w:color w:val="auto"/>
        </w:rPr>
      </w:pPr>
      <w:r>
        <w:rPr>
          <w:rFonts w:ascii="Arial" w:cs="Arial" w:eastAsia="Arial" w:hAnsi="Arial"/>
          <w:sz w:val="16"/>
          <w:szCs w:val="16"/>
          <w:color w:val="auto"/>
        </w:rPr>
        <w:t>At the Closing Time, there shall not have been, since the date hereof or since the respective dates as of which information is given in the Registration Statement, the General Disclosure Package or the Prospectus, any material adverse change in the business, properties, management, financial condition, prospects or results of operations of the Company and the Subsidiaries considered as one enterprise, whether or not arising in the ordinary course of business, and the Representatives shall have received a certificate of the chief executive officer or the president of the Company and of the chief financial or chief accounting officer of the Company, dated the Closing Time, to the effect that (A) there has been no such material adverse change,</w:t>
      </w:r>
    </w:p>
    <w:p>
      <w:pPr>
        <w:spacing w:after="0" w:line="1" w:lineRule="exact"/>
        <w:rPr>
          <w:rFonts w:ascii="Arial" w:cs="Arial" w:eastAsia="Arial" w:hAnsi="Arial"/>
          <w:sz w:val="16"/>
          <w:szCs w:val="16"/>
          <w:color w:val="auto"/>
        </w:rPr>
      </w:pPr>
    </w:p>
    <w:p>
      <w:pPr>
        <w:ind w:left="4" w:right="200"/>
        <w:spacing w:after="0" w:line="260" w:lineRule="auto"/>
        <w:rPr>
          <w:rFonts w:ascii="Arial" w:cs="Arial" w:eastAsia="Arial" w:hAnsi="Arial"/>
          <w:sz w:val="16"/>
          <w:szCs w:val="16"/>
          <w:color w:val="auto"/>
        </w:rPr>
      </w:pPr>
      <w:r>
        <w:rPr>
          <w:rFonts w:ascii="Arial" w:cs="Arial" w:eastAsia="Arial" w:hAnsi="Arial"/>
          <w:sz w:val="18"/>
          <w:szCs w:val="18"/>
          <w:color w:val="auto"/>
        </w:rPr>
        <w:t>(B) the representations and warranties of the Company in Section 1(a) of this Agreement are true and correct with the same force and effect as though expressly made at and as of the Closing Time, (C)</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4"/>
          </w:cols>
          <w:pgMar w:left="436" w:top="274" w:right="479" w:bottom="1440" w:gutter="0" w:footer="0" w:header="0"/>
        </w:sectPr>
      </w:pPr>
    </w:p>
    <w:bookmarkStart w:id="29" w:name="page30"/>
    <w:bookmarkEnd w:id="29"/>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complied with all agreements and satisfied all conditions on its part to be performed or satisfied at or prior to the Closing Time, and</w:t>
      </w:r>
    </w:p>
    <w:p>
      <w:pPr>
        <w:spacing w:after="0" w:line="46" w:lineRule="exact"/>
        <w:rPr>
          <w:sz w:val="20"/>
          <w:szCs w:val="20"/>
          <w:color w:val="auto"/>
        </w:rPr>
      </w:pPr>
    </w:p>
    <w:p>
      <w:pPr>
        <w:ind w:left="4" w:hanging="4"/>
        <w:spacing w:after="0" w:line="255" w:lineRule="auto"/>
        <w:tabs>
          <w:tab w:leader="none" w:pos="299"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 by the Commission.</w:t>
      </w:r>
    </w:p>
    <w:p>
      <w:pPr>
        <w:spacing w:after="0" w:line="190" w:lineRule="exact"/>
        <w:rPr>
          <w:sz w:val="20"/>
          <w:szCs w:val="20"/>
          <w:color w:val="auto"/>
        </w:rPr>
      </w:pPr>
    </w:p>
    <w:p>
      <w:pPr>
        <w:ind w:left="4" w:right="60" w:hanging="4"/>
        <w:spacing w:after="0" w:line="296" w:lineRule="auto"/>
        <w:tabs>
          <w:tab w:leader="none" w:pos="269" w:val="left"/>
        </w:tabs>
        <w:numPr>
          <w:ilvl w:val="0"/>
          <w:numId w:val="49"/>
        </w:numPr>
        <w:rPr>
          <w:rFonts w:ascii="Arial" w:cs="Arial" w:eastAsia="Arial" w:hAnsi="Arial"/>
          <w:sz w:val="16"/>
          <w:szCs w:val="16"/>
          <w:color w:val="auto"/>
        </w:rPr>
      </w:pPr>
      <w:r>
        <w:rPr>
          <w:rFonts w:ascii="Arial" w:cs="Arial" w:eastAsia="Arial" w:hAnsi="Arial"/>
          <w:sz w:val="16"/>
          <w:szCs w:val="16"/>
          <w:color w:val="auto"/>
        </w:rPr>
        <w:t>At the Closing Time, there shall not have been, since the date hereof or since the respective dates as of which information is given in the Prospectus, an Adviser Material Adverse Effect, and the Representatives shall have received a certificate of two authorized signatories of the Adviser, dated the Closing Time, to the effect that (A) there has been no such Adviser Material Adverse Effect, (B) the representations and warranties of the Adviser in Section 1(b) of this Agreement are true and correct with the same force and effect as though expressly made at and as of the Closing Time and (C) the Adviser has complied with all agreements and satisfied all conditions on their part to be performed or satisfied at or prior to the Closing Time.</w:t>
      </w:r>
    </w:p>
    <w:p>
      <w:pPr>
        <w:spacing w:after="0" w:line="161" w:lineRule="exact"/>
        <w:rPr>
          <w:sz w:val="20"/>
          <w:szCs w:val="20"/>
          <w:color w:val="auto"/>
        </w:rPr>
      </w:pPr>
    </w:p>
    <w:p>
      <w:pPr>
        <w:ind w:left="4" w:right="100" w:hanging="4"/>
        <w:spacing w:after="0" w:line="257" w:lineRule="auto"/>
        <w:tabs>
          <w:tab w:leader="none" w:pos="248"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Accountant’s Comfort Letter</w:t>
      </w:r>
      <w:r>
        <w:rPr>
          <w:rFonts w:ascii="Arial" w:cs="Arial" w:eastAsia="Arial" w:hAnsi="Arial"/>
          <w:sz w:val="18"/>
          <w:szCs w:val="18"/>
          <w:color w:val="auto"/>
        </w:rPr>
        <w:t>. At the time of the execution of this Agreement, the Representatives shall have received from RSM US LLP a letter,</w:t>
      </w:r>
      <w:r>
        <w:rPr>
          <w:rFonts w:ascii="Arial" w:cs="Arial" w:eastAsia="Arial" w:hAnsi="Arial"/>
          <w:sz w:val="18"/>
          <w:szCs w:val="18"/>
          <w:i w:val="1"/>
          <w:iCs w:val="1"/>
          <w:color w:val="auto"/>
        </w:rPr>
        <w:t xml:space="preserve"> </w:t>
      </w:r>
      <w:r>
        <w:rPr>
          <w:rFonts w:ascii="Arial" w:cs="Arial" w:eastAsia="Arial" w:hAnsi="Arial"/>
          <w:sz w:val="18"/>
          <w:szCs w:val="18"/>
          <w:color w:val="auto"/>
        </w:rPr>
        <w:t>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Company’s financial statements and certain financial information included or incorporated by reference in the Registration Statement, the General Disclosure Package and the Prospectus.</w:t>
      </w:r>
    </w:p>
    <w:p>
      <w:pPr>
        <w:spacing w:after="0" w:line="187" w:lineRule="exact"/>
        <w:rPr>
          <w:rFonts w:ascii="Arial" w:cs="Arial" w:eastAsia="Arial" w:hAnsi="Arial"/>
          <w:sz w:val="18"/>
          <w:szCs w:val="18"/>
          <w:color w:val="auto"/>
        </w:rPr>
      </w:pPr>
    </w:p>
    <w:p>
      <w:pPr>
        <w:ind w:left="4" w:right="140" w:hanging="4"/>
        <w:spacing w:after="0" w:line="263" w:lineRule="auto"/>
        <w:tabs>
          <w:tab w:leader="none" w:pos="229"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Bring-down Comfort Letter</w:t>
      </w:r>
      <w:r>
        <w:rPr>
          <w:rFonts w:ascii="Arial" w:cs="Arial" w:eastAsia="Arial" w:hAnsi="Arial"/>
          <w:sz w:val="18"/>
          <w:szCs w:val="18"/>
          <w:color w:val="auto"/>
        </w:rPr>
        <w:t>. At the Closing Time, the Representatives shall have received from RSM US LLP a letter, dated as of the Closing Time,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effect that they reaffirm the statements made in the letter furnished pursuant to subsection (e) of this Section, except that the specified date referred to shall be a date not more than three business days prior to the Closing Time.</w:t>
      </w:r>
    </w:p>
    <w:p>
      <w:pPr>
        <w:spacing w:after="0" w:line="183" w:lineRule="exact"/>
        <w:rPr>
          <w:rFonts w:ascii="Arial" w:cs="Arial" w:eastAsia="Arial" w:hAnsi="Arial"/>
          <w:sz w:val="18"/>
          <w:szCs w:val="18"/>
          <w:color w:val="auto"/>
        </w:rPr>
      </w:pPr>
    </w:p>
    <w:p>
      <w:pPr>
        <w:ind w:left="4" w:right="100" w:hanging="4"/>
        <w:spacing w:after="0" w:line="277" w:lineRule="auto"/>
        <w:tabs>
          <w:tab w:leader="none" w:pos="259"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Base Indenture, First Supplemental Indenture and Securities</w:t>
      </w:r>
      <w:r>
        <w:rPr>
          <w:rFonts w:ascii="Arial" w:cs="Arial" w:eastAsia="Arial" w:hAnsi="Arial"/>
          <w:sz w:val="18"/>
          <w:szCs w:val="18"/>
          <w:color w:val="auto"/>
        </w:rPr>
        <w:t>. At or prior to the Closing Time, the Company and the Trustee shall have executed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the Base Indenture, First Supplemental Indenture and the Securities.</w:t>
      </w:r>
    </w:p>
    <w:p>
      <w:pPr>
        <w:spacing w:after="0" w:line="170" w:lineRule="exact"/>
        <w:rPr>
          <w:rFonts w:ascii="Arial" w:cs="Arial" w:eastAsia="Arial" w:hAnsi="Arial"/>
          <w:sz w:val="18"/>
          <w:szCs w:val="18"/>
          <w:color w:val="auto"/>
        </w:rPr>
      </w:pPr>
    </w:p>
    <w:p>
      <w:pPr>
        <w:ind w:left="4" w:right="20" w:hanging="4"/>
        <w:spacing w:after="0" w:line="259" w:lineRule="auto"/>
        <w:tabs>
          <w:tab w:leader="none" w:pos="259"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Maintenance of Rating</w:t>
      </w:r>
      <w:r>
        <w:rPr>
          <w:rFonts w:ascii="Arial" w:cs="Arial" w:eastAsia="Arial" w:hAnsi="Arial"/>
          <w:sz w:val="18"/>
          <w:szCs w:val="18"/>
          <w:color w:val="auto"/>
        </w:rPr>
        <w:t>. Since the execution of this Agreement, there shall not have been any decrease in or withdrawal of the rating of any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or any of its Subsidiaries by any “nationally recognized statistical rating organization” (as defined in Section 3(a)(62) of the 1934 Act) or any notice given of any intended or potential decrease in or withdrawal of any such rating or of a possible change in any such rating that does not indicate the direction of the possible change.</w:t>
      </w:r>
    </w:p>
    <w:p>
      <w:pPr>
        <w:spacing w:after="0" w:line="186" w:lineRule="exact"/>
        <w:rPr>
          <w:rFonts w:ascii="Arial" w:cs="Arial" w:eastAsia="Arial" w:hAnsi="Arial"/>
          <w:sz w:val="18"/>
          <w:szCs w:val="18"/>
          <w:color w:val="auto"/>
        </w:rPr>
      </w:pPr>
    </w:p>
    <w:p>
      <w:pPr>
        <w:ind w:left="4" w:right="140" w:hanging="4"/>
        <w:spacing w:after="0" w:line="257" w:lineRule="auto"/>
        <w:tabs>
          <w:tab w:leader="none" w:pos="219"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Additional Documents</w:t>
      </w:r>
      <w:r>
        <w:rPr>
          <w:rFonts w:ascii="Arial" w:cs="Arial" w:eastAsia="Arial" w:hAnsi="Arial"/>
          <w:sz w:val="18"/>
          <w:szCs w:val="18"/>
          <w:color w:val="auto"/>
        </w:rPr>
        <w:t>. At the Closing Time, counsel for the Underwriters shall have been furnished with such documents and opinions as they may</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and the Adviser in connection with the issuance and sale of the Securities as herein contemplated shall be satisfactory in form and substance to the Representatives and counsel for the Underwriters.</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30" w:name="page31"/>
    <w:bookmarkEnd w:id="30"/>
    <w:p>
      <w:pPr>
        <w:ind w:left="4" w:right="20" w:hanging="4"/>
        <w:spacing w:after="0" w:line="259" w:lineRule="auto"/>
        <w:tabs>
          <w:tab w:leader="none" w:pos="219"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of Agreement</w:t>
      </w:r>
      <w:r>
        <w:rPr>
          <w:rFonts w:ascii="Arial" w:cs="Arial" w:eastAsia="Arial" w:hAnsi="Arial"/>
          <w:sz w:val="18"/>
          <w:szCs w:val="18"/>
          <w:color w:val="auto"/>
        </w:rPr>
        <w:t>. If any condition specified in this Section shall not have been fulfilled when and as required to be fulfilled,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may be terminated by the Representatives by notice to the Company at any time at or prior to Closing Time, and such termination shall be without liability of any party to any other party except as provided in Section 4 and except that Sections 1, 6, 7, 8, 14, 15 and 16 survive any such termination and remain in full force and effect.</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left="4" w:right="120" w:hanging="4"/>
        <w:spacing w:after="0" w:line="311" w:lineRule="auto"/>
        <w:tabs>
          <w:tab w:leader="none" w:pos="248"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Indemnification of Underwriters by the Company and the Adviser</w:t>
      </w:r>
      <w:r>
        <w:rPr>
          <w:rFonts w:ascii="Arial" w:cs="Arial" w:eastAsia="Arial" w:hAnsi="Arial"/>
          <w:sz w:val="16"/>
          <w:szCs w:val="16"/>
          <w:color w:val="auto"/>
        </w:rPr>
        <w:t>. The Company and the Adviser, severally and not jointly, agree to indemnify and</w:t>
      </w:r>
      <w:r>
        <w:rPr>
          <w:rFonts w:ascii="Arial" w:cs="Arial" w:eastAsia="Arial" w:hAnsi="Arial"/>
          <w:sz w:val="16"/>
          <w:szCs w:val="16"/>
          <w:i w:val="1"/>
          <w:iCs w:val="1"/>
          <w:color w:val="auto"/>
        </w:rPr>
        <w:t xml:space="preserve"> </w:t>
      </w:r>
      <w:r>
        <w:rPr>
          <w:rFonts w:ascii="Arial" w:cs="Arial" w:eastAsia="Arial" w:hAnsi="Arial"/>
          <w:sz w:val="16"/>
          <w:szCs w:val="16"/>
          <w:color w:val="auto"/>
        </w:rPr>
        <w:t>hold harmless each Underwriter, its affiliates (as such term is defined in Rule 501(b) under the 1933 Act (each, an “Affiliate”)), its selling agents and each person, if any, who controls any Underwriter within the meaning of Section 15 of the 1933 Act or Section 20 of the 1934 Act as follows:</w:t>
      </w:r>
    </w:p>
    <w:p>
      <w:pPr>
        <w:spacing w:after="0" w:line="149" w:lineRule="exact"/>
        <w:rPr>
          <w:sz w:val="20"/>
          <w:szCs w:val="20"/>
          <w:color w:val="auto"/>
        </w:rPr>
      </w:pPr>
    </w:p>
    <w:p>
      <w:pPr>
        <w:ind w:left="4" w:right="40" w:hanging="4"/>
        <w:spacing w:after="0" w:line="269" w:lineRule="auto"/>
        <w:tabs>
          <w:tab w:leader="none" w:pos="219" w:val="left"/>
        </w:tabs>
        <w:numPr>
          <w:ilvl w:val="0"/>
          <w:numId w:val="53"/>
        </w:numPr>
        <w:rPr>
          <w:rFonts w:ascii="Arial" w:cs="Arial" w:eastAsia="Arial" w:hAnsi="Arial"/>
          <w:sz w:val="17"/>
          <w:szCs w:val="17"/>
          <w:color w:val="auto"/>
        </w:rPr>
      </w:pPr>
      <w:r>
        <w:rPr>
          <w:rFonts w:ascii="Arial" w:cs="Arial" w:eastAsia="Arial" w:hAnsi="Arial"/>
          <w:sz w:val="17"/>
          <w:szCs w:val="17"/>
          <w:color w:val="auto"/>
        </w:rPr>
        <w:t>against any and all loss, liability, claim, damage and expense whatsoever, as incurred, arising out of any untrue statement or alleged untrue statement of a material fact contained in the Registration Statement (or any amendment thereto), including any Rule 430B Information or Rule 430C Information,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any Written Testing-the-Waters Communication, the General Disclosure Package or the Prospectus (or any amendment or supplement thereto), or (B) in any materials or information provided to investors by, or with the approval of, the Company in connection with the marketing of the offering of the Securities (“Marketing Materials”), including any road show as defined in Rule 433(h) under the 1933 Act (a “road show”) or investor presentations made to investors by the Company (whether in person or electronically), or the omission or alleged omission in any preliminary prospectus, Issuer Free Writing Prospectus, the Prospectus, any Marketing Materials, any Written Testing-the-Waters Communication or the General Disclosure Package of a material fact necessary in order to make the statements therein, in the light of the circumstances under which they were made, not misleading;</w:t>
      </w:r>
    </w:p>
    <w:p>
      <w:pPr>
        <w:spacing w:after="0" w:line="181" w:lineRule="exact"/>
        <w:rPr>
          <w:rFonts w:ascii="Arial" w:cs="Arial" w:eastAsia="Arial" w:hAnsi="Arial"/>
          <w:sz w:val="17"/>
          <w:szCs w:val="17"/>
          <w:color w:val="auto"/>
        </w:rPr>
      </w:pPr>
    </w:p>
    <w:p>
      <w:pPr>
        <w:ind w:left="4" w:hanging="4"/>
        <w:spacing w:after="0" w:line="259" w:lineRule="auto"/>
        <w:tabs>
          <w:tab w:leader="none" w:pos="269" w:val="left"/>
        </w:tabs>
        <w:numPr>
          <w:ilvl w:val="0"/>
          <w:numId w:val="53"/>
        </w:numPr>
        <w:rPr>
          <w:rFonts w:ascii="Arial" w:cs="Arial" w:eastAsia="Arial" w:hAnsi="Arial"/>
          <w:sz w:val="18"/>
          <w:szCs w:val="18"/>
          <w:color w:val="auto"/>
        </w:rPr>
      </w:pPr>
      <w:r>
        <w:rPr>
          <w:rFonts w:ascii="Arial" w:cs="Arial" w:eastAsia="Arial" w:hAnsi="Arial"/>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w:t>
      </w:r>
    </w:p>
    <w:p>
      <w:pPr>
        <w:spacing w:after="0" w:line="186" w:lineRule="exact"/>
        <w:rPr>
          <w:rFonts w:ascii="Arial" w:cs="Arial" w:eastAsia="Arial" w:hAnsi="Arial"/>
          <w:sz w:val="18"/>
          <w:szCs w:val="18"/>
          <w:color w:val="auto"/>
        </w:rPr>
      </w:pPr>
    </w:p>
    <w:p>
      <w:pPr>
        <w:ind w:left="4" w:right="140" w:hanging="4"/>
        <w:spacing w:after="0" w:line="263" w:lineRule="auto"/>
        <w:tabs>
          <w:tab w:leader="none" w:pos="319" w:val="left"/>
        </w:tabs>
        <w:numPr>
          <w:ilvl w:val="0"/>
          <w:numId w:val="53"/>
        </w:numPr>
        <w:rPr>
          <w:rFonts w:ascii="Arial" w:cs="Arial" w:eastAsia="Arial" w:hAnsi="Arial"/>
          <w:sz w:val="18"/>
          <w:szCs w:val="18"/>
          <w:color w:val="auto"/>
        </w:rPr>
      </w:pPr>
      <w:r>
        <w:rPr>
          <w:rFonts w:ascii="Arial" w:cs="Arial" w:eastAsia="Arial" w:hAnsi="Arial"/>
          <w:sz w:val="18"/>
          <w:szCs w:val="18"/>
          <w:color w:val="auto"/>
        </w:rPr>
        <w:t>against any and all expense whatsoever, as incurred (including the reasonably incurred and documented fees and disbursements of counsel chosen by the Representatives), reasonably incurred in investigating, preparing or defending against any litigation, or any investigation or proceeding by any governmental agency or body, commenced or threatened, or any claim</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4"/>
          </w:cols>
          <w:pgMar w:left="436" w:top="274" w:right="499" w:bottom="1440" w:gutter="0" w:footer="0" w:header="0"/>
        </w:sectPr>
      </w:pPr>
    </w:p>
    <w:bookmarkStart w:id="31" w:name="page32"/>
    <w:bookmarkEnd w:id="31"/>
    <w:p>
      <w:pPr>
        <w:ind w:left="4"/>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whatsoever based upon any such untrue statement or omission, or any such alleged untrue statement or omission, to the extent that any such expense is not paid under (i) or (ii) above; 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Rule 430B Information or Rule 430C Information, any preliminary prospectus, the General Disclosure Package or the Prospectus (or any amendment or supplement thereto) in reliance upon and in conformity with the Underwriter Information, and provided, further, that the Adviser’s indemnity agreement shall only apply to statements described in (i) above regarding the Adviser.</w:t>
      </w:r>
    </w:p>
    <w:p>
      <w:pPr>
        <w:spacing w:after="0" w:line="178" w:lineRule="exact"/>
        <w:rPr>
          <w:sz w:val="20"/>
          <w:szCs w:val="20"/>
          <w:color w:val="auto"/>
        </w:rPr>
      </w:pPr>
    </w:p>
    <w:p>
      <w:pPr>
        <w:ind w:left="4" w:hanging="4"/>
        <w:spacing w:after="0" w:line="272" w:lineRule="auto"/>
        <w:tabs>
          <w:tab w:leader="none" w:pos="259"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Indemnification of Company, Directors, Officers and Adviser</w:t>
      </w:r>
      <w:r>
        <w:rPr>
          <w:rFonts w:ascii="Arial" w:cs="Arial" w:eastAsia="Arial" w:hAnsi="Arial"/>
          <w:sz w:val="17"/>
          <w:szCs w:val="17"/>
          <w:color w:val="auto"/>
        </w:rPr>
        <w:t>. Each Underwriter, severally and not jointly, agrees to indemnify and hold harmless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the Adviser, their directors, each of the Company’s officers who signed the Registration Statement and each person, if any, who controls the Company or the Adviser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Rule 430B Information or Rule 430C Information, the General Disclosure Package, any Issuer Free Writing Prospectus or the Prospectus (or any amendment or supplement thereto) in reliance upon and in conformity with the Underwriter Information.</w:t>
      </w:r>
    </w:p>
    <w:p>
      <w:pPr>
        <w:spacing w:after="0" w:line="177" w:lineRule="exact"/>
        <w:rPr>
          <w:rFonts w:ascii="Arial" w:cs="Arial" w:eastAsia="Arial" w:hAnsi="Arial"/>
          <w:sz w:val="17"/>
          <w:szCs w:val="17"/>
          <w:color w:val="auto"/>
        </w:rPr>
      </w:pPr>
    </w:p>
    <w:p>
      <w:pPr>
        <w:ind w:left="4" w:right="20" w:hanging="4"/>
        <w:spacing w:after="0" w:line="268" w:lineRule="auto"/>
        <w:tabs>
          <w:tab w:leader="none" w:pos="248"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Actions against Parties; Notification</w:t>
      </w:r>
      <w:r>
        <w:rPr>
          <w:rFonts w:ascii="Arial" w:cs="Arial" w:eastAsia="Arial" w:hAnsi="Arial"/>
          <w:sz w:val="17"/>
          <w:szCs w:val="17"/>
          <w:color w:val="auto"/>
        </w:rPr>
        <w:t>. Each indemnified party shall give notice as promptly as reasonably practicable to each indemnifying party of</w:t>
      </w:r>
      <w:r>
        <w:rPr>
          <w:rFonts w:ascii="Arial" w:cs="Arial" w:eastAsia="Arial" w:hAnsi="Arial"/>
          <w:sz w:val="17"/>
          <w:szCs w:val="17"/>
          <w:i w:val="1"/>
          <w:iCs w:val="1"/>
          <w:color w:val="auto"/>
        </w:rPr>
        <w:t xml:space="preserve"> </w:t>
      </w:r>
      <w:r>
        <w:rPr>
          <w:rFonts w:ascii="Arial" w:cs="Arial" w:eastAsia="Arial" w:hAnsi="Arial"/>
          <w:sz w:val="17"/>
          <w:szCs w:val="17"/>
          <w:color w:val="auto"/>
        </w:rPr>
        <w:t>any action commenced against it in respect of which indemnity may be sought hereunder, but failure to so notify an indemnifying party shall not relieve such indemnifying party from any liability hereunder to the extent it is not materially prejudiced (through the forfeiture of substantive rights and defenses)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Representatives,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4"/>
          </w:cols>
          <w:pgMar w:left="436" w:top="274" w:right="479" w:bottom="1440" w:gutter="0" w:footer="0" w:header="0"/>
        </w:sectPr>
      </w:pPr>
    </w:p>
    <w:bookmarkStart w:id="32" w:name="page33"/>
    <w:bookmarkEnd w:id="32"/>
    <w:p>
      <w:pPr>
        <w:ind w:left="4" w:hanging="4"/>
        <w:spacing w:after="0" w:line="255" w:lineRule="auto"/>
        <w:tabs>
          <w:tab w:leader="none" w:pos="259"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Settlement without Consent if Failure to Reimburse</w:t>
      </w:r>
      <w:r>
        <w:rPr>
          <w:rFonts w:ascii="Arial" w:cs="Arial" w:eastAsia="Arial" w:hAnsi="Arial"/>
          <w:sz w:val="18"/>
          <w:szCs w:val="18"/>
          <w:color w:val="auto"/>
        </w:rPr>
        <w:t>. If at any time an indemnified party shall have requested an indemnifying party to reimburse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indemnified party for fees and expenses of counsel, such indemnifying party agrees that it shall be liable for any settlement of the nature contemplated by Section 6(a)(ii)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92" w:lineRule="exact"/>
        <w:rPr>
          <w:sz w:val="20"/>
          <w:szCs w:val="20"/>
          <w:color w:val="auto"/>
        </w:rPr>
      </w:pPr>
    </w:p>
    <w:p>
      <w:pPr>
        <w:ind w:left="4" w:right="100"/>
        <w:spacing w:after="0" w:line="289"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Contribution</w:t>
      </w:r>
      <w:r>
        <w:rPr>
          <w:rFonts w:ascii="Arial" w:cs="Arial" w:eastAsia="Arial" w:hAnsi="Arial"/>
          <w:sz w:val="16"/>
          <w:szCs w:val="16"/>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and the Adviser,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and the Adviser, on the one hand, and of the Underwriters, on the other hand, in connection with the statements or omissions which resulted in such losses, liabilities, claims, damages or expenses, as well as any other relevant equitable considerations. For the avoidance of doubt, the Adviser’s contribution agreement shall only apply to instances in which the Adviser has an indemnity obligation as described above in Section 6(a).</w:t>
      </w:r>
    </w:p>
    <w:p>
      <w:pPr>
        <w:spacing w:after="0" w:line="166"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The relative benefits received by the Company and the Adviser,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underwriting discount received by the Underwriters, on the other hand, in each case as set forth on the cover of the Prospectus, bear to the aggregate public offering price of the Securities as set forth on the cover of the Prospectus.</w:t>
      </w:r>
    </w:p>
    <w:p>
      <w:pPr>
        <w:spacing w:after="0" w:line="188"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The relative fault of the Company and the Adviser,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and the Adviser or by the Underwriters and the parties’ relative intent, knowledge, access to information and opportunity to correct or prevent such statement or omission.</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4" w:right="459" w:bottom="1440" w:gutter="0" w:footer="0" w:header="0"/>
        </w:sectPr>
      </w:pPr>
    </w:p>
    <w:bookmarkStart w:id="33" w:name="page34"/>
    <w:bookmarkEnd w:id="33"/>
    <w:p>
      <w:pPr>
        <w:ind w:left="4"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the Adviser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64"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Notwithstanding the provisions of this Section 7, no Underwriter shall be required to contribute any amount in excess of the underwriting commissions received by such Underwriter in connection with the Securities underwritten by it and distributed to the public.</w:t>
      </w:r>
    </w:p>
    <w:p>
      <w:pPr>
        <w:spacing w:after="0" w:line="170"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70"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Notwithstanding anything in this Agreement to the contrary, any indemnification and contribution by the Company shall be subject to the requirements and limitations of Section 17(i) of the 1940 Act and any applicable guidance from the Commission or its staff thereunder.</w:t>
      </w:r>
    </w:p>
    <w:p>
      <w:pPr>
        <w:spacing w:after="0" w:line="170"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or the Adviser within the meaning of Section 15 of the 1933 Act or Section 20 of the 1934 Act shall have the same rights to contribution as the Company or the Adviser, as the case may be. The Underwriters’ respective obligations to contribute pursuant to this Section 7 are several in proportion to the aggregate principal amount of Securities set forth opposite their respective names in Schedule A hereto and not joint.</w:t>
      </w:r>
    </w:p>
    <w:p>
      <w:pPr>
        <w:spacing w:after="0" w:line="178" w:lineRule="exact"/>
        <w:rPr>
          <w:sz w:val="20"/>
          <w:szCs w:val="20"/>
          <w:color w:val="auto"/>
        </w:rPr>
      </w:pPr>
    </w:p>
    <w:p>
      <w:pPr>
        <w:ind w:left="4" w:right="80"/>
        <w:spacing w:after="0" w:line="279"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Representations, Warranties and Agreements to Survive</w:t>
      </w:r>
      <w:r>
        <w:rPr>
          <w:rFonts w:ascii="Arial" w:cs="Arial" w:eastAsia="Arial" w:hAnsi="Arial"/>
          <w:sz w:val="17"/>
          <w:szCs w:val="17"/>
          <w:color w:val="auto"/>
        </w:rPr>
        <w:t>. All representations, warranties and agreements contained in this Agreement or in certificates of officers of the Company, any of the Subsidiaries or the Adviser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Securities.</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w:t>
      </w:r>
    </w:p>
    <w:p>
      <w:pPr>
        <w:spacing w:after="0" w:line="225" w:lineRule="exact"/>
        <w:rPr>
          <w:sz w:val="20"/>
          <w:szCs w:val="20"/>
          <w:color w:val="auto"/>
        </w:rPr>
      </w:pPr>
    </w:p>
    <w:p>
      <w:pPr>
        <w:ind w:left="4" w:right="160" w:hanging="4"/>
        <w:spacing w:after="0" w:line="279" w:lineRule="auto"/>
        <w:tabs>
          <w:tab w:leader="none" w:pos="248"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Termination</w:t>
      </w:r>
      <w:r>
        <w:rPr>
          <w:rFonts w:ascii="Arial" w:cs="Arial" w:eastAsia="Arial" w:hAnsi="Arial"/>
          <w:sz w:val="17"/>
          <w:szCs w:val="17"/>
          <w:color w:val="auto"/>
        </w:rPr>
        <w:t>. The Representatives may terminate this Agreement, by notice to the Company, at any time at or prior to the Closing Time (i) if there</w:t>
      </w:r>
      <w:r>
        <w:rPr>
          <w:rFonts w:ascii="Arial" w:cs="Arial" w:eastAsia="Arial" w:hAnsi="Arial"/>
          <w:sz w:val="17"/>
          <w:szCs w:val="17"/>
          <w:i w:val="1"/>
          <w:iCs w:val="1"/>
          <w:color w:val="auto"/>
        </w:rPr>
        <w:t xml:space="preserve"> </w:t>
      </w:r>
      <w:r>
        <w:rPr>
          <w:rFonts w:ascii="Arial" w:cs="Arial" w:eastAsia="Arial" w:hAnsi="Arial"/>
          <w:sz w:val="17"/>
          <w:szCs w:val="17"/>
          <w:color w:val="auto"/>
        </w:rPr>
        <w:t>has been, in the judgment of the Representatives, since the time of execution of this Agreement or since the respective dates as of which information is given in the Registration Statement, the General Disclosure Package or the Prospectus, any material adverse change in the business, properties, management, financial condition, prospects or results of operations of the Company and the Subsidiaries taken as one</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34" w:name="page35"/>
    <w:bookmarkEnd w:id="34"/>
    <w:p>
      <w:pPr>
        <w:ind w:left="4"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enterprise or the Adviser, whether or not arising in the ordinary course of business, which would make it impracticable or inadvisable to proceed with the public offering or the delivery of the Securities on the terms and in the manner contemplated in the Registration Statement, the preliminary prospectus and the Prospectus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Representatives, impracticable or inadvisable to proceed with the completion of the offering or to enforce contracts for the sale of the Securities, or</w:t>
      </w:r>
    </w:p>
    <w:p>
      <w:pPr>
        <w:spacing w:after="0" w:line="4" w:lineRule="exact"/>
        <w:rPr>
          <w:sz w:val="20"/>
          <w:szCs w:val="20"/>
          <w:color w:val="auto"/>
        </w:rPr>
      </w:pPr>
    </w:p>
    <w:p>
      <w:pPr>
        <w:ind w:left="324" w:hanging="324"/>
        <w:spacing w:after="0"/>
        <w:tabs>
          <w:tab w:leader="none" w:pos="324"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trading in any securities of the Company has been suspended or materially limited by the Commission or The New York Stock Exchange, or</w:t>
      </w:r>
    </w:p>
    <w:p>
      <w:pPr>
        <w:spacing w:after="0" w:line="32" w:lineRule="exact"/>
        <w:rPr>
          <w:rFonts w:ascii="Arial" w:cs="Arial" w:eastAsia="Arial" w:hAnsi="Arial"/>
          <w:sz w:val="16"/>
          <w:szCs w:val="16"/>
          <w:color w:val="auto"/>
        </w:rPr>
      </w:pPr>
    </w:p>
    <w:p>
      <w:pPr>
        <w:ind w:left="4" w:hanging="4"/>
        <w:spacing w:after="0" w:line="253" w:lineRule="auto"/>
        <w:tabs>
          <w:tab w:leader="none" w:pos="309"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trading generally on the NYSE Amex or The New York Stock Exchange or in the Nasdaq Global Market has been suspended or materially limited, or minimum or maximum prices for trading have been fixed, or maximum ranges for prices have been required, by any of said exchanges or by order of the Commission, FINRA or any other governmental authority,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191" w:lineRule="exact"/>
        <w:rPr>
          <w:sz w:val="20"/>
          <w:szCs w:val="20"/>
          <w:color w:val="auto"/>
        </w:rPr>
      </w:pPr>
    </w:p>
    <w:p>
      <w:pPr>
        <w:ind w:left="4" w:right="20" w:hanging="4"/>
        <w:spacing w:after="0" w:line="342" w:lineRule="auto"/>
        <w:tabs>
          <w:tab w:leader="none" w:pos="259"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Liabilities</w:t>
      </w:r>
      <w:r>
        <w:rPr>
          <w:rFonts w:ascii="Arial" w:cs="Arial" w:eastAsia="Arial" w:hAnsi="Arial"/>
          <w:sz w:val="16"/>
          <w:szCs w:val="16"/>
          <w:color w:val="auto"/>
        </w:rPr>
        <w:t>. If this Agreement is terminated pursuant to this Section, such termination shall be without liability of any party to any other party except</w:t>
      </w:r>
      <w:r>
        <w:rPr>
          <w:rFonts w:ascii="Arial" w:cs="Arial" w:eastAsia="Arial" w:hAnsi="Arial"/>
          <w:sz w:val="16"/>
          <w:szCs w:val="16"/>
          <w:i w:val="1"/>
          <w:iCs w:val="1"/>
          <w:color w:val="auto"/>
        </w:rPr>
        <w:t xml:space="preserve"> </w:t>
      </w:r>
      <w:r>
        <w:rPr>
          <w:rFonts w:ascii="Arial" w:cs="Arial" w:eastAsia="Arial" w:hAnsi="Arial"/>
          <w:sz w:val="16"/>
          <w:szCs w:val="16"/>
          <w:color w:val="auto"/>
        </w:rPr>
        <w:t>as provided in Section 4 hereof, provided that Sections 1, 6, 7, 8, 14, 15 and 16 shall survive such termination and remain in full force and effect.</w:t>
      </w:r>
    </w:p>
    <w:p>
      <w:pPr>
        <w:spacing w:after="0" w:line="124" w:lineRule="exact"/>
        <w:rPr>
          <w:sz w:val="20"/>
          <w:szCs w:val="20"/>
          <w:color w:val="auto"/>
        </w:rPr>
      </w:pPr>
    </w:p>
    <w:p>
      <w:pPr>
        <w:ind w:left="4" w:right="20"/>
        <w:spacing w:after="0" w:line="289"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Default by One or More of the Underwriters</w:t>
      </w:r>
      <w:r>
        <w:rPr>
          <w:rFonts w:ascii="Arial" w:cs="Arial" w:eastAsia="Arial" w:hAnsi="Arial"/>
          <w:sz w:val="16"/>
          <w:szCs w:val="16"/>
          <w:color w:val="auto"/>
        </w:rPr>
        <w:t>. If one or more of the Underwriters shall fail at the Closing Time to purchase the Securities which it or they are obligated to purchase under this Agreement (the “Defaulted Securities”), the non-defaulting Underwriters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non-defaulting Underwriters shall not have completed such arrangements within such 24-hour period, then if the aggregate principal amount of Defaulted Securities does not exceed 10% of the aggregate principal amount of Securities to be purchased, each of the non-defaulting Underwriters shall be obligated, severally and not jointly, to purchase the full amount thereof in the proportions that their respective underwriting obligations hereunder bear to the underwriting obligations of all non-defaulting Underwriters, or if the aggregate principal amount of Defaulted Securities exceeds 10% of the aggregate principal amount of Securities to be purchased, this Agreement shall terminate without liability on the part of any non-defaulting Underwriter.</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No action taken pursuant to this Section shall relieve any defaulting Underwriter from liability in respect of its default.</w:t>
      </w:r>
    </w:p>
    <w:p>
      <w:pPr>
        <w:spacing w:after="0" w:line="225"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In the event of any such default which does not result in a termination of this Agreement, either (i) the non-defaulting Underwriters or (ii) the Company shall have the right to postpone Closing Time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119"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24"/>
          </w:cols>
          <w:pgMar w:left="436" w:top="274" w:right="539" w:bottom="1440" w:gutter="0" w:footer="0" w:header="0"/>
        </w:sectPr>
      </w:pPr>
    </w:p>
    <w:bookmarkStart w:id="35" w:name="page36"/>
    <w:bookmarkEnd w:id="35"/>
    <w:p>
      <w:pPr>
        <w:ind w:left="4" w:right="4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hereunder shall be in writing and shall be deemed to have been duly given if mailed or transmitted by any standard form of telecommunication. Notices to the Underwriters shall be directed to (i) (a) Goldman Sachs &amp; Co. LLC at 200 West Street, New York, New York 10282-2198 Attention: Registration Department; (b) Keefe, Bruyette &amp; Woods, Inc. at 787 Seventh Avenue, Fourth Floor, New York, New York 10019 Facsimile: (212) 581-1592 Attention: Capital Markets; and (c) Truist Securities, Inc. at 3333 Peachtree Road NE, Atlanta, Georgia 30326 Facsimile: (404) 926-5027 Attention: Investment Grade Capital Markets; and (ii) Ropes &amp; Gray LLP at 1211 Avenue of the Americas, New York, New York 10036, Attention: Paul Tropp and Christopher Capuzzi. Notices to the Company and the Adviser shall be directed to them at 590 Madison Avenue, 15th Floor, New York, NY 10022, facsimile no. (212) 905-1075, Attention: Arthur Penn.</w:t>
      </w:r>
    </w:p>
    <w:p>
      <w:pPr>
        <w:spacing w:after="0" w:line="177"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No Advisory or Fiduciary Relationship</w:t>
      </w:r>
      <w:r>
        <w:rPr>
          <w:rFonts w:ascii="Arial" w:cs="Arial" w:eastAsia="Arial" w:hAnsi="Arial"/>
          <w:sz w:val="16"/>
          <w:szCs w:val="16"/>
          <w:color w:val="auto"/>
        </w:rPr>
        <w:t>.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several Underwriters, on the other hand, (b) in connection with the offering of the Securities and the process leading thereto, each Underwriter is and has been acting solely as a principal and is not the agent or fiduciary of the Company, any of the Subsidiaries or their respective stockholders, creditors, employees or any other party, (c) no Underwriter has assumed or will assume an advisory or fiduciary responsibility in favor of the Company with respect to the offering of the Securities or the process leading thereto (irrespective of whether such Underwriter has advised or is currently advising the Company or any of its subsidiaries on other matters) and no Underwriter has any obligation to the Company with respect to the offering of the Securities except the obligations expressly set forth in this Agreement,</w:t>
      </w:r>
    </w:p>
    <w:p>
      <w:pPr>
        <w:spacing w:after="0" w:line="1" w:lineRule="exact"/>
        <w:rPr>
          <w:sz w:val="20"/>
          <w:szCs w:val="20"/>
          <w:color w:val="auto"/>
        </w:rPr>
      </w:pPr>
    </w:p>
    <w:p>
      <w:pPr>
        <w:ind w:left="4" w:hanging="4"/>
        <w:spacing w:after="0" w:line="277" w:lineRule="auto"/>
        <w:tabs>
          <w:tab w:leader="none" w:pos="259"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Underwriters and their respective affiliates may be engaged in a broad range of transactions that involve interests that differ from those of the Company and (e) the Underwriters have not provided any legal, accounting, regulatory or tax advice with respect to the offering of the Securities and the Company has consulted its own respective legal, accounting, regulatory and tax advisors to the extent it deemed appropriate.</w:t>
      </w:r>
    </w:p>
    <w:p>
      <w:pPr>
        <w:spacing w:after="0" w:line="173" w:lineRule="exact"/>
        <w:rPr>
          <w:sz w:val="20"/>
          <w:szCs w:val="20"/>
          <w:color w:val="auto"/>
        </w:rPr>
      </w:pPr>
    </w:p>
    <w:p>
      <w:pPr>
        <w:ind w:left="4" w:right="40"/>
        <w:spacing w:after="0" w:line="271"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Parties</w:t>
      </w:r>
      <w:r>
        <w:rPr>
          <w:rFonts w:ascii="Arial" w:cs="Arial" w:eastAsia="Arial" w:hAnsi="Arial"/>
          <w:sz w:val="17"/>
          <w:szCs w:val="17"/>
          <w:color w:val="auto"/>
        </w:rPr>
        <w:t>. This Agreement shall each inure to the benefit of and be binding upon the Underwriters and the Company and their respective successors. Nothing expressed or mentioned in this Agreement is intended or shall be construed to give any person, firm or corporation, other than the Underwriters, the Company and the Adviser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the Company and the Adviser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4" w:right="459" w:bottom="1440" w:gutter="0" w:footer="0" w:header="0"/>
        </w:sectPr>
      </w:pPr>
    </w:p>
    <w:bookmarkStart w:id="36" w:name="page37"/>
    <w:bookmarkEnd w:id="36"/>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 </w:t>
      </w:r>
      <w:r>
        <w:rPr>
          <w:rFonts w:ascii="Arial" w:cs="Arial" w:eastAsia="Arial" w:hAnsi="Arial"/>
          <w:sz w:val="18"/>
          <w:szCs w:val="18"/>
          <w:u w:val="single" w:color="auto"/>
          <w:color w:val="auto"/>
        </w:rPr>
        <w:t>Trial by Jury</w:t>
      </w:r>
      <w:r>
        <w:rPr>
          <w:rFonts w:ascii="Arial" w:cs="Arial" w:eastAsia="Arial" w:hAnsi="Arial"/>
          <w:sz w:val="18"/>
          <w:szCs w:val="18"/>
          <w:color w:val="auto"/>
        </w:rPr>
        <w:t>.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CONTROVERSY OR DISPUTE ARISING UNDER OR RELATED TO THIS AGREEMENT SHALL BE GOVERNED BY, AND CONSTRUED IN ACCORDANCE WITH THE LAWS OF, THE STATE OF NEW YORK.</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Consent to Jurisdiction; Waiver of Immunity</w:t>
      </w:r>
      <w:r>
        <w:rPr>
          <w:rFonts w:ascii="Arial" w:cs="Arial" w:eastAsia="Arial" w:hAnsi="Arial"/>
          <w:sz w:val="17"/>
          <w:szCs w:val="17"/>
          <w:color w:val="auto"/>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TIME</w:t>
      </w:r>
      <w:r>
        <w:rPr>
          <w:rFonts w:ascii="Arial" w:cs="Arial" w:eastAsia="Arial" w:hAnsi="Arial"/>
          <w:sz w:val="18"/>
          <w:szCs w:val="18"/>
          <w:color w:val="auto"/>
        </w:rPr>
        <w:t>. TIME SHALL BE OF THE ESSENCE OF THIS AGREEMENT. EXCEPT AS OTHERWISE SET FORTH HEREIN, SPECIFIED TIMES OF DAY REFER TO NEW YORK CITY TIME.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but all such counterparts shall together constitute one and the same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225" w:lineRule="exact"/>
        <w:rPr>
          <w:sz w:val="20"/>
          <w:szCs w:val="20"/>
          <w:color w:val="auto"/>
        </w:rPr>
      </w:pPr>
    </w:p>
    <w:p>
      <w:pPr>
        <w:ind w:right="80" w:firstLine="436"/>
        <w:spacing w:after="0" w:line="259" w:lineRule="auto"/>
        <w:tabs>
          <w:tab w:leader="none" w:pos="68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37" w:name="page38"/>
    <w:bookmarkEnd w:id="37"/>
    <w:p>
      <w:pPr>
        <w:ind w:left="4" w:right="20" w:firstLine="436"/>
        <w:spacing w:after="0" w:line="259" w:lineRule="auto"/>
        <w:tabs>
          <w:tab w:leader="none" w:pos="699" w:val="left"/>
        </w:tabs>
        <w:numPr>
          <w:ilvl w:val="1"/>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6" w:lineRule="exact"/>
        <w:rPr>
          <w:rFonts w:ascii="Arial" w:cs="Arial" w:eastAsia="Arial" w:hAnsi="Arial"/>
          <w:sz w:val="18"/>
          <w:szCs w:val="18"/>
          <w:color w:val="auto"/>
        </w:rPr>
      </w:pPr>
    </w:p>
    <w:p>
      <w:pPr>
        <w:ind w:left="4" w:firstLine="436"/>
        <w:spacing w:after="0" w:line="285" w:lineRule="auto"/>
        <w:tabs>
          <w:tab w:leader="none" w:pos="689" w:val="left"/>
        </w:tabs>
        <w:numPr>
          <w:ilvl w:val="1"/>
          <w:numId w:val="61"/>
        </w:numPr>
        <w:rPr>
          <w:rFonts w:ascii="Arial" w:cs="Arial" w:eastAsia="Arial" w:hAnsi="Arial"/>
          <w:sz w:val="16"/>
          <w:szCs w:val="16"/>
          <w:color w:val="auto"/>
        </w:rPr>
      </w:pPr>
      <w:r>
        <w:rPr>
          <w:rFonts w:ascii="Arial" w:cs="Arial" w:eastAsia="Arial" w:hAnsi="Arial"/>
          <w:sz w:val="16"/>
          <w:szCs w:val="16"/>
          <w:color w:val="auto"/>
        </w:rPr>
        <w:t>For purposes of this Section 20,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w:t>
      </w:r>
    </w:p>
    <w:p>
      <w:pPr>
        <w:spacing w:after="0" w:line="1" w:lineRule="exact"/>
        <w:rPr>
          <w:rFonts w:ascii="Arial" w:cs="Arial" w:eastAsia="Arial" w:hAnsi="Arial"/>
          <w:sz w:val="16"/>
          <w:szCs w:val="16"/>
          <w:color w:val="auto"/>
        </w:rPr>
      </w:pPr>
    </w:p>
    <w:p>
      <w:pPr>
        <w:ind w:left="4" w:right="120" w:hanging="4"/>
        <w:spacing w:after="0" w:line="260" w:lineRule="auto"/>
        <w:tabs>
          <w:tab w:leader="none" w:pos="219"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Federal Deposit Insurance Act and the regulations promulgated thereunder and (ii) Title II of the Dodd-Frank Wall Street Reform and Consumer Protection Act and the regulations promulgated thereunder.</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4"/>
          </w:cols>
          <w:pgMar w:left="436" w:top="274" w:right="459" w:bottom="1440" w:gutter="0" w:footer="0" w:header="0"/>
        </w:sectPr>
      </w:pPr>
    </w:p>
    <w:bookmarkStart w:id="38" w:name="page39"/>
    <w:bookmarkEnd w:id="38"/>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Underwriters, the Company and the Adviser in accordance with its terms.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Managing Member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440" w:top="274" w:right="49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CONFIRMED AND ACCEPTED,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the date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Sam Chaffin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Sam Chaffin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Allen Laufenberg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Allen Laufenberg</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TRUIST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Nordlinger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Robert Nordlinger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019"/>
          </w:cols>
          <w:pgMar w:left="440" w:top="274" w:right="1440" w:bottom="1440" w:gutter="0" w:footer="0" w:header="0"/>
        </w:sectPr>
      </w:pPr>
    </w:p>
    <w:bookmarkStart w:id="40" w:name="page41"/>
    <w:bookmarkEnd w:id="40"/>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121" w:lineRule="exact"/>
        <w:rPr>
          <w:sz w:val="20"/>
          <w:szCs w:val="20"/>
          <w:color w:val="auto"/>
        </w:rPr>
      </w:pPr>
    </w:p>
    <w:p>
      <w:pPr>
        <w:ind w:left="184" w:hanging="184"/>
        <w:spacing w:after="0"/>
        <w:tabs>
          <w:tab w:leader="none" w:pos="18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initial offering price for the Securities shall be 99.441% of the aggregate principal amount thereof.</w:t>
      </w:r>
    </w:p>
    <w:p>
      <w:pPr>
        <w:spacing w:after="0" w:line="225" w:lineRule="exact"/>
        <w:rPr>
          <w:rFonts w:ascii="Arial" w:cs="Arial" w:eastAsia="Arial" w:hAnsi="Arial"/>
          <w:sz w:val="18"/>
          <w:szCs w:val="18"/>
          <w:color w:val="auto"/>
        </w:rPr>
      </w:pPr>
    </w:p>
    <w:p>
      <w:pPr>
        <w:ind w:left="184" w:hanging="184"/>
        <w:spacing w:after="0"/>
        <w:tabs>
          <w:tab w:leader="none" w:pos="184"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Purchase Price for the Securities to be paid by the several Underwriters shall be 97.441% of the aggregate principal amount thereof.</w:t>
      </w:r>
    </w:p>
    <w:p>
      <w:pPr>
        <w:spacing w:after="0" w:line="24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9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9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4"/>
              </w:rPr>
              <w:t>Underwriters</w:t>
            </w:r>
          </w:p>
        </w:tc>
        <w:tc>
          <w:tcPr>
            <w:tcW w:w="9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Securities to</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9120" w:type="dxa"/>
            <w:vAlign w:val="bottom"/>
            <w:vMerge w:val="continue"/>
          </w:tcPr>
          <w:p>
            <w:pPr>
              <w:spacing w:after="0"/>
              <w:rPr>
                <w:sz w:val="15"/>
                <w:szCs w:val="15"/>
                <w:color w:val="auto"/>
              </w:rPr>
            </w:pPr>
          </w:p>
        </w:tc>
        <w:tc>
          <w:tcPr>
            <w:tcW w:w="106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91"/>
              </w:rPr>
              <w:t>be Purchased</w:t>
            </w:r>
          </w:p>
        </w:tc>
        <w:tc>
          <w:tcPr>
            <w:tcW w:w="0" w:type="dxa"/>
            <w:vAlign w:val="bottom"/>
          </w:tcPr>
          <w:p>
            <w:pPr>
              <w:spacing w:after="0"/>
              <w:rPr>
                <w:sz w:val="1"/>
                <w:szCs w:val="1"/>
                <w:color w:val="auto"/>
              </w:rPr>
            </w:pPr>
          </w:p>
        </w:tc>
      </w:tr>
      <w:tr>
        <w:trPr>
          <w:trHeight w:val="203"/>
        </w:trPr>
        <w:tc>
          <w:tcPr>
            <w:tcW w:w="9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Goldman Sachs &amp; Co. LLC</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60,000,000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960" w:type="dxa"/>
            <w:vAlign w:val="bottom"/>
            <w:gridSpan w:val="2"/>
          </w:tcPr>
          <w:p>
            <w:pPr>
              <w:spacing w:after="0"/>
              <w:rPr>
                <w:sz w:val="20"/>
                <w:szCs w:val="20"/>
                <w:color w:val="auto"/>
              </w:rPr>
            </w:pPr>
            <w:r>
              <w:rPr>
                <w:rFonts w:ascii="Arial" w:cs="Arial" w:eastAsia="Arial" w:hAnsi="Arial"/>
                <w:sz w:val="18"/>
                <w:szCs w:val="18"/>
                <w:color w:val="auto"/>
              </w:rPr>
              <w:t>Keefe, Bruyette &amp; Woods,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20,000,000</w:t>
            </w: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Truist Securities,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10,000,000</w:t>
            </w:r>
          </w:p>
        </w:tc>
        <w:tc>
          <w:tcPr>
            <w:tcW w:w="0" w:type="dxa"/>
            <w:vAlign w:val="bottom"/>
          </w:tcPr>
          <w:p>
            <w:pPr>
              <w:spacing w:after="0"/>
              <w:rPr>
                <w:sz w:val="1"/>
                <w:szCs w:val="1"/>
                <w:color w:val="auto"/>
              </w:rPr>
            </w:pPr>
          </w:p>
        </w:tc>
      </w:tr>
      <w:tr>
        <w:trPr>
          <w:trHeight w:val="216"/>
        </w:trPr>
        <w:tc>
          <w:tcPr>
            <w:tcW w:w="9960" w:type="dxa"/>
            <w:vAlign w:val="bottom"/>
            <w:gridSpan w:val="2"/>
          </w:tcPr>
          <w:p>
            <w:pPr>
              <w:spacing w:after="0"/>
              <w:rPr>
                <w:sz w:val="20"/>
                <w:szCs w:val="20"/>
                <w:color w:val="auto"/>
              </w:rPr>
            </w:pPr>
            <w:r>
              <w:rPr>
                <w:rFonts w:ascii="Arial" w:cs="Arial" w:eastAsia="Arial" w:hAnsi="Arial"/>
                <w:sz w:val="18"/>
                <w:szCs w:val="18"/>
                <w:color w:val="auto"/>
              </w:rPr>
              <w:t>JMP Securities LLC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Ladenburg Thalmann &amp; Co.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24"/>
        </w:trPr>
        <w:tc>
          <w:tcPr>
            <w:tcW w:w="99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70" w:right="439" w:bottom="1440" w:gutter="0" w:footer="0" w:header="0"/>
        </w:sectPr>
      </w:pPr>
    </w:p>
    <w:bookmarkStart w:id="41" w:name="page42"/>
    <w:bookmarkEnd w:id="41"/>
    <w:p>
      <w:pPr>
        <w:ind w:left="49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Term sheet containing the terms of the Securities, substantially in the form of Annex A hereto.</w:t>
      </w:r>
    </w:p>
    <w:p>
      <w:pPr>
        <w:spacing w:after="0" w:line="18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19"/>
          </w:cols>
          <w:pgMar w:left="440" w:top="270" w:right="1440" w:bottom="1440" w:gutter="0" w:footer="0" w:header="0"/>
        </w:sectPr>
      </w:pPr>
    </w:p>
    <w:bookmarkStart w:id="42" w:name="page43"/>
    <w:bookmarkEnd w:id="42"/>
    <w:p>
      <w:pPr>
        <w:jc w:val="right"/>
        <w:ind w:right="39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subsidiaries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Funding 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Funding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CLO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CLO 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CLO I Depositor,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PFLT Investment Holdings, LLC</w:t>
      </w:r>
    </w:p>
    <w:p>
      <w:pPr>
        <w:sectPr>
          <w:pgSz w:w="11900" w:h="16838" w:orient="portrait"/>
          <w:cols w:equalWidth="0" w:num="1">
            <w:col w:w="10019"/>
          </w:cols>
          <w:pgMar w:left="440" w:top="270" w:right="1440"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Issuer Free Writing Prospectus dated March 18,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Relating to Preliminary Prospectus dated March 18, 2021 and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Prospectus dated January 29, 2020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333-235532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4.25% Notes due 2026</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PRICING TERM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18, 2021</w:t>
      </w:r>
    </w:p>
    <w:p>
      <w:pPr>
        <w:spacing w:after="0" w:line="211"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The following sets forth the final terms of the 4.25% Notes due 2026 and should only be read together with the preliminary prospectus supplement dated March 18, 2021, together with the accompanying prospectus dated January 29, 2020,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sectPr>
          <w:pgSz w:w="11900" w:h="16838" w:orient="portrait"/>
          <w:cols w:equalWidth="0" w:num="1">
            <w:col w:w="11020"/>
          </w:cols>
          <w:pgMar w:left="440" w:top="270" w:right="4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PennantPark Floating Rate Capital Ltd.</w:t>
      </w:r>
    </w:p>
    <w:p>
      <w:pPr>
        <w:spacing w:after="0" w:line="140"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Security: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4.25% Notes due 2026</w:t>
      </w:r>
    </w:p>
    <w:p>
      <w:pPr>
        <w:spacing w:after="0" w:line="140"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Rating (Egan-Jones)*: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BBB</w:t>
      </w:r>
    </w:p>
    <w:p>
      <w:pPr>
        <w:spacing w:after="0" w:line="129"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March 18, 2021</w:t>
      </w:r>
    </w:p>
    <w:p>
      <w:pPr>
        <w:spacing w:after="0" w:line="140"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March 23, 2021 (T+3)</w:t>
      </w:r>
    </w:p>
    <w:p>
      <w:pPr>
        <w:spacing w:after="0" w:line="154"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ind w:left="3200" w:right="60"/>
        <w:spacing w:after="0" w:line="271" w:lineRule="auto"/>
        <w:rPr>
          <w:sz w:val="20"/>
          <w:szCs w:val="20"/>
          <w:color w:val="auto"/>
        </w:rPr>
      </w:pPr>
      <w:r>
        <w:rPr>
          <w:rFonts w:ascii="Arial" w:cs="Arial" w:eastAsia="Arial" w:hAnsi="Arial"/>
          <w:sz w:val="17"/>
          <w:szCs w:val="17"/>
          <w:color w:val="auto"/>
        </w:rPr>
        <w:t>PennantPark Floating Rate Capital Ltd. expects that delivery of the Notes will be made to investors on or about March 23, 2021, which will be the third business day following the date of pricing of the notes (such settlement cycle being herein referred to as “T+3”). Under Rule 15c6-1 under the Exchange Act, trades in the secondary market generally are required to settle in two business days, unless the parties to any such trade expressly agree otherwise. Accordingly, purchasers who wish to trade notes on the date of pricing will be required, by virtue of the fact that the notes initially will settle T+3, to specify an alternate settlement cycle at the time of any such trade to prevent a failed settlement. Purchasers of notes who wish to trade notes on the date of pricing should consult their own advisor.</w:t>
      </w:r>
    </w:p>
    <w:p>
      <w:pPr>
        <w:sectPr>
          <w:pgSz w:w="11900" w:h="16838" w:orient="portrait"/>
          <w:cols w:equalWidth="0" w:num="1">
            <w:col w:w="11020"/>
          </w:cols>
          <w:pgMar w:left="440" w:top="270" w:right="439" w:bottom="1440" w:gutter="0" w:footer="0" w:header="0"/>
          <w:type w:val="continuous"/>
        </w:sectPr>
      </w:pP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Aggregate Principal Amount Offered:</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$100,000,000</w:t>
      </w:r>
    </w:p>
    <w:p>
      <w:pPr>
        <w:spacing w:after="0" w:line="140" w:lineRule="exact"/>
        <w:rPr>
          <w:sz w:val="20"/>
          <w:szCs w:val="20"/>
          <w:color w:val="auto"/>
        </w:rPr>
      </w:pPr>
    </w:p>
    <w:p>
      <w:pPr>
        <w:sectPr>
          <w:pgSz w:w="11900" w:h="16838" w:orient="portrait"/>
          <w:cols w:equalWidth="0" w:num="2">
            <w:col w:w="2720" w:space="480"/>
            <w:col w:w="782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April 1, 2026</w:t>
      </w:r>
    </w:p>
    <w:p>
      <w:pPr>
        <w:spacing w:after="0" w:line="129"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0.500% due February 28, 2026</w:t>
      </w:r>
    </w:p>
    <w:p>
      <w:pPr>
        <w:spacing w:after="0" w:line="140"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Benchmark Treasury Price and 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98-08 / 0.862%</w:t>
      </w:r>
    </w:p>
    <w:p>
      <w:pPr>
        <w:sectPr>
          <w:pgSz w:w="11900" w:h="16838" w:orient="portrait"/>
          <w:cols w:equalWidth="0" w:num="2">
            <w:col w:w="2700" w:space="500"/>
            <w:col w:w="7820"/>
          </w:cols>
          <w:pgMar w:left="440" w:top="270" w:right="4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6"/>
          <w:szCs w:val="16"/>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+351.3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-201295</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2480" w:space="720"/>
            <w:col w:w="7740"/>
          </w:cols>
          <w:pgMar w:left="440" w:top="274" w:right="519" w:bottom="1440" w:gutter="0" w:footer="0" w:header="0"/>
        </w:sectPr>
      </w:pPr>
    </w:p>
    <w:p>
      <w:pPr>
        <w:spacing w:after="0"/>
        <w:rPr>
          <w:sz w:val="20"/>
          <w:szCs w:val="20"/>
          <w:color w:val="auto"/>
        </w:rPr>
      </w:pPr>
      <w:r>
        <w:rPr>
          <w:rFonts w:ascii="Arial" w:cs="Arial" w:eastAsia="Arial" w:hAnsi="Arial"/>
          <w:sz w:val="17"/>
          <w:szCs w:val="17"/>
          <w:color w:val="auto"/>
        </w:rPr>
        <w:t>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4.375%</w:t>
      </w:r>
    </w:p>
    <w:p>
      <w:pPr>
        <w:spacing w:after="0" w:line="140" w:lineRule="exact"/>
        <w:rPr>
          <w:sz w:val="20"/>
          <w:szCs w:val="20"/>
          <w:color w:val="auto"/>
        </w:rPr>
      </w:pPr>
    </w:p>
    <w:p>
      <w:pPr>
        <w:sectPr>
          <w:pgSz w:w="11900" w:h="16838" w:orient="portrait"/>
          <w:cols w:equalWidth="0" w:num="2">
            <w:col w:w="2480" w:space="720"/>
            <w:col w:w="7740"/>
          </w:cols>
          <w:pgMar w:left="440" w:top="274" w:right="519" w:bottom="1440" w:gutter="0" w:footer="0" w:header="0"/>
          <w:type w:val="continuous"/>
        </w:sectPr>
      </w:pPr>
    </w:p>
    <w:p>
      <w:pPr>
        <w:spacing w:after="0"/>
        <w:rPr>
          <w:sz w:val="20"/>
          <w:szCs w:val="20"/>
          <w:color w:val="auto"/>
        </w:rPr>
      </w:pPr>
      <w:r>
        <w:rPr>
          <w:rFonts w:ascii="Arial" w:cs="Arial" w:eastAsia="Arial" w:hAnsi="Arial"/>
          <w:sz w:val="16"/>
          <w:szCs w:val="16"/>
          <w:color w:val="auto"/>
        </w:rPr>
        <w:t>Price to Public (Issue Price):</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The Notes will be issued at a price of 99.441% of their principal amount, plus accrued interest, if any, from March 23, 2021</w:t>
      </w:r>
    </w:p>
    <w:p>
      <w:pPr>
        <w:spacing w:after="0" w:line="62" w:lineRule="exact"/>
        <w:rPr>
          <w:sz w:val="20"/>
          <w:szCs w:val="20"/>
          <w:color w:val="auto"/>
        </w:rPr>
      </w:pPr>
    </w:p>
    <w:p>
      <w:pPr>
        <w:sectPr>
          <w:pgSz w:w="11900" w:h="16838" w:orient="portrait"/>
          <w:cols w:equalWidth="0" w:num="2">
            <w:col w:w="2480" w:space="720"/>
            <w:col w:w="7740"/>
          </w:cols>
          <w:pgMar w:left="440" w:top="274" w:right="519" w:bottom="1440" w:gutter="0" w:footer="0" w:header="0"/>
          <w:type w:val="continuous"/>
        </w:sectPr>
      </w:pPr>
    </w:p>
    <w:p>
      <w:pPr>
        <w:spacing w:after="0"/>
        <w:rPr>
          <w:sz w:val="20"/>
          <w:szCs w:val="20"/>
          <w:color w:val="auto"/>
        </w:rPr>
      </w:pPr>
      <w:r>
        <w:rPr>
          <w:rFonts w:ascii="Arial" w:cs="Arial" w:eastAsia="Arial" w:hAnsi="Arial"/>
          <w:sz w:val="16"/>
          <w:szCs w:val="16"/>
          <w:color w:val="auto"/>
        </w:rPr>
        <w:t>Coupon (Interest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4.25%</w:t>
      </w:r>
    </w:p>
    <w:p>
      <w:pPr>
        <w:spacing w:after="0" w:line="140" w:lineRule="exact"/>
        <w:rPr>
          <w:sz w:val="20"/>
          <w:szCs w:val="20"/>
          <w:color w:val="auto"/>
        </w:rPr>
      </w:pPr>
    </w:p>
    <w:p>
      <w:pPr>
        <w:sectPr>
          <w:pgSz w:w="11900" w:h="16838" w:orient="portrait"/>
          <w:cols w:equalWidth="0" w:num="2">
            <w:col w:w="2480" w:space="720"/>
            <w:col w:w="7740"/>
          </w:cols>
          <w:pgMar w:left="440" w:top="274" w:right="519" w:bottom="1440" w:gutter="0" w:footer="0" w:header="0"/>
          <w:type w:val="continuous"/>
        </w:sectPr>
      </w:pPr>
    </w:p>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April 1 and October 1, commencing October 1, 2021</w:t>
      </w:r>
    </w:p>
    <w:p>
      <w:pPr>
        <w:spacing w:after="0" w:line="140" w:lineRule="exact"/>
        <w:rPr>
          <w:sz w:val="20"/>
          <w:szCs w:val="20"/>
          <w:color w:val="auto"/>
        </w:rPr>
      </w:pPr>
    </w:p>
    <w:p>
      <w:pPr>
        <w:sectPr>
          <w:pgSz w:w="11900" w:h="16838" w:orient="portrait"/>
          <w:cols w:equalWidth="0" w:num="2">
            <w:col w:w="2480" w:space="720"/>
            <w:col w:w="7740"/>
          </w:cols>
          <w:pgMar w:left="440" w:top="274" w:right="519" w:bottom="1440" w:gutter="0" w:footer="0" w:header="0"/>
          <w:type w:val="continuous"/>
        </w:sectPr>
      </w:pPr>
    </w:p>
    <w:p>
      <w:pPr>
        <w:spacing w:after="0"/>
        <w:rPr>
          <w:sz w:val="20"/>
          <w:szCs w:val="20"/>
          <w:color w:val="auto"/>
        </w:rPr>
      </w:pPr>
      <w:r>
        <w:rPr>
          <w:rFonts w:ascii="Arial" w:cs="Arial" w:eastAsia="Arial" w:hAnsi="Arial"/>
          <w:sz w:val="16"/>
          <w:szCs w:val="16"/>
          <w:color w:val="auto"/>
        </w:rPr>
        <w:t>Make-Whole Redemption: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Equal to the greater of the following amounts:</w:t>
      </w:r>
    </w:p>
    <w:p>
      <w:pPr>
        <w:spacing w:after="0" w:line="154" w:lineRule="exact"/>
        <w:rPr>
          <w:sz w:val="20"/>
          <w:szCs w:val="20"/>
          <w:color w:val="auto"/>
        </w:rPr>
      </w:pPr>
    </w:p>
    <w:p>
      <w:pPr>
        <w:sectPr>
          <w:pgSz w:w="11900" w:h="16838" w:orient="portrait"/>
          <w:cols w:equalWidth="0" w:num="2">
            <w:col w:w="2480" w:space="720"/>
            <w:col w:w="7740"/>
          </w:cols>
          <w:pgMar w:left="440" w:top="274" w:right="519" w:bottom="1440" w:gutter="0" w:footer="0" w:header="0"/>
          <w:type w:val="continuous"/>
        </w:sectPr>
      </w:pPr>
    </w:p>
    <w:p>
      <w:pPr>
        <w:ind w:left="3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 of the principal amount of the Notes to be redeemed, or</w:t>
      </w:r>
    </w:p>
    <w:p>
      <w:pPr>
        <w:spacing w:after="0" w:line="153" w:lineRule="exact"/>
        <w:rPr>
          <w:sz w:val="20"/>
          <w:szCs w:val="20"/>
          <w:color w:val="auto"/>
        </w:rPr>
      </w:pPr>
    </w:p>
    <w:p>
      <w:pPr>
        <w:sectPr>
          <w:pgSz w:w="11900" w:h="16838" w:orient="portrait"/>
          <w:cols w:equalWidth="0" w:num="2">
            <w:col w:w="3700" w:space="200"/>
            <w:col w:w="7040"/>
          </w:cols>
          <w:pgMar w:left="440" w:top="274" w:right="519" w:bottom="1440" w:gutter="0" w:footer="0" w:header="0"/>
          <w:type w:val="continuous"/>
        </w:sectPr>
      </w:pPr>
    </w:p>
    <w:p>
      <w:pPr>
        <w:ind w:left="3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0" w:hanging="15"/>
        <w:spacing w:after="0" w:line="290" w:lineRule="auto"/>
        <w:rPr>
          <w:sz w:val="20"/>
          <w:szCs w:val="20"/>
          <w:color w:val="auto"/>
        </w:rPr>
      </w:pPr>
      <w:r>
        <w:rPr>
          <w:rFonts w:ascii="Arial" w:cs="Arial" w:eastAsia="Arial" w:hAnsi="Arial"/>
          <w:sz w:val="16"/>
          <w:szCs w:val="16"/>
          <w:color w:val="auto"/>
        </w:rPr>
        <w:t xml:space="preserve">the sum of the present values of the remaining scheduled payments of principal and interest (exclusive of accrued and unpaid interest to the date of redemption) on the Notes to be redeemed, discounted to the redemption date on a semi-annual basis (assuming a 360-day year consisting of twelve 30-day months) using the applicable Treasury Rate plus 50 basis points;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PennantPark Floating Rate Capital Ltd. redeems any Notes on or after January 1,</w:t>
      </w:r>
      <w:r>
        <w:rPr>
          <w:rFonts w:ascii="Arial" w:cs="Arial" w:eastAsia="Arial" w:hAnsi="Arial"/>
          <w:sz w:val="16"/>
          <w:szCs w:val="16"/>
          <w:i w:val="1"/>
          <w:iCs w:val="1"/>
          <w:color w:val="auto"/>
        </w:rPr>
        <w:t xml:space="preserve"> </w:t>
      </w:r>
      <w:r>
        <w:rPr>
          <w:rFonts w:ascii="Arial" w:cs="Arial" w:eastAsia="Arial" w:hAnsi="Arial"/>
          <w:sz w:val="16"/>
          <w:szCs w:val="16"/>
          <w:color w:val="auto"/>
        </w:rPr>
        <w:t>2026 (the date falling three months prior to the maturity date of the Notes), the redemption price for the Notes will be equal to 100% of the principal amount of the Notes to be redeemed, plus, in each case, accrued and unpaid interest, if any, to, but excluding, the date of redemption</w:t>
      </w:r>
    </w:p>
    <w:p>
      <w:pPr>
        <w:spacing w:after="0" w:line="71" w:lineRule="exact"/>
        <w:rPr>
          <w:sz w:val="20"/>
          <w:szCs w:val="20"/>
          <w:color w:val="auto"/>
        </w:rPr>
      </w:pPr>
    </w:p>
    <w:p>
      <w:pPr>
        <w:sectPr>
          <w:pgSz w:w="11900" w:h="16838" w:orient="portrait"/>
          <w:cols w:equalWidth="0" w:num="2">
            <w:col w:w="3700" w:space="220"/>
            <w:col w:w="7020"/>
          </w:cols>
          <w:pgMar w:left="440" w:top="274" w:right="519" w:bottom="1440" w:gutter="0" w:footer="0" w:header="0"/>
          <w:type w:val="continuous"/>
        </w:sectPr>
      </w:pPr>
    </w:p>
    <w:p>
      <w:pPr>
        <w:spacing w:after="0"/>
        <w:rPr>
          <w:sz w:val="20"/>
          <w:szCs w:val="20"/>
          <w:color w:val="auto"/>
        </w:rPr>
      </w:pPr>
      <w:r>
        <w:rPr>
          <w:rFonts w:ascii="Arial" w:cs="Arial" w:eastAsia="Arial" w:hAnsi="Arial"/>
          <w:sz w:val="16"/>
          <w:szCs w:val="16"/>
          <w:color w:val="auto"/>
        </w:rPr>
        <w:t>Denomination: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integral multiples of $1,000 in excess thereof</w:t>
      </w:r>
    </w:p>
    <w:p>
      <w:pPr>
        <w:spacing w:after="0" w:line="140" w:lineRule="exact"/>
        <w:rPr>
          <w:sz w:val="20"/>
          <w:szCs w:val="20"/>
          <w:color w:val="auto"/>
        </w:rPr>
      </w:pPr>
    </w:p>
    <w:p>
      <w:pPr>
        <w:sectPr>
          <w:pgSz w:w="11900" w:h="16838" w:orient="portrait"/>
          <w:cols w:equalWidth="0" w:num="2">
            <w:col w:w="2480" w:space="720"/>
            <w:col w:w="7740"/>
          </w:cols>
          <w:pgMar w:left="440" w:top="274" w:right="519" w:bottom="1440" w:gutter="0" w:footer="0" w:header="0"/>
          <w:type w:val="continuous"/>
        </w:sectPr>
      </w:pPr>
    </w:p>
    <w:p>
      <w:pPr>
        <w:spacing w:after="0"/>
        <w:rPr>
          <w:sz w:val="20"/>
          <w:szCs w:val="20"/>
          <w:color w:val="auto"/>
        </w:rPr>
      </w:pPr>
      <w:r>
        <w:rPr>
          <w:rFonts w:ascii="Arial" w:cs="Arial" w:eastAsia="Arial" w:hAnsi="Arial"/>
          <w:sz w:val="16"/>
          <w:szCs w:val="16"/>
          <w:color w:val="auto"/>
        </w:rPr>
        <w:t>CUSIP: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70806A AA4</w:t>
      </w:r>
    </w:p>
    <w:p>
      <w:pPr>
        <w:spacing w:after="0" w:line="129" w:lineRule="exact"/>
        <w:rPr>
          <w:sz w:val="20"/>
          <w:szCs w:val="20"/>
          <w:color w:val="auto"/>
        </w:rPr>
      </w:pPr>
    </w:p>
    <w:p>
      <w:pPr>
        <w:sectPr>
          <w:pgSz w:w="11900" w:h="16838" w:orient="portrait"/>
          <w:cols w:equalWidth="0" w:num="2">
            <w:col w:w="2480" w:space="720"/>
            <w:col w:w="7740"/>
          </w:cols>
          <w:pgMar w:left="440" w:top="274" w:right="519" w:bottom="1440" w:gutter="0" w:footer="0" w:header="0"/>
          <w:type w:val="continuous"/>
        </w:sectPr>
      </w:pPr>
    </w:p>
    <w:p>
      <w:pPr>
        <w:spacing w:after="0"/>
        <w:rPr>
          <w:sz w:val="20"/>
          <w:szCs w:val="20"/>
          <w:color w:val="auto"/>
        </w:rPr>
      </w:pPr>
      <w:r>
        <w:rPr>
          <w:rFonts w:ascii="Arial" w:cs="Arial" w:eastAsia="Arial" w:hAnsi="Arial"/>
          <w:sz w:val="17"/>
          <w:szCs w:val="17"/>
          <w:color w:val="auto"/>
        </w:rPr>
        <w:t>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US70806AAA43</w:t>
      </w:r>
    </w:p>
    <w:p>
      <w:pPr>
        <w:spacing w:after="0" w:line="129" w:lineRule="exact"/>
        <w:rPr>
          <w:sz w:val="20"/>
          <w:szCs w:val="20"/>
          <w:color w:val="auto"/>
        </w:rPr>
      </w:pPr>
    </w:p>
    <w:p>
      <w:pPr>
        <w:sectPr>
          <w:pgSz w:w="11900" w:h="16838" w:orient="portrait"/>
          <w:cols w:equalWidth="0" w:num="2">
            <w:col w:w="2480" w:space="720"/>
            <w:col w:w="7740"/>
          </w:cols>
          <w:pgMar w:left="440" w:top="274" w:right="51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Keefe, Bruyette &amp; Woods,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Truist Securities, Inc.</w:t>
      </w:r>
    </w:p>
    <w:p>
      <w:pPr>
        <w:spacing w:after="0" w:line="116" w:lineRule="exact"/>
        <w:rPr>
          <w:sz w:val="20"/>
          <w:szCs w:val="20"/>
          <w:color w:val="auto"/>
        </w:rPr>
      </w:pPr>
    </w:p>
    <w:p>
      <w:pPr>
        <w:sectPr>
          <w:pgSz w:w="11900" w:h="16838" w:orient="portrait"/>
          <w:cols w:equalWidth="0" w:num="2">
            <w:col w:w="2480" w:space="720"/>
            <w:col w:w="7740"/>
          </w:cols>
          <w:pgMar w:left="440" w:top="274" w:right="51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260985</wp:posOffset>
            </wp:positionV>
            <wp:extent cx="7715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JMP Securities LLC</w:t>
      </w:r>
    </w:p>
    <w:p>
      <w:pPr>
        <w:spacing w:after="0" w:line="200" w:lineRule="exact"/>
        <w:rPr>
          <w:sz w:val="20"/>
          <w:szCs w:val="20"/>
          <w:color w:val="auto"/>
        </w:rPr>
      </w:pPr>
    </w:p>
    <w:p>
      <w:pPr>
        <w:sectPr>
          <w:pgSz w:w="11900" w:h="16838" w:orient="portrait"/>
          <w:cols w:equalWidth="0" w:num="2">
            <w:col w:w="2480" w:space="720"/>
            <w:col w:w="7740"/>
          </w:cols>
          <w:pgMar w:left="440" w:top="274" w:right="519" w:bottom="1440" w:gutter="0" w:footer="0" w:header="0"/>
          <w:type w:val="continuous"/>
        </w:sect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  Note: A securities rating is not a recommendation to buy, sell or hold securities and may be subject to revision or withdrawal at any time.</w:t>
      </w:r>
    </w:p>
    <w:p>
      <w:pPr>
        <w:spacing w:after="0" w:line="233"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Investors are advised to carefully consider the investment objectives, risks, charges and expenses of PennantPark Floating Rate Capital Ltd. (“PFLT”) before investing. The preliminary prospectus supplement dated March 18, 2021 and the accompanying prospectus dated January 29, 2020, each of which have been filed with the Securities and Exchange Commission (the “SEC”), contains this and other information about PFLT and should be read carefully before investing.</w:t>
      </w:r>
    </w:p>
    <w:p>
      <w:pPr>
        <w:sectPr>
          <w:pgSz w:w="11900" w:h="16838" w:orient="portrait"/>
          <w:cols w:equalWidth="0" w:num="1">
            <w:col w:w="10940"/>
          </w:cols>
          <w:pgMar w:left="440" w:top="274" w:right="519" w:bottom="1440" w:gutter="0" w:footer="0" w:header="0"/>
          <w:type w:val="continuous"/>
        </w:sectPr>
      </w:pPr>
    </w:p>
    <w:bookmarkStart w:id="45" w:name="page46"/>
    <w:bookmarkEnd w:id="45"/>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information in the Preliminary Prospectus and in this pricing term sheet is not complete and may be changed. The Preliminary Prospectus and this pricing term sheet are not offers to sell any securities of PFLT and are not soliciting an offer to buy such securities in any state or jurisdiction where such offer and sale is not permitted.</w:t>
      </w:r>
    </w:p>
    <w:p>
      <w:pPr>
        <w:spacing w:after="0" w:line="18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 xml:space="preserve">PFLT’s shelf registration statement is on file and has been declared effective by the SEC. The offering may be made only by means of a preliminary prospectus supplement and an accompanying prospectus. Before you invest, you should read the preliminary prospectus supplement dated March 18, 2021, the accompanying prospectus dated January 29, 2020 and other documents the issuer has filed with the SEC for more complete information about PFLT and this offering. You may obtain these documents for free by visiting EDGAR on the SEC Web site at www.sec.gov. Alternatively, PFLT, any underwriter or any dealer participating in the offering will arrange to send you the prospectus supplement and accompanying prospectus if you request it from any of the following: Goldman Sachs &amp; Co. LLC, Attn: Prospectus Department, 200 West Street, New York, NY 10282, telephone: 1-866-471-2526, facsimile: 1-212-902-9316 or email: prospectus-ny@ny.email.gs.com; Keefe, Bruyette &amp; Woods, </w:t>
      </w:r>
      <w:r>
        <w:rPr>
          <w:rFonts w:ascii="Arial" w:cs="Arial" w:eastAsia="Arial" w:hAnsi="Arial"/>
          <w:sz w:val="18"/>
          <w:szCs w:val="18"/>
          <w:b w:val="1"/>
          <w:bCs w:val="1"/>
          <w:i w:val="1"/>
          <w:iCs w:val="1"/>
          <w:color w:val="auto"/>
        </w:rPr>
        <w:t>A Stifel Company</w:t>
      </w:r>
      <w:r>
        <w:rPr>
          <w:rFonts w:ascii="Arial" w:cs="Arial" w:eastAsia="Arial" w:hAnsi="Arial"/>
          <w:sz w:val="18"/>
          <w:szCs w:val="18"/>
          <w:b w:val="1"/>
          <w:bCs w:val="1"/>
          <w:color w:val="auto"/>
        </w:rPr>
        <w:t>, Attn: Prospectus Department, 787 Seventh Avenue, Fourth Floor, New York, NY 10019, telephone: 1-800-966-1559, facsimile: 1-212-581-1592 or email: USCapitalMarkets@kbw.com; and Truist Securities Inc., Attn: Prospectus Department, 303 Peachtree Road, Atlanta, GA 30308, telephone: 1-800-685-4786 or email: TSIDocs@Truist.com.</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Blank</w:t>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46" w:name="page47"/>
    <w:bookmarkEnd w:id="46"/>
    <w:p>
      <w:pPr>
        <w:jc w:val="right"/>
        <w:ind w:right="39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Form of Opinion of Dechert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[Attached Separately]</w:t>
      </w:r>
    </w:p>
    <w:p>
      <w:pPr>
        <w:sectPr>
          <w:pgSz w:w="11900" w:h="16838" w:orient="portrait"/>
          <w:cols w:equalWidth="0" w:num="1">
            <w:col w:w="10019"/>
          </w:cols>
          <w:pgMar w:left="440" w:top="270" w:right="1440" w:bottom="1440" w:gutter="0" w:footer="0" w:header="0"/>
        </w:sectPr>
      </w:pPr>
    </w:p>
    <w:bookmarkStart w:id="47" w:name="page48"/>
    <w:bookmarkEnd w:id="47"/>
    <w:p>
      <w:pPr>
        <w:jc w:val="right"/>
        <w:ind w:right="39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Form of Opinion of Venable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[Attached Separately]</w:t>
      </w:r>
    </w:p>
    <w:p>
      <w:pPr>
        <w:sectPr>
          <w:pgSz w:w="11900" w:h="16838" w:orient="portrait"/>
          <w:cols w:equalWidth="0" w:num="1">
            <w:col w:w="10019"/>
          </w:cols>
          <w:pgMar w:left="440" w:top="270"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4.1</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PENNANTPARK FLOATING RATE CAPITAL LTD.,</w:t>
      </w:r>
    </w:p>
    <w:p>
      <w:pPr>
        <w:spacing w:after="0" w:line="11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AMERICAN STOCK TRANSFER &amp; TRUST COMPANY, LLC,</w:t>
      </w:r>
    </w:p>
    <w:p>
      <w:pPr>
        <w:spacing w:after="0" w:line="12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Trustee</w:t>
      </w:r>
    </w:p>
    <w:p>
      <w:pPr>
        <w:spacing w:after="0" w:line="11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Indenture</w:t>
      </w:r>
    </w:p>
    <w:p>
      <w:pPr>
        <w:spacing w:after="0" w:line="11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Dated as of March 23, 2021</w:t>
      </w:r>
    </w:p>
    <w:p>
      <w:pPr>
        <w:spacing w:after="0" w:line="11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Providing for the Issuance</w:t>
      </w:r>
    </w:p>
    <w:p>
      <w:pPr>
        <w:spacing w:after="0" w:line="11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of</w:t>
      </w:r>
    </w:p>
    <w:p>
      <w:pPr>
        <w:spacing w:after="0" w:line="117"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Debt Securities</w:t>
      </w:r>
    </w:p>
    <w:p>
      <w:pPr>
        <w:sectPr>
          <w:pgSz w:w="11900" w:h="16838" w:orient="portrait"/>
          <w:cols w:equalWidth="0" w:num="1">
            <w:col w:w="10020"/>
          </w:cols>
          <w:pgMar w:left="1440" w:top="125" w:right="439" w:bottom="1440" w:gutter="0" w:footer="0" w:header="0"/>
        </w:sectPr>
      </w:pPr>
    </w:p>
    <w:bookmarkStart w:id="49" w:name="page50"/>
    <w:bookmarkEnd w:id="49"/>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PENNANTPARK FLOATING RATE CAPITAL LTD. </w:t>
      </w:r>
      <w:r>
        <w:rPr>
          <w:rFonts w:ascii="Arial" w:cs="Arial" w:eastAsia="Arial" w:hAnsi="Arial"/>
          <w:sz w:val="18"/>
          <w:szCs w:val="18"/>
          <w:color w:val="auto"/>
        </w:rPr>
        <w:t>Reconciliation and tie between Trust Indenture Act of 1939 and Indenture dated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March 23,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920" w:type="dxa"/>
            <w:vAlign w:val="bottom"/>
            <w:gridSpan w:val="3"/>
          </w:tcPr>
          <w:p>
            <w:pPr>
              <w:spacing w:after="0"/>
              <w:rPr>
                <w:sz w:val="20"/>
                <w:szCs w:val="20"/>
                <w:color w:val="auto"/>
              </w:rPr>
            </w:pPr>
            <w:r>
              <w:rPr>
                <w:rFonts w:ascii="Arial" w:cs="Arial" w:eastAsia="Arial" w:hAnsi="Arial"/>
                <w:sz w:val="14"/>
                <w:szCs w:val="14"/>
                <w:b w:val="1"/>
                <w:bCs w:val="1"/>
                <w:color w:val="auto"/>
              </w:rPr>
              <w:t>Trust Indenture Act Section</w:t>
            </w:r>
          </w:p>
        </w:tc>
        <w:tc>
          <w:tcPr>
            <w:tcW w:w="1480" w:type="dxa"/>
            <w:vAlign w:val="bottom"/>
          </w:tcPr>
          <w:p>
            <w:pPr>
              <w:spacing w:after="0"/>
              <w:rPr>
                <w:sz w:val="20"/>
                <w:szCs w:val="20"/>
                <w:color w:val="auto"/>
              </w:rPr>
            </w:pPr>
            <w:r>
              <w:rPr>
                <w:rFonts w:ascii="Arial" w:cs="Arial" w:eastAsia="Arial" w:hAnsi="Arial"/>
                <w:sz w:val="14"/>
                <w:szCs w:val="14"/>
                <w:b w:val="1"/>
                <w:bCs w:val="1"/>
                <w:color w:val="auto"/>
              </w:rPr>
              <w:t>Indenture Section</w:t>
            </w:r>
          </w:p>
        </w:tc>
      </w:tr>
      <w:tr>
        <w:trPr>
          <w:trHeight w:val="189"/>
        </w:trPr>
        <w:tc>
          <w:tcPr>
            <w:tcW w:w="4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4"/>
              </w:rPr>
              <w:t>§310</w:t>
            </w:r>
          </w:p>
        </w:tc>
        <w:tc>
          <w:tcPr>
            <w:tcW w:w="1320" w:type="dxa"/>
            <w:vAlign w:val="bottom"/>
            <w:tcBorders>
              <w:top w:val="single" w:sz="8" w:color="auto"/>
            </w:tcBorders>
          </w:tcPr>
          <w:p>
            <w:pPr>
              <w:ind w:left="60"/>
              <w:spacing w:after="0" w:line="189" w:lineRule="exact"/>
              <w:rPr>
                <w:sz w:val="20"/>
                <w:szCs w:val="20"/>
                <w:color w:val="auto"/>
              </w:rPr>
            </w:pPr>
            <w:r>
              <w:rPr>
                <w:rFonts w:ascii="Arial" w:cs="Arial" w:eastAsia="Arial" w:hAnsi="Arial"/>
                <w:sz w:val="18"/>
                <w:szCs w:val="18"/>
                <w:color w:val="auto"/>
              </w:rPr>
              <w:t>(a)(1)</w:t>
            </w:r>
          </w:p>
        </w:tc>
        <w:tc>
          <w:tcPr>
            <w:tcW w:w="1200" w:type="dxa"/>
            <w:vAlign w:val="bottom"/>
          </w:tcPr>
          <w:p>
            <w:pPr>
              <w:spacing w:after="0"/>
              <w:rPr>
                <w:sz w:val="16"/>
                <w:szCs w:val="16"/>
                <w:color w:val="auto"/>
              </w:rPr>
            </w:pPr>
          </w:p>
        </w:tc>
        <w:tc>
          <w:tcPr>
            <w:tcW w:w="14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607</w:t>
            </w:r>
          </w:p>
        </w:tc>
      </w:tr>
      <w:tr>
        <w:trPr>
          <w:trHeight w:val="216"/>
        </w:trPr>
        <w:tc>
          <w:tcPr>
            <w:tcW w:w="400" w:type="dxa"/>
            <w:vAlign w:val="bottom"/>
          </w:tcPr>
          <w:p>
            <w:pPr>
              <w:spacing w:after="0"/>
              <w:rPr>
                <w:sz w:val="18"/>
                <w:szCs w:val="18"/>
                <w:color w:val="auto"/>
              </w:rPr>
            </w:pPr>
          </w:p>
        </w:tc>
        <w:tc>
          <w:tcPr>
            <w:tcW w:w="2520" w:type="dxa"/>
            <w:vAlign w:val="bottom"/>
            <w:gridSpan w:val="2"/>
          </w:tcPr>
          <w:p>
            <w:pPr>
              <w:ind w:left="60"/>
              <w:spacing w:after="0"/>
              <w:rPr>
                <w:sz w:val="20"/>
                <w:szCs w:val="20"/>
                <w:color w:val="auto"/>
              </w:rPr>
            </w:pPr>
            <w:r>
              <w:rPr>
                <w:rFonts w:ascii="Arial" w:cs="Arial" w:eastAsia="Arial" w:hAnsi="Arial"/>
                <w:sz w:val="18"/>
                <w:szCs w:val="18"/>
                <w:color w:val="auto"/>
              </w:rPr>
              <w:t>(a)(2)</w:t>
            </w:r>
          </w:p>
        </w:tc>
        <w:tc>
          <w:tcPr>
            <w:tcW w:w="1480" w:type="dxa"/>
            <w:vAlign w:val="bottom"/>
          </w:tcPr>
          <w:p>
            <w:pPr>
              <w:spacing w:after="0"/>
              <w:rPr>
                <w:sz w:val="20"/>
                <w:szCs w:val="20"/>
                <w:color w:val="auto"/>
              </w:rPr>
            </w:pPr>
            <w:r>
              <w:rPr>
                <w:rFonts w:ascii="Arial" w:cs="Arial" w:eastAsia="Arial" w:hAnsi="Arial"/>
                <w:sz w:val="18"/>
                <w:szCs w:val="18"/>
                <w:color w:val="auto"/>
              </w:rPr>
              <w:t>607</w:t>
            </w:r>
          </w:p>
        </w:tc>
      </w:tr>
      <w:tr>
        <w:trPr>
          <w:trHeight w:val="216"/>
        </w:trPr>
        <w:tc>
          <w:tcPr>
            <w:tcW w:w="400" w:type="dxa"/>
            <w:vAlign w:val="bottom"/>
          </w:tcPr>
          <w:p>
            <w:pPr>
              <w:spacing w:after="0"/>
              <w:rPr>
                <w:sz w:val="18"/>
                <w:szCs w:val="18"/>
                <w:color w:val="auto"/>
              </w:rPr>
            </w:pPr>
          </w:p>
        </w:tc>
        <w:tc>
          <w:tcPr>
            <w:tcW w:w="2520" w:type="dxa"/>
            <w:vAlign w:val="bottom"/>
            <w:gridSpan w:val="2"/>
          </w:tcPr>
          <w:p>
            <w:pPr>
              <w:ind w:left="60"/>
              <w:spacing w:after="0"/>
              <w:rPr>
                <w:sz w:val="20"/>
                <w:szCs w:val="20"/>
                <w:color w:val="auto"/>
              </w:rPr>
            </w:pPr>
            <w:r>
              <w:rPr>
                <w:rFonts w:ascii="Arial" w:cs="Arial" w:eastAsia="Arial" w:hAnsi="Arial"/>
                <w:sz w:val="18"/>
                <w:szCs w:val="18"/>
                <w:color w:val="auto"/>
              </w:rPr>
              <w:t>(b)</w:t>
            </w:r>
          </w:p>
        </w:tc>
        <w:tc>
          <w:tcPr>
            <w:tcW w:w="1480" w:type="dxa"/>
            <w:vAlign w:val="bottom"/>
          </w:tcPr>
          <w:p>
            <w:pPr>
              <w:spacing w:after="0"/>
              <w:rPr>
                <w:sz w:val="20"/>
                <w:szCs w:val="20"/>
                <w:color w:val="auto"/>
              </w:rPr>
            </w:pPr>
            <w:r>
              <w:rPr>
                <w:rFonts w:ascii="Arial" w:cs="Arial" w:eastAsia="Arial" w:hAnsi="Arial"/>
                <w:sz w:val="18"/>
                <w:szCs w:val="18"/>
                <w:color w:val="auto"/>
              </w:rPr>
              <w:t>609</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§312</w:t>
            </w:r>
          </w:p>
        </w:tc>
        <w:tc>
          <w:tcPr>
            <w:tcW w:w="2520" w:type="dxa"/>
            <w:vAlign w:val="bottom"/>
            <w:gridSpan w:val="2"/>
          </w:tcPr>
          <w:p>
            <w:pPr>
              <w:ind w:left="60"/>
              <w:spacing w:after="0"/>
              <w:rPr>
                <w:sz w:val="20"/>
                <w:szCs w:val="20"/>
                <w:color w:val="auto"/>
              </w:rPr>
            </w:pPr>
            <w:r>
              <w:rPr>
                <w:rFonts w:ascii="Arial" w:cs="Arial" w:eastAsia="Arial" w:hAnsi="Arial"/>
                <w:sz w:val="18"/>
                <w:szCs w:val="18"/>
                <w:color w:val="auto"/>
              </w:rPr>
              <w:t>(c)</w:t>
            </w:r>
          </w:p>
        </w:tc>
        <w:tc>
          <w:tcPr>
            <w:tcW w:w="1480" w:type="dxa"/>
            <w:vAlign w:val="bottom"/>
          </w:tcPr>
          <w:p>
            <w:pPr>
              <w:spacing w:after="0"/>
              <w:rPr>
                <w:sz w:val="20"/>
                <w:szCs w:val="20"/>
                <w:color w:val="auto"/>
              </w:rPr>
            </w:pPr>
            <w:r>
              <w:rPr>
                <w:rFonts w:ascii="Arial" w:cs="Arial" w:eastAsia="Arial" w:hAnsi="Arial"/>
                <w:sz w:val="18"/>
                <w:szCs w:val="18"/>
                <w:color w:val="auto"/>
              </w:rPr>
              <w:t>701</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§314</w:t>
            </w:r>
          </w:p>
        </w:tc>
        <w:tc>
          <w:tcPr>
            <w:tcW w:w="2520" w:type="dxa"/>
            <w:vAlign w:val="bottom"/>
            <w:gridSpan w:val="2"/>
          </w:tcPr>
          <w:p>
            <w:pPr>
              <w:ind w:left="60"/>
              <w:spacing w:after="0"/>
              <w:rPr>
                <w:sz w:val="20"/>
                <w:szCs w:val="20"/>
                <w:color w:val="auto"/>
              </w:rPr>
            </w:pPr>
            <w:r>
              <w:rPr>
                <w:rFonts w:ascii="Arial" w:cs="Arial" w:eastAsia="Arial" w:hAnsi="Arial"/>
                <w:sz w:val="18"/>
                <w:szCs w:val="18"/>
                <w:color w:val="auto"/>
              </w:rPr>
              <w:t>(a)</w:t>
            </w:r>
          </w:p>
        </w:tc>
        <w:tc>
          <w:tcPr>
            <w:tcW w:w="1480" w:type="dxa"/>
            <w:vAlign w:val="bottom"/>
          </w:tcPr>
          <w:p>
            <w:pPr>
              <w:spacing w:after="0"/>
              <w:rPr>
                <w:sz w:val="20"/>
                <w:szCs w:val="20"/>
                <w:color w:val="auto"/>
              </w:rPr>
            </w:pPr>
            <w:r>
              <w:rPr>
                <w:rFonts w:ascii="Arial" w:cs="Arial" w:eastAsia="Arial" w:hAnsi="Arial"/>
                <w:sz w:val="18"/>
                <w:szCs w:val="18"/>
                <w:color w:val="auto"/>
              </w:rPr>
              <w:t>704</w:t>
            </w:r>
          </w:p>
        </w:tc>
      </w:tr>
      <w:tr>
        <w:trPr>
          <w:trHeight w:val="216"/>
        </w:trPr>
        <w:tc>
          <w:tcPr>
            <w:tcW w:w="400" w:type="dxa"/>
            <w:vAlign w:val="bottom"/>
          </w:tcPr>
          <w:p>
            <w:pPr>
              <w:spacing w:after="0"/>
              <w:rPr>
                <w:sz w:val="18"/>
                <w:szCs w:val="18"/>
                <w:color w:val="auto"/>
              </w:rPr>
            </w:pPr>
          </w:p>
        </w:tc>
        <w:tc>
          <w:tcPr>
            <w:tcW w:w="2520" w:type="dxa"/>
            <w:vAlign w:val="bottom"/>
            <w:gridSpan w:val="2"/>
          </w:tcPr>
          <w:p>
            <w:pPr>
              <w:ind w:left="60"/>
              <w:spacing w:after="0"/>
              <w:rPr>
                <w:sz w:val="20"/>
                <w:szCs w:val="20"/>
                <w:color w:val="auto"/>
              </w:rPr>
            </w:pPr>
            <w:r>
              <w:rPr>
                <w:rFonts w:ascii="Arial" w:cs="Arial" w:eastAsia="Arial" w:hAnsi="Arial"/>
                <w:sz w:val="18"/>
                <w:szCs w:val="18"/>
                <w:color w:val="auto"/>
              </w:rPr>
              <w:t>(a)(4)</w:t>
            </w:r>
          </w:p>
        </w:tc>
        <w:tc>
          <w:tcPr>
            <w:tcW w:w="1480" w:type="dxa"/>
            <w:vAlign w:val="bottom"/>
          </w:tcPr>
          <w:p>
            <w:pPr>
              <w:spacing w:after="0"/>
              <w:rPr>
                <w:sz w:val="20"/>
                <w:szCs w:val="20"/>
                <w:color w:val="auto"/>
              </w:rPr>
            </w:pPr>
            <w:r>
              <w:rPr>
                <w:rFonts w:ascii="Arial" w:cs="Arial" w:eastAsia="Arial" w:hAnsi="Arial"/>
                <w:sz w:val="18"/>
                <w:szCs w:val="18"/>
                <w:color w:val="auto"/>
              </w:rPr>
              <w:t>1005</w:t>
            </w:r>
          </w:p>
        </w:tc>
      </w:tr>
      <w:tr>
        <w:trPr>
          <w:trHeight w:val="216"/>
        </w:trPr>
        <w:tc>
          <w:tcPr>
            <w:tcW w:w="400" w:type="dxa"/>
            <w:vAlign w:val="bottom"/>
          </w:tcPr>
          <w:p>
            <w:pPr>
              <w:spacing w:after="0"/>
              <w:rPr>
                <w:sz w:val="18"/>
                <w:szCs w:val="18"/>
                <w:color w:val="auto"/>
              </w:rPr>
            </w:pPr>
          </w:p>
        </w:tc>
        <w:tc>
          <w:tcPr>
            <w:tcW w:w="2520" w:type="dxa"/>
            <w:vAlign w:val="bottom"/>
            <w:gridSpan w:val="2"/>
          </w:tcPr>
          <w:p>
            <w:pPr>
              <w:ind w:left="60"/>
              <w:spacing w:after="0"/>
              <w:rPr>
                <w:sz w:val="20"/>
                <w:szCs w:val="20"/>
                <w:color w:val="auto"/>
              </w:rPr>
            </w:pPr>
            <w:r>
              <w:rPr>
                <w:rFonts w:ascii="Arial" w:cs="Arial" w:eastAsia="Arial" w:hAnsi="Arial"/>
                <w:sz w:val="18"/>
                <w:szCs w:val="18"/>
                <w:color w:val="auto"/>
              </w:rPr>
              <w:t>(c)(1)</w:t>
            </w:r>
          </w:p>
        </w:tc>
        <w:tc>
          <w:tcPr>
            <w:tcW w:w="1480" w:type="dxa"/>
            <w:vAlign w:val="bottom"/>
          </w:tcPr>
          <w:p>
            <w:pPr>
              <w:spacing w:after="0"/>
              <w:rPr>
                <w:sz w:val="20"/>
                <w:szCs w:val="20"/>
                <w:color w:val="auto"/>
              </w:rPr>
            </w:pPr>
            <w:r>
              <w:rPr>
                <w:rFonts w:ascii="Arial" w:cs="Arial" w:eastAsia="Arial" w:hAnsi="Arial"/>
                <w:sz w:val="18"/>
                <w:szCs w:val="18"/>
                <w:color w:val="auto"/>
              </w:rPr>
              <w:t>102</w:t>
            </w:r>
          </w:p>
        </w:tc>
      </w:tr>
      <w:tr>
        <w:trPr>
          <w:trHeight w:val="216"/>
        </w:trPr>
        <w:tc>
          <w:tcPr>
            <w:tcW w:w="400" w:type="dxa"/>
            <w:vAlign w:val="bottom"/>
          </w:tcPr>
          <w:p>
            <w:pPr>
              <w:spacing w:after="0"/>
              <w:rPr>
                <w:sz w:val="18"/>
                <w:szCs w:val="18"/>
                <w:color w:val="auto"/>
              </w:rPr>
            </w:pPr>
          </w:p>
        </w:tc>
        <w:tc>
          <w:tcPr>
            <w:tcW w:w="2520" w:type="dxa"/>
            <w:vAlign w:val="bottom"/>
            <w:gridSpan w:val="2"/>
          </w:tcPr>
          <w:p>
            <w:pPr>
              <w:ind w:left="60"/>
              <w:spacing w:after="0"/>
              <w:rPr>
                <w:sz w:val="20"/>
                <w:szCs w:val="20"/>
                <w:color w:val="auto"/>
              </w:rPr>
            </w:pPr>
            <w:r>
              <w:rPr>
                <w:rFonts w:ascii="Arial" w:cs="Arial" w:eastAsia="Arial" w:hAnsi="Arial"/>
                <w:sz w:val="18"/>
                <w:szCs w:val="18"/>
                <w:color w:val="auto"/>
              </w:rPr>
              <w:t>(c)(2)</w:t>
            </w:r>
          </w:p>
        </w:tc>
        <w:tc>
          <w:tcPr>
            <w:tcW w:w="1480" w:type="dxa"/>
            <w:vAlign w:val="bottom"/>
          </w:tcPr>
          <w:p>
            <w:pPr>
              <w:spacing w:after="0"/>
              <w:rPr>
                <w:sz w:val="20"/>
                <w:szCs w:val="20"/>
                <w:color w:val="auto"/>
              </w:rPr>
            </w:pPr>
            <w:r>
              <w:rPr>
                <w:rFonts w:ascii="Arial" w:cs="Arial" w:eastAsia="Arial" w:hAnsi="Arial"/>
                <w:sz w:val="18"/>
                <w:szCs w:val="18"/>
                <w:color w:val="auto"/>
              </w:rPr>
              <w:t>102</w:t>
            </w:r>
          </w:p>
        </w:tc>
      </w:tr>
      <w:tr>
        <w:trPr>
          <w:trHeight w:val="216"/>
        </w:trPr>
        <w:tc>
          <w:tcPr>
            <w:tcW w:w="400" w:type="dxa"/>
            <w:vAlign w:val="bottom"/>
          </w:tcPr>
          <w:p>
            <w:pPr>
              <w:spacing w:after="0"/>
              <w:rPr>
                <w:sz w:val="18"/>
                <w:szCs w:val="18"/>
                <w:color w:val="auto"/>
              </w:rPr>
            </w:pPr>
          </w:p>
        </w:tc>
        <w:tc>
          <w:tcPr>
            <w:tcW w:w="2520" w:type="dxa"/>
            <w:vAlign w:val="bottom"/>
            <w:gridSpan w:val="2"/>
          </w:tcPr>
          <w:p>
            <w:pPr>
              <w:ind w:left="60"/>
              <w:spacing w:after="0"/>
              <w:rPr>
                <w:sz w:val="20"/>
                <w:szCs w:val="20"/>
                <w:color w:val="auto"/>
              </w:rPr>
            </w:pPr>
            <w:r>
              <w:rPr>
                <w:rFonts w:ascii="Arial" w:cs="Arial" w:eastAsia="Arial" w:hAnsi="Arial"/>
                <w:sz w:val="18"/>
                <w:szCs w:val="18"/>
                <w:color w:val="auto"/>
              </w:rPr>
              <w:t>(e)</w:t>
            </w:r>
          </w:p>
        </w:tc>
        <w:tc>
          <w:tcPr>
            <w:tcW w:w="1480" w:type="dxa"/>
            <w:vAlign w:val="bottom"/>
          </w:tcPr>
          <w:p>
            <w:pPr>
              <w:spacing w:after="0"/>
              <w:rPr>
                <w:sz w:val="20"/>
                <w:szCs w:val="20"/>
                <w:color w:val="auto"/>
              </w:rPr>
            </w:pPr>
            <w:r>
              <w:rPr>
                <w:rFonts w:ascii="Arial" w:cs="Arial" w:eastAsia="Arial" w:hAnsi="Arial"/>
                <w:sz w:val="18"/>
                <w:szCs w:val="18"/>
                <w:color w:val="auto"/>
              </w:rPr>
              <w:t>102</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§315</w:t>
            </w:r>
          </w:p>
        </w:tc>
        <w:tc>
          <w:tcPr>
            <w:tcW w:w="2520" w:type="dxa"/>
            <w:vAlign w:val="bottom"/>
            <w:gridSpan w:val="2"/>
          </w:tcPr>
          <w:p>
            <w:pPr>
              <w:ind w:left="60"/>
              <w:spacing w:after="0"/>
              <w:rPr>
                <w:sz w:val="20"/>
                <w:szCs w:val="20"/>
                <w:color w:val="auto"/>
              </w:rPr>
            </w:pPr>
            <w:r>
              <w:rPr>
                <w:rFonts w:ascii="Arial" w:cs="Arial" w:eastAsia="Arial" w:hAnsi="Arial"/>
                <w:sz w:val="18"/>
                <w:szCs w:val="18"/>
                <w:color w:val="auto"/>
              </w:rPr>
              <w:t>(b)</w:t>
            </w:r>
          </w:p>
        </w:tc>
        <w:tc>
          <w:tcPr>
            <w:tcW w:w="1480" w:type="dxa"/>
            <w:vAlign w:val="bottom"/>
          </w:tcPr>
          <w:p>
            <w:pPr>
              <w:spacing w:after="0"/>
              <w:rPr>
                <w:sz w:val="20"/>
                <w:szCs w:val="20"/>
                <w:color w:val="auto"/>
              </w:rPr>
            </w:pPr>
            <w:r>
              <w:rPr>
                <w:rFonts w:ascii="Arial" w:cs="Arial" w:eastAsia="Arial" w:hAnsi="Arial"/>
                <w:sz w:val="18"/>
                <w:szCs w:val="18"/>
                <w:color w:val="auto"/>
              </w:rPr>
              <w:t>601</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§316</w:t>
            </w:r>
          </w:p>
        </w:tc>
        <w:tc>
          <w:tcPr>
            <w:tcW w:w="2520" w:type="dxa"/>
            <w:vAlign w:val="bottom"/>
            <w:gridSpan w:val="2"/>
          </w:tcPr>
          <w:p>
            <w:pPr>
              <w:ind w:left="60"/>
              <w:spacing w:after="0"/>
              <w:rPr>
                <w:sz w:val="20"/>
                <w:szCs w:val="20"/>
                <w:color w:val="auto"/>
              </w:rPr>
            </w:pPr>
            <w:r>
              <w:rPr>
                <w:rFonts w:ascii="Arial" w:cs="Arial" w:eastAsia="Arial" w:hAnsi="Arial"/>
                <w:sz w:val="18"/>
                <w:szCs w:val="18"/>
                <w:color w:val="auto"/>
              </w:rPr>
              <w:t>(a) (last sentence)</w:t>
            </w:r>
          </w:p>
        </w:tc>
        <w:tc>
          <w:tcPr>
            <w:tcW w:w="1480" w:type="dxa"/>
            <w:vAlign w:val="bottom"/>
          </w:tcPr>
          <w:p>
            <w:pPr>
              <w:spacing w:after="0"/>
              <w:rPr>
                <w:sz w:val="20"/>
                <w:szCs w:val="20"/>
                <w:color w:val="auto"/>
              </w:rPr>
            </w:pPr>
            <w:r>
              <w:rPr>
                <w:rFonts w:ascii="Arial" w:cs="Arial" w:eastAsia="Arial" w:hAnsi="Arial"/>
                <w:sz w:val="18"/>
                <w:szCs w:val="18"/>
                <w:color w:val="auto"/>
                <w:w w:val="93"/>
              </w:rPr>
              <w:t>101 (“Outstanding”)</w:t>
            </w:r>
          </w:p>
        </w:tc>
      </w:tr>
      <w:tr>
        <w:trPr>
          <w:trHeight w:val="216"/>
        </w:trPr>
        <w:tc>
          <w:tcPr>
            <w:tcW w:w="400" w:type="dxa"/>
            <w:vAlign w:val="bottom"/>
          </w:tcPr>
          <w:p>
            <w:pPr>
              <w:spacing w:after="0"/>
              <w:rPr>
                <w:sz w:val="18"/>
                <w:szCs w:val="18"/>
                <w:color w:val="auto"/>
              </w:rPr>
            </w:pPr>
          </w:p>
        </w:tc>
        <w:tc>
          <w:tcPr>
            <w:tcW w:w="2520" w:type="dxa"/>
            <w:vAlign w:val="bottom"/>
            <w:gridSpan w:val="2"/>
          </w:tcPr>
          <w:p>
            <w:pPr>
              <w:ind w:left="60"/>
              <w:spacing w:after="0"/>
              <w:rPr>
                <w:sz w:val="20"/>
                <w:szCs w:val="20"/>
                <w:color w:val="auto"/>
              </w:rPr>
            </w:pPr>
            <w:r>
              <w:rPr>
                <w:rFonts w:ascii="Arial" w:cs="Arial" w:eastAsia="Arial" w:hAnsi="Arial"/>
                <w:sz w:val="18"/>
                <w:szCs w:val="18"/>
                <w:color w:val="auto"/>
              </w:rPr>
              <w:t>(a)(1)(A)</w:t>
            </w:r>
          </w:p>
        </w:tc>
        <w:tc>
          <w:tcPr>
            <w:tcW w:w="1480" w:type="dxa"/>
            <w:vAlign w:val="bottom"/>
          </w:tcPr>
          <w:p>
            <w:pPr>
              <w:spacing w:after="0"/>
              <w:rPr>
                <w:sz w:val="20"/>
                <w:szCs w:val="20"/>
                <w:color w:val="auto"/>
              </w:rPr>
            </w:pPr>
            <w:r>
              <w:rPr>
                <w:rFonts w:ascii="Arial" w:cs="Arial" w:eastAsia="Arial" w:hAnsi="Arial"/>
                <w:sz w:val="18"/>
                <w:szCs w:val="18"/>
                <w:color w:val="auto"/>
              </w:rPr>
              <w:t>502, 512</w:t>
            </w:r>
          </w:p>
        </w:tc>
      </w:tr>
      <w:tr>
        <w:trPr>
          <w:trHeight w:val="216"/>
        </w:trPr>
        <w:tc>
          <w:tcPr>
            <w:tcW w:w="400" w:type="dxa"/>
            <w:vAlign w:val="bottom"/>
          </w:tcPr>
          <w:p>
            <w:pPr>
              <w:spacing w:after="0"/>
              <w:rPr>
                <w:sz w:val="18"/>
                <w:szCs w:val="18"/>
                <w:color w:val="auto"/>
              </w:rPr>
            </w:pPr>
          </w:p>
        </w:tc>
        <w:tc>
          <w:tcPr>
            <w:tcW w:w="2520" w:type="dxa"/>
            <w:vAlign w:val="bottom"/>
            <w:gridSpan w:val="2"/>
          </w:tcPr>
          <w:p>
            <w:pPr>
              <w:ind w:left="60"/>
              <w:spacing w:after="0"/>
              <w:rPr>
                <w:sz w:val="20"/>
                <w:szCs w:val="20"/>
                <w:color w:val="auto"/>
              </w:rPr>
            </w:pPr>
            <w:r>
              <w:rPr>
                <w:rFonts w:ascii="Arial" w:cs="Arial" w:eastAsia="Arial" w:hAnsi="Arial"/>
                <w:sz w:val="18"/>
                <w:szCs w:val="18"/>
                <w:color w:val="auto"/>
              </w:rPr>
              <w:t>(a)(1)(B)</w:t>
            </w:r>
          </w:p>
        </w:tc>
        <w:tc>
          <w:tcPr>
            <w:tcW w:w="1480" w:type="dxa"/>
            <w:vAlign w:val="bottom"/>
          </w:tcPr>
          <w:p>
            <w:pPr>
              <w:spacing w:after="0"/>
              <w:rPr>
                <w:sz w:val="20"/>
                <w:szCs w:val="20"/>
                <w:color w:val="auto"/>
              </w:rPr>
            </w:pPr>
            <w:r>
              <w:rPr>
                <w:rFonts w:ascii="Arial" w:cs="Arial" w:eastAsia="Arial" w:hAnsi="Arial"/>
                <w:sz w:val="18"/>
                <w:szCs w:val="18"/>
                <w:color w:val="auto"/>
              </w:rPr>
              <w:t>513</w:t>
            </w:r>
          </w:p>
        </w:tc>
      </w:tr>
      <w:tr>
        <w:trPr>
          <w:trHeight w:val="216"/>
        </w:trPr>
        <w:tc>
          <w:tcPr>
            <w:tcW w:w="400" w:type="dxa"/>
            <w:vAlign w:val="bottom"/>
          </w:tcPr>
          <w:p>
            <w:pPr>
              <w:spacing w:after="0"/>
              <w:rPr>
                <w:sz w:val="18"/>
                <w:szCs w:val="18"/>
                <w:color w:val="auto"/>
              </w:rPr>
            </w:pPr>
          </w:p>
        </w:tc>
        <w:tc>
          <w:tcPr>
            <w:tcW w:w="2520" w:type="dxa"/>
            <w:vAlign w:val="bottom"/>
            <w:gridSpan w:val="2"/>
          </w:tcPr>
          <w:p>
            <w:pPr>
              <w:ind w:left="60"/>
              <w:spacing w:after="0"/>
              <w:rPr>
                <w:sz w:val="20"/>
                <w:szCs w:val="20"/>
                <w:color w:val="auto"/>
              </w:rPr>
            </w:pPr>
            <w:r>
              <w:rPr>
                <w:rFonts w:ascii="Arial" w:cs="Arial" w:eastAsia="Arial" w:hAnsi="Arial"/>
                <w:sz w:val="18"/>
                <w:szCs w:val="18"/>
                <w:color w:val="auto"/>
              </w:rPr>
              <w:t>(b)</w:t>
            </w:r>
          </w:p>
        </w:tc>
        <w:tc>
          <w:tcPr>
            <w:tcW w:w="1480" w:type="dxa"/>
            <w:vAlign w:val="bottom"/>
          </w:tcPr>
          <w:p>
            <w:pPr>
              <w:spacing w:after="0"/>
              <w:rPr>
                <w:sz w:val="20"/>
                <w:szCs w:val="20"/>
                <w:color w:val="auto"/>
              </w:rPr>
            </w:pPr>
            <w:r>
              <w:rPr>
                <w:rFonts w:ascii="Arial" w:cs="Arial" w:eastAsia="Arial" w:hAnsi="Arial"/>
                <w:sz w:val="18"/>
                <w:szCs w:val="18"/>
                <w:color w:val="auto"/>
              </w:rPr>
              <w:t>508</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§317</w:t>
            </w:r>
          </w:p>
        </w:tc>
        <w:tc>
          <w:tcPr>
            <w:tcW w:w="2520" w:type="dxa"/>
            <w:vAlign w:val="bottom"/>
            <w:gridSpan w:val="2"/>
          </w:tcPr>
          <w:p>
            <w:pPr>
              <w:ind w:left="60"/>
              <w:spacing w:after="0"/>
              <w:rPr>
                <w:sz w:val="20"/>
                <w:szCs w:val="20"/>
                <w:color w:val="auto"/>
              </w:rPr>
            </w:pPr>
            <w:r>
              <w:rPr>
                <w:rFonts w:ascii="Arial" w:cs="Arial" w:eastAsia="Arial" w:hAnsi="Arial"/>
                <w:sz w:val="18"/>
                <w:szCs w:val="18"/>
                <w:color w:val="auto"/>
              </w:rPr>
              <w:t>(a)(1)</w:t>
            </w:r>
          </w:p>
        </w:tc>
        <w:tc>
          <w:tcPr>
            <w:tcW w:w="1480" w:type="dxa"/>
            <w:vAlign w:val="bottom"/>
          </w:tcPr>
          <w:p>
            <w:pPr>
              <w:spacing w:after="0"/>
              <w:rPr>
                <w:sz w:val="20"/>
                <w:szCs w:val="20"/>
                <w:color w:val="auto"/>
              </w:rPr>
            </w:pPr>
            <w:r>
              <w:rPr>
                <w:rFonts w:ascii="Arial" w:cs="Arial" w:eastAsia="Arial" w:hAnsi="Arial"/>
                <w:sz w:val="18"/>
                <w:szCs w:val="18"/>
                <w:color w:val="auto"/>
              </w:rPr>
              <w:t>503</w:t>
            </w:r>
          </w:p>
        </w:tc>
      </w:tr>
      <w:tr>
        <w:trPr>
          <w:trHeight w:val="216"/>
        </w:trPr>
        <w:tc>
          <w:tcPr>
            <w:tcW w:w="400" w:type="dxa"/>
            <w:vAlign w:val="bottom"/>
          </w:tcPr>
          <w:p>
            <w:pPr>
              <w:spacing w:after="0"/>
              <w:rPr>
                <w:sz w:val="18"/>
                <w:szCs w:val="18"/>
                <w:color w:val="auto"/>
              </w:rPr>
            </w:pPr>
          </w:p>
        </w:tc>
        <w:tc>
          <w:tcPr>
            <w:tcW w:w="2520" w:type="dxa"/>
            <w:vAlign w:val="bottom"/>
            <w:gridSpan w:val="2"/>
          </w:tcPr>
          <w:p>
            <w:pPr>
              <w:ind w:left="60"/>
              <w:spacing w:after="0"/>
              <w:rPr>
                <w:sz w:val="20"/>
                <w:szCs w:val="20"/>
                <w:color w:val="auto"/>
              </w:rPr>
            </w:pPr>
            <w:r>
              <w:rPr>
                <w:rFonts w:ascii="Arial" w:cs="Arial" w:eastAsia="Arial" w:hAnsi="Arial"/>
                <w:sz w:val="18"/>
                <w:szCs w:val="18"/>
                <w:color w:val="auto"/>
              </w:rPr>
              <w:t>(a)(2)</w:t>
            </w:r>
          </w:p>
        </w:tc>
        <w:tc>
          <w:tcPr>
            <w:tcW w:w="1480" w:type="dxa"/>
            <w:vAlign w:val="bottom"/>
          </w:tcPr>
          <w:p>
            <w:pPr>
              <w:spacing w:after="0"/>
              <w:rPr>
                <w:sz w:val="20"/>
                <w:szCs w:val="20"/>
                <w:color w:val="auto"/>
              </w:rPr>
            </w:pPr>
            <w:r>
              <w:rPr>
                <w:rFonts w:ascii="Arial" w:cs="Arial" w:eastAsia="Arial" w:hAnsi="Arial"/>
                <w:sz w:val="18"/>
                <w:szCs w:val="18"/>
                <w:color w:val="auto"/>
              </w:rPr>
              <w:t>504</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§318</w:t>
            </w:r>
          </w:p>
        </w:tc>
        <w:tc>
          <w:tcPr>
            <w:tcW w:w="2520" w:type="dxa"/>
            <w:vAlign w:val="bottom"/>
            <w:gridSpan w:val="2"/>
          </w:tcPr>
          <w:p>
            <w:pPr>
              <w:ind w:left="60"/>
              <w:spacing w:after="0"/>
              <w:rPr>
                <w:sz w:val="20"/>
                <w:szCs w:val="20"/>
                <w:color w:val="auto"/>
              </w:rPr>
            </w:pPr>
            <w:r>
              <w:rPr>
                <w:rFonts w:ascii="Arial" w:cs="Arial" w:eastAsia="Arial" w:hAnsi="Arial"/>
                <w:sz w:val="18"/>
                <w:szCs w:val="18"/>
                <w:color w:val="auto"/>
              </w:rPr>
              <w:t>(a)</w:t>
            </w:r>
          </w:p>
        </w:tc>
        <w:tc>
          <w:tcPr>
            <w:tcW w:w="1480" w:type="dxa"/>
            <w:vAlign w:val="bottom"/>
          </w:tcPr>
          <w:p>
            <w:pPr>
              <w:spacing w:after="0"/>
              <w:rPr>
                <w:sz w:val="20"/>
                <w:szCs w:val="20"/>
                <w:color w:val="auto"/>
              </w:rPr>
            </w:pPr>
            <w:r>
              <w:rPr>
                <w:rFonts w:ascii="Arial" w:cs="Arial" w:eastAsia="Arial" w:hAnsi="Arial"/>
                <w:sz w:val="18"/>
                <w:szCs w:val="18"/>
                <w:color w:val="auto"/>
              </w:rPr>
              <w:t>111</w:t>
            </w:r>
          </w:p>
        </w:tc>
      </w:tr>
      <w:tr>
        <w:trPr>
          <w:trHeight w:val="230"/>
        </w:trPr>
        <w:tc>
          <w:tcPr>
            <w:tcW w:w="400" w:type="dxa"/>
            <w:vAlign w:val="bottom"/>
          </w:tcPr>
          <w:p>
            <w:pPr>
              <w:spacing w:after="0"/>
              <w:rPr>
                <w:sz w:val="20"/>
                <w:szCs w:val="20"/>
                <w:color w:val="auto"/>
              </w:rPr>
            </w:pPr>
          </w:p>
        </w:tc>
        <w:tc>
          <w:tcPr>
            <w:tcW w:w="2520" w:type="dxa"/>
            <w:vAlign w:val="bottom"/>
            <w:gridSpan w:val="2"/>
          </w:tcPr>
          <w:p>
            <w:pPr>
              <w:ind w:left="60"/>
              <w:spacing w:after="0"/>
              <w:rPr>
                <w:sz w:val="20"/>
                <w:szCs w:val="20"/>
                <w:color w:val="auto"/>
              </w:rPr>
            </w:pPr>
            <w:r>
              <w:rPr>
                <w:rFonts w:ascii="Arial" w:cs="Arial" w:eastAsia="Arial" w:hAnsi="Arial"/>
                <w:sz w:val="18"/>
                <w:szCs w:val="18"/>
                <w:color w:val="auto"/>
              </w:rPr>
              <w:t>(c)</w:t>
            </w:r>
          </w:p>
        </w:tc>
        <w:tc>
          <w:tcPr>
            <w:tcW w:w="1480" w:type="dxa"/>
            <w:vAlign w:val="bottom"/>
          </w:tcPr>
          <w:p>
            <w:pPr>
              <w:spacing w:after="0"/>
              <w:rPr>
                <w:sz w:val="20"/>
                <w:szCs w:val="20"/>
                <w:color w:val="auto"/>
              </w:rPr>
            </w:pPr>
            <w:r>
              <w:rPr>
                <w:rFonts w:ascii="Arial" w:cs="Arial" w:eastAsia="Arial" w:hAnsi="Arial"/>
                <w:sz w:val="18"/>
                <w:szCs w:val="18"/>
                <w:color w:val="auto"/>
              </w:rPr>
              <w:t>111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ectPr>
          <w:pgSz w:w="11900" w:h="16838" w:orient="portrait"/>
          <w:cols w:equalWidth="0" w:num="1">
            <w:col w:w="10360"/>
          </w:cols>
          <w:pgMar w:left="440" w:top="270" w:right="109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60" w:type="dxa"/>
            <w:vAlign w:val="bottom"/>
            <w:vMerge w:val="restart"/>
          </w:tcPr>
          <w:p>
            <w:pPr>
              <w:spacing w:after="0"/>
              <w:rPr>
                <w:sz w:val="20"/>
                <w:szCs w:val="20"/>
                <w:color w:val="auto"/>
              </w:rPr>
            </w:pPr>
            <w:r>
              <w:rPr>
                <w:rFonts w:ascii="Arial" w:cs="Arial" w:eastAsia="Arial" w:hAnsi="Arial"/>
                <w:sz w:val="18"/>
                <w:szCs w:val="18"/>
                <w:color w:val="auto"/>
              </w:rPr>
              <w:t>ARTICLE ONE DEFINITIONS AND OTHER PROVISIONS OF GENERAL APPLICATION</w:t>
            </w: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24"/>
        </w:trPr>
        <w:tc>
          <w:tcPr>
            <w:tcW w:w="10660" w:type="dxa"/>
            <w:vAlign w:val="bottom"/>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10660" w:type="dxa"/>
            <w:vAlign w:val="bottom"/>
          </w:tcPr>
          <w:p>
            <w:pPr>
              <w:ind w:left="360"/>
              <w:spacing w:after="0"/>
              <w:rPr>
                <w:sz w:val="20"/>
                <w:szCs w:val="20"/>
                <w:color w:val="auto"/>
              </w:rPr>
            </w:pPr>
            <w:r>
              <w:rPr>
                <w:rFonts w:ascii="Arial" w:cs="Arial" w:eastAsia="Arial" w:hAnsi="Arial"/>
                <w:sz w:val="18"/>
                <w:szCs w:val="18"/>
                <w:color w:val="auto"/>
              </w:rPr>
              <w:t>Section 101. Definitions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Section 102. Compliance Certificates and Opinions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Section 103. Form of Documents Delivered to Trustee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Section 104. Acts of Holders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Section 105. Notices, Etc., to Trustee and Company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Section 106. Notice to Holders; Waiver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Section 107. Effect of Headings and Table of Contents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Section 108. Successors and Assigns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Section 109. Separability Clause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Section 110. Benefits of Indenture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Section 111. Governing Law</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Section 112. Legal Holidays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10660" w:type="dxa"/>
            <w:vAlign w:val="bottom"/>
          </w:tcPr>
          <w:p>
            <w:pPr>
              <w:ind w:left="360"/>
              <w:spacing w:after="0"/>
              <w:rPr>
                <w:sz w:val="20"/>
                <w:szCs w:val="20"/>
                <w:color w:val="auto"/>
              </w:rPr>
            </w:pPr>
            <w:r>
              <w:rPr>
                <w:rFonts w:ascii="Arial" w:cs="Arial" w:eastAsia="Arial" w:hAnsi="Arial"/>
                <w:sz w:val="18"/>
                <w:szCs w:val="18"/>
                <w:color w:val="auto"/>
              </w:rPr>
              <w:t>Section 113. Submission to Jurisdiction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4"/>
        </w:trPr>
        <w:tc>
          <w:tcPr>
            <w:tcW w:w="10660" w:type="dxa"/>
            <w:vAlign w:val="bottom"/>
          </w:tcPr>
          <w:p>
            <w:pPr>
              <w:spacing w:after="0"/>
              <w:rPr>
                <w:sz w:val="20"/>
                <w:szCs w:val="20"/>
                <w:color w:val="auto"/>
              </w:rPr>
            </w:pPr>
            <w:r>
              <w:rPr>
                <w:rFonts w:ascii="Arial" w:cs="Arial" w:eastAsia="Arial" w:hAnsi="Arial"/>
                <w:sz w:val="18"/>
                <w:szCs w:val="18"/>
                <w:color w:val="auto"/>
              </w:rPr>
              <w:t>ARTICLE TWO SECURITIES FORMS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10"/>
        </w:trPr>
        <w:tc>
          <w:tcPr>
            <w:tcW w:w="10660" w:type="dxa"/>
            <w:vAlign w:val="bottom"/>
          </w:tcPr>
          <w:p>
            <w:pPr>
              <w:ind w:left="360"/>
              <w:spacing w:after="0"/>
              <w:rPr>
                <w:sz w:val="20"/>
                <w:szCs w:val="20"/>
                <w:color w:val="auto"/>
              </w:rPr>
            </w:pPr>
            <w:r>
              <w:rPr>
                <w:rFonts w:ascii="Arial" w:cs="Arial" w:eastAsia="Arial" w:hAnsi="Arial"/>
                <w:sz w:val="18"/>
                <w:szCs w:val="18"/>
                <w:color w:val="auto"/>
              </w:rPr>
              <w:t>Section 201. Forms of Securities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Section 202. Form of Trustee’s Certificate of Authentication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10660" w:type="dxa"/>
            <w:vAlign w:val="bottom"/>
          </w:tcPr>
          <w:p>
            <w:pPr>
              <w:ind w:left="360"/>
              <w:spacing w:after="0"/>
              <w:rPr>
                <w:sz w:val="20"/>
                <w:szCs w:val="20"/>
                <w:color w:val="auto"/>
              </w:rPr>
            </w:pPr>
            <w:r>
              <w:rPr>
                <w:rFonts w:ascii="Arial" w:cs="Arial" w:eastAsia="Arial" w:hAnsi="Arial"/>
                <w:sz w:val="18"/>
                <w:szCs w:val="18"/>
                <w:color w:val="auto"/>
              </w:rPr>
              <w:t>Section 203. Securities Issuable in Global Form</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4"/>
        </w:trPr>
        <w:tc>
          <w:tcPr>
            <w:tcW w:w="10660" w:type="dxa"/>
            <w:vAlign w:val="bottom"/>
          </w:tcPr>
          <w:p>
            <w:pPr>
              <w:spacing w:after="0"/>
              <w:rPr>
                <w:sz w:val="20"/>
                <w:szCs w:val="20"/>
                <w:color w:val="auto"/>
              </w:rPr>
            </w:pPr>
            <w:r>
              <w:rPr>
                <w:rFonts w:ascii="Arial" w:cs="Arial" w:eastAsia="Arial" w:hAnsi="Arial"/>
                <w:sz w:val="18"/>
                <w:szCs w:val="18"/>
                <w:color w:val="auto"/>
              </w:rPr>
              <w:t>ARTICLE THREE THE SECURITIES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0"/>
        </w:trPr>
        <w:tc>
          <w:tcPr>
            <w:tcW w:w="10660" w:type="dxa"/>
            <w:vAlign w:val="bottom"/>
          </w:tcPr>
          <w:p>
            <w:pPr>
              <w:ind w:left="360"/>
              <w:spacing w:after="0"/>
              <w:rPr>
                <w:sz w:val="20"/>
                <w:szCs w:val="20"/>
                <w:color w:val="auto"/>
              </w:rPr>
            </w:pPr>
            <w:r>
              <w:rPr>
                <w:rFonts w:ascii="Arial" w:cs="Arial" w:eastAsia="Arial" w:hAnsi="Arial"/>
                <w:sz w:val="18"/>
                <w:szCs w:val="18"/>
                <w:color w:val="auto"/>
              </w:rPr>
              <w:t>Section 301. Amount Unlimited; Issuable in Series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Section 302. Denominations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Section 303. Execution, Authentication, Delivery and Dating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Section 304. Temporary Securities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Section 305. Registration, Registration of Transfer and Exchange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Section 306. Mutilated, Destroyed, Lost and Stolen Securities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Section 307. Payment of Interest; Interest Rights Preserved; Optional Interest Reset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Section 308. Optional Extension of Maturity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Section 309. Persons Deemed Owners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Section 310. Cancellation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Section 311. Computation of Interest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Section 312. Currency and Manner of Payments in Respect of Securities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Section 313. Appointment and Resignation of Successor Exchange Rate Agent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10660" w:type="dxa"/>
            <w:vAlign w:val="bottom"/>
          </w:tcPr>
          <w:p>
            <w:pPr>
              <w:ind w:left="360"/>
              <w:spacing w:after="0"/>
              <w:rPr>
                <w:sz w:val="20"/>
                <w:szCs w:val="20"/>
                <w:color w:val="auto"/>
              </w:rPr>
            </w:pPr>
            <w:r>
              <w:rPr>
                <w:rFonts w:ascii="Arial" w:cs="Arial" w:eastAsia="Arial" w:hAnsi="Arial"/>
                <w:sz w:val="18"/>
                <w:szCs w:val="18"/>
                <w:color w:val="auto"/>
              </w:rPr>
              <w:t>Section 314. CUSIP Numbers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24"/>
        </w:trPr>
        <w:tc>
          <w:tcPr>
            <w:tcW w:w="10660" w:type="dxa"/>
            <w:vAlign w:val="bottom"/>
          </w:tcPr>
          <w:p>
            <w:pPr>
              <w:spacing w:after="0"/>
              <w:rPr>
                <w:sz w:val="20"/>
                <w:szCs w:val="20"/>
                <w:color w:val="auto"/>
              </w:rPr>
            </w:pPr>
            <w:r>
              <w:rPr>
                <w:rFonts w:ascii="Arial" w:cs="Arial" w:eastAsia="Arial" w:hAnsi="Arial"/>
                <w:sz w:val="18"/>
                <w:szCs w:val="18"/>
                <w:color w:val="auto"/>
              </w:rPr>
              <w:t>ARTICLE FOUR SATISFACTION AND DISCHARGE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0"/>
        </w:trPr>
        <w:tc>
          <w:tcPr>
            <w:tcW w:w="10660" w:type="dxa"/>
            <w:vAlign w:val="bottom"/>
          </w:tcPr>
          <w:p>
            <w:pPr>
              <w:ind w:left="360"/>
              <w:spacing w:after="0"/>
              <w:rPr>
                <w:sz w:val="20"/>
                <w:szCs w:val="20"/>
                <w:color w:val="auto"/>
              </w:rPr>
            </w:pPr>
            <w:r>
              <w:rPr>
                <w:rFonts w:ascii="Arial" w:cs="Arial" w:eastAsia="Arial" w:hAnsi="Arial"/>
                <w:sz w:val="18"/>
                <w:szCs w:val="18"/>
                <w:color w:val="auto"/>
              </w:rPr>
              <w:t>Section 401. Satisfaction and Discharge of Indenture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10660" w:type="dxa"/>
            <w:vAlign w:val="bottom"/>
          </w:tcPr>
          <w:p>
            <w:pPr>
              <w:ind w:left="360"/>
              <w:spacing w:after="0"/>
              <w:rPr>
                <w:sz w:val="20"/>
                <w:szCs w:val="20"/>
                <w:color w:val="auto"/>
              </w:rPr>
            </w:pPr>
            <w:r>
              <w:rPr>
                <w:rFonts w:ascii="Arial" w:cs="Arial" w:eastAsia="Arial" w:hAnsi="Arial"/>
                <w:sz w:val="18"/>
                <w:szCs w:val="18"/>
                <w:color w:val="auto"/>
              </w:rPr>
              <w:t>Section 402. Application of Trust Funds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4"/>
        </w:trPr>
        <w:tc>
          <w:tcPr>
            <w:tcW w:w="10660" w:type="dxa"/>
            <w:vAlign w:val="bottom"/>
          </w:tcPr>
          <w:p>
            <w:pPr>
              <w:spacing w:after="0"/>
              <w:rPr>
                <w:sz w:val="20"/>
                <w:szCs w:val="20"/>
                <w:color w:val="auto"/>
              </w:rPr>
            </w:pPr>
            <w:r>
              <w:rPr>
                <w:rFonts w:ascii="Arial" w:cs="Arial" w:eastAsia="Arial" w:hAnsi="Arial"/>
                <w:sz w:val="18"/>
                <w:szCs w:val="18"/>
                <w:color w:val="auto"/>
              </w:rPr>
              <w:t>ARTICLE FIVE REMEDIES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0"/>
        </w:trPr>
        <w:tc>
          <w:tcPr>
            <w:tcW w:w="10660" w:type="dxa"/>
            <w:vAlign w:val="bottom"/>
          </w:tcPr>
          <w:p>
            <w:pPr>
              <w:ind w:left="360"/>
              <w:spacing w:after="0"/>
              <w:rPr>
                <w:sz w:val="20"/>
                <w:szCs w:val="20"/>
                <w:color w:val="auto"/>
              </w:rPr>
            </w:pPr>
            <w:r>
              <w:rPr>
                <w:rFonts w:ascii="Arial" w:cs="Arial" w:eastAsia="Arial" w:hAnsi="Arial"/>
                <w:sz w:val="18"/>
                <w:szCs w:val="18"/>
                <w:color w:val="auto"/>
              </w:rPr>
              <w:t>Section 501. Events of Default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Section 502. Acceleration of Maturity; Rescission and Annulment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Section 503. Collection of Indebtedness and Suits for Enforcement by Trustee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Section 504. Trustee May File Proofs of Claim</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Section 505. Trustee May Enforce Claims Without Possession of Securities or Coupons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10660" w:type="dxa"/>
            <w:vAlign w:val="bottom"/>
          </w:tcPr>
          <w:p>
            <w:pPr>
              <w:ind w:left="360"/>
              <w:spacing w:after="0"/>
              <w:rPr>
                <w:sz w:val="20"/>
                <w:szCs w:val="20"/>
                <w:color w:val="auto"/>
              </w:rPr>
            </w:pPr>
            <w:r>
              <w:rPr>
                <w:rFonts w:ascii="Arial" w:cs="Arial" w:eastAsia="Arial" w:hAnsi="Arial"/>
                <w:sz w:val="18"/>
                <w:szCs w:val="18"/>
                <w:color w:val="auto"/>
              </w:rPr>
              <w:t>Section 506. Application of Money Collected</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507. Limitation on Suits</w:t>
            </w:r>
          </w:p>
        </w:tc>
        <w:tc>
          <w:tcPr>
            <w:tcW w:w="2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508. Unconditional Right of Holders to Receive Principal, Premium and Interest</w:t>
            </w:r>
          </w:p>
        </w:tc>
        <w:tc>
          <w:tcPr>
            <w:tcW w:w="2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509. Restoration of Rights and Remedies</w:t>
            </w:r>
          </w:p>
        </w:tc>
        <w:tc>
          <w:tcPr>
            <w:tcW w:w="2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510. Rights and Remedies Cumulative</w:t>
            </w:r>
          </w:p>
        </w:tc>
        <w:tc>
          <w:tcPr>
            <w:tcW w:w="2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511. Delay or Omission Not Waiver</w:t>
            </w:r>
          </w:p>
        </w:tc>
        <w:tc>
          <w:tcPr>
            <w:tcW w:w="2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512. Control by Holders of Securities</w:t>
            </w:r>
          </w:p>
        </w:tc>
        <w:tc>
          <w:tcPr>
            <w:tcW w:w="2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513. Waiver of Past Defaults</w:t>
            </w:r>
          </w:p>
        </w:tc>
        <w:tc>
          <w:tcPr>
            <w:tcW w:w="2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8760" w:type="dxa"/>
            <w:vAlign w:val="bottom"/>
          </w:tcPr>
          <w:p>
            <w:pPr>
              <w:ind w:left="360"/>
              <w:spacing w:after="0"/>
              <w:rPr>
                <w:sz w:val="20"/>
                <w:szCs w:val="20"/>
                <w:color w:val="auto"/>
              </w:rPr>
            </w:pPr>
            <w:r>
              <w:rPr>
                <w:rFonts w:ascii="Arial" w:cs="Arial" w:eastAsia="Arial" w:hAnsi="Arial"/>
                <w:sz w:val="18"/>
                <w:szCs w:val="18"/>
                <w:color w:val="auto"/>
              </w:rPr>
              <w:t>Section 514. Waiver of Stay or Extension Laws</w:t>
            </w:r>
          </w:p>
        </w:tc>
        <w:tc>
          <w:tcPr>
            <w:tcW w:w="2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760" w:type="dxa"/>
            <w:vAlign w:val="bottom"/>
          </w:tcPr>
          <w:p>
            <w:pPr>
              <w:spacing w:after="0"/>
              <w:rPr>
                <w:sz w:val="20"/>
                <w:szCs w:val="20"/>
                <w:color w:val="auto"/>
              </w:rPr>
            </w:pPr>
            <w:r>
              <w:rPr>
                <w:rFonts w:ascii="Arial" w:cs="Arial" w:eastAsia="Arial" w:hAnsi="Arial"/>
                <w:sz w:val="18"/>
                <w:szCs w:val="18"/>
                <w:color w:val="auto"/>
              </w:rPr>
              <w:t>ARTICLE SIX THE TRUSTEE</w:t>
            </w:r>
          </w:p>
        </w:tc>
        <w:tc>
          <w:tcPr>
            <w:tcW w:w="2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0"/>
        </w:trPr>
        <w:tc>
          <w:tcPr>
            <w:tcW w:w="8760" w:type="dxa"/>
            <w:vAlign w:val="bottom"/>
          </w:tcPr>
          <w:p>
            <w:pPr>
              <w:ind w:left="360"/>
              <w:spacing w:after="0"/>
              <w:rPr>
                <w:sz w:val="20"/>
                <w:szCs w:val="20"/>
                <w:color w:val="auto"/>
              </w:rPr>
            </w:pPr>
            <w:r>
              <w:rPr>
                <w:rFonts w:ascii="Arial" w:cs="Arial" w:eastAsia="Arial" w:hAnsi="Arial"/>
                <w:sz w:val="18"/>
                <w:szCs w:val="18"/>
                <w:color w:val="auto"/>
              </w:rPr>
              <w:t>Section 601. Notice of Defaults</w:t>
            </w:r>
          </w:p>
        </w:tc>
        <w:tc>
          <w:tcPr>
            <w:tcW w:w="2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602. Certain Rights of Trustee</w:t>
            </w:r>
          </w:p>
        </w:tc>
        <w:tc>
          <w:tcPr>
            <w:tcW w:w="2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603. Not Responsible for Recitals or Issuance of Securities</w:t>
            </w:r>
          </w:p>
        </w:tc>
        <w:tc>
          <w:tcPr>
            <w:tcW w:w="2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604. May Hold Securities</w:t>
            </w:r>
          </w:p>
        </w:tc>
        <w:tc>
          <w:tcPr>
            <w:tcW w:w="2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605. Money Held in Trust</w:t>
            </w:r>
          </w:p>
        </w:tc>
        <w:tc>
          <w:tcPr>
            <w:tcW w:w="2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606. Compensation and Reimbursement and Indemnification of Trustee</w:t>
            </w:r>
          </w:p>
        </w:tc>
        <w:tc>
          <w:tcPr>
            <w:tcW w:w="22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607. Corporate Trustee Required; Eligibility</w:t>
            </w:r>
          </w:p>
        </w:tc>
        <w:tc>
          <w:tcPr>
            <w:tcW w:w="22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608. Disqualification; Conflicting Interests</w:t>
            </w:r>
          </w:p>
        </w:tc>
        <w:tc>
          <w:tcPr>
            <w:tcW w:w="22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609. Resignation and Removal; Appointment of Successor</w:t>
            </w:r>
          </w:p>
        </w:tc>
        <w:tc>
          <w:tcPr>
            <w:tcW w:w="22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610. Acceptance of Appointment by Successor</w:t>
            </w:r>
          </w:p>
        </w:tc>
        <w:tc>
          <w:tcPr>
            <w:tcW w:w="22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611. Merger, Conversion, Consolidation or Succession to Business</w:t>
            </w:r>
          </w:p>
        </w:tc>
        <w:tc>
          <w:tcPr>
            <w:tcW w:w="22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8760" w:type="dxa"/>
            <w:vAlign w:val="bottom"/>
          </w:tcPr>
          <w:p>
            <w:pPr>
              <w:ind w:left="360"/>
              <w:spacing w:after="0"/>
              <w:rPr>
                <w:sz w:val="20"/>
                <w:szCs w:val="20"/>
                <w:color w:val="auto"/>
              </w:rPr>
            </w:pPr>
            <w:r>
              <w:rPr>
                <w:rFonts w:ascii="Arial" w:cs="Arial" w:eastAsia="Arial" w:hAnsi="Arial"/>
                <w:sz w:val="18"/>
                <w:szCs w:val="18"/>
                <w:color w:val="auto"/>
              </w:rPr>
              <w:t>Section 612. Appointment of Authenticating Agent</w:t>
            </w:r>
          </w:p>
        </w:tc>
        <w:tc>
          <w:tcPr>
            <w:tcW w:w="22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8760" w:type="dxa"/>
            <w:vAlign w:val="bottom"/>
          </w:tcPr>
          <w:p>
            <w:pPr>
              <w:spacing w:after="0"/>
              <w:rPr>
                <w:sz w:val="20"/>
                <w:szCs w:val="20"/>
                <w:color w:val="auto"/>
              </w:rPr>
            </w:pPr>
            <w:r>
              <w:rPr>
                <w:rFonts w:ascii="Arial" w:cs="Arial" w:eastAsia="Arial" w:hAnsi="Arial"/>
                <w:sz w:val="18"/>
                <w:szCs w:val="18"/>
                <w:color w:val="auto"/>
              </w:rPr>
              <w:t>ARTICLE SEVEN HOLDERS’ LISTS AND REPORTS BY TRUSTEE AND COMPANY</w:t>
            </w:r>
          </w:p>
        </w:tc>
        <w:tc>
          <w:tcPr>
            <w:tcW w:w="22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0"/>
        </w:trPr>
        <w:tc>
          <w:tcPr>
            <w:tcW w:w="8760" w:type="dxa"/>
            <w:vAlign w:val="bottom"/>
          </w:tcPr>
          <w:p>
            <w:pPr>
              <w:ind w:left="360"/>
              <w:spacing w:after="0"/>
              <w:rPr>
                <w:sz w:val="20"/>
                <w:szCs w:val="20"/>
                <w:color w:val="auto"/>
              </w:rPr>
            </w:pPr>
            <w:r>
              <w:rPr>
                <w:rFonts w:ascii="Arial" w:cs="Arial" w:eastAsia="Arial" w:hAnsi="Arial"/>
                <w:sz w:val="18"/>
                <w:szCs w:val="18"/>
                <w:color w:val="auto"/>
              </w:rPr>
              <w:t>Section 701. Disclosure of Names and Addresses of Holders</w:t>
            </w:r>
          </w:p>
        </w:tc>
        <w:tc>
          <w:tcPr>
            <w:tcW w:w="22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702. Preservation of Information; Communications to Holders</w:t>
            </w:r>
          </w:p>
        </w:tc>
        <w:tc>
          <w:tcPr>
            <w:tcW w:w="22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703. Reports by Trustee</w:t>
            </w:r>
          </w:p>
        </w:tc>
        <w:tc>
          <w:tcPr>
            <w:tcW w:w="22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704. Reports by Company</w:t>
            </w:r>
          </w:p>
        </w:tc>
        <w:tc>
          <w:tcPr>
            <w:tcW w:w="22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8760" w:type="dxa"/>
            <w:vAlign w:val="bottom"/>
          </w:tcPr>
          <w:p>
            <w:pPr>
              <w:ind w:left="360"/>
              <w:spacing w:after="0"/>
              <w:rPr>
                <w:sz w:val="20"/>
                <w:szCs w:val="20"/>
                <w:color w:val="auto"/>
              </w:rPr>
            </w:pPr>
            <w:r>
              <w:rPr>
                <w:rFonts w:ascii="Arial" w:cs="Arial" w:eastAsia="Arial" w:hAnsi="Arial"/>
                <w:sz w:val="18"/>
                <w:szCs w:val="18"/>
                <w:color w:val="auto"/>
              </w:rPr>
              <w:t>Section 705. Calculation of Original Issue Discount</w:t>
            </w:r>
          </w:p>
        </w:tc>
        <w:tc>
          <w:tcPr>
            <w:tcW w:w="22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8760" w:type="dxa"/>
            <w:vAlign w:val="bottom"/>
          </w:tcPr>
          <w:p>
            <w:pPr>
              <w:spacing w:after="0"/>
              <w:rPr>
                <w:sz w:val="20"/>
                <w:szCs w:val="20"/>
                <w:color w:val="auto"/>
              </w:rPr>
            </w:pPr>
            <w:r>
              <w:rPr>
                <w:rFonts w:ascii="Arial" w:cs="Arial" w:eastAsia="Arial" w:hAnsi="Arial"/>
                <w:sz w:val="18"/>
                <w:szCs w:val="18"/>
                <w:color w:val="auto"/>
              </w:rPr>
              <w:t>ARTICLE EIGHT CONSOLIDATION, MERGER, CONVEYANCE OR TRANSFER</w:t>
            </w:r>
          </w:p>
        </w:tc>
        <w:tc>
          <w:tcPr>
            <w:tcW w:w="22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0"/>
        </w:trPr>
        <w:tc>
          <w:tcPr>
            <w:tcW w:w="8760" w:type="dxa"/>
            <w:vAlign w:val="bottom"/>
          </w:tcPr>
          <w:p>
            <w:pPr>
              <w:ind w:left="360"/>
              <w:spacing w:after="0"/>
              <w:rPr>
                <w:sz w:val="20"/>
                <w:szCs w:val="20"/>
                <w:color w:val="auto"/>
              </w:rPr>
            </w:pPr>
            <w:r>
              <w:rPr>
                <w:rFonts w:ascii="Arial" w:cs="Arial" w:eastAsia="Arial" w:hAnsi="Arial"/>
                <w:sz w:val="18"/>
                <w:szCs w:val="18"/>
                <w:color w:val="auto"/>
              </w:rPr>
              <w:t>Section 801. Company May Consolidate, Etc., Only on Certain Terms</w:t>
            </w:r>
          </w:p>
        </w:tc>
        <w:tc>
          <w:tcPr>
            <w:tcW w:w="22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8760" w:type="dxa"/>
            <w:vAlign w:val="bottom"/>
          </w:tcPr>
          <w:p>
            <w:pPr>
              <w:ind w:left="360"/>
              <w:spacing w:after="0"/>
              <w:rPr>
                <w:sz w:val="20"/>
                <w:szCs w:val="20"/>
                <w:color w:val="auto"/>
              </w:rPr>
            </w:pPr>
            <w:r>
              <w:rPr>
                <w:rFonts w:ascii="Arial" w:cs="Arial" w:eastAsia="Arial" w:hAnsi="Arial"/>
                <w:sz w:val="18"/>
                <w:szCs w:val="18"/>
                <w:color w:val="auto"/>
              </w:rPr>
              <w:t>Section 802. Successor Person Substituted</w:t>
            </w:r>
          </w:p>
        </w:tc>
        <w:tc>
          <w:tcPr>
            <w:tcW w:w="22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8760" w:type="dxa"/>
            <w:vAlign w:val="bottom"/>
          </w:tcPr>
          <w:p>
            <w:pPr>
              <w:spacing w:after="0"/>
              <w:rPr>
                <w:sz w:val="20"/>
                <w:szCs w:val="20"/>
                <w:color w:val="auto"/>
              </w:rPr>
            </w:pPr>
            <w:r>
              <w:rPr>
                <w:rFonts w:ascii="Arial" w:cs="Arial" w:eastAsia="Arial" w:hAnsi="Arial"/>
                <w:sz w:val="18"/>
                <w:szCs w:val="18"/>
                <w:color w:val="auto"/>
              </w:rPr>
              <w:t>ARTICLE NINE SUPPLEMENTAL INDENTURES</w:t>
            </w:r>
          </w:p>
        </w:tc>
        <w:tc>
          <w:tcPr>
            <w:tcW w:w="22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0"/>
        </w:trPr>
        <w:tc>
          <w:tcPr>
            <w:tcW w:w="8760" w:type="dxa"/>
            <w:vAlign w:val="bottom"/>
          </w:tcPr>
          <w:p>
            <w:pPr>
              <w:ind w:left="360"/>
              <w:spacing w:after="0"/>
              <w:rPr>
                <w:sz w:val="20"/>
                <w:szCs w:val="20"/>
                <w:color w:val="auto"/>
              </w:rPr>
            </w:pPr>
            <w:r>
              <w:rPr>
                <w:rFonts w:ascii="Arial" w:cs="Arial" w:eastAsia="Arial" w:hAnsi="Arial"/>
                <w:sz w:val="18"/>
                <w:szCs w:val="18"/>
                <w:color w:val="auto"/>
              </w:rPr>
              <w:t>Section 901. Supplemental Indentures Without Consent of Holders</w:t>
            </w:r>
          </w:p>
        </w:tc>
        <w:tc>
          <w:tcPr>
            <w:tcW w:w="22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902. Supplemental Indentures with Consent of Holders</w:t>
            </w:r>
          </w:p>
        </w:tc>
        <w:tc>
          <w:tcPr>
            <w:tcW w:w="22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903. Execution of Supplemental Indentures</w:t>
            </w:r>
          </w:p>
        </w:tc>
        <w:tc>
          <w:tcPr>
            <w:tcW w:w="22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904. Effect of Supplemental Indentures</w:t>
            </w:r>
          </w:p>
        </w:tc>
        <w:tc>
          <w:tcPr>
            <w:tcW w:w="22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905. Conformity with Trust Indenture Act</w:t>
            </w:r>
          </w:p>
        </w:tc>
        <w:tc>
          <w:tcPr>
            <w:tcW w:w="22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8760" w:type="dxa"/>
            <w:vAlign w:val="bottom"/>
          </w:tcPr>
          <w:p>
            <w:pPr>
              <w:ind w:left="360"/>
              <w:spacing w:after="0"/>
              <w:rPr>
                <w:sz w:val="20"/>
                <w:szCs w:val="20"/>
                <w:color w:val="auto"/>
              </w:rPr>
            </w:pPr>
            <w:r>
              <w:rPr>
                <w:rFonts w:ascii="Arial" w:cs="Arial" w:eastAsia="Arial" w:hAnsi="Arial"/>
                <w:sz w:val="18"/>
                <w:szCs w:val="18"/>
                <w:color w:val="auto"/>
              </w:rPr>
              <w:t>Section 906. Reference in Securities to Supplemental Indentures</w:t>
            </w:r>
          </w:p>
        </w:tc>
        <w:tc>
          <w:tcPr>
            <w:tcW w:w="22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8760" w:type="dxa"/>
            <w:vAlign w:val="bottom"/>
          </w:tcPr>
          <w:p>
            <w:pPr>
              <w:spacing w:after="0"/>
              <w:rPr>
                <w:sz w:val="20"/>
                <w:szCs w:val="20"/>
                <w:color w:val="auto"/>
              </w:rPr>
            </w:pPr>
            <w:r>
              <w:rPr>
                <w:rFonts w:ascii="Arial" w:cs="Arial" w:eastAsia="Arial" w:hAnsi="Arial"/>
                <w:sz w:val="18"/>
                <w:szCs w:val="18"/>
                <w:color w:val="auto"/>
              </w:rPr>
              <w:t>ARTICLE TEN COVENANTS</w:t>
            </w:r>
          </w:p>
        </w:tc>
        <w:tc>
          <w:tcPr>
            <w:tcW w:w="22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0"/>
        </w:trPr>
        <w:tc>
          <w:tcPr>
            <w:tcW w:w="8760" w:type="dxa"/>
            <w:vAlign w:val="bottom"/>
          </w:tcPr>
          <w:p>
            <w:pPr>
              <w:ind w:left="360"/>
              <w:spacing w:after="0"/>
              <w:rPr>
                <w:sz w:val="20"/>
                <w:szCs w:val="20"/>
                <w:color w:val="auto"/>
              </w:rPr>
            </w:pPr>
            <w:r>
              <w:rPr>
                <w:rFonts w:ascii="Arial" w:cs="Arial" w:eastAsia="Arial" w:hAnsi="Arial"/>
                <w:sz w:val="18"/>
                <w:szCs w:val="18"/>
                <w:color w:val="auto"/>
              </w:rPr>
              <w:t>Section 1001. Payment of Principal, Premium, if any, and Interest</w:t>
            </w:r>
          </w:p>
        </w:tc>
        <w:tc>
          <w:tcPr>
            <w:tcW w:w="22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1002. Maintenance of Office or Agency</w:t>
            </w:r>
          </w:p>
        </w:tc>
        <w:tc>
          <w:tcPr>
            <w:tcW w:w="22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1003. Money for Securities Payments to Be Held in Trust</w:t>
            </w:r>
          </w:p>
        </w:tc>
        <w:tc>
          <w:tcPr>
            <w:tcW w:w="22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1004. Additional Amounts</w:t>
            </w:r>
          </w:p>
        </w:tc>
        <w:tc>
          <w:tcPr>
            <w:tcW w:w="22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1005. Statement as to Compliance</w:t>
            </w:r>
          </w:p>
        </w:tc>
        <w:tc>
          <w:tcPr>
            <w:tcW w:w="22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Section 1006. Limitations on Liens</w:t>
            </w:r>
          </w:p>
        </w:tc>
        <w:tc>
          <w:tcPr>
            <w:tcW w:w="22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8760" w:type="dxa"/>
            <w:vAlign w:val="bottom"/>
          </w:tcPr>
          <w:p>
            <w:pPr>
              <w:ind w:left="360"/>
              <w:spacing w:after="0"/>
              <w:rPr>
                <w:sz w:val="20"/>
                <w:szCs w:val="20"/>
                <w:color w:val="auto"/>
              </w:rPr>
            </w:pPr>
            <w:r>
              <w:rPr>
                <w:rFonts w:ascii="Arial" w:cs="Arial" w:eastAsia="Arial" w:hAnsi="Arial"/>
                <w:sz w:val="18"/>
                <w:szCs w:val="18"/>
                <w:color w:val="auto"/>
              </w:rPr>
              <w:t>Section 1007. Waiver of Certain Covenants</w:t>
            </w:r>
          </w:p>
        </w:tc>
        <w:tc>
          <w:tcPr>
            <w:tcW w:w="220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0"/>
        </w:trPr>
        <w:tc>
          <w:tcPr>
            <w:tcW w:w="9720" w:type="dxa"/>
            <w:vAlign w:val="bottom"/>
          </w:tcPr>
          <w:p>
            <w:pPr>
              <w:spacing w:after="0"/>
              <w:rPr>
                <w:sz w:val="20"/>
                <w:szCs w:val="20"/>
                <w:color w:val="auto"/>
              </w:rPr>
            </w:pPr>
            <w:r>
              <w:rPr>
                <w:rFonts w:ascii="Arial" w:cs="Arial" w:eastAsia="Arial" w:hAnsi="Arial"/>
                <w:sz w:val="18"/>
                <w:szCs w:val="18"/>
                <w:color w:val="auto"/>
              </w:rPr>
              <w:t>ARTICLE ELEVEN REDEMPTION OF SECURITIES</w:t>
            </w: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10"/>
        </w:trPr>
        <w:tc>
          <w:tcPr>
            <w:tcW w:w="9720" w:type="dxa"/>
            <w:vAlign w:val="bottom"/>
          </w:tcPr>
          <w:p>
            <w:pPr>
              <w:ind w:left="360"/>
              <w:spacing w:after="0"/>
              <w:rPr>
                <w:sz w:val="20"/>
                <w:szCs w:val="20"/>
                <w:color w:val="auto"/>
              </w:rPr>
            </w:pPr>
            <w:r>
              <w:rPr>
                <w:rFonts w:ascii="Arial" w:cs="Arial" w:eastAsia="Arial" w:hAnsi="Arial"/>
                <w:sz w:val="18"/>
                <w:szCs w:val="18"/>
                <w:color w:val="auto"/>
              </w:rPr>
              <w:t>Section 1101. Applicability of Article</w:t>
            </w: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Section 1102. Election to Redeem; Notice to Trustee</w:t>
            </w: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Section 1103. Selection by Trustee of Securities to Be Redeemed</w:t>
            </w:r>
          </w:p>
        </w:tc>
        <w:tc>
          <w:tcPr>
            <w:tcW w:w="12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Section 1104. Notice of Redemption</w:t>
            </w:r>
          </w:p>
        </w:tc>
        <w:tc>
          <w:tcPr>
            <w:tcW w:w="12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Section 1105. Deposit of Redemption Price</w:t>
            </w:r>
          </w:p>
        </w:tc>
        <w:tc>
          <w:tcPr>
            <w:tcW w:w="12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Section 1106. Securities Payable on Redemption Date</w:t>
            </w:r>
          </w:p>
        </w:tc>
        <w:tc>
          <w:tcPr>
            <w:tcW w:w="12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9720" w:type="dxa"/>
            <w:vAlign w:val="bottom"/>
          </w:tcPr>
          <w:p>
            <w:pPr>
              <w:ind w:left="360"/>
              <w:spacing w:after="0"/>
              <w:rPr>
                <w:sz w:val="20"/>
                <w:szCs w:val="20"/>
                <w:color w:val="auto"/>
              </w:rPr>
            </w:pPr>
            <w:r>
              <w:rPr>
                <w:rFonts w:ascii="Arial" w:cs="Arial" w:eastAsia="Arial" w:hAnsi="Arial"/>
                <w:sz w:val="18"/>
                <w:szCs w:val="18"/>
                <w:color w:val="auto"/>
              </w:rPr>
              <w:t>Section 1107. Securities Redeemed in Part</w:t>
            </w: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9720" w:type="dxa"/>
            <w:vAlign w:val="bottom"/>
          </w:tcPr>
          <w:p>
            <w:pPr>
              <w:spacing w:after="0"/>
              <w:rPr>
                <w:sz w:val="20"/>
                <w:szCs w:val="20"/>
                <w:color w:val="auto"/>
              </w:rPr>
            </w:pPr>
            <w:r>
              <w:rPr>
                <w:rFonts w:ascii="Arial" w:cs="Arial" w:eastAsia="Arial" w:hAnsi="Arial"/>
                <w:sz w:val="18"/>
                <w:szCs w:val="18"/>
                <w:color w:val="auto"/>
              </w:rPr>
              <w:t>ARTICLE TWELVE SINKING FUNDS</w:t>
            </w: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0"/>
        </w:trPr>
        <w:tc>
          <w:tcPr>
            <w:tcW w:w="9720" w:type="dxa"/>
            <w:vAlign w:val="bottom"/>
          </w:tcPr>
          <w:p>
            <w:pPr>
              <w:ind w:left="360"/>
              <w:spacing w:after="0"/>
              <w:rPr>
                <w:sz w:val="20"/>
                <w:szCs w:val="20"/>
                <w:color w:val="auto"/>
              </w:rPr>
            </w:pPr>
            <w:r>
              <w:rPr>
                <w:rFonts w:ascii="Arial" w:cs="Arial" w:eastAsia="Arial" w:hAnsi="Arial"/>
                <w:sz w:val="18"/>
                <w:szCs w:val="18"/>
                <w:color w:val="auto"/>
              </w:rPr>
              <w:t>Section 1201. Applicability of Article</w:t>
            </w: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Section 1202. Satisfaction of Sinking Fund Payments with Securities</w:t>
            </w: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9720" w:type="dxa"/>
            <w:vAlign w:val="bottom"/>
          </w:tcPr>
          <w:p>
            <w:pPr>
              <w:ind w:left="360"/>
              <w:spacing w:after="0"/>
              <w:rPr>
                <w:sz w:val="20"/>
                <w:szCs w:val="20"/>
                <w:color w:val="auto"/>
              </w:rPr>
            </w:pPr>
            <w:r>
              <w:rPr>
                <w:rFonts w:ascii="Arial" w:cs="Arial" w:eastAsia="Arial" w:hAnsi="Arial"/>
                <w:sz w:val="18"/>
                <w:szCs w:val="18"/>
                <w:color w:val="auto"/>
              </w:rPr>
              <w:t>Section 1203. Redemption of Securities for Sinking Fund</w:t>
            </w: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9720" w:type="dxa"/>
            <w:vAlign w:val="bottom"/>
          </w:tcPr>
          <w:p>
            <w:pPr>
              <w:spacing w:after="0"/>
              <w:rPr>
                <w:sz w:val="20"/>
                <w:szCs w:val="20"/>
                <w:color w:val="auto"/>
              </w:rPr>
            </w:pPr>
            <w:r>
              <w:rPr>
                <w:rFonts w:ascii="Arial" w:cs="Arial" w:eastAsia="Arial" w:hAnsi="Arial"/>
                <w:sz w:val="18"/>
                <w:szCs w:val="18"/>
                <w:color w:val="auto"/>
              </w:rPr>
              <w:t>ARTICLE THIRTEEN REPAYMENT AT THE OPTION OF HOLDERS</w:t>
            </w:r>
          </w:p>
        </w:tc>
        <w:tc>
          <w:tcPr>
            <w:tcW w:w="12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0"/>
        </w:trPr>
        <w:tc>
          <w:tcPr>
            <w:tcW w:w="9720" w:type="dxa"/>
            <w:vAlign w:val="bottom"/>
          </w:tcPr>
          <w:p>
            <w:pPr>
              <w:ind w:left="360"/>
              <w:spacing w:after="0"/>
              <w:rPr>
                <w:sz w:val="20"/>
                <w:szCs w:val="20"/>
                <w:color w:val="auto"/>
              </w:rPr>
            </w:pPr>
            <w:r>
              <w:rPr>
                <w:rFonts w:ascii="Arial" w:cs="Arial" w:eastAsia="Arial" w:hAnsi="Arial"/>
                <w:sz w:val="18"/>
                <w:szCs w:val="18"/>
                <w:color w:val="auto"/>
              </w:rPr>
              <w:t>Section 1301. Applicability of Article</w:t>
            </w:r>
          </w:p>
        </w:tc>
        <w:tc>
          <w:tcPr>
            <w:tcW w:w="12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Section 1302. Repayment of Securities</w:t>
            </w:r>
          </w:p>
        </w:tc>
        <w:tc>
          <w:tcPr>
            <w:tcW w:w="12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Section 1303. Exercise of Option</w:t>
            </w:r>
          </w:p>
        </w:tc>
        <w:tc>
          <w:tcPr>
            <w:tcW w:w="12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Section 1304. When Securities Presented for Repayment Become Due and Payable</w:t>
            </w:r>
          </w:p>
        </w:tc>
        <w:tc>
          <w:tcPr>
            <w:tcW w:w="12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9720" w:type="dxa"/>
            <w:vAlign w:val="bottom"/>
          </w:tcPr>
          <w:p>
            <w:pPr>
              <w:ind w:left="360"/>
              <w:spacing w:after="0"/>
              <w:rPr>
                <w:sz w:val="20"/>
                <w:szCs w:val="20"/>
                <w:color w:val="auto"/>
              </w:rPr>
            </w:pPr>
            <w:r>
              <w:rPr>
                <w:rFonts w:ascii="Arial" w:cs="Arial" w:eastAsia="Arial" w:hAnsi="Arial"/>
                <w:sz w:val="18"/>
                <w:szCs w:val="18"/>
                <w:color w:val="auto"/>
              </w:rPr>
              <w:t>Section 1305. Securities Repaid in Part</w:t>
            </w:r>
          </w:p>
        </w:tc>
        <w:tc>
          <w:tcPr>
            <w:tcW w:w="12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9720" w:type="dxa"/>
            <w:vAlign w:val="bottom"/>
          </w:tcPr>
          <w:p>
            <w:pPr>
              <w:spacing w:after="0"/>
              <w:rPr>
                <w:sz w:val="20"/>
                <w:szCs w:val="20"/>
                <w:color w:val="auto"/>
              </w:rPr>
            </w:pPr>
            <w:r>
              <w:rPr>
                <w:rFonts w:ascii="Arial" w:cs="Arial" w:eastAsia="Arial" w:hAnsi="Arial"/>
                <w:sz w:val="18"/>
                <w:szCs w:val="18"/>
                <w:color w:val="auto"/>
              </w:rPr>
              <w:t>ARTICLE FOURTEEN DEFEASANCE AND COVENANT DEFEASANCE</w:t>
            </w:r>
          </w:p>
        </w:tc>
        <w:tc>
          <w:tcPr>
            <w:tcW w:w="12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10"/>
        </w:trPr>
        <w:tc>
          <w:tcPr>
            <w:tcW w:w="9720" w:type="dxa"/>
            <w:vAlign w:val="bottom"/>
          </w:tcPr>
          <w:p>
            <w:pPr>
              <w:ind w:left="360"/>
              <w:spacing w:after="0"/>
              <w:rPr>
                <w:sz w:val="20"/>
                <w:szCs w:val="20"/>
                <w:color w:val="auto"/>
              </w:rPr>
            </w:pPr>
            <w:r>
              <w:rPr>
                <w:rFonts w:ascii="Arial" w:cs="Arial" w:eastAsia="Arial" w:hAnsi="Arial"/>
                <w:sz w:val="18"/>
                <w:szCs w:val="18"/>
                <w:color w:val="auto"/>
              </w:rPr>
              <w:t>Section 1401. Applicability of Article; Company’s Option to Effect Defeasance or Covenant Defeasance</w:t>
            </w:r>
          </w:p>
        </w:tc>
        <w:tc>
          <w:tcPr>
            <w:tcW w:w="12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Section 1402. Defeasance and Discharge</w:t>
            </w:r>
          </w:p>
        </w:tc>
        <w:tc>
          <w:tcPr>
            <w:tcW w:w="12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Section 1403. Covenant Defeasance</w:t>
            </w:r>
          </w:p>
        </w:tc>
        <w:tc>
          <w:tcPr>
            <w:tcW w:w="12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Section 1404. Conditions to Defeasance or Covenant Defeasance</w:t>
            </w:r>
          </w:p>
        </w:tc>
        <w:tc>
          <w:tcPr>
            <w:tcW w:w="12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9720" w:type="dxa"/>
            <w:vAlign w:val="bottom"/>
          </w:tcPr>
          <w:p>
            <w:pPr>
              <w:ind w:left="360"/>
              <w:spacing w:after="0"/>
              <w:rPr>
                <w:sz w:val="20"/>
                <w:szCs w:val="20"/>
                <w:color w:val="auto"/>
              </w:rPr>
            </w:pPr>
            <w:r>
              <w:rPr>
                <w:rFonts w:ascii="Arial" w:cs="Arial" w:eastAsia="Arial" w:hAnsi="Arial"/>
                <w:sz w:val="18"/>
                <w:szCs w:val="18"/>
                <w:color w:val="auto"/>
              </w:rPr>
              <w:t>Section 1405. Deposited Money and Government Obligations to Be Held in Trust; Other Miscellaneous Provisions</w:t>
            </w:r>
          </w:p>
        </w:tc>
        <w:tc>
          <w:tcPr>
            <w:tcW w:w="12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9720" w:type="dxa"/>
            <w:vAlign w:val="bottom"/>
          </w:tcPr>
          <w:p>
            <w:pPr>
              <w:spacing w:after="0"/>
              <w:rPr>
                <w:sz w:val="20"/>
                <w:szCs w:val="20"/>
                <w:color w:val="auto"/>
              </w:rPr>
            </w:pPr>
            <w:r>
              <w:rPr>
                <w:rFonts w:ascii="Arial" w:cs="Arial" w:eastAsia="Arial" w:hAnsi="Arial"/>
                <w:sz w:val="18"/>
                <w:szCs w:val="18"/>
                <w:color w:val="auto"/>
              </w:rPr>
              <w:t>ARTICLE FIFTEEN MEETINGS OF HOLDERS OF SECURITIES</w:t>
            </w:r>
          </w:p>
        </w:tc>
        <w:tc>
          <w:tcPr>
            <w:tcW w:w="12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10"/>
        </w:trPr>
        <w:tc>
          <w:tcPr>
            <w:tcW w:w="9720" w:type="dxa"/>
            <w:vAlign w:val="bottom"/>
          </w:tcPr>
          <w:p>
            <w:pPr>
              <w:ind w:left="360"/>
              <w:spacing w:after="0"/>
              <w:rPr>
                <w:sz w:val="20"/>
                <w:szCs w:val="20"/>
                <w:color w:val="auto"/>
              </w:rPr>
            </w:pPr>
            <w:r>
              <w:rPr>
                <w:rFonts w:ascii="Arial" w:cs="Arial" w:eastAsia="Arial" w:hAnsi="Arial"/>
                <w:sz w:val="18"/>
                <w:szCs w:val="18"/>
                <w:color w:val="auto"/>
              </w:rPr>
              <w:t>Section 1501. Purposes for Which Meetings May Be Called</w:t>
            </w:r>
          </w:p>
        </w:tc>
        <w:tc>
          <w:tcPr>
            <w:tcW w:w="12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Section 1502. Call, Notice and Place of Meetings</w:t>
            </w:r>
          </w:p>
        </w:tc>
        <w:tc>
          <w:tcPr>
            <w:tcW w:w="12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Section 1503. Persons Entitled to Vote at Meetings</w:t>
            </w:r>
          </w:p>
        </w:tc>
        <w:tc>
          <w:tcPr>
            <w:tcW w:w="12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Section 1504. Quorum; Action</w:t>
            </w:r>
          </w:p>
        </w:tc>
        <w:tc>
          <w:tcPr>
            <w:tcW w:w="12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Section 1505. Determination of Voting Rights; Conduct and Adjournment of Meetings</w:t>
            </w:r>
          </w:p>
        </w:tc>
        <w:tc>
          <w:tcPr>
            <w:tcW w:w="12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9720" w:type="dxa"/>
            <w:vAlign w:val="bottom"/>
          </w:tcPr>
          <w:p>
            <w:pPr>
              <w:ind w:left="360"/>
              <w:spacing w:after="0"/>
              <w:rPr>
                <w:sz w:val="20"/>
                <w:szCs w:val="20"/>
                <w:color w:val="auto"/>
              </w:rPr>
            </w:pPr>
            <w:r>
              <w:rPr>
                <w:rFonts w:ascii="Arial" w:cs="Arial" w:eastAsia="Arial" w:hAnsi="Arial"/>
                <w:sz w:val="18"/>
                <w:szCs w:val="18"/>
                <w:color w:val="auto"/>
              </w:rPr>
              <w:t>Section 1506. Counting Votes and Recording Action of Meetings</w:t>
            </w:r>
          </w:p>
        </w:tc>
        <w:tc>
          <w:tcPr>
            <w:tcW w:w="12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9720" w:type="dxa"/>
            <w:vAlign w:val="bottom"/>
          </w:tcPr>
          <w:p>
            <w:pPr>
              <w:spacing w:after="0"/>
              <w:rPr>
                <w:sz w:val="20"/>
                <w:szCs w:val="20"/>
                <w:color w:val="auto"/>
              </w:rPr>
            </w:pPr>
            <w:r>
              <w:rPr>
                <w:rFonts w:ascii="Arial" w:cs="Arial" w:eastAsia="Arial" w:hAnsi="Arial"/>
                <w:sz w:val="18"/>
                <w:szCs w:val="18"/>
                <w:color w:val="auto"/>
              </w:rPr>
              <w:t>ARTICLE SIXTEEN SUBORDINATION OF SECURITIES</w:t>
            </w:r>
          </w:p>
        </w:tc>
        <w:tc>
          <w:tcPr>
            <w:tcW w:w="12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10"/>
        </w:trPr>
        <w:tc>
          <w:tcPr>
            <w:tcW w:w="9720" w:type="dxa"/>
            <w:vAlign w:val="bottom"/>
          </w:tcPr>
          <w:p>
            <w:pPr>
              <w:ind w:left="360"/>
              <w:spacing w:after="0"/>
              <w:rPr>
                <w:sz w:val="20"/>
                <w:szCs w:val="20"/>
                <w:color w:val="auto"/>
              </w:rPr>
            </w:pPr>
            <w:r>
              <w:rPr>
                <w:rFonts w:ascii="Arial" w:cs="Arial" w:eastAsia="Arial" w:hAnsi="Arial"/>
                <w:sz w:val="18"/>
                <w:szCs w:val="18"/>
                <w:color w:val="auto"/>
              </w:rPr>
              <w:t>Section 1601. Agreement to Subordinate</w:t>
            </w:r>
          </w:p>
        </w:tc>
        <w:tc>
          <w:tcPr>
            <w:tcW w:w="12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Section 1602. Distribution on Dissolution, Liquidation and Reorganization; Subrogation of Subordinated Securities</w:t>
            </w:r>
          </w:p>
        </w:tc>
        <w:tc>
          <w:tcPr>
            <w:tcW w:w="12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Section 1603. No Payment on Subordinated Securities in Event of Default on Senior Indebtedness</w:t>
            </w:r>
          </w:p>
        </w:tc>
        <w:tc>
          <w:tcPr>
            <w:tcW w:w="12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Section 1604. Payments on Subordinated Securities Permitted</w:t>
            </w:r>
          </w:p>
        </w:tc>
        <w:tc>
          <w:tcPr>
            <w:tcW w:w="12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Section 1605. Authorization of Holders to Trustee to Effect Subordination</w:t>
            </w:r>
          </w:p>
        </w:tc>
        <w:tc>
          <w:tcPr>
            <w:tcW w:w="12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Section 1606. Notices to Trustee</w:t>
            </w:r>
          </w:p>
        </w:tc>
        <w:tc>
          <w:tcPr>
            <w:tcW w:w="12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Section 1607. Trustee as Holder of Senior Indebtedness</w:t>
            </w:r>
          </w:p>
        </w:tc>
        <w:tc>
          <w:tcPr>
            <w:tcW w:w="12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Section 1608. Modifications of Terms of Senior Indebtedness</w:t>
            </w:r>
          </w:p>
        </w:tc>
        <w:tc>
          <w:tcPr>
            <w:tcW w:w="12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9720" w:type="dxa"/>
            <w:vAlign w:val="bottom"/>
          </w:tcPr>
          <w:p>
            <w:pPr>
              <w:ind w:left="360"/>
              <w:spacing w:after="0"/>
              <w:rPr>
                <w:sz w:val="20"/>
                <w:szCs w:val="20"/>
                <w:color w:val="auto"/>
              </w:rPr>
            </w:pPr>
            <w:r>
              <w:rPr>
                <w:rFonts w:ascii="Arial" w:cs="Arial" w:eastAsia="Arial" w:hAnsi="Arial"/>
                <w:sz w:val="18"/>
                <w:szCs w:val="18"/>
                <w:color w:val="auto"/>
              </w:rPr>
              <w:t>Section 1609. Reliance on Judicial Order or Certificate of Liquidating Agent</w:t>
            </w:r>
          </w:p>
        </w:tc>
        <w:tc>
          <w:tcPr>
            <w:tcW w:w="124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53" w:name="page54"/>
    <w:bookmarkEnd w:id="53"/>
    <w:p>
      <w:pPr>
        <w:ind w:left="1480" w:right="300" w:hanging="1551"/>
        <w:spacing w:after="0" w:line="277" w:lineRule="auto"/>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A-1:</w:t>
      </w:r>
      <w:r>
        <w:rPr>
          <w:sz w:val="20"/>
          <w:szCs w:val="20"/>
          <w:color w:val="auto"/>
        </w:rPr>
        <w:tab/>
      </w:r>
      <w:r>
        <w:rPr>
          <w:rFonts w:ascii="Arial" w:cs="Arial" w:eastAsia="Arial" w:hAnsi="Arial"/>
          <w:sz w:val="18"/>
          <w:szCs w:val="18"/>
          <w:color w:val="auto"/>
        </w:rPr>
        <w:t>FORM OF CERTIFICATE TO BE GIVEN BY PERSON ENTITLED TO RECEIVE BEARER SECURITY OR TO OBTAIN INTEREST PAYABLE PRIOR TO THE EXCHANGE DATE</w:t>
      </w:r>
    </w:p>
    <w:p>
      <w:pPr>
        <w:spacing w:after="0" w:line="62" w:lineRule="exact"/>
        <w:rPr>
          <w:sz w:val="20"/>
          <w:szCs w:val="20"/>
          <w:color w:val="auto"/>
        </w:rPr>
      </w:pPr>
    </w:p>
    <w:p>
      <w:pPr>
        <w:ind w:left="1480" w:hanging="1551"/>
        <w:spacing w:after="0" w:line="263" w:lineRule="auto"/>
        <w:tabs>
          <w:tab w:leader="none" w:pos="1460" w:val="left"/>
        </w:tabs>
        <w:rPr>
          <w:sz w:val="20"/>
          <w:szCs w:val="20"/>
          <w:color w:val="auto"/>
        </w:rPr>
      </w:pPr>
      <w:r>
        <w:rPr>
          <w:rFonts w:ascii="Arial" w:cs="Arial" w:eastAsia="Arial" w:hAnsi="Arial"/>
          <w:sz w:val="18"/>
          <w:szCs w:val="18"/>
          <w:color w:val="auto"/>
        </w:rPr>
        <w:t>EXHIBIT A-2:</w:t>
      </w:r>
      <w:r>
        <w:rPr>
          <w:sz w:val="20"/>
          <w:szCs w:val="20"/>
          <w:color w:val="auto"/>
        </w:rPr>
        <w:tab/>
      </w:r>
      <w:r>
        <w:rPr>
          <w:rFonts w:ascii="Arial" w:cs="Arial" w:eastAsia="Arial" w:hAnsi="Arial"/>
          <w:sz w:val="18"/>
          <w:szCs w:val="18"/>
          <w:color w:val="auto"/>
        </w:rPr>
        <w:t>FORM OF CERTIFICATE TO BE GIVEN BY EUROCLEAR AND CLEARSTREAM IN CONNECTION WITH THE EXCHANGE OF A PORTION OF A TEMPORARY GLOBAL SECURITY OR TO OBTAIN INTEREST PAYABLE PRIOR TO THE EXCHANGE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00"/>
          </w:cols>
          <w:pgMar w:left="500" w:top="274" w:right="499" w:bottom="1440" w:gutter="0" w:footer="0" w:header="0"/>
        </w:sectPr>
      </w:pPr>
    </w:p>
    <w:bookmarkStart w:id="54" w:name="page55"/>
    <w:bookmarkEnd w:id="54"/>
    <w:p>
      <w:pPr>
        <w:ind w:left="100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4.1</w:t>
      </w:r>
    </w:p>
    <w:p>
      <w:pPr>
        <w:spacing w:after="0" w:line="237"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INDENTURE, dated as of March 23, 2021, between PENNANTPARK FLOATING RATE CAPITAL LTD., a Maryland corporation (hereinafter called the “Company”), having its principal office at 590 Madison Avenue, 15</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10022, and AMERICAN STOCK TRANSFER &amp; TRUST COMPANY, LLC, a New York limited liability trust company (hereinafter called the “Trustee”), having its Corporate Trust Office 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6201 15</w:t>
      </w:r>
      <w:r>
        <w:rPr>
          <w:rFonts w:ascii="Arial" w:cs="Arial" w:eastAsia="Arial" w:hAnsi="Arial"/>
          <w:sz w:val="15"/>
          <w:szCs w:val="15"/>
          <w:color w:val="auto"/>
        </w:rPr>
        <w:t>th</w:t>
      </w:r>
      <w:r>
        <w:rPr>
          <w:rFonts w:ascii="Arial" w:cs="Arial" w:eastAsia="Arial" w:hAnsi="Arial"/>
          <w:sz w:val="18"/>
          <w:szCs w:val="18"/>
          <w:color w:val="auto"/>
        </w:rPr>
        <w:t xml:space="preserve"> Avenue, Brooklyn, New York 11219.</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deems it necessary to issue from time to time for its lawful purposes debt securities (hereinafter called the “Securities”) evidencing its secured or unsecured indebtedness, which may or may not be convertible into or exchangeable for any securities of any Person (including the Company), and has duly authorized the execution and delivery of the Indenture to provide for the issuance from time to time of the Securities, to be issued in one or more series, unlimited as to principal amount, to bear such rates of interest, to mature at such times and to have such other provisions as shall be fixed as hereinafter provided.</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Indenture (as defined herein) is subject to the provisions of the Trust Indenture Act (as defined herein), that are required to be part of this Indenture and shall, to the extent applicable, be governed by such provisions.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All things necessary to make this Indenture a valid and legally binding agreement of the Company, in accordance with its terms, have been done.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THIS INDENTURE WITNESSETH:</w:t>
      </w:r>
    </w:p>
    <w:p>
      <w:pPr>
        <w:spacing w:after="0" w:line="117"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For and in consideration of the premises and the purchase of the Securities by the Holders (as defined herein) thereof, it is mutually covenanted and agreed, for the equal and proportionate benefit of all Holders of the Securities and coupons, or of a series thereof, as follows: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ONE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101.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117" w:lineRule="exact"/>
        <w:rPr>
          <w:sz w:val="20"/>
          <w:szCs w:val="20"/>
          <w:color w:val="auto"/>
        </w:rPr>
      </w:pPr>
    </w:p>
    <w:p>
      <w:pPr>
        <w:ind w:right="80" w:firstLine="436"/>
        <w:spacing w:after="0" w:line="342" w:lineRule="auto"/>
        <w:tabs>
          <w:tab w:leader="none" w:pos="695"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terms defined in this Article have the meanings assigned to them in this Article, and include the plural as well as the singular and, pursuant to Section 301, any such item may, with respect to any particular series of Securities, be amended or modified or specified as being inapplicable;</w:t>
      </w:r>
    </w:p>
    <w:p>
      <w:pPr>
        <w:spacing w:after="0" w:line="123" w:lineRule="exact"/>
        <w:rPr>
          <w:rFonts w:ascii="Arial" w:cs="Arial" w:eastAsia="Arial" w:hAnsi="Arial"/>
          <w:sz w:val="16"/>
          <w:szCs w:val="16"/>
          <w:color w:val="auto"/>
        </w:rPr>
      </w:pPr>
    </w:p>
    <w:p>
      <w:pPr>
        <w:ind w:right="120" w:firstLine="436"/>
        <w:spacing w:after="0" w:line="286" w:lineRule="auto"/>
        <w:tabs>
          <w:tab w:leader="none" w:pos="695" w:val="left"/>
        </w:tabs>
        <w:numPr>
          <w:ilvl w:val="0"/>
          <w:numId w:val="64"/>
        </w:numPr>
        <w:rPr>
          <w:rFonts w:ascii="Arial" w:cs="Arial" w:eastAsia="Arial" w:hAnsi="Arial"/>
          <w:sz w:val="17"/>
          <w:szCs w:val="17"/>
          <w:color w:val="auto"/>
        </w:rPr>
      </w:pPr>
      <w:r>
        <w:rPr>
          <w:rFonts w:ascii="Arial" w:cs="Arial" w:eastAsia="Arial" w:hAnsi="Arial"/>
          <w:sz w:val="17"/>
          <w:szCs w:val="17"/>
          <w:color w:val="auto"/>
        </w:rPr>
        <w:t>all other terms used herein which are defined in the Trust Indenture Act, either directly or by reference therein, have the meanings assigned to them therein, and the terms “cash transaction” and “self-liquidating paper,” as used in Section 311 of the Trust Indenture Act, shall have the meanings assigned to them in the rules of the Commission (as defined herein) adopted under the Trust Indenture Act;</w:t>
      </w:r>
    </w:p>
    <w:p>
      <w:pPr>
        <w:spacing w:after="0" w:line="165" w:lineRule="exact"/>
        <w:rPr>
          <w:rFonts w:ascii="Arial" w:cs="Arial" w:eastAsia="Arial" w:hAnsi="Arial"/>
          <w:sz w:val="17"/>
          <w:szCs w:val="17"/>
          <w:color w:val="auto"/>
        </w:rPr>
      </w:pPr>
    </w:p>
    <w:p>
      <w:pPr>
        <w:ind w:right="500" w:firstLine="436"/>
        <w:spacing w:after="0" w:line="277" w:lineRule="auto"/>
        <w:tabs>
          <w:tab w:leader="none" w:pos="6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generally accepted accounting principles in the United States of America;</w:t>
      </w:r>
    </w:p>
    <w:p>
      <w:pPr>
        <w:spacing w:after="0" w:line="170" w:lineRule="exact"/>
        <w:rPr>
          <w:rFonts w:ascii="Arial" w:cs="Arial" w:eastAsia="Arial" w:hAnsi="Arial"/>
          <w:sz w:val="18"/>
          <w:szCs w:val="18"/>
          <w:color w:val="auto"/>
        </w:rPr>
      </w:pPr>
    </w:p>
    <w:p>
      <w:pPr>
        <w:ind w:right="340" w:firstLine="436"/>
        <w:spacing w:after="0" w:line="277" w:lineRule="auto"/>
        <w:tabs>
          <w:tab w:leader="none" w:pos="6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 and</w:t>
      </w:r>
    </w:p>
    <w:p>
      <w:pPr>
        <w:spacing w:after="0" w:line="225" w:lineRule="exact"/>
        <w:rPr>
          <w:rFonts w:ascii="Arial" w:cs="Arial" w:eastAsia="Arial" w:hAnsi="Arial"/>
          <w:sz w:val="18"/>
          <w:szCs w:val="18"/>
          <w:color w:val="auto"/>
        </w:rPr>
      </w:pPr>
    </w:p>
    <w:p>
      <w:pPr>
        <w:ind w:right="20" w:firstLine="436"/>
        <w:spacing w:after="0" w:line="277" w:lineRule="auto"/>
        <w:tabs>
          <w:tab w:leader="none" w:pos="6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Exchange Act of 1934, as amended, shall be deemed to include substitute, replacement of successor sections or rules adopted by the Commission from time to time.</w:t>
      </w:r>
    </w:p>
    <w:p>
      <w:pPr>
        <w:sectPr>
          <w:pgSz w:w="11900" w:h="16838" w:orient="portrait"/>
          <w:cols w:equalWidth="0" w:num="1">
            <w:col w:w="11020"/>
          </w:cols>
          <w:pgMar w:left="440" w:top="274" w:right="4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terms, used principally in Article Three, Article Five, Article Six and Article Ten, are defined in those Articles.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when used with respect to any Holder of a Security, has the meaning specified in Section 104.</w:t>
      </w:r>
    </w:p>
    <w:p>
      <w:pPr>
        <w:spacing w:after="0" w:line="22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Amounts</w:t>
      </w:r>
      <w:r>
        <w:rPr>
          <w:rFonts w:ascii="Arial" w:cs="Arial" w:eastAsia="Arial" w:hAnsi="Arial"/>
          <w:sz w:val="16"/>
          <w:szCs w:val="16"/>
          <w:color w:val="auto"/>
        </w:rPr>
        <w:t>” means any additional amounts which are required by a Security or by or pursuant to a Board Resolution, under circumstances specified therein, to be paid by the Company in respect of certain taxes imposed on certain Holders and which are owing to such Holders.</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Authenticating Agent</w:t>
      </w:r>
      <w:r>
        <w:rPr>
          <w:rFonts w:ascii="Arial" w:cs="Arial" w:eastAsia="Arial" w:hAnsi="Arial"/>
          <w:sz w:val="18"/>
          <w:szCs w:val="18"/>
          <w:color w:val="auto"/>
        </w:rPr>
        <w:t>” means any authenticating agent appointed by the Trustee pursuant to Section 612 to act on behalf of the Trustee to authenticate Securities of one or more series.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Newspaper</w:t>
      </w:r>
      <w:r>
        <w:rPr>
          <w:rFonts w:ascii="Arial" w:cs="Arial" w:eastAsia="Arial" w:hAnsi="Arial"/>
          <w:sz w:val="18"/>
          <w:szCs w:val="18"/>
          <w:color w:val="auto"/>
        </w:rPr>
        <w:t>” means a newspaper,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Where successive publications are required to be made in Authorized Newspapers, the successive publications may be made in the same or in different newspapers in the same city meeting the foregoing requirements and in each case on any Business Day.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Bearer Security</w:t>
      </w:r>
      <w:r>
        <w:rPr>
          <w:rFonts w:ascii="Arial" w:cs="Arial" w:eastAsia="Arial" w:hAnsi="Arial"/>
          <w:sz w:val="18"/>
          <w:szCs w:val="18"/>
          <w:color w:val="auto"/>
        </w:rPr>
        <w:t>” means any Security established pursuant to Section 201 which is payable to bearer.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 or any committee of that board duly authorized to act hereunder.</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Resolution</w:t>
      </w:r>
      <w:r>
        <w:rPr>
          <w:rFonts w:ascii="Arial" w:cs="Arial" w:eastAsia="Arial" w:hAnsi="Arial"/>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when used with respect to any Place of Payment or any other particular location referred to in this Indenture or in the Securities, means, unless otherwise specified with respect to any Securities pursuant to Section 301, each Monday, Tuesday, Wednesday, Thursday and Friday which is not a day on which banking institutions in that Place of Payment or particular location are authorized or obligated by law or executive order to close.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Clearstream</w:t>
      </w:r>
      <w:r>
        <w:rPr>
          <w:rFonts w:ascii="Arial" w:cs="Arial" w:eastAsia="Arial" w:hAnsi="Arial"/>
          <w:sz w:val="18"/>
          <w:szCs w:val="18"/>
          <w:color w:val="auto"/>
        </w:rPr>
        <w:t>” means Clearstream International or its successor.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 as from time to time constituted, created under the Securities Exchange Act of 1934, or, if at any time after execution of this instrument, such Commission is not existing and performing the duties now assigned to it under the Trust Indenture Act, then the body performing such duties on such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Depositary</w:t>
      </w:r>
      <w:r>
        <w:rPr>
          <w:rFonts w:ascii="Arial" w:cs="Arial" w:eastAsia="Arial" w:hAnsi="Arial"/>
          <w:sz w:val="18"/>
          <w:szCs w:val="18"/>
          <w:color w:val="auto"/>
        </w:rPr>
        <w:t>” has the meaning specified in Section 304.</w:t>
      </w:r>
    </w:p>
    <w:p>
      <w:pPr>
        <w:spacing w:after="0" w:line="225"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the Person named as the “Company” in the first paragraph of this Indenture until a successor Person shall have become such pursuant to the applicable provisions of this Indenture, and thereafter “Company” shall mean such successor corporation.</w:t>
      </w:r>
    </w:p>
    <w:p>
      <w:pPr>
        <w:spacing w:after="0" w:line="14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Request</w:t>
      </w:r>
      <w:r>
        <w:rPr>
          <w:rFonts w:ascii="Arial" w:cs="Arial" w:eastAsia="Arial" w:hAnsi="Arial"/>
          <w:sz w:val="18"/>
          <w:szCs w:val="18"/>
          <w:color w:val="auto"/>
        </w:rPr>
        <w:t>” and “</w:t>
      </w:r>
      <w:r>
        <w:rPr>
          <w:rFonts w:ascii="Arial" w:cs="Arial" w:eastAsia="Arial" w:hAnsi="Arial"/>
          <w:sz w:val="18"/>
          <w:szCs w:val="18"/>
          <w:u w:val="single" w:color="auto"/>
          <w:color w:val="auto"/>
        </w:rPr>
        <w:t>Company Order</w:t>
      </w:r>
      <w:r>
        <w:rPr>
          <w:rFonts w:ascii="Arial" w:cs="Arial" w:eastAsia="Arial" w:hAnsi="Arial"/>
          <w:sz w:val="18"/>
          <w:szCs w:val="18"/>
          <w:color w:val="auto"/>
        </w:rPr>
        <w:t>” mean, respectively, a written request or order signed in the name of the Company by the Chairman, the Chief Executive Officer, the President or a Vice President, and by the Chief Financial Officer, the Chief Operating Officer, the Secretary or an Assistant Secretary, of the Company, and delivered to the Trustee.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6" w:name="page57"/>
    <w:bookmarkEnd w:id="5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Conversion Date</w:t>
      </w:r>
      <w:r>
        <w:rPr>
          <w:rFonts w:ascii="Arial" w:cs="Arial" w:eastAsia="Arial" w:hAnsi="Arial"/>
          <w:sz w:val="18"/>
          <w:szCs w:val="18"/>
          <w:color w:val="auto"/>
        </w:rPr>
        <w:t>” has the meaning specified in Section 312(d).</w:t>
      </w:r>
    </w:p>
    <w:p>
      <w:pPr>
        <w:spacing w:after="0" w:line="225"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Event</w:t>
      </w:r>
      <w:r>
        <w:rPr>
          <w:rFonts w:ascii="Arial" w:cs="Arial" w:eastAsia="Arial" w:hAnsi="Arial"/>
          <w:sz w:val="17"/>
          <w:szCs w:val="17"/>
          <w:color w:val="auto"/>
        </w:rPr>
        <w:t>” means the cessation of use of (i) a Foreign Currency both by the government of the country which issued such currency and for the settlement of transactions by a central bank or other public institutions of or within the international banking community, (ii) the Euro both within the European Monetary System and for the settlement of transactions by public institutions of or within the European Communities or (iii) any currency unit (or composite currency) other than the Euro for the purposes for which it was established.</w:t>
      </w:r>
    </w:p>
    <w:p>
      <w:pPr>
        <w:spacing w:after="0" w:line="171" w:lineRule="exact"/>
        <w:rPr>
          <w:sz w:val="20"/>
          <w:szCs w:val="20"/>
          <w:color w:val="auto"/>
        </w:rPr>
      </w:pPr>
    </w:p>
    <w:p>
      <w:pPr>
        <w:jc w:val="both"/>
        <w:ind w:left="4" w:right="1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Trust Office</w:t>
      </w:r>
      <w:r>
        <w:rPr>
          <w:rFonts w:ascii="Arial" w:cs="Arial" w:eastAsia="Arial" w:hAnsi="Arial"/>
          <w:sz w:val="18"/>
          <w:szCs w:val="18"/>
          <w:color w:val="auto"/>
        </w:rPr>
        <w:t>” means the office of the Trustee at which, at any particular time, its corporate trust business shall be principally administered, which office at the date hereof is located at the address set forth in the preamble hereto, or such other address as the trustee may designate from time to time by notice to the Holders and the Company.</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includes corporations, associations, companies and business trusts.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coupon</w:t>
      </w:r>
      <w:r>
        <w:rPr>
          <w:rFonts w:ascii="Arial" w:cs="Arial" w:eastAsia="Arial" w:hAnsi="Arial"/>
          <w:sz w:val="18"/>
          <w:szCs w:val="18"/>
          <w:color w:val="auto"/>
        </w:rPr>
        <w:t>” means any interest coupon appertaining to a Bearer Security.</w:t>
      </w:r>
    </w:p>
    <w:p>
      <w:pPr>
        <w:spacing w:after="0" w:line="225" w:lineRule="exact"/>
        <w:rPr>
          <w:sz w:val="20"/>
          <w:szCs w:val="20"/>
          <w:color w:val="auto"/>
        </w:rPr>
      </w:pPr>
    </w:p>
    <w:p>
      <w:pPr>
        <w:jc w:val="both"/>
        <w:ind w:left="4"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w:t>
      </w:r>
      <w:r>
        <w:rPr>
          <w:rFonts w:ascii="Arial" w:cs="Arial" w:eastAsia="Arial" w:hAnsi="Arial"/>
          <w:sz w:val="18"/>
          <w:szCs w:val="18"/>
          <w:color w:val="auto"/>
        </w:rPr>
        <w:t>” means any currency or currencies, composite currency or currency unit or currency units, including, without limitation, the Euro, issued by the government of one or more countries or by any reorganized confederation or association of such governments.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Interest</w:t>
      </w:r>
      <w:r>
        <w:rPr>
          <w:rFonts w:ascii="Arial" w:cs="Arial" w:eastAsia="Arial" w:hAnsi="Arial"/>
          <w:sz w:val="18"/>
          <w:szCs w:val="18"/>
          <w:color w:val="auto"/>
        </w:rPr>
        <w:t>” has the meaning specified in Section 307.</w:t>
      </w:r>
    </w:p>
    <w:p>
      <w:pPr>
        <w:spacing w:after="0" w:line="225" w:lineRule="exact"/>
        <w:rPr>
          <w:sz w:val="20"/>
          <w:szCs w:val="20"/>
          <w:color w:val="auto"/>
        </w:rPr>
      </w:pPr>
    </w:p>
    <w:p>
      <w:pPr>
        <w:jc w:val="both"/>
        <w:ind w:left="4"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a U.S. dollar or other equivalent unit in such coin or currency of the United States of America as at the time shall be legal tender for the payment of public and private debts.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means the euro or other equivalent unit in such official coin or currency of European Union.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Date</w:t>
      </w:r>
      <w:r>
        <w:rPr>
          <w:rFonts w:ascii="Arial" w:cs="Arial" w:eastAsia="Arial" w:hAnsi="Arial"/>
          <w:sz w:val="18"/>
          <w:szCs w:val="18"/>
          <w:color w:val="auto"/>
        </w:rPr>
        <w:t>” has the meaning specified in Section 312(h).</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Euroclear</w:t>
      </w:r>
      <w:r>
        <w:rPr>
          <w:rFonts w:ascii="Arial" w:cs="Arial" w:eastAsia="Arial" w:hAnsi="Arial"/>
          <w:sz w:val="18"/>
          <w:szCs w:val="18"/>
          <w:color w:val="auto"/>
        </w:rPr>
        <w:t>” means Euroclear Bank SAINV, as operator of the Euroclear System or its successor as operator of the Euroclear System.</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Communities</w:t>
      </w:r>
      <w:r>
        <w:rPr>
          <w:rFonts w:ascii="Arial" w:cs="Arial" w:eastAsia="Arial" w:hAnsi="Arial"/>
          <w:sz w:val="18"/>
          <w:szCs w:val="18"/>
          <w:color w:val="auto"/>
        </w:rPr>
        <w:t>” means the European Union.</w:t>
      </w:r>
    </w:p>
    <w:p>
      <w:pPr>
        <w:spacing w:after="0" w:line="225"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Monetary System</w:t>
      </w:r>
      <w:r>
        <w:rPr>
          <w:rFonts w:ascii="Arial" w:cs="Arial" w:eastAsia="Arial" w:hAnsi="Arial"/>
          <w:sz w:val="18"/>
          <w:szCs w:val="18"/>
          <w:color w:val="auto"/>
        </w:rPr>
        <w:t>” means the European Monetary System established by the Resolution of December 5, 1978 of the Council of the European Communities.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specified in Article Five.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Date</w:t>
      </w:r>
      <w:r>
        <w:rPr>
          <w:rFonts w:ascii="Arial" w:cs="Arial" w:eastAsia="Arial" w:hAnsi="Arial"/>
          <w:sz w:val="18"/>
          <w:szCs w:val="18"/>
          <w:color w:val="auto"/>
        </w:rPr>
        <w:t>” has the meaning specified in Section 304.</w:t>
      </w:r>
    </w:p>
    <w:p>
      <w:pPr>
        <w:spacing w:after="0" w:line="225"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Rate Agent</w:t>
      </w:r>
      <w:r>
        <w:rPr>
          <w:rFonts w:ascii="Arial" w:cs="Arial" w:eastAsia="Arial" w:hAnsi="Arial"/>
          <w:sz w:val="18"/>
          <w:szCs w:val="18"/>
          <w:color w:val="auto"/>
        </w:rPr>
        <w:t>”, with respect to Securities of or within any series, means, unless otherwise specified with respect to any Securities pursuant to Section 301, a New York Clearing House bank designated pursuant to Section 301 or Section 313.</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Rate Officer’s Certificate</w:t>
      </w:r>
      <w:r>
        <w:rPr>
          <w:rFonts w:ascii="Arial" w:cs="Arial" w:eastAsia="Arial" w:hAnsi="Arial"/>
          <w:sz w:val="17"/>
          <w:szCs w:val="17"/>
          <w:color w:val="auto"/>
        </w:rPr>
        <w:t>” means a certificate setting forth (i) the applicable Market Exchange Rate or the applicable bid quotation and</w:t>
      </w:r>
    </w:p>
    <w:p>
      <w:pPr>
        <w:spacing w:after="0" w:line="35" w:lineRule="exact"/>
        <w:rPr>
          <w:sz w:val="20"/>
          <w:szCs w:val="20"/>
          <w:color w:val="auto"/>
        </w:rPr>
      </w:pPr>
    </w:p>
    <w:p>
      <w:pPr>
        <w:ind w:left="4" w:right="80" w:hanging="4"/>
        <w:spacing w:after="0" w:line="253" w:lineRule="auto"/>
        <w:tabs>
          <w:tab w:leader="none" w:pos="26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Dollar or Foreign Currency amounts of principal (and premium, if any) and interest, if any (on an aggregate basis and on the basis of a Security having the lowest denomination principal amount determined in accordance with Section 302 in the relevant Currency), payable with respect to a Security of any series on the basis of such Market Exchange Rate or the applicable bid quotation signed by the Chief Executive Officer, Chief Financial Officer or any Vice President of the Company.</w:t>
      </w:r>
    </w:p>
    <w:p>
      <w:pPr>
        <w:spacing w:after="0" w:line="193" w:lineRule="exact"/>
        <w:rPr>
          <w:sz w:val="20"/>
          <w:szCs w:val="20"/>
          <w:color w:val="auto"/>
        </w:rPr>
      </w:pPr>
    </w:p>
    <w:p>
      <w:pPr>
        <w:ind w:left="4" w:right="4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w:t>
      </w:r>
      <w:r>
        <w:rPr>
          <w:rFonts w:ascii="Arial" w:cs="Arial" w:eastAsia="Arial" w:hAnsi="Arial"/>
          <w:sz w:val="18"/>
          <w:szCs w:val="18"/>
          <w:color w:val="auto"/>
        </w:rPr>
        <w:t>” means any Currency, including, without limitation, the Euro issued by the government of one or more countries other than the United States of America or by any recognized confederation or association of such governments.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57" w:name="page58"/>
    <w:bookmarkEnd w:id="57"/>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Government Obligations</w:t>
      </w:r>
      <w:r>
        <w:rPr>
          <w:rFonts w:ascii="Arial" w:cs="Arial" w:eastAsia="Arial" w:hAnsi="Arial"/>
          <w:sz w:val="17"/>
          <w:szCs w:val="17"/>
          <w:color w:val="auto"/>
        </w:rPr>
        <w:t xml:space="preserve">” means securities which are (i) direct obligations of the United States of America or the government which issued the Foreign Currency in which the Securities of a particular series are payable, for the payment of which its full faith and credit is pledged or (ii) obligations of a Person controlled or supervised by and acting as an agency or instrumentality of the United States of America or such government which issued the Foreign Currency in which the Securities of such series are payable, the timely payment of which 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85"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in the case of a Registered Security, the Person in whose name a Security is registered in the Security Register and, in the case of a Bearer Security, the bearer thereof and, when used with respect to any coupon, shall mean the bearer thereof.</w:t>
      </w:r>
    </w:p>
    <w:p>
      <w:pPr>
        <w:spacing w:after="0" w:line="170" w:lineRule="exact"/>
        <w:rPr>
          <w:sz w:val="20"/>
          <w:szCs w:val="20"/>
          <w:color w:val="auto"/>
        </w:rPr>
      </w:pPr>
    </w:p>
    <w:p>
      <w:pPr>
        <w:ind w:left="4"/>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Indenture</w:t>
      </w:r>
      <w:r>
        <w:rPr>
          <w:rFonts w:ascii="Arial" w:cs="Arial" w:eastAsia="Arial" w:hAnsi="Arial"/>
          <w:sz w:val="16"/>
          <w:szCs w:val="16"/>
          <w:color w:val="auto"/>
        </w:rPr>
        <w:t xml:space="preserve">” means this instrument as originally executed or as it may from time to time be supplemented or amended by one or more indentures supplemental hereto entered into pursuant to the applicable provisions hereof, and shall include the terms of particular series of Securities established as contemplated by Section 301;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at any time more than one Person is acting as Trustee under this instrument, “Indenture” shall mean, with respect to any one or more series of Securities for which such Person is Trustee, this instrument as originally executed or as it may from time to time be supplemented or amended by one or more indentures supplemental hereto entered into pursuant to the applicable provisions hereof and shall include the terms of the or those particular series of Securities for which such Person is Trustee established as contemplated by Section 301, excluding, </w:t>
      </w:r>
      <w:r>
        <w:rPr>
          <w:rFonts w:ascii="Arial" w:cs="Arial" w:eastAsia="Arial" w:hAnsi="Arial"/>
          <w:sz w:val="16"/>
          <w:szCs w:val="16"/>
          <w:u w:val="single" w:color="auto"/>
          <w:color w:val="auto"/>
        </w:rPr>
        <w:t>however</w:t>
      </w:r>
      <w:r>
        <w:rPr>
          <w:rFonts w:ascii="Arial" w:cs="Arial" w:eastAsia="Arial" w:hAnsi="Arial"/>
          <w:sz w:val="16"/>
          <w:szCs w:val="16"/>
          <w:color w:val="auto"/>
        </w:rPr>
        <w:t>,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166" w:lineRule="exact"/>
        <w:rPr>
          <w:sz w:val="20"/>
          <w:szCs w:val="20"/>
          <w:color w:val="auto"/>
        </w:rPr>
      </w:pPr>
    </w:p>
    <w:p>
      <w:pPr>
        <w:jc w:val="both"/>
        <w:ind w:left="4" w:right="3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Indexed Security</w:t>
      </w:r>
      <w:r>
        <w:rPr>
          <w:rFonts w:ascii="Arial" w:cs="Arial" w:eastAsia="Arial" w:hAnsi="Arial"/>
          <w:sz w:val="18"/>
          <w:szCs w:val="18"/>
          <w:color w:val="auto"/>
        </w:rPr>
        <w:t>” means a Security as to which all or certain interest payments and/or the principal amount payable at Maturity are determined by reference to prices, changes in prices, or differences between prices, of securities, Currencies, intangibles, goods, articles or commodities or by such other objective price, economic or other measures as are specified in Section 301 hereof.</w:t>
      </w:r>
    </w:p>
    <w:p>
      <w:pPr>
        <w:spacing w:after="0" w:line="184"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when used with respect to an Original Issue Discount Security which by its terms bears interest only after Maturity, means interest payable after Maturity, and, when used with respect to a Security which provides for the payment of Additional Amounts pursuant to Section 1004, includes such Additional Amounts.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when used with respect to any Security, means the Stated Maturity of an installment of interest on such Security.</w:t>
      </w:r>
    </w:p>
    <w:p>
      <w:pPr>
        <w:spacing w:after="0" w:line="225"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Subordinated Security</w:t>
      </w:r>
      <w:r>
        <w:rPr>
          <w:rFonts w:ascii="Arial" w:cs="Arial" w:eastAsia="Arial" w:hAnsi="Arial"/>
          <w:sz w:val="18"/>
          <w:szCs w:val="18"/>
          <w:color w:val="auto"/>
        </w:rPr>
        <w:t>” or “</w:t>
      </w:r>
      <w:r>
        <w:rPr>
          <w:rFonts w:ascii="Arial" w:cs="Arial" w:eastAsia="Arial" w:hAnsi="Arial"/>
          <w:sz w:val="18"/>
          <w:szCs w:val="18"/>
          <w:u w:val="single" w:color="auto"/>
          <w:color w:val="auto"/>
        </w:rPr>
        <w:t>Junior Subordinated Securities</w:t>
      </w:r>
      <w:r>
        <w:rPr>
          <w:rFonts w:ascii="Arial" w:cs="Arial" w:eastAsia="Arial" w:hAnsi="Arial"/>
          <w:sz w:val="18"/>
          <w:szCs w:val="18"/>
          <w:color w:val="auto"/>
        </w:rPr>
        <w:t>” means any Security or Securities designated pursuant to Section 301 as a Junior Subordinated Security.</w:t>
      </w:r>
    </w:p>
    <w:p>
      <w:pPr>
        <w:spacing w:after="0" w:line="170" w:lineRule="exact"/>
        <w:rPr>
          <w:sz w:val="20"/>
          <w:szCs w:val="20"/>
          <w:color w:val="auto"/>
        </w:rPr>
      </w:pPr>
    </w:p>
    <w:p>
      <w:pPr>
        <w:ind w:left="4" w:right="1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Junior Subordinated Indebtedness</w:t>
      </w:r>
      <w:r>
        <w:rPr>
          <w:rFonts w:ascii="Arial" w:cs="Arial" w:eastAsia="Arial" w:hAnsi="Arial"/>
          <w:sz w:val="16"/>
          <w:szCs w:val="16"/>
          <w:color w:val="auto"/>
        </w:rPr>
        <w:t xml:space="preserve">” means the principal of (and premium, if any) and unpaid interest on (a) indebtedness of the Company (including indebtedness of others guaranteed by the Company), whether outstanding on the date hereof or thereafter created, incurred, assumed or guaranteed, for money borrowed, which in the instrument creating or evidencing the same or pursuant to which the same is outstanding it is provided that such indebtedness is expressly subordinated and ranks junior in right of payment to the Company’s Senior Indebtedness and Senior Subordinated Indebtedness and equally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to any other Junior Subordinated Indebtedness, (b) Junior Subordinated Securities and</w:t>
      </w:r>
    </w:p>
    <w:p>
      <w:pPr>
        <w:spacing w:after="0" w:line="2" w:lineRule="exact"/>
        <w:rPr>
          <w:sz w:val="20"/>
          <w:szCs w:val="20"/>
          <w:color w:val="auto"/>
        </w:rPr>
      </w:pPr>
    </w:p>
    <w:p>
      <w:pPr>
        <w:ind w:left="5464" w:right="5040" w:hanging="5464"/>
        <w:spacing w:after="0" w:line="517" w:lineRule="auto"/>
        <w:tabs>
          <w:tab w:leader="none" w:pos="246"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renewals, extensions, modifications and refinancings of any such indebtedness. 4</w:t>
      </w:r>
    </w:p>
    <w:p>
      <w:pPr>
        <w:sectPr>
          <w:pgSz w:w="11900" w:h="16838" w:orient="portrait"/>
          <w:cols w:equalWidth="0" w:num="1">
            <w:col w:w="10984"/>
          </w:cols>
          <w:pgMar w:left="436" w:top="274" w:right="479" w:bottom="1440" w:gutter="0" w:footer="0" w:header="0"/>
        </w:sectPr>
      </w:pPr>
    </w:p>
    <w:bookmarkStart w:id="58" w:name="page59"/>
    <w:bookmarkEnd w:id="58"/>
    <w:p>
      <w:pPr>
        <w:ind w:left="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Market Exchange Rate</w:t>
      </w:r>
      <w:r>
        <w:rPr>
          <w:rFonts w:ascii="Arial" w:cs="Arial" w:eastAsia="Arial" w:hAnsi="Arial"/>
          <w:sz w:val="17"/>
          <w:szCs w:val="17"/>
          <w:color w:val="auto"/>
        </w:rPr>
        <w:t>” means, unless otherwise specified with respect to any Securities pursuant to Section 301, (i) for any conversion involving a currency unit on the one hand and Dollars or any Foreign Currency on the other, the exchange rate between the relevant currency unit and Dollars or such Foreign Currency calculated by the method specified pursuant to Section 301 for the Securities of the relevant series, (ii) for any conversion of Dollars into any Foreign Currency, the noon buying rate for such Foreign Currency for cable transfers quoted in New York City as certified for customs purposes by the Federal Reserve Bank of New York and (iii) for any conversion of one Foreign Currency into Dollars or another Foreign Currency, the spot rate at noon local time in the relevant market at which, in accordance with normal banking procedures, the Dollars or Foreign Currency into which conversion is being made could be purchased with the Foreign Currency from which conversion is being made from major banks located in either New York City, London or any other principal market for Dollars or such purchased Foreign Currency, in each case determined by the Exchange Rate Agent. Unless otherwise specified with respect to any Securities pursuant to Section 301, in the event of the unavailability of any of the exchange rates provided for in the foregoing clauses (i), (ii) and (iii), the Exchange Rate Agent shall use, in its sole discretion and without liability on its part, such quotation of the Federal Reserve Bank of New York as of the most recent available date, or quotations from one or more major banks in New York City, London or other principal market for such currency or currency unit in question, or such other quotations as the Exchange Rate Agent shall deem appropriate. Unless otherwise specified by the Exchange Rate Agent, if there is more than one market for dealing in any currency or currency unit by reason of foreign exchange regulations or otherwise, the market to be used in respect of such currency or currency unit shall be that upon which a nonresident issuer of securities designated in such currency or currency unit would purchase such currency or currency unit in order to make payments in respect of such securities.</w:t>
      </w:r>
    </w:p>
    <w:p>
      <w:pPr>
        <w:spacing w:after="0" w:line="180"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w:t>
      </w:r>
      <w:r>
        <w:rPr>
          <w:rFonts w:ascii="Arial" w:cs="Arial" w:eastAsia="Arial" w:hAnsi="Arial"/>
          <w:sz w:val="18"/>
          <w:szCs w:val="18"/>
          <w:color w:val="auto"/>
        </w:rPr>
        <w:t>”, when used with respect to any Security, means the date on which the principal of such Security or an installment of principal becomes due and payable as therein or herein provided, whether at the Stated Maturity or by declaration of acceleration, notice of redemption, notice of option to elect repayment, notice of exchange or conversion or otherwise.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Default</w:t>
      </w:r>
      <w:r>
        <w:rPr>
          <w:rFonts w:ascii="Arial" w:cs="Arial" w:eastAsia="Arial" w:hAnsi="Arial"/>
          <w:sz w:val="18"/>
          <w:szCs w:val="18"/>
          <w:color w:val="auto"/>
        </w:rPr>
        <w:t>” has the meaning provided in Section 501.</w:t>
      </w:r>
    </w:p>
    <w:p>
      <w:pPr>
        <w:spacing w:after="0" w:line="225" w:lineRule="exact"/>
        <w:rPr>
          <w:sz w:val="20"/>
          <w:szCs w:val="20"/>
          <w:color w:val="auto"/>
        </w:rPr>
      </w:pPr>
    </w:p>
    <w:p>
      <w:pPr>
        <w:ind w:left="4" w:right="6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Officer’s Certificate</w:t>
      </w:r>
      <w:r>
        <w:rPr>
          <w:rFonts w:ascii="Arial" w:cs="Arial" w:eastAsia="Arial" w:hAnsi="Arial"/>
          <w:sz w:val="16"/>
          <w:szCs w:val="16"/>
          <w:color w:val="auto"/>
        </w:rPr>
        <w:t>” means a certificate signed by the Chairman, the Chief Executive Officers, the President, or any Vice President, the Chief Financial Officer, the Chief Operating Officer, the Secretary or any Assistant Secretary of the Company, and delivered to the Trustee.</w:t>
      </w:r>
    </w:p>
    <w:p>
      <w:pPr>
        <w:spacing w:after="0" w:line="124"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 written opinion of counsel, who may be counsel for the Company or who may be an employee of, or other counsel for, the Company.</w:t>
      </w:r>
    </w:p>
    <w:p>
      <w:pPr>
        <w:spacing w:after="0" w:line="170"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Discount Security</w:t>
      </w:r>
      <w:r>
        <w:rPr>
          <w:rFonts w:ascii="Arial" w:cs="Arial" w:eastAsia="Arial" w:hAnsi="Arial"/>
          <w:sz w:val="18"/>
          <w:szCs w:val="18"/>
          <w:color w:val="auto"/>
        </w:rPr>
        <w:t>” means any Security which provides for an amount less than the principal amount thereof to be due and payable upon a declaration of acceleration of the Maturity thereof pursuant to Section 502.</w:t>
      </w:r>
    </w:p>
    <w:p>
      <w:pPr>
        <w:spacing w:after="0" w:line="170"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w:t>
      </w:r>
      <w:r>
        <w:rPr>
          <w:rFonts w:ascii="Arial" w:cs="Arial" w:eastAsia="Arial" w:hAnsi="Arial"/>
          <w:sz w:val="18"/>
          <w:szCs w:val="18"/>
          <w:color w:val="auto"/>
        </w:rPr>
        <w:t>”, when used with respect to Securities or any series of Securities, means, as of the date of determination, all Securities or all Securities of such series, as the case may be, theretofore authenticated and delivered under this Indenture, except:</w:t>
      </w:r>
    </w:p>
    <w:p>
      <w:pPr>
        <w:spacing w:after="0" w:line="170" w:lineRule="exact"/>
        <w:rPr>
          <w:sz w:val="20"/>
          <w:szCs w:val="20"/>
          <w:color w:val="auto"/>
        </w:rPr>
      </w:pPr>
    </w:p>
    <w:p>
      <w:pPr>
        <w:ind w:left="224" w:hanging="224"/>
        <w:spacing w:after="0"/>
        <w:tabs>
          <w:tab w:leader="none" w:pos="224"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w:t>
      </w:r>
    </w:p>
    <w:p>
      <w:pPr>
        <w:spacing w:after="0" w:line="225" w:lineRule="exact"/>
        <w:rPr>
          <w:rFonts w:ascii="Arial" w:cs="Arial" w:eastAsia="Arial" w:hAnsi="Arial"/>
          <w:sz w:val="18"/>
          <w:szCs w:val="18"/>
          <w:color w:val="auto"/>
        </w:rPr>
      </w:pPr>
    </w:p>
    <w:p>
      <w:pPr>
        <w:ind w:left="4" w:hanging="4"/>
        <w:spacing w:after="0" w:line="257" w:lineRule="auto"/>
        <w:tabs>
          <w:tab w:leader="none" w:pos="269"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Securities, or portions thereof, for whose payment or redemption or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and any coupons appertaining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Securities are to be redeemed, notice of such redemption has been duly given pursuant to this Indenture or provision therefor satisfactory to the Trustee has been made;</w:t>
      </w:r>
    </w:p>
    <w:p>
      <w:pPr>
        <w:spacing w:after="0" w:line="187" w:lineRule="exact"/>
        <w:rPr>
          <w:rFonts w:ascii="Arial" w:cs="Arial" w:eastAsia="Arial" w:hAnsi="Arial"/>
          <w:sz w:val="18"/>
          <w:szCs w:val="18"/>
          <w:color w:val="auto"/>
        </w:rPr>
      </w:pPr>
    </w:p>
    <w:p>
      <w:pPr>
        <w:ind w:left="4" w:right="200" w:hanging="4"/>
        <w:spacing w:after="0" w:line="277" w:lineRule="auto"/>
        <w:tabs>
          <w:tab w:leader="none" w:pos="319"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Securities, except to the extent provided in Sections 1402 and 1403, with respect to which the Company has effected defeasance and/or covenant defeasance as provided in Article Fourteen; and</w:t>
      </w:r>
    </w:p>
    <w:p>
      <w:pPr>
        <w:spacing w:after="0" w:line="170" w:lineRule="exact"/>
        <w:rPr>
          <w:rFonts w:ascii="Arial" w:cs="Arial" w:eastAsia="Arial" w:hAnsi="Arial"/>
          <w:sz w:val="18"/>
          <w:szCs w:val="18"/>
          <w:color w:val="auto"/>
        </w:rPr>
      </w:pPr>
    </w:p>
    <w:p>
      <w:pPr>
        <w:ind w:left="4" w:right="80" w:hanging="4"/>
        <w:spacing w:after="0" w:line="286" w:lineRule="auto"/>
        <w:tabs>
          <w:tab w:leader="none" w:pos="309" w:val="left"/>
        </w:tabs>
        <w:numPr>
          <w:ilvl w:val="0"/>
          <w:numId w:val="67"/>
        </w:numPr>
        <w:rPr>
          <w:rFonts w:ascii="Arial" w:cs="Arial" w:eastAsia="Arial" w:hAnsi="Arial"/>
          <w:sz w:val="17"/>
          <w:szCs w:val="17"/>
          <w:color w:val="auto"/>
        </w:rPr>
      </w:pPr>
      <w:r>
        <w:rPr>
          <w:rFonts w:ascii="Arial" w:cs="Arial" w:eastAsia="Arial" w:hAnsi="Arial"/>
          <w:sz w:val="17"/>
          <w:szCs w:val="17"/>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protected purchaser in whose hands such Securities are valid obligations of the Company;</w:t>
      </w:r>
    </w:p>
    <w:p>
      <w:pPr>
        <w:spacing w:after="0" w:line="9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4"/>
          </w:cols>
          <w:pgMar w:left="436" w:top="274" w:right="519" w:bottom="1440" w:gutter="0" w:footer="0" w:header="0"/>
        </w:sectPr>
      </w:pPr>
    </w:p>
    <w:bookmarkStart w:id="59" w:name="page60"/>
    <w:bookmarkEnd w:id="59"/>
    <w:p>
      <w:pPr>
        <w:spacing w:after="0" w:line="285"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as of the date such Security is originally issued by the Company as set forth in an Exchange Rate Officer’s Certificate delivered to the Trustee, of the principal amount (or, in the case of an Original Issue Discount Security or Indexed Security, the Dollar equivalent as of such date of original issuance of the amount determined as provided in clause (i) above or (iii) below, respectively)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determining whether the Trustee shall be protected in making such calculation or in relying upon any such request, demand, authorization, direction, notice, consent or waiver or upon any such determination as to the presence of a quorum, only Securities which a Responsible Officer of the Trustee actually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7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means any Person authorized by the Company to pay the principal of (or premium, if any) or interest, if any, on any Securities or coupons on behalf of the Company.</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joint venture, association, joint-stock company, limited liability company, trust, unincorporated organization or government or any agency or political subdivision thereof, or any other entity.</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 of Payment</w:t>
      </w:r>
      <w:r>
        <w:rPr>
          <w:rFonts w:ascii="Arial" w:cs="Arial" w:eastAsia="Arial" w:hAnsi="Arial"/>
          <w:sz w:val="18"/>
          <w:szCs w:val="18"/>
          <w:color w:val="auto"/>
        </w:rPr>
        <w:t>” means, when used with respect to the Securities of or within any series, the place or places where the principal of (and premium, if any) and interest, if any, on such Securities are payable as specified and as contemplated by Sections 301 and 1002.</w:t>
      </w:r>
    </w:p>
    <w:p>
      <w:pPr>
        <w:spacing w:after="0" w:line="170"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Predecessor Security</w:t>
      </w:r>
      <w:r>
        <w:rPr>
          <w:rFonts w:ascii="Arial" w:cs="Arial" w:eastAsia="Arial" w:hAnsi="Arial"/>
          <w:sz w:val="16"/>
          <w:szCs w:val="16"/>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w:t>
      </w:r>
    </w:p>
    <w:p>
      <w:pPr>
        <w:spacing w:after="0" w:line="15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when used with respect to any Security to be redeemed, in whole or in part, means the date fixed for such redemption by or pursuant to this Indenture.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Redemption Price</w:t>
      </w:r>
      <w:r>
        <w:rPr>
          <w:rFonts w:ascii="Arial" w:cs="Arial" w:eastAsia="Arial" w:hAnsi="Arial"/>
          <w:sz w:val="16"/>
          <w:szCs w:val="16"/>
          <w:color w:val="auto"/>
        </w:rPr>
        <w:t>”, when used with respect to any Security to be redeemed, means the price at which it is to be redeemed pursuant to this Indenture.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Security</w:t>
      </w:r>
      <w:r>
        <w:rPr>
          <w:rFonts w:ascii="Arial" w:cs="Arial" w:eastAsia="Arial" w:hAnsi="Arial"/>
          <w:sz w:val="18"/>
          <w:szCs w:val="18"/>
          <w:color w:val="auto"/>
        </w:rPr>
        <w:t>” means any Security which is registered in the Security Register.</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Regular Record Date</w:t>
      </w:r>
      <w:r>
        <w:rPr>
          <w:rFonts w:ascii="Arial" w:cs="Arial" w:eastAsia="Arial" w:hAnsi="Arial"/>
          <w:sz w:val="18"/>
          <w:szCs w:val="18"/>
          <w:color w:val="auto"/>
        </w:rPr>
        <w:t>” for the interest payable on any Interest Payment Date on the Registered Securities of or within any series means the date specified for that purpose as contemplated by Section 301, whether or not a Business Day.</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Repayment Date</w:t>
      </w:r>
      <w:r>
        <w:rPr>
          <w:rFonts w:ascii="Arial" w:cs="Arial" w:eastAsia="Arial" w:hAnsi="Arial"/>
          <w:sz w:val="18"/>
          <w:szCs w:val="18"/>
          <w:color w:val="auto"/>
        </w:rPr>
        <w:t>” means, when used with respect to any Security to be repaid at the option of the Holder, means the date fixed for such repayment by or pursuant to this Indenture.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60" w:name="page61"/>
    <w:bookmarkEnd w:id="60"/>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Repayment Price</w:t>
      </w:r>
      <w:r>
        <w:rPr>
          <w:rFonts w:ascii="Arial" w:cs="Arial" w:eastAsia="Arial" w:hAnsi="Arial"/>
          <w:sz w:val="18"/>
          <w:szCs w:val="18"/>
          <w:color w:val="auto"/>
        </w:rPr>
        <w:t>” means, when used with respect to any Security to be repaid at the option of the Holder, means the price at which it is to be repaid by or pursuant to this Indenture.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when used with respect to the Trustee, means any officer of the Trustee assigned by the Trustee to administer its corporate trust matters and who shall have direct responsibility for the administration of this Indenture.</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w:t>
      </w:r>
      <w:r>
        <w:rPr>
          <w:rFonts w:ascii="Arial" w:cs="Arial" w:eastAsia="Arial" w:hAnsi="Arial"/>
          <w:sz w:val="18"/>
          <w:szCs w:val="18"/>
          <w:color w:val="auto"/>
        </w:rPr>
        <w:t>” or “</w:t>
      </w: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has the meaning stated in the first recital of this Indenture and, more particularly, means any Security or Securities authenticated and delivered under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w:t>
      </w:r>
      <w:r>
        <w:rPr>
          <w:rFonts w:ascii="Arial" w:cs="Arial" w:eastAsia="Arial" w:hAnsi="Arial"/>
          <w:sz w:val="18"/>
          <w:szCs w:val="18"/>
          <w:u w:val="single" w:color="auto"/>
          <w:color w:val="auto"/>
        </w:rPr>
        <w:t>exclusive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of Securities of any series as to which such Person is not Trustee.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Register</w:t>
      </w:r>
      <w:r>
        <w:rPr>
          <w:rFonts w:ascii="Arial" w:cs="Arial" w:eastAsia="Arial" w:hAnsi="Arial"/>
          <w:sz w:val="18"/>
          <w:szCs w:val="18"/>
          <w:color w:val="auto"/>
        </w:rPr>
        <w:t>” and “</w:t>
      </w:r>
      <w:r>
        <w:rPr>
          <w:rFonts w:ascii="Arial" w:cs="Arial" w:eastAsia="Arial" w:hAnsi="Arial"/>
          <w:sz w:val="18"/>
          <w:szCs w:val="18"/>
          <w:u w:val="single" w:color="auto"/>
          <w:color w:val="auto"/>
        </w:rPr>
        <w:t>Security Registrar</w:t>
      </w:r>
      <w:r>
        <w:rPr>
          <w:rFonts w:ascii="Arial" w:cs="Arial" w:eastAsia="Arial" w:hAnsi="Arial"/>
          <w:sz w:val="18"/>
          <w:szCs w:val="18"/>
          <w:color w:val="auto"/>
        </w:rPr>
        <w:t>” have the respective meanings specified in Section 305.</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Indebtedness</w:t>
      </w:r>
      <w:r>
        <w:rPr>
          <w:rFonts w:ascii="Arial" w:cs="Arial" w:eastAsia="Arial" w:hAnsi="Arial"/>
          <w:sz w:val="18"/>
          <w:szCs w:val="18"/>
          <w:color w:val="auto"/>
        </w:rPr>
        <w:t>” means the principal of (and premium, if any) and unpaid interest on (a) indebtedness of the Company (including indebtedness of others guaranteed by the Company), whether outstanding on the date hereof or thereafter created, incurred, assumed or guaranteed, for money borrowed, unless in the instrument creating or evidencing the same or pursuant to which the same is outstanding it is provided that such indebtedness is expressly subordinated, and is not senior or prior in right of payment, to Subordinated Indebtedness, (b) Senior Securities and (c) renewals, extensions, modifications and refinancings of any such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Security</w:t>
      </w:r>
      <w:r>
        <w:rPr>
          <w:rFonts w:ascii="Arial" w:cs="Arial" w:eastAsia="Arial" w:hAnsi="Arial"/>
          <w:sz w:val="18"/>
          <w:szCs w:val="18"/>
          <w:color w:val="auto"/>
        </w:rPr>
        <w:t>” or “</w:t>
      </w:r>
      <w:r>
        <w:rPr>
          <w:rFonts w:ascii="Arial" w:cs="Arial" w:eastAsia="Arial" w:hAnsi="Arial"/>
          <w:sz w:val="18"/>
          <w:szCs w:val="18"/>
          <w:u w:val="single" w:color="auto"/>
          <w:color w:val="auto"/>
        </w:rPr>
        <w:t>Senior Securities</w:t>
      </w:r>
      <w:r>
        <w:rPr>
          <w:rFonts w:ascii="Arial" w:cs="Arial" w:eastAsia="Arial" w:hAnsi="Arial"/>
          <w:sz w:val="18"/>
          <w:szCs w:val="18"/>
          <w:color w:val="auto"/>
        </w:rPr>
        <w:t>” means any Security or Securities designated pursuant to Section 301 as a Senior Security.</w:t>
      </w:r>
    </w:p>
    <w:p>
      <w:pPr>
        <w:spacing w:after="0" w:line="22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Subordinated Indebtedness</w:t>
      </w:r>
      <w:r>
        <w:rPr>
          <w:rFonts w:ascii="Arial" w:cs="Arial" w:eastAsia="Arial" w:hAnsi="Arial"/>
          <w:sz w:val="16"/>
          <w:szCs w:val="16"/>
          <w:color w:val="auto"/>
        </w:rPr>
        <w:t xml:space="preserve">” means the principal of (and premium, if any) and unpaid interest on (a) indebtedness of the Company (including indebtedness of others guaranteed by the Company), whether outstanding on the date hereof or thereafter created, incurred, assumed or guaranteed, for money borrowed, which in the instrument creating or evidencing the same or pursuant to which the same is outstanding it is provided that such indebtedness is expressly subordinated, and ranks junior in right of payment, to the Company’s Senior Indebtedness, equally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all other Senior Subordinated Indebtedness and senior in right of payment to any Junior Subordinated Indebtedness, (b) Senior Subordinated Securities and (c) renewals, extensions, modifications and refinancings of any such indebtedness.</w:t>
      </w:r>
    </w:p>
    <w:p>
      <w:pPr>
        <w:spacing w:after="0" w:line="16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Subordinated Security</w:t>
      </w:r>
      <w:r>
        <w:rPr>
          <w:rFonts w:ascii="Arial" w:cs="Arial" w:eastAsia="Arial" w:hAnsi="Arial"/>
          <w:sz w:val="18"/>
          <w:szCs w:val="18"/>
          <w:color w:val="auto"/>
        </w:rPr>
        <w:t>” or “</w:t>
      </w:r>
      <w:r>
        <w:rPr>
          <w:rFonts w:ascii="Arial" w:cs="Arial" w:eastAsia="Arial" w:hAnsi="Arial"/>
          <w:sz w:val="18"/>
          <w:szCs w:val="18"/>
          <w:u w:val="single" w:color="auto"/>
          <w:color w:val="auto"/>
        </w:rPr>
        <w:t>Senior Subordinated Securities</w:t>
      </w:r>
      <w:r>
        <w:rPr>
          <w:rFonts w:ascii="Arial" w:cs="Arial" w:eastAsia="Arial" w:hAnsi="Arial"/>
          <w:sz w:val="18"/>
          <w:szCs w:val="18"/>
          <w:color w:val="auto"/>
        </w:rPr>
        <w:t>” means any Security or Securities designated pursuant to Section 301 as a Senior Subordinated Security.</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Record Date</w:t>
      </w:r>
      <w:r>
        <w:rPr>
          <w:rFonts w:ascii="Arial" w:cs="Arial" w:eastAsia="Arial" w:hAnsi="Arial"/>
          <w:sz w:val="18"/>
          <w:szCs w:val="18"/>
          <w:color w:val="auto"/>
        </w:rPr>
        <w:t>” for the payment of any Defaulted Interest on the Registered Securities of or within any series means a date fixed by the Trustee pursuant to Section 307.</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Maturity</w:t>
      </w:r>
      <w:r>
        <w:rPr>
          <w:rFonts w:ascii="Arial" w:cs="Arial" w:eastAsia="Arial" w:hAnsi="Arial"/>
          <w:sz w:val="18"/>
          <w:szCs w:val="18"/>
          <w:color w:val="auto"/>
        </w:rPr>
        <w:t>” means, when used with respect to any Security or any installment of principal thereof or interest thereon, the date specified in such Security or a coupon representing such installment of interest as the fixed date on which the principal of such Security or such installment of principal or interest is due and payable, as such date may be extended pursuant to the provisions of Section 308.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any Senior Subordinated Indebtedness or Junior Subordinated Indebtedness.</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any corporation a majority of the outstanding voting stock of which is owned, directly or indirectly, by the Company or by one or more other Subsidiaries of the Company. For the purposes of this definition, “voting stock” means stock having voting power for the election of directors, whether at all times or only so long as no senior class of stock has such voting power by reason of any contingency.</w:t>
      </w:r>
    </w:p>
    <w:p>
      <w:pPr>
        <w:spacing w:after="0" w:line="16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or “</w:t>
      </w:r>
      <w:r>
        <w:rPr>
          <w:rFonts w:ascii="Arial" w:cs="Arial" w:eastAsia="Arial" w:hAnsi="Arial"/>
          <w:sz w:val="18"/>
          <w:szCs w:val="18"/>
          <w:u w:val="single" w:color="auto"/>
          <w:color w:val="auto"/>
        </w:rPr>
        <w:t>TIA</w:t>
      </w:r>
      <w:r>
        <w:rPr>
          <w:rFonts w:ascii="Arial" w:cs="Arial" w:eastAsia="Arial" w:hAnsi="Arial"/>
          <w:sz w:val="18"/>
          <w:szCs w:val="18"/>
          <w:color w:val="auto"/>
        </w:rPr>
        <w:t>” means the Trust Indenture Act of 1939, as amended, as in force at the date as of which this Indenture was executed, except as provided in Section 905.</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any time there is more than one such Person, “Trustee” as used with respect to the Securities of any series shall mean only the Trustee with respect to Securities of that series.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61" w:name="page62"/>
    <w:bookmarkEnd w:id="61"/>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United States person</w:t>
      </w:r>
      <w:r>
        <w:rPr>
          <w:rFonts w:ascii="Arial" w:cs="Arial" w:eastAsia="Arial" w:hAnsi="Arial"/>
          <w:sz w:val="16"/>
          <w:szCs w:val="16"/>
          <w:color w:val="auto"/>
        </w:rPr>
        <w:t>” means, unless otherwise specified with respect to any Securities pursuant to Section 301, any individual who is a citizen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resident of the United States, a corporation, partnership or other entity created or organized in or under the laws of the United States, any state thereof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District of Columbia (other than a partnership that is not treated as a United States Person under any applicable Treasury regulations), any estate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of which is subject to United States federal income taxation regardless of its source, or any trust if a court within the United States is able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exercise primary supervision over the administration of the trust and one or more United States persons have the authority to control all substantial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decisions of the trust. Notwithstanding the preceding sentence, to the extent provided in the Treasury regulations, certain trusts in existence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August 20, 1996, and treated as United States persons prior to such date that elect to continue to be treated as United States Persons, will also be United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States persons.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Valuation Date</w:t>
      </w:r>
      <w:r>
        <w:rPr>
          <w:rFonts w:ascii="Arial" w:cs="Arial" w:eastAsia="Arial" w:hAnsi="Arial"/>
          <w:sz w:val="18"/>
          <w:szCs w:val="18"/>
          <w:color w:val="auto"/>
        </w:rPr>
        <w:t>” has the meaning specified in Section 312(c).</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Yield to Maturity</w:t>
      </w:r>
      <w:r>
        <w:rPr>
          <w:rFonts w:ascii="Arial" w:cs="Arial" w:eastAsia="Arial" w:hAnsi="Arial"/>
          <w:sz w:val="16"/>
          <w:szCs w:val="16"/>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102. Compliance Certificates and Opinions.</w:t>
      </w:r>
    </w:p>
    <w:p>
      <w:pPr>
        <w:spacing w:after="0" w:line="12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Every certificate or opinion with respect to compliance with a condition or covenant provided for in this Indenture (other than pursuant to Section 1005)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shall include:</w:t>
      </w:r>
    </w:p>
    <w:p>
      <w:pPr>
        <w:spacing w:after="0" w:line="103" w:lineRule="exact"/>
        <w:rPr>
          <w:sz w:val="20"/>
          <w:szCs w:val="20"/>
          <w:color w:val="auto"/>
        </w:rPr>
      </w:pPr>
    </w:p>
    <w:p>
      <w:pPr>
        <w:ind w:left="700" w:hanging="264"/>
        <w:spacing w:after="0"/>
        <w:tabs>
          <w:tab w:leader="none" w:pos="7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 statement that each individual signing such certificate or opinion has read such condition or covenant and the definitions herein relating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210" w:lineRule="exact"/>
        <w:rPr>
          <w:rFonts w:ascii="Arial" w:cs="Arial" w:eastAsia="Arial" w:hAnsi="Arial"/>
          <w:sz w:val="16"/>
          <w:szCs w:val="16"/>
          <w:color w:val="auto"/>
        </w:rPr>
      </w:pPr>
    </w:p>
    <w:p>
      <w:pPr>
        <w:ind w:right="480" w:firstLine="436"/>
        <w:spacing w:after="0" w:line="277" w:lineRule="auto"/>
        <w:tabs>
          <w:tab w:leader="none" w:pos="6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right="220" w:firstLine="436"/>
        <w:spacing w:after="0" w:line="277" w:lineRule="auto"/>
        <w:tabs>
          <w:tab w:leader="none" w:pos="6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or she has made such examination or investigation as is necessary to enable such individual to express an informed opinion as to whether or not such condition or covenant has been complied with; and</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103. Form of Documents Delivered to Trustee.</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as to some matters and one or more other such Persons as to other matters, and any such Person may certify or give an opinion as to such matters in one or several documents.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62" w:name="page63"/>
    <w:bookmarkEnd w:id="62"/>
    <w:p>
      <w:pPr>
        <w:ind w:right="1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as to such matters are erroneous.</w:t>
      </w:r>
    </w:p>
    <w:p>
      <w:pPr>
        <w:spacing w:after="0" w:line="16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104. Acts of Holders.</w:t>
      </w:r>
    </w:p>
    <w:p>
      <w:pPr>
        <w:spacing w:after="0" w:line="121" w:lineRule="exact"/>
        <w:rPr>
          <w:sz w:val="20"/>
          <w:szCs w:val="20"/>
          <w:color w:val="auto"/>
        </w:rPr>
      </w:pPr>
    </w:p>
    <w:p>
      <w:pPr>
        <w:ind w:firstLine="436"/>
        <w:spacing w:after="0" w:line="286" w:lineRule="auto"/>
        <w:tabs>
          <w:tab w:leader="none" w:pos="685"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If Securities of a series are issuable as Bearer Securities, any request, demand, authorization, direction, notice, consent, waiver or other action provided by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Fifteen,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w:t>
      </w:r>
    </w:p>
    <w:p>
      <w:pPr>
        <w:spacing w:after="0" w:line="173" w:lineRule="exact"/>
        <w:rPr>
          <w:rFonts w:ascii="Arial" w:cs="Arial" w:eastAsia="Arial" w:hAnsi="Arial"/>
          <w:sz w:val="16"/>
          <w:szCs w:val="16"/>
          <w:color w:val="auto"/>
        </w:rPr>
      </w:pPr>
    </w:p>
    <w:p>
      <w:pPr>
        <w:ind w:firstLine="436"/>
        <w:spacing w:after="0" w:line="255" w:lineRule="auto"/>
        <w:tabs>
          <w:tab w:leader="none" w:pos="6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or her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that the Trustee deems reasonably sufficient.</w:t>
      </w:r>
    </w:p>
    <w:p>
      <w:pPr>
        <w:spacing w:after="0" w:line="192" w:lineRule="exact"/>
        <w:rPr>
          <w:rFonts w:ascii="Arial" w:cs="Arial" w:eastAsia="Arial" w:hAnsi="Arial"/>
          <w:sz w:val="18"/>
          <w:szCs w:val="18"/>
          <w:color w:val="auto"/>
        </w:rPr>
      </w:pPr>
    </w:p>
    <w:p>
      <w:pPr>
        <w:ind w:left="680" w:hanging="244"/>
        <w:spacing w:after="0"/>
        <w:tabs>
          <w:tab w:leader="none" w:pos="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ownership of Registered Securities shall be proved by the Security Register.</w:t>
      </w:r>
    </w:p>
    <w:p>
      <w:pPr>
        <w:spacing w:after="0" w:line="225" w:lineRule="exact"/>
        <w:rPr>
          <w:rFonts w:ascii="Arial" w:cs="Arial" w:eastAsia="Arial" w:hAnsi="Arial"/>
          <w:sz w:val="18"/>
          <w:szCs w:val="18"/>
          <w:color w:val="auto"/>
        </w:rPr>
      </w:pPr>
    </w:p>
    <w:p>
      <w:pPr>
        <w:ind w:right="20" w:firstLine="436"/>
        <w:spacing w:after="0" w:line="290" w:lineRule="auto"/>
        <w:tabs>
          <w:tab w:leader="none" w:pos="695"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ownership of Bearer Securities may be proved by the production of such Bearer Securities or by a certificate executed, as depositary, by any trust company, bank, banker or other depositary, wherever situated, if such certificate shall be deemed by the Trustee to be satisfactory, showing that at the date therein mentioned such Person had on deposit with such depositary,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 Outstanding. The ownership of Bearer Securities may also be proved in any other manner that the Trustee deems reasonably sufficient.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63" w:name="page64"/>
    <w:bookmarkEnd w:id="63"/>
    <w:p>
      <w:pPr>
        <w:jc w:val="both"/>
        <w:ind w:right="40" w:firstLine="436"/>
        <w:spacing w:after="0" w:line="287" w:lineRule="auto"/>
        <w:tabs>
          <w:tab w:leader="none" w:pos="685" w:val="left"/>
        </w:tabs>
        <w:numPr>
          <w:ilvl w:val="0"/>
          <w:numId w:val="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w:t>
      </w:r>
    </w:p>
    <w:p>
      <w:pPr>
        <w:spacing w:after="0" w:line="2" w:lineRule="exact"/>
        <w:rPr>
          <w:rFonts w:ascii="Arial" w:cs="Arial" w:eastAsia="Arial" w:hAnsi="Arial"/>
          <w:sz w:val="16"/>
          <w:szCs w:val="16"/>
          <w:color w:val="auto"/>
        </w:rPr>
      </w:pPr>
    </w:p>
    <w:p>
      <w:pPr>
        <w:ind w:right="100"/>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Notwithstanding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169" w:lineRule="exact"/>
        <w:rPr>
          <w:rFonts w:ascii="Arial" w:cs="Arial" w:eastAsia="Arial" w:hAnsi="Arial"/>
          <w:sz w:val="16"/>
          <w:szCs w:val="16"/>
          <w:color w:val="auto"/>
        </w:rPr>
      </w:pPr>
    </w:p>
    <w:p>
      <w:pPr>
        <w:jc w:val="both"/>
        <w:ind w:right="20" w:firstLine="436"/>
        <w:spacing w:after="0" w:line="259" w:lineRule="auto"/>
        <w:tabs>
          <w:tab w:leader="none" w:pos="66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105. Notices, Etc., to Trustee and Company.</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request, demand, authorization, direction, notice, consent, waiver or Act of Holders or other document provided or permitted by this Indenture to be made upon, given or furnished to, or filed with:</w:t>
      </w:r>
    </w:p>
    <w:p>
      <w:pPr>
        <w:spacing w:after="0" w:line="170" w:lineRule="exact"/>
        <w:rPr>
          <w:sz w:val="20"/>
          <w:szCs w:val="20"/>
          <w:color w:val="auto"/>
        </w:rPr>
      </w:pPr>
    </w:p>
    <w:p>
      <w:pPr>
        <w:ind w:right="180" w:firstLine="436"/>
        <w:spacing w:after="0" w:line="277" w:lineRule="auto"/>
        <w:tabs>
          <w:tab w:leader="none" w:pos="6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Trustee by any Holder or by the Company shall be sufficient for every purpose hereunder if made, given, furnished, filed or mailed, first-class postage prepaid in writing to or with the Trustee at its Corporate Trust Office, Attention: Legal Department; or</w:t>
      </w:r>
    </w:p>
    <w:p>
      <w:pPr>
        <w:spacing w:after="0" w:line="170" w:lineRule="exact"/>
        <w:rPr>
          <w:rFonts w:ascii="Arial" w:cs="Arial" w:eastAsia="Arial" w:hAnsi="Arial"/>
          <w:sz w:val="18"/>
          <w:szCs w:val="18"/>
          <w:color w:val="auto"/>
        </w:rPr>
      </w:pPr>
    </w:p>
    <w:p>
      <w:pPr>
        <w:jc w:val="both"/>
        <w:ind w:firstLine="436"/>
        <w:spacing w:after="0" w:line="311" w:lineRule="auto"/>
        <w:tabs>
          <w:tab w:leader="none" w:pos="695"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Indenture, to the attention of its Chief Financial Officer or at any other address previously furnished in writing to the Trustee by the Company.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106. Notice to Holders; Waiver.</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Where this Indenture provides for notice of any event to Holders of Registered Securities by the Company or the Trustee, such notice shall be sufficiently given (unless otherwise herein expressly provided) if in writing and mailed, first-class postage prepaid, to each such Holder affected by such event, at his address as it appears in the Security Register, not later than the latest date, and not earlier than the earliest date, prescribed for the giving of such notice. In any case where notice to Holders of Registered Securities is given by mail, neither the failure to mail such notice, nor any defect in any notice so mailed, to any particular Holder shall affect the sufficiency of such notice with respect to other Holders of Registered Securities or the sufficiency of any notice to Holders of Bearer Securities given as provided herein. Any notice mailed to a Holder in the manner herein prescribed shall be conclusively deemed to have been received by such Holder, whether or not such Holder actually receives such notice.</w:t>
      </w:r>
    </w:p>
    <w:p>
      <w:pPr>
        <w:spacing w:after="0" w:line="17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If by reason of the suspension of or irregularities in regular mail service or by reason of any other cause it shall be impracticable to give such notice by mail, then such notification to Holders of Registered Securities as shall be made with the approval of the Trustee shall constitute a sufficient notification to such Holders for every purpose hereunder.</w:t>
      </w:r>
    </w:p>
    <w:p>
      <w:pPr>
        <w:spacing w:after="0" w:line="18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Except as otherwise expressly provided herein or otherwise specified with respect to any Securities pursuant to Section 301, where this Indenture provides for notice to Holders of Bearer Securities of any event, such notice shall be sufficiently given if published in an Authorized Newspaper in The City of New York and in such other city or cities as may be specified in such Securities on a Business Day, such publication to be not later than the latest date, and not earlier than the earliest date, prescribed for the giving of such notice. Any such notice shall be deemed to have been given on the date of such publication or, if published more than once, on the date of the first such publication.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64" w:name="page65"/>
    <w:bookmarkEnd w:id="64"/>
    <w:p>
      <w:pPr>
        <w:ind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the failure to give notice by publication to Holders of Bearer Securities as provided above nor any defect in any notice so published shall affect the sufficiency of such notice with respect to other Holders of Bearer Securities or the sufficiency of any notice to Holders of Registered Securities given as provided herein.</w:t>
      </w:r>
    </w:p>
    <w:p>
      <w:pPr>
        <w:spacing w:after="0" w:line="16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107. Effect of Headings and Table of Contents.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Article and Section headings herein and the Table of Contents are for convenience only and shall not affect the construction hereof.</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108. Successors and Assigns.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covenants and agreements in this Indenture by the Company shall bind its successors and assigns, whether so expressed or not.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109. Separability Clause.</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case any provision in this Indenture or in any Security or coupon shall be invalid, illegal or unenforceable, the validity, legality and enforceability of the remaining provisions shall not in any way be affected or impaired thereby.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 Benefits of Indenture.</w:t>
      </w:r>
    </w:p>
    <w:p>
      <w:pPr>
        <w:spacing w:after="0" w:line="121"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Nothing in this Indenture or in the Securities or coupons, express or implied, shall give to any Person, other than the parties hereto, any Security Registrar, any Paying Agent, any Authenticating Agent and their successors hereunder and the Holders any benefit or any legal or equitable right, remedy or claim under this Indenture.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 Governing Law.</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Indenture and the Securities and coupons shall be governed by, and construed in accordance with, the law of the State of New York. This Indenture is subject to the provisions of the Trust Indenture Act that are required to be part of this Indenture and shall, to the extent applicable, be governed by such provisions.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112. Legal Holidays.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any case where any Interest Payment Date, Redemption Date, Repayment Date, sinking fund payment date, Stated Maturity or Maturity of any Security shall not be a Business Day at any Place of Payment, then (notwithstanding any other provision of this Indenture or any Security or coupon other than a provision in the Securities of any series which specifically states that such provision shall apply in lieu of this Section), payment of principal (or premium, if any) or interest, if any, need not be made at such Place of Payment on such date, but may be made on the next succeeding Business Day at such Place of Payment with the same force and effect as if made on the Interest Payment Date, Redemption Date, Repayment Date or sinking fund payment date, or at the Stated Maturity or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interest shall accrue on the amount payable for the period from and after such Interest Payment Date, Redemption Date, Repayment Date, sinking fund payment date, Stated Maturity or Maturity, as the case may be.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113. Submission to Jurisdiction.</w:t>
      </w:r>
    </w:p>
    <w:p>
      <w:pPr>
        <w:spacing w:after="0" w:line="12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Company hereby irrevocably submits to the non-exclusive jurisdiction of any New York state or federal court sitting in The City of New York in any action or proceeding arising out of or relating to the Indenture and the Securities of any series, and the Company hereby irrevocably agrees that all claims in respect of such action or proceeding may be heard and determined in such state or federal court in New York. The Company hereby irrevocably waives, to the fullest extent it may effectively do so, the defense of an inconvenient forum to the maintenance of such action or proceeding.</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TWO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FORMS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201. Forms of Securities.</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Registered Securities, if any, of each series and the Bearer Securities, if any, of each series and related coupons, the temporary global Securities of each series, if any, and the permanent global Securities of each series, if any, to be endorsed thereon shall be in substantially the forms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stock exchange on which the Securities may be listed, or to conform to usage.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specified as contemplated by Section 301, Bearer Securities shall have interest coupons attached.</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definitive Securities and coupons shall be printed, lithographed, engraved, produced by any combination of these methods on a steel engraved border or may be produced in any other manner, all as determined by the officers executing such Securities or coupons, as evidenced by their execution of such Securities or coupons.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202. Form of Trustee’s Certificate of Authentication.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Subject to Section 611, the Trustee’s certificate of authentication shall be in substantially the following form: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LLC,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Officer</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203. Securities Issuable in Global Form.</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Securities of or within a series are issuable in global form, as specified as contemplated by Section 301, then, notwithstanding clause (8) of Section 301 and the provisions of Section 302, any such Security shall represent such of the Outstanding Securities of such series as shall be specified therein and may provide that it shall represent the aggregate amount of Outstanding Securities of such series from time to time endorsed thereon and that the aggregate amount of Outstanding Securities of such series represented thereby may from time to time be increased or decreased to reflect exchanges. Any endorsement of a Security in global form to reflect the amount, or any increase or decrease in the amount, of Outstanding Securities represented thereby shall be made by the Trustee or the Security Registrar in such manner and upon instructions given by such Person or Persons as shall be specified therein or in the Company Order to be delivered to the Trustee pursuant to Section 303 or 304. Subject to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66" w:name="page67"/>
    <w:bookmarkEnd w:id="66"/>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provisions of Section 303 and, if applicable, Section 304, the Trustee or the Security Registrar shall deliver and redeliver any Security in permanent global form in the manner and upon instructions given by the Person or Persons specified therein or in the applicable Company Order. If a Company Order pursuant to Section 303 or 304 has been, or simultaneously is, delivered, any instructions by the Company with respect to endorsement, delivery or redelivery of a Security in global form shall be in writing but need not comply with Section 102 and need not be accompanied by an Opinion of Counsel.</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provisions of the last sentence of Section 303 shall apply to any Security represented by a Security in global form if such Security was never issued and sold by the Company and the Company delivers to the Trustee or the Security Registrar the Security in global form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w:t>
      </w:r>
    </w:p>
    <w:p>
      <w:pPr>
        <w:spacing w:after="0" w:line="15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Notwithstanding the provisions of Section 307, unless otherwise specified as contemplated by Section 301, payment of principal of (and premium, if any) and interest, if any, on any Security in permanent global form shall be made to the Person or Persons specified therein.</w:t>
      </w:r>
    </w:p>
    <w:p>
      <w:pPr>
        <w:spacing w:after="0" w:line="14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Notwithstanding the provisions of Section 309 and except as provided in the preceding paragraph, the Company, the Trustee and any agent of the Company and the Trustee shall treat as the Holder of such principal amount of Outstanding Securities represented by a permanent global Security (i) in the case of a permanent global Security in registered form, the Holder of such permanent global Security in registered form or (ii) in the case of a permanent global Security in bearer form, Euroclear or Clearstream.</w:t>
      </w:r>
    </w:p>
    <w:p>
      <w:pPr>
        <w:spacing w:after="0" w:line="39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ARTICLE THREE</w:t>
      </w:r>
    </w:p>
    <w:p>
      <w:pPr>
        <w:spacing w:after="0" w:line="11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THE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301. Amount Unlimited; Issuable in Series.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aggregate principal amount of Securities which may be authenticated and delivered under this Indenture is unlimited.</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The Securities may be issued in one or more series and shall be designated as Senior Securities, Senior Subordinated Securities or Junior Subordinated Securities. Senior Securities are unsubordinated, shall rank equally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of the Company’s Senior Indebtedness and senior to all Subordinated Securities. Senior Subordinated Securities shall be expressly subordinated and shall rank junior to the Company’s Senior Indebtedness, equally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other Senior Subordinated Indebtedness and senior to any Junior Subordinated Indebtedness. Junior Subordinated Securities shall be expressly subordinated and rank junior to the Company’s Senior Indebtedness and any Senior Subordinated Indebtedness and equally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other Junior Subordinated Indebtedness. There shall be established in one or more Board Resolutions or pursuant to authority granted by one or more Board Resolutions and, subject to Section 303, set forth, or determined in the manner provided, in an Officer’s Certificate, or established in one or more indentures supplemental hereto, prior to the issuance of Securities of any series, any or all of the following, as applicable (each of which (except for the matters set forth in clauses (1), (2) and (15) below), if so provided, may be determined from time to time by the Company with respect to unissued Securities of the series when issued from time to time):</w:t>
      </w:r>
    </w:p>
    <w:p>
      <w:pPr>
        <w:spacing w:after="0" w:line="168" w:lineRule="exact"/>
        <w:rPr>
          <w:sz w:val="20"/>
          <w:szCs w:val="20"/>
          <w:color w:val="auto"/>
        </w:rPr>
      </w:pPr>
    </w:p>
    <w:p>
      <w:pPr>
        <w:ind w:right="180" w:firstLine="436"/>
        <w:spacing w:after="0" w:line="277" w:lineRule="auto"/>
        <w:tabs>
          <w:tab w:leader="none" w:pos="6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title of the Securities of the series including CUSIP numbers (which shall distinguish the Securities of such series from all other series of Securities);</w:t>
      </w:r>
    </w:p>
    <w:p>
      <w:pPr>
        <w:spacing w:after="0" w:line="170" w:lineRule="exact"/>
        <w:rPr>
          <w:rFonts w:ascii="Arial" w:cs="Arial" w:eastAsia="Arial" w:hAnsi="Arial"/>
          <w:sz w:val="18"/>
          <w:szCs w:val="18"/>
          <w:color w:val="auto"/>
        </w:rPr>
      </w:pPr>
    </w:p>
    <w:p>
      <w:pPr>
        <w:ind w:right="40" w:firstLine="436"/>
        <w:spacing w:after="0" w:line="259" w:lineRule="auto"/>
        <w:tabs>
          <w:tab w:leader="none" w:pos="6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304, 305, 306, 906, 1107 or 1305, and except for any Securities which, pursuant to Section 303, are deemed never to have been authenticated and delivered hereunder);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67" w:name="page68"/>
    <w:bookmarkEnd w:id="67"/>
    <w:p>
      <w:pPr>
        <w:ind w:right="300" w:firstLine="436"/>
        <w:spacing w:after="0" w:line="277"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date or dates, or the method by which such date or dates shall be determined or extended, on which the principal of the Securities of the series shall be payable;</w:t>
      </w:r>
    </w:p>
    <w:p>
      <w:pPr>
        <w:spacing w:after="0" w:line="170" w:lineRule="exact"/>
        <w:rPr>
          <w:rFonts w:ascii="Arial" w:cs="Arial" w:eastAsia="Arial" w:hAnsi="Arial"/>
          <w:sz w:val="18"/>
          <w:szCs w:val="18"/>
          <w:color w:val="auto"/>
        </w:rPr>
      </w:pPr>
    </w:p>
    <w:p>
      <w:pPr>
        <w:ind w:right="240" w:firstLine="436"/>
        <w:spacing w:after="0" w:line="257"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rate or rates at which the Securities of the series shall bear interest, if any, or the method by which such rate or rates shall be determined, the date or dates from which such interest shall accrue or the method by which such date or dates shall be determined, the Interest Payment Dates on which such interest shall be payable and the Regular Record Date, if any, for the interest payable on any Registered Security on any Interest Payment Date, or the method by which such date shall be determined, and the basis upon which such interest shall be calculated if other than that of a 360-day year of twelve 30-day months;</w:t>
      </w:r>
    </w:p>
    <w:p>
      <w:pPr>
        <w:spacing w:after="0" w:line="187" w:lineRule="exact"/>
        <w:rPr>
          <w:rFonts w:ascii="Arial" w:cs="Arial" w:eastAsia="Arial" w:hAnsi="Arial"/>
          <w:sz w:val="18"/>
          <w:szCs w:val="18"/>
          <w:color w:val="auto"/>
        </w:rPr>
      </w:pPr>
    </w:p>
    <w:p>
      <w:pPr>
        <w:ind w:right="60" w:firstLine="436"/>
        <w:spacing w:after="0" w:line="257"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Borough of Manhattan, The City of New York, where the principal of (and premium, if any) and interest, if any, on Securities of the series shall be payable, any Registered Securities of the series may be surrendered for registration of transfer, Securities of the series may be surrendered for exchange, where Securities of that series that are convertible or exchangeable may be surrendered for conversion or exchange, as applicable, and where notices or demands to or upon the Company in respect of the Securities of the series and this Indenture may be served;</w:t>
      </w:r>
    </w:p>
    <w:p>
      <w:pPr>
        <w:spacing w:after="0" w:line="187" w:lineRule="exact"/>
        <w:rPr>
          <w:rFonts w:ascii="Arial" w:cs="Arial" w:eastAsia="Arial" w:hAnsi="Arial"/>
          <w:sz w:val="18"/>
          <w:szCs w:val="18"/>
          <w:color w:val="auto"/>
        </w:rPr>
      </w:pPr>
    </w:p>
    <w:p>
      <w:pPr>
        <w:jc w:val="both"/>
        <w:ind w:right="100" w:firstLine="436"/>
        <w:spacing w:after="0" w:line="263"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period or periods within which, or the date or dates on which, the price or prices at which, the Currency or Currencies in which, and other terms and conditions upon which Securities of the series may be redeemed, in whole or in part, at the option of the Company, if the Company is to have the option;</w:t>
      </w:r>
    </w:p>
    <w:p>
      <w:pPr>
        <w:spacing w:after="0" w:line="183" w:lineRule="exact"/>
        <w:rPr>
          <w:rFonts w:ascii="Arial" w:cs="Arial" w:eastAsia="Arial" w:hAnsi="Arial"/>
          <w:sz w:val="18"/>
          <w:szCs w:val="18"/>
          <w:color w:val="auto"/>
        </w:rPr>
      </w:pPr>
    </w:p>
    <w:p>
      <w:pPr>
        <w:ind w:right="40" w:firstLine="436"/>
        <w:spacing w:after="0" w:line="259"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obligation, if any, of the Company to redeem, repay or purchase Securities of the series pursuant to any sinking fund or analogous provision or at the option of a Holder thereof, and the period or periods within which or the date or dates on which, the price or prices at which, the Currency or Currencies in which, and other terms and conditions upon which Securities of the series shall be redeemed, repaid or purchased, in whole or in part, pursuant to such obligation;</w:t>
      </w:r>
    </w:p>
    <w:p>
      <w:pPr>
        <w:spacing w:after="0" w:line="186" w:lineRule="exact"/>
        <w:rPr>
          <w:rFonts w:ascii="Arial" w:cs="Arial" w:eastAsia="Arial" w:hAnsi="Arial"/>
          <w:sz w:val="18"/>
          <w:szCs w:val="18"/>
          <w:color w:val="auto"/>
        </w:rPr>
      </w:pPr>
    </w:p>
    <w:p>
      <w:pPr>
        <w:ind w:right="20" w:firstLine="436"/>
        <w:spacing w:after="0" w:line="263"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other than denominations of $1,000 and any integral multiple thereof, the denomination or denominations in which any Registered Securities of the series shall be issuable and, if other than denominations of $5,000, the denomination or denominations in which any Bearer Securities of the series shall be issuable;</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other than the Trustee, the identity of each Security Registrar and/or Paying Agent;</w:t>
      </w:r>
    </w:p>
    <w:p>
      <w:pPr>
        <w:spacing w:after="0" w:line="225" w:lineRule="exact"/>
        <w:rPr>
          <w:rFonts w:ascii="Arial" w:cs="Arial" w:eastAsia="Arial" w:hAnsi="Arial"/>
          <w:sz w:val="18"/>
          <w:szCs w:val="18"/>
          <w:color w:val="auto"/>
        </w:rPr>
      </w:pPr>
    </w:p>
    <w:p>
      <w:pPr>
        <w:jc w:val="both"/>
        <w:ind w:right="40" w:firstLine="436"/>
        <w:spacing w:after="0" w:line="259" w:lineRule="auto"/>
        <w:tabs>
          <w:tab w:leader="none" w:pos="785"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that shall be payable upon declaration of acceleration of the Maturity thereof pursuant to Section 502, upon redemption of the Securities of the series which are redeemable before their Stated Maturity, upon surrender for repayment at the option of the Holder, or which the Trustee shall be entitled to claim pursuant to Section 504 or the method by which such portion shall be determined;</w:t>
      </w:r>
    </w:p>
    <w:p>
      <w:pPr>
        <w:spacing w:after="0" w:line="186" w:lineRule="exact"/>
        <w:rPr>
          <w:rFonts w:ascii="Arial" w:cs="Arial" w:eastAsia="Arial" w:hAnsi="Arial"/>
          <w:sz w:val="18"/>
          <w:szCs w:val="18"/>
          <w:color w:val="auto"/>
        </w:rPr>
      </w:pPr>
    </w:p>
    <w:p>
      <w:pPr>
        <w:ind w:firstLine="436"/>
        <w:spacing w:after="0" w:line="263" w:lineRule="auto"/>
        <w:tabs>
          <w:tab w:leader="none" w:pos="779"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other than Dollars, the Currency or Currencies in which payment of the principal of (or premium, if any) or interest, if any, on the Securities of the series shall be made or in which the Securities of the series shall be denominated and the particular provisions applicable thereto in accordance with, in addition to or in lieu of any of the provisions of Section 312;</w:t>
      </w:r>
    </w:p>
    <w:p>
      <w:pPr>
        <w:spacing w:after="0" w:line="183" w:lineRule="exact"/>
        <w:rPr>
          <w:rFonts w:ascii="Arial" w:cs="Arial" w:eastAsia="Arial" w:hAnsi="Arial"/>
          <w:sz w:val="18"/>
          <w:szCs w:val="18"/>
          <w:color w:val="auto"/>
        </w:rPr>
      </w:pPr>
    </w:p>
    <w:p>
      <w:pPr>
        <w:ind w:right="40" w:firstLine="436"/>
        <w:spacing w:after="0" w:line="263" w:lineRule="auto"/>
        <w:tabs>
          <w:tab w:leader="none" w:pos="785" w:val="left"/>
        </w:tabs>
        <w:numPr>
          <w:ilvl w:val="0"/>
          <w:numId w:val="73"/>
        </w:numPr>
        <w:rPr>
          <w:rFonts w:ascii="Arial" w:cs="Arial" w:eastAsia="Arial" w:hAnsi="Arial"/>
          <w:sz w:val="18"/>
          <w:szCs w:val="18"/>
          <w:color w:val="auto"/>
        </w:rPr>
      </w:pPr>
      <w:r>
        <w:rPr>
          <w:rFonts w:ascii="Arial" w:cs="Arial" w:eastAsia="Arial" w:hAnsi="Arial"/>
          <w:sz w:val="18"/>
          <w:szCs w:val="18"/>
          <w:color w:val="auto"/>
        </w:rPr>
        <w:t>whether the amount of payments of principal of (or premium, if any) or interest, if any, on the Securities of the series may be determined with reference to an index, formula or other method (which index, formula or method may be based, without limitation, on one or more Currencies, commodities, equity indices or other indices), and the manner in which such amounts shall be determined;</w:t>
      </w:r>
    </w:p>
    <w:p>
      <w:pPr>
        <w:spacing w:after="0" w:line="183" w:lineRule="exact"/>
        <w:rPr>
          <w:rFonts w:ascii="Arial" w:cs="Arial" w:eastAsia="Arial" w:hAnsi="Arial"/>
          <w:sz w:val="18"/>
          <w:szCs w:val="18"/>
          <w:color w:val="auto"/>
        </w:rPr>
      </w:pPr>
    </w:p>
    <w:p>
      <w:pPr>
        <w:ind w:right="20" w:firstLine="436"/>
        <w:spacing w:after="0" w:line="296" w:lineRule="auto"/>
        <w:tabs>
          <w:tab w:leader="none" w:pos="785" w:val="left"/>
        </w:tabs>
        <w:numPr>
          <w:ilvl w:val="0"/>
          <w:numId w:val="73"/>
        </w:numPr>
        <w:rPr>
          <w:rFonts w:ascii="Arial" w:cs="Arial" w:eastAsia="Arial" w:hAnsi="Arial"/>
          <w:sz w:val="16"/>
          <w:szCs w:val="16"/>
          <w:color w:val="auto"/>
        </w:rPr>
      </w:pPr>
      <w:r>
        <w:rPr>
          <w:rFonts w:ascii="Arial" w:cs="Arial" w:eastAsia="Arial" w:hAnsi="Arial"/>
          <w:sz w:val="16"/>
          <w:szCs w:val="16"/>
          <w:color w:val="auto"/>
        </w:rPr>
        <w:t>whether the principal of (or premium, if any) or interest, if any, on the Securities of the series are to be payable, at the election of the Company or a Holder thereof, in one or more Currencies other than that in which such Securities are denominated or stated to be payable, the period or periods within which (including the Election Date), and the terms and conditions upon which, such election may be made, and the time and manner of determining the exchange rate between the Currency or Currencies in which such Securities are denominated or stated to be payable and the Currency or Currencies in which such Securities are to be paid, in each case in accordance with, in addition to or in lieu of any of the provisions of Section 312;</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68" w:name="page69"/>
    <w:bookmarkEnd w:id="68"/>
    <w:p>
      <w:pPr>
        <w:ind w:left="760" w:hanging="344"/>
        <w:spacing w:after="0"/>
        <w:tabs>
          <w:tab w:leader="none" w:pos="760" w:val="left"/>
        </w:tabs>
        <w:numPr>
          <w:ilvl w:val="0"/>
          <w:numId w:val="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provisions, if any, granting special rights to the Holders of Securities of the series upon the occurrence of such events as may be specified;</w:t>
      </w:r>
    </w:p>
    <w:p>
      <w:pPr>
        <w:spacing w:after="0" w:line="248" w:lineRule="exact"/>
        <w:rPr>
          <w:rFonts w:ascii="Arial" w:cs="Arial" w:eastAsia="Arial" w:hAnsi="Arial"/>
          <w:sz w:val="16"/>
          <w:szCs w:val="16"/>
          <w:color w:val="auto"/>
        </w:rPr>
      </w:pPr>
    </w:p>
    <w:p>
      <w:pPr>
        <w:jc w:val="both"/>
        <w:ind w:left="-20" w:right="300" w:firstLine="436"/>
        <w:spacing w:after="0" w:line="263" w:lineRule="auto"/>
        <w:tabs>
          <w:tab w:leader="none" w:pos="76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deletions from, modifications of or additions to the Events of Default or covenants (including any deletions from, modifications of or additions to any of the provisions of Section 1007) of the Company with respect to Securities of the series, whether or not such Events of Default or covenants are consistent with the Events of Default or covenants set forth herein;</w:t>
      </w:r>
    </w:p>
    <w:p>
      <w:pPr>
        <w:spacing w:after="0" w:line="183" w:lineRule="exact"/>
        <w:rPr>
          <w:rFonts w:ascii="Arial" w:cs="Arial" w:eastAsia="Arial" w:hAnsi="Arial"/>
          <w:sz w:val="18"/>
          <w:szCs w:val="18"/>
          <w:color w:val="auto"/>
        </w:rPr>
      </w:pPr>
    </w:p>
    <w:p>
      <w:pPr>
        <w:ind w:left="-20" w:firstLine="436"/>
        <w:spacing w:after="0" w:line="269" w:lineRule="auto"/>
        <w:tabs>
          <w:tab w:leader="none" w:pos="765" w:val="left"/>
        </w:tabs>
        <w:numPr>
          <w:ilvl w:val="0"/>
          <w:numId w:val="74"/>
        </w:numPr>
        <w:rPr>
          <w:rFonts w:ascii="Arial" w:cs="Arial" w:eastAsia="Arial" w:hAnsi="Arial"/>
          <w:sz w:val="17"/>
          <w:szCs w:val="17"/>
          <w:color w:val="auto"/>
        </w:rPr>
      </w:pPr>
      <w:r>
        <w:rPr>
          <w:rFonts w:ascii="Arial" w:cs="Arial" w:eastAsia="Arial" w:hAnsi="Arial"/>
          <w:sz w:val="17"/>
          <w:szCs w:val="17"/>
          <w:color w:val="auto"/>
        </w:rPr>
        <w:t>whether Securities of the series are to be issuable as Registered Securities, Bearer Securities (with or without coupons) or both, any restrictions applicable to the offer, sale or delivery of Bearer Securities and the terms upon which Bearer Securities of the series may be exchanged for Registered Securities of the series and vice versa (if permitted by applicable laws and regulations), whether any Securities of the series are to be issuable initially in temporary global form with or without coupons and whether any Securities of the series are to be issuable in permanent global form with or without coupons and, if so, whether beneficial owners of interests in any such permanent global Security may exchange such interests for Securities of such series in certificated form and of like tenor of any authorized form and denomination and the circumstances under which any such exchanges may occur, if other than in the manner provided in Section 305, whether Registered Securities of the series may be exchanged for Bearer Securities of the series (if permitted by applicable laws and regulations), whether Bearer Securities of the series may be exchanged for Registered Securities of the series, and the circumstances under which and the place or places where such exchanges may be made and if Securities of the series are to be issuable as a global Security, the identity of the depository for such series;</w:t>
      </w:r>
    </w:p>
    <w:p>
      <w:pPr>
        <w:spacing w:after="0" w:line="185" w:lineRule="exact"/>
        <w:rPr>
          <w:rFonts w:ascii="Arial" w:cs="Arial" w:eastAsia="Arial" w:hAnsi="Arial"/>
          <w:sz w:val="17"/>
          <w:szCs w:val="17"/>
          <w:color w:val="auto"/>
        </w:rPr>
      </w:pPr>
    </w:p>
    <w:p>
      <w:pPr>
        <w:ind w:left="-20" w:right="200" w:firstLine="436"/>
        <w:spacing w:after="0" w:line="277" w:lineRule="auto"/>
        <w:tabs>
          <w:tab w:leader="none" w:pos="76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date as of which any Bearer Securities of the series and any temporary global Security representing Outstanding Securities of the series shall be dated if other than the date of original issuance of the first Security of the series to be issued;</w:t>
      </w:r>
    </w:p>
    <w:p>
      <w:pPr>
        <w:spacing w:after="0" w:line="170" w:lineRule="exact"/>
        <w:rPr>
          <w:rFonts w:ascii="Arial" w:cs="Arial" w:eastAsia="Arial" w:hAnsi="Arial"/>
          <w:sz w:val="18"/>
          <w:szCs w:val="18"/>
          <w:color w:val="auto"/>
        </w:rPr>
      </w:pPr>
    </w:p>
    <w:p>
      <w:pPr>
        <w:ind w:left="-20" w:firstLine="436"/>
        <w:spacing w:after="0" w:line="293" w:lineRule="auto"/>
        <w:tabs>
          <w:tab w:leader="none" w:pos="765"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Person to whom any interest on any Registered Security of the series shall be payable, if other than the Person in whose name such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in Section 304; and the extent to which, or the manner in which, any interest payable on a permanent global Security on an Interest Payment Date shall be paid if other than in the manner provided in Section 307;</w:t>
      </w:r>
    </w:p>
    <w:p>
      <w:pPr>
        <w:spacing w:after="0" w:line="164" w:lineRule="exact"/>
        <w:rPr>
          <w:rFonts w:ascii="Arial" w:cs="Arial" w:eastAsia="Arial" w:hAnsi="Arial"/>
          <w:sz w:val="16"/>
          <w:szCs w:val="16"/>
          <w:color w:val="auto"/>
        </w:rPr>
      </w:pPr>
    </w:p>
    <w:p>
      <w:pPr>
        <w:ind w:left="-20" w:right="40" w:firstLine="436"/>
        <w:spacing w:after="0" w:line="277" w:lineRule="auto"/>
        <w:tabs>
          <w:tab w:leader="none" w:pos="76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applicability, if any, of Sections 1402 and/or 1403 to the Securities of the series and any provisions in modification of, in addition to or in lieu of any of the provisions of Article Fourteen;</w:t>
      </w:r>
    </w:p>
    <w:p>
      <w:pPr>
        <w:spacing w:after="0" w:line="170" w:lineRule="exact"/>
        <w:rPr>
          <w:rFonts w:ascii="Arial" w:cs="Arial" w:eastAsia="Arial" w:hAnsi="Arial"/>
          <w:sz w:val="18"/>
          <w:szCs w:val="18"/>
          <w:color w:val="auto"/>
        </w:rPr>
      </w:pPr>
    </w:p>
    <w:p>
      <w:pPr>
        <w:ind w:left="-20" w:right="80" w:firstLine="436"/>
        <w:spacing w:after="0" w:line="263" w:lineRule="auto"/>
        <w:tabs>
          <w:tab w:leader="none" w:pos="76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183" w:lineRule="exact"/>
        <w:rPr>
          <w:rFonts w:ascii="Arial" w:cs="Arial" w:eastAsia="Arial" w:hAnsi="Arial"/>
          <w:sz w:val="18"/>
          <w:szCs w:val="18"/>
          <w:color w:val="auto"/>
        </w:rPr>
      </w:pPr>
    </w:p>
    <w:p>
      <w:pPr>
        <w:ind w:left="-20" w:right="40" w:firstLine="436"/>
        <w:spacing w:after="0" w:line="259" w:lineRule="auto"/>
        <w:tabs>
          <w:tab w:leader="none" w:pos="765" w:val="left"/>
        </w:tabs>
        <w:numPr>
          <w:ilvl w:val="0"/>
          <w:numId w:val="74"/>
        </w:numPr>
        <w:rPr>
          <w:rFonts w:ascii="Arial" w:cs="Arial" w:eastAsia="Arial" w:hAnsi="Arial"/>
          <w:sz w:val="18"/>
          <w:szCs w:val="18"/>
          <w:color w:val="auto"/>
        </w:rPr>
      </w:pPr>
      <w:r>
        <w:rPr>
          <w:rFonts w:ascii="Arial" w:cs="Arial" w:eastAsia="Arial" w:hAnsi="Arial"/>
          <w:sz w:val="18"/>
          <w:szCs w:val="18"/>
          <w:color w:val="auto"/>
        </w:rPr>
        <w:t>whether, under what circumstances and the Currency in which, the Company shall pay Additional Amounts as contemplated by Section 1004 on the Securities of the series to any Holder who is not a United States Person (including any modification to the definition of such term) in respect of any tax, assessment or governmental charge and, if so, whether the Company will have the option to redeem such Securities rather than pay such Additional Amounts (and the terms of any such option);</w:t>
      </w:r>
    </w:p>
    <w:p>
      <w:pPr>
        <w:spacing w:after="0" w:line="186" w:lineRule="exact"/>
        <w:rPr>
          <w:rFonts w:ascii="Arial" w:cs="Arial" w:eastAsia="Arial" w:hAnsi="Arial"/>
          <w:sz w:val="18"/>
          <w:szCs w:val="18"/>
          <w:color w:val="auto"/>
        </w:rPr>
      </w:pPr>
    </w:p>
    <w:p>
      <w:pPr>
        <w:ind w:left="760" w:hanging="344"/>
        <w:spacing w:after="0"/>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designation of the initial Exchange Rate Agent, if any;</w:t>
      </w:r>
    </w:p>
    <w:p>
      <w:pPr>
        <w:spacing w:after="0" w:line="225" w:lineRule="exact"/>
        <w:rPr>
          <w:rFonts w:ascii="Arial" w:cs="Arial" w:eastAsia="Arial" w:hAnsi="Arial"/>
          <w:sz w:val="18"/>
          <w:szCs w:val="18"/>
          <w:color w:val="auto"/>
        </w:rPr>
      </w:pPr>
    </w:p>
    <w:p>
      <w:pPr>
        <w:ind w:left="-20" w:right="20" w:firstLine="436"/>
        <w:spacing w:after="0" w:line="277" w:lineRule="auto"/>
        <w:tabs>
          <w:tab w:leader="none" w:pos="76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the Securities of the series are to be issued upon the exercise of warrants, the time, manner and place for such Securities to be authenticated and delivered;</w:t>
      </w:r>
    </w:p>
    <w:p>
      <w:pPr>
        <w:spacing w:after="0" w:line="170" w:lineRule="exact"/>
        <w:rPr>
          <w:rFonts w:ascii="Arial" w:cs="Arial" w:eastAsia="Arial" w:hAnsi="Arial"/>
          <w:sz w:val="18"/>
          <w:szCs w:val="18"/>
          <w:color w:val="auto"/>
        </w:rPr>
      </w:pPr>
    </w:p>
    <w:p>
      <w:pPr>
        <w:ind w:left="-20" w:right="160" w:firstLine="436"/>
        <w:spacing w:after="0" w:line="277" w:lineRule="auto"/>
        <w:tabs>
          <w:tab w:leader="none" w:pos="76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the Securities of the series are to be convertible into or exchangeable for any securities of any Person (including the Company), the terms and conditions upon which such Securities shall be so convertible or exchangeable;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60" w:top="274" w:right="479" w:bottom="1440" w:gutter="0" w:footer="0" w:header="0"/>
        </w:sectPr>
      </w:pPr>
    </w:p>
    <w:bookmarkStart w:id="69" w:name="page70"/>
    <w:bookmarkEnd w:id="69"/>
    <w:p>
      <w:pPr>
        <w:ind w:right="440" w:firstLine="436"/>
        <w:spacing w:after="0" w:line="277" w:lineRule="auto"/>
        <w:tabs>
          <w:tab w:leader="none" w:pos="785"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other terms of the series (which terms shall not be inconsistent with the provisions of this Indenture or the requirements of the Trust Indenture Act).</w:t>
      </w:r>
    </w:p>
    <w:p>
      <w:pPr>
        <w:spacing w:after="0" w:line="17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All Securities of any one series and the coupons appertaining to any Bearer Securities of such series shall be substantially identical except, in the case of Registered Securities, as to denomination and except as may otherwise be provided in or pursuant to the Board Resolution referred</w:t>
      </w:r>
    </w:p>
    <w:p>
      <w:pPr>
        <w:spacing w:after="0" w:line="14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to above (subject to Section 303) and set forth in the Officer’s Certificate referred to above or in any such indenture supplemental hereto. All Securities of any one series need not be issued at the same time and, unless otherwise provided, a series may be reopened, without the consent of the Holders, for issuances of additional Securities of such series.</w:t>
      </w:r>
    </w:p>
    <w:p>
      <w:pPr>
        <w:spacing w:after="0" w:line="18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302. Denominations.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Securities of each series shall be issuable in such denominations as shall be specified as contemplated by Section 301. With respect to Securities of any series denominated in Dollars, in the absence of any such provisions with respect to the Securities of any series, the Registered Securities of such series, other than Registered Securities issued in global form (which may be of any denomination) shall be issuable in denominations of $1,000 and any integral multiple thereof, and the Bearer Securities of such series, other than Bearer Securities issued in global form (which may be of any denomination), shall be issuable in a denomination of $5,000.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303. Execution, Authentication, Delivery and Dating.</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Securities and any coupons appertaining thereto shall be executed on behalf of the Company by its Chairman, the Chief Executive Officer, the Chief Financial Officer, its President or one of its Vice Presidents, under its corporate seal reproduced thereon, and attested by its Secretary or one of its Assistant Secretaries. The signature of any of these officers on the Securities and coupons may be manual or facsimile signatures of the present or any future such authorized officer and may be imprinted or otherwise reproduced on the Securities.</w:t>
      </w:r>
    </w:p>
    <w:p>
      <w:pPr>
        <w:spacing w:after="0" w:line="18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Securities or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or coupons.</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At any time and from time to time after the execution and delivery of this Indenture, the Company may deliver Securities of any series, together with any coupon appertaining thereto, executed by the Company, to the Trustee for authentication, together with a Company Order for the authentication and delivery of such Securities, Upon delivery of the Company Order, the Trustee shall authenticate and deliver such Securities in accordance there 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connection with its original issuance, no Bearer Security shall be mailed or otherwise delivered to any location in the United States;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unless otherwise specified with respect to any series of Securities pursuant to Section 301, a Bearer Security may be delivered in connection with its original issuance only if the Person entitled to receive such Bearer Security shall have furnished a certificate in the form set forth in Exhibit A-1 to this Indenture or such other certificate as may be specified with respect to any series of Securities pursuant to Section 301, dated no earlier than 15 days prior to the earlier of the date on which such Bearer Security is delivered and the date on which any temporary Security first becomes exchangeable for such Bearer Security in accordance with the terms of such temporary Security and this Indenture. If any Security shall be represented by a permanent global Bearer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cancelled.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70" w:name="page71"/>
    <w:bookmarkEnd w:id="70"/>
    <w:p>
      <w:pPr>
        <w:ind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maturity date, date of issuance and date from which interest shall accrue. In authenticating such Securities, and accepting the additional responsibilities under this Indenture in relation to such Securities, the Trustee shall be entitled to receive, and (subject to TIA Section 315(a) through 315(d)) shall be fully protected in relying upon,</w:t>
      </w:r>
    </w:p>
    <w:p>
      <w:pPr>
        <w:spacing w:after="0" w:line="176" w:lineRule="exact"/>
        <w:rPr>
          <w:sz w:val="20"/>
          <w:szCs w:val="20"/>
          <w:color w:val="auto"/>
        </w:rPr>
      </w:pPr>
    </w:p>
    <w:p>
      <w:pPr>
        <w:ind w:left="660" w:hanging="224"/>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Opinion of Counsel stating,</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that the form or forms of such Securities and any coupons have been established in conformity with the provisions of this Indenture;</w:t>
      </w:r>
    </w:p>
    <w:p>
      <w:pPr>
        <w:spacing w:after="0" w:line="248" w:lineRule="exact"/>
        <w:rPr>
          <w:rFonts w:ascii="Arial" w:cs="Arial" w:eastAsia="Arial" w:hAnsi="Arial"/>
          <w:sz w:val="16"/>
          <w:szCs w:val="16"/>
          <w:color w:val="auto"/>
        </w:rPr>
      </w:pPr>
    </w:p>
    <w:p>
      <w:pPr>
        <w:ind w:left="1240" w:hanging="253"/>
        <w:spacing w:after="0"/>
        <w:tabs>
          <w:tab w:leader="none" w:pos="1240" w:val="left"/>
        </w:tabs>
        <w:numPr>
          <w:ilvl w:val="1"/>
          <w:numId w:val="76"/>
        </w:numPr>
        <w:rPr>
          <w:rFonts w:ascii="Arial" w:cs="Arial" w:eastAsia="Arial" w:hAnsi="Arial"/>
          <w:sz w:val="17"/>
          <w:szCs w:val="17"/>
          <w:color w:val="auto"/>
        </w:rPr>
      </w:pPr>
      <w:r>
        <w:rPr>
          <w:rFonts w:ascii="Arial" w:cs="Arial" w:eastAsia="Arial" w:hAnsi="Arial"/>
          <w:sz w:val="17"/>
          <w:szCs w:val="17"/>
          <w:color w:val="auto"/>
        </w:rPr>
        <w:t>that the terms of such Securities and any coupons have been established in conformity with the provisions of this Indenture; and</w:t>
      </w:r>
    </w:p>
    <w:p>
      <w:pPr>
        <w:spacing w:after="0" w:line="236" w:lineRule="exact"/>
        <w:rPr>
          <w:rFonts w:ascii="Arial" w:cs="Arial" w:eastAsia="Arial" w:hAnsi="Arial"/>
          <w:sz w:val="17"/>
          <w:szCs w:val="17"/>
          <w:color w:val="auto"/>
        </w:rPr>
      </w:pPr>
    </w:p>
    <w:p>
      <w:pPr>
        <w:ind w:right="140" w:firstLine="987"/>
        <w:spacing w:after="0" w:line="293" w:lineRule="auto"/>
        <w:tabs>
          <w:tab w:leader="none" w:pos="1236"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that such Securities, together with any coupons appertaining thereto,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will constitute legal, valid and binding obligations of the Company, enforceable in accordance with their terms, subject to applicable bankruptcy, insolvency, reorganization and other similar laws of general applicability relating to or affecting the enforcement of creditors’ rights, to general equitable principles and to such other qualifications as such counsel shall conclude do not materially affect the rights of Holders of such Securities and any coupons; and</w:t>
      </w:r>
    </w:p>
    <w:p>
      <w:pPr>
        <w:spacing w:after="0" w:line="164" w:lineRule="exact"/>
        <w:rPr>
          <w:sz w:val="20"/>
          <w:szCs w:val="20"/>
          <w:color w:val="auto"/>
        </w:rPr>
      </w:pPr>
    </w:p>
    <w:p>
      <w:pPr>
        <w:ind w:right="200" w:firstLine="436"/>
        <w:spacing w:after="0" w:line="277" w:lineRule="auto"/>
        <w:tabs>
          <w:tab w:leader="none" w:pos="70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Officer’s Certificate stating, to the best of the knowledge of the signers of such certificate, that no Event of Default with respect to any of the Securities shall have occurred and be continuing.</w:t>
      </w:r>
    </w:p>
    <w:p>
      <w:pPr>
        <w:spacing w:after="0" w:line="17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Notwithstanding the provisions of Section 301 and of this Section 303, if all the Securities of any series are not to be issued at one time, it shall not be necessary to deliver an Officer’s Certificate otherwise required pursuant to Section 301 or the Company Order, Opinion of Counsel or Officer’s Certificate otherwise required pursuant to the preceding paragraph at the time of issuance of each Security of such series, but such order, opinion and certificates, with appropriate modifications to cover such future issuances, shall be delivered at or before the time of issuance of the first Security of such series.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such form or terms have been so established, the Trustee shall not be required to authenticate such Securities if the issue of such Securities pursuant to this Indenture will affect the Trustee’s own rights, duties, obligations or immunities under the Securities and this Indenture or otherwise in a manner which is not reasonably acceptable to the Trustee. Notwithstanding the generality of the foregoing, the Trustee shall not be required to authenticate Securities denominated in a Foreign Currency if the Trustee reasonably believes that it would be unable to perform its duties with respect to such Securities.</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Each Registered Security shall be dated the date of its authentication and each Bearer Security shall be dated as of the date specified as contemplated by Section 301.</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No Security or coupon shall be entitled to any benefit under this Indenture or be valid or obligatory for any purpose unless there appears on such Security or Security to which such coupon appertains a certificate of authentication substantially in the form provided for herein duly executed by the Trustee or an Authenticating Agent by manual signature of an authorized signatory, and such certificate upon any Security shall be conclusive evidence, and the only evidence, that such Security has been duly authenticated and delivered hereunder and is entitled to the benefits of this Indenture. Notwithstanding the foregoing, if any Security shall have been authenticated and delivered hereunder but never issued and sold by the Company, and the Company shall deliver such Security to the Trustee for cancellation as provided in Section 310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304. Temporary Securities.</w:t>
      </w:r>
    </w:p>
    <w:p>
      <w:pPr>
        <w:spacing w:after="0" w:line="121" w:lineRule="exact"/>
        <w:rPr>
          <w:sz w:val="20"/>
          <w:szCs w:val="20"/>
          <w:color w:val="auto"/>
        </w:rPr>
      </w:pPr>
    </w:p>
    <w:p>
      <w:pPr>
        <w:ind w:right="160" w:firstLine="436"/>
        <w:spacing w:after="0" w:line="255" w:lineRule="auto"/>
        <w:tabs>
          <w:tab w:leader="none" w:pos="685"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w:t>
      </w:r>
    </w:p>
    <w:p>
      <w:pPr>
        <w:spacing w:after="0" w:line="19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Except in the case of temporary Securities in global form (which shall be exchanged in accordance with Section 304(b) or as otherwise provided in or pursuant to a Board Resolution),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(accompanied by any non-matured coupons appertaining thereto), the Company shall execute and the Trustee shall authenticate and deliver in exchange therefor a like principal amount and like tenor of definitive Securities of the same series of authorized denominations;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definitive Bearer Security shall be delivered in exchange for a temporary Registered Security;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 definitive Bearer Security shall be delivered in exchange for a temporary Bearer Security only in compliance with the conditions set forth in Section 303. Until so exchanged, the temporary Securities of any series shall in all respects be entitled to the same benefits under this Indenture as definitive Securities of such series.</w:t>
      </w:r>
    </w:p>
    <w:p>
      <w:pPr>
        <w:spacing w:after="0" w:line="168" w:lineRule="exact"/>
        <w:rPr>
          <w:sz w:val="20"/>
          <w:szCs w:val="20"/>
          <w:color w:val="auto"/>
        </w:rPr>
      </w:pPr>
    </w:p>
    <w:p>
      <w:pPr>
        <w:ind w:right="120" w:firstLine="436"/>
        <w:spacing w:after="0" w:line="279" w:lineRule="auto"/>
        <w:tabs>
          <w:tab w:leader="none" w:pos="695" w:val="left"/>
        </w:tabs>
        <w:numPr>
          <w:ilvl w:val="0"/>
          <w:numId w:val="79"/>
        </w:numPr>
        <w:rPr>
          <w:rFonts w:ascii="Arial" w:cs="Arial" w:eastAsia="Arial" w:hAnsi="Arial"/>
          <w:sz w:val="17"/>
          <w:szCs w:val="17"/>
          <w:color w:val="auto"/>
        </w:rPr>
      </w:pPr>
      <w:r>
        <w:rPr>
          <w:rFonts w:ascii="Arial" w:cs="Arial" w:eastAsia="Arial" w:hAnsi="Arial"/>
          <w:sz w:val="17"/>
          <w:szCs w:val="17"/>
          <w:color w:val="auto"/>
        </w:rPr>
        <w:t>Unless otherwise provided in or pursuant to a Board Resolution, this Section 304(b) shall govern the exchange of temporary Securities issued in global form. If temporary Securities of any series are issued in global form, any such temporary global Security shall, unless otherwise provided therein, be delivered to the London office of a depositary or common depositary (the “Common Depositary”), for the benefit of Euroclear and Clearstream, for credit to the respective accounts of the beneficial owners of such Securities (or to such other accounts as they may direct).</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Without unnecessary delay but in any event not later than the date specified in, or determined pursuant to the terms of, any such temporary global Security (the “Exchange Date”), the Company shall deliver to the Trustee definitive Securities, in aggregate principal amount equal to the principal amount of such temporary global Security, executed by the Company. On or after the Exchange Date, such temporary global Security shall be surrendered by the Common Depositary to the Trustee, as the Company’s agent for such purpose, or to the Security Registrar, to be exchanged, in whole or from time to time in part, for definitive Securities without charge, and the Trustee shall authenticate and deliver, in exchange for each portion of such temporary global Security, an equal aggregate principal amount of definitive Securities of the same series of authorized denominations and of like tenor as the portion of such temporary global Security to be exchanged.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unless otherwise specified in such temporary global Security, upon such presentation by the Common Depositary, such temporary global Security is accompanied by a certificate dated the Exchange Date or a subsequent date and signed by Euroclear as to the portion of such temporary global Security held for its account then to be exchanged and a certificate dated the Exchange Date or a subsequent date and signed by Clearstream as to the portion of such temporary global Security held for its account then to be exchanged, each in the form set forth in Exhibit A-2 to this Indenture or in such other form as may be established pursuant to Section 301;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definitive Bearer Securities shall be delivered in exchange for a portion of a temporary global Security only in compliance with the requirements of Section 303.</w:t>
      </w:r>
    </w:p>
    <w:p>
      <w:pPr>
        <w:spacing w:after="0" w:line="16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Unless otherwise specified in such temporary global Security, the interest of a beneficial owner of Securities of a series in a temporary global Security shall be exchanged for definitive Securities of the same series and of like tenor following the Exchange Date when the account holder instructs Euroclear or Clearstream, as the case may be, to request such exchange on his behalf and delivers to Euroclear or Clearstream, as the case may be, a certificate in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72" w:name="page73"/>
    <w:bookmarkEnd w:id="72"/>
    <w:p>
      <w:pPr>
        <w:ind w:right="1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set forth in Exhibit A-1 to this Indenture (or in such other form as may be established pursuant to Section 3.01, dated no earlier than 15 days prior to the Exchange Date, copies of which certificate shall be available from the offices of Euroclear and Clearstream, the Trustee,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unless such Person takes delivery of such definitive Securities in person at the offices of Euroclear or Clearstream. Definitive Securities in bearer form to be delivered in exchange for any portion of a temporary global Security shall be delivered only outside the United States.</w:t>
      </w:r>
    </w:p>
    <w:p>
      <w:pPr>
        <w:spacing w:after="0" w:line="19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Until exchanged in full as hereinabove provided, the temporary Securities of any series shall in all respects be entitled to the same benefits under this Indenture as definitive Securities of the same series and of like tenor authenticated and delivered hereunder, except that, unless otherwise specified as contemplated by Section 301, interest payable on a temporary global Security on an Interest Payment Date for Securities of such series occurring prior to the applicable Exchange Date shall be payable to Euroclear and Clearstream on such Interest Payment Date upon delivery by Euroclear and Clearstream to the Trustee or the applicable Paying Agent of a certificate or certificates in the form set forth in Exhibit A-2 to this Indenture (or in such other forms as may be established pursuant to Section 301), for credit without further interest on or after such Interest Payment Date to the respective accounts of Persons who are the beneficial owners of such temporary global Security on such Interest Payment Date and who have each delivered to Euroclear or Clearstream, as the case may be, a certificate dated no earlier than 15 days prior to the Interest Payment Date occurring prior to such Exchange Date in the form set forth as Exhibit A-1 to this Indenture (or in such other forms as may be established pursuant to Section 301). Notwithstanding anything to the contrary herein contained, the certifications made pursuant to this paragraph shall satisfy the certification requirements of the preceding two paragraphs of this Section 304(b) and of the third paragraph of Section 303 of this Indenture and the interests of the Persons who are the beneficial owners of the temporary global Security with respect to which such certification was made will be exchanged for definitive Securities of the same series and of like tenor on the Exchange Date or the date of certification if such date occurs after the Exchange Date, without further act or deed by such beneficial owners. Except as otherwise provided in this paragraph, no payments of principal (or premium, if any) or interest, if any, owing with respect to a beneficial interest in a temporary global Security will be made unless and until such interest in such temporary global Security shall have been exchanged for an interest in a definitive Security. Any interest so received by Euroclear and Clearstream and not paid as herein provided shall be returned to the Trustee or the applicable Paying Agent immediately prior to the expiration of two years after such Interest Payment Date in order to be repaid to the Company.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305. Registration, Registration of Transfer and Exchange.</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shall cause to be kept at the Corporate Trust 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“Security Register”)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and for facilitating exchanges of temporary global Securities for permanent global Securities or definitive Securities, or both, or of permanent global Securities for definitive Securities, or both, as herein provided. In the event that the Trustee shall cease to be Security Registrar, it shall have the right to examine the Security Register at all reasonable times.</w:t>
      </w:r>
    </w:p>
    <w:p>
      <w:pPr>
        <w:spacing w:after="0" w:line="18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Upon surrender for registration of transfer of any Registered Security of any series at any office or agency of the Company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73" w:name="page74"/>
    <w:bookmarkEnd w:id="73"/>
    <w:p>
      <w:pPr>
        <w:ind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 agency. Whenever any Registered Securities are so surrendered for exchange, the Company shall execute, and the Trustee shall authenticate and deliver, the Registered Securities which the Holder making the exchange is entitled to receive. Unless otherwise specified with respect to any series of Securities as contemplated by Section 301, Bearer Securities may not be issued in exchange for Registered Securities.</w:t>
      </w:r>
    </w:p>
    <w:p>
      <w:pPr>
        <w:spacing w:after="0" w:line="19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If (but only if) permitted by the applicable Board Resolution and (subject to Section 303) set forth in the applicable Officer’s Certificate, or in any indenture supplemental hereto, delivered as contemplated by Section 301, at the option of the Holder, Bearer Securities of any series may be exchanged for Registered Securities of the same series of any authorized denominations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any such permitted exchange may be effected if the Bearer Securities are accompanied by payment in funds acceptable to the Company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provided in Section 1002,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a permitted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Whenever any Securities are so surrendered for exchange, the Company shall execute, and the Trustee shall authenticate and deliver, the Securities which the Holder making the exchange is entitled to receive.</w:t>
      </w:r>
    </w:p>
    <w:p>
      <w:pPr>
        <w:spacing w:after="0" w:line="17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Notwithstanding the foregoing, except as otherwise specified as contemplated by Section 301, any permanent global Security shall be exchangeable only as provided in this paragraph. If any beneficial owner of an interest in a permanent global Security is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deliver to the Trustee definitive Securities in aggregate principal amount equal to the principal amount of such beneficial owner’s interest in such permanent global Security, executed by the Company. On or after the earliest date on which such interests may be so exchanged, such permanent global Security shall be surrendered by the Common Depositary or such other depositary as shall be specified in the Company Order with respect thereto to the Trustee, as the Company’s agent for such purpose, or to the Security Registrar, to be exchanged, in whole or from time to time in part, for definitive Securities of the same series without charge and the Trustee shall authenticate and deliver, in exchange for each portion of such permanent global Security, an equal aggregate principal amount of definitive Securities of the same series of authorized denominations and of like tenor as the portion of such permanent global Security to be exchanged which, unless the Securities of the series are not issuable both as Bearer Securities and as Registered Securities, in which case the definitive Securities exchanged for the permanent global Security shall be issuable only in the form in which the Securities are issuable, as specified as contemplated by Section 301, shall be in the form of Bearer Securities or Registered Securities, or any combination thereof, as shall be specified by the beneficial owner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w:t>
      </w:r>
      <w:r>
        <w:rPr>
          <w:rFonts w:ascii="Arial" w:cs="Arial" w:eastAsia="Arial" w:hAnsi="Arial"/>
          <w:sz w:val="16"/>
          <w:szCs w:val="16"/>
          <w:color w:val="auto"/>
        </w:rPr>
        <w:t xml:space="preserve">r, that no such exchanges may occur during a period beginning at the opening of business 15 days before any selection of Securities to be redeemed and ending on the relevant Redemption Date if the Security for which exchange is requested may be among those selected for redemption;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Bearer Security delivered in exchange for a portion of a</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74" w:name="page75"/>
    <w:bookmarkEnd w:id="74"/>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permanent global Security shall be mailed or otherwise delivered to any location in the United States.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166"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All Securities issued upon any registration of transfer or exchange of Securities shall be valid obligations of the Company, evidencing the same debt and entitled to the same benefits under this Indenture, as the Securities surrendered upon such registration of transfer or exchange.</w:t>
      </w:r>
    </w:p>
    <w:p>
      <w:pPr>
        <w:spacing w:after="0" w:line="146"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Every Registered Security presented or surrendered for registration of transfer or for exchange shall (if so required by the Company or the Security Registrar or any transfer agent) be duly endorsed, or be accompanied by a written instrument of transfer in form satisfactory to the Company and the Security Registrar, duly executed by the Holder thereof or his attorney or any transfer agent duly authorized in writing.</w:t>
      </w:r>
    </w:p>
    <w:p>
      <w:pPr>
        <w:spacing w:after="0" w:line="16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No service charge shall be made for any registration of transfer or exchange of Securities, but the Company or the Trustee may require payment of a sum sufficient to cover any tax or other governmental charge that may be imposed in connection with any registration of transfer or exchange of Securities, other than exchanges pursuant to Section 304, 906, 1107 or 1305 not involving any transfer.</w:t>
      </w:r>
    </w:p>
    <w:p>
      <w:pPr>
        <w:spacing w:after="0" w:line="16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 xml:space="preserve">The Company shall not be required (i) to issue, register the transfer of or exchange any Security if such Security may be among those selected for redemption during a period beginning at the opening of business 15 days before selection of the Securities to be redeemed under Section 1103 and ending at the close of business on (A) if such Securities are issuable only as Registered Securities, the day of the mailing of the relevant notice of redemption and (B) if such Securities are issuable as Bearer Securities, the day of the first publication of the relevant notice of redemption or, if such Securities are also issuable as Registered Securities and there is no publication, the mailing of the relevant notice of redemption, or (ii) to register the transfer of or exchange any Registered Security so selected for redemption in whole or in part, except, in the case of any Registered Security to be redeemed in part, the portion thereof not to be redeemed, or (iii) to exchange any Bearer Security so selected for redemption except that such a Bearer Security may be exchanged for a Registered Security of that series and like tenor,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Registered Security shall be simultaneously surrendered for redemption, or (iv) to issue, register the transfer of or exchange any Security which has been surrendered for repayment at the option of the Holder, except the portion, if any, of such Security not to be so repaid.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306. Mutilated, Destroyed, Lost and Stolen Securities.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If any mutilated Security or a Security with a mutilated coupon appertaining to it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 with coupons corresponding to the coupons, if any, appertaining to the surrendered Security.</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there shall be delivered to the Company and to the Trustee (i) evidence to their satisfaction of the destruction, loss or theft of any Security or coupon, and (ii) such security or indemnity as may be required by them to save each of them and any agent of either of them harmless, then, in the absence of notice to the Company or the Trustee that such Security or coupon has been acquired by a protected purchaser, the Company shall, subject to the following paragraph, execute and upon its request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principal amount, containing identical terms and provisions and bearing a number not contemporaneously outstanding, with coupons corresponding to the coupons, if any, appertaining to such destroyed, lost or stolen Security or to the Security to which such destroyed, lost or stolen coupon appertains. Notwithstanding the provisions of the previous two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75" w:name="page76"/>
    <w:bookmarkEnd w:id="75"/>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paragraphs, in case any such mutilated, destroyed, lost or stolen Security or coupon has become or is about to become due and payable, the Company in its discretion may, instead of issuing a new Security, with coupons corresponding to the coupons, if any, appertaining to such mutilated, destroyed, lost or stolen Security or to the Security to which such mutilated, destroyed, lost or stolen coupon appertains, pay such Security or coupon,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payment of principal of (and premium, if any) and interest, if any, on Bearer Securities shall, except as otherwise provided in Section 1002, be payable only at an office or agency located outside the United States and, unless otherwise specified as contemplated by Section 301, any interest on Bearer Securities shall be payable only upon presentation and surrender of the coupons appertaining thereto.</w:t>
      </w:r>
    </w:p>
    <w:p>
      <w:pPr>
        <w:spacing w:after="0" w:line="164" w:lineRule="exact"/>
        <w:rPr>
          <w:sz w:val="20"/>
          <w:szCs w:val="20"/>
          <w:color w:val="auto"/>
        </w:rPr>
      </w:pPr>
    </w:p>
    <w:p>
      <w:pPr>
        <w:ind w:right="660"/>
        <w:spacing w:after="0" w:line="263" w:lineRule="auto"/>
        <w:rPr>
          <w:sz w:val="20"/>
          <w:szCs w:val="20"/>
          <w:color w:val="auto"/>
        </w:rPr>
      </w:pPr>
      <w:r>
        <w:rPr>
          <w:rFonts w:ascii="Arial" w:cs="Arial" w:eastAsia="Arial" w:hAnsi="Arial"/>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coupons, if any, or the destroyed, lost or stolen coupon shall be at any time enforceable by anyone, and shall be entitled to all the benefits of this Indenture equally and proportionately with any and all other Securities of that series and their coupons, if any, duly issued hereunder.</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307. Payment of Interest; Interest Rights Preserved; Optional Interest Reset.</w:t>
      </w:r>
    </w:p>
    <w:p>
      <w:pPr>
        <w:spacing w:after="0" w:line="121" w:lineRule="exact"/>
        <w:rPr>
          <w:sz w:val="20"/>
          <w:szCs w:val="20"/>
          <w:color w:val="auto"/>
        </w:rPr>
      </w:pPr>
    </w:p>
    <w:p>
      <w:pPr>
        <w:ind w:right="60" w:firstLine="436"/>
        <w:spacing w:after="0" w:line="254" w:lineRule="auto"/>
        <w:tabs>
          <w:tab w:leader="none" w:pos="685"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Except as otherwise specified with respect to a series of Securities in accordance with the provisions of Section 301, interest, if any,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at the office or agency of the Company maintained for such purpose pursuant to Section 1002;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installment of interest, if any, on any Registered Security may at the Company’s option be paid by (i) mailing a check for such interest, payable to or upon the written order of the Person entitled thereto pursuant to Section 309, to the address of such Person as it appears on the Security Register or (ii) transfer to an account maintained by the payee located in the United States.</w:t>
      </w:r>
    </w:p>
    <w:p>
      <w:pPr>
        <w:spacing w:after="0" w:line="195" w:lineRule="exact"/>
        <w:rPr>
          <w:sz w:val="20"/>
          <w:szCs w:val="20"/>
          <w:color w:val="auto"/>
        </w:rPr>
      </w:pPr>
    </w:p>
    <w:p>
      <w:pPr>
        <w:jc w:val="both"/>
        <w:ind w:right="160"/>
        <w:spacing w:after="0" w:line="308" w:lineRule="auto"/>
        <w:rPr>
          <w:sz w:val="20"/>
          <w:szCs w:val="20"/>
          <w:color w:val="auto"/>
        </w:rPr>
      </w:pPr>
      <w:r>
        <w:rPr>
          <w:rFonts w:ascii="Arial" w:cs="Arial" w:eastAsia="Arial" w:hAnsi="Arial"/>
          <w:sz w:val="17"/>
          <w:szCs w:val="17"/>
          <w:color w:val="auto"/>
        </w:rPr>
        <w:t>Unless otherwise provided as contemplated by Section 301 with respect to the Securities of any series, payment of interest, if any, may be made, in the case of a Bearer Security, by transfer to an account maintained by the payee with a bank located outside the United States.</w:t>
      </w:r>
    </w:p>
    <w:p>
      <w:pPr>
        <w:spacing w:after="0" w:line="14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Unless otherwise provided as contemplated by Section 301, every permanent global Security will provide that interest, if any, payable on any Interest Payment Date shall be paid to each of Euroclear and Clearstream with respect to that portion of such permanent global Security held for its account by the Common Depositary, for the purpose of permitting each of Euroclear and Clearstream to credit the interest, if any, received by it in respect of such permanent global Security to the accounts of the beneficial owners thereof.</w:t>
      </w:r>
    </w:p>
    <w:p>
      <w:pPr>
        <w:spacing w:after="0" w:line="18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case a Bearer Security of any series is surrendered in exchange for a Registered Security of such series after the close of business (at an office or agency in a Place of Payment for such series) on any Regular Record Date and before the opening of business (at such office or agency) on the next succeeding Interest Payment Date, such Bearer Security shall be surrendered without the coupon relating to such Interest Payment Date and interest will not be payable on such Interest Payment Date in respect of the Registered Security issued in exchange for such Bearer Security, but shall be payable only to the Holder of such coupon when due in accordance with the provisions of this Indenture.</w:t>
      </w:r>
    </w:p>
    <w:p>
      <w:pPr>
        <w:spacing w:after="0" w:line="17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“Defaulted Interest”) shall forthwith cease to be payable to the registered Holder thereof on the relevant Regular Record Date by virtue of having been such Holder, and such Defaulted Interest may be paid by the Company, at its election in each case, as provided in clause (1) or (2) below:</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76" w:name="page77"/>
    <w:bookmarkEnd w:id="76"/>
    <w:p>
      <w:pPr>
        <w:ind w:firstLine="436"/>
        <w:spacing w:after="0" w:line="284" w:lineRule="auto"/>
        <w:tabs>
          <w:tab w:leader="none" w:pos="695" w:val="left"/>
        </w:tabs>
        <w:numPr>
          <w:ilvl w:val="0"/>
          <w:numId w:val="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in which the Securities of such series are payable (except as otherwise specified pursuant to Section 301 for the Securities of such series and except, if applicable, as provided in Sections 312(b), 312(d) and 312(e))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Registered Securities of such series at his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 In case a Bearer Security of any series is surrendered at the office or agency in a Place of Payment for such series in exchange for a Registered Security of such series after the close of business at such office or agency on any Special Record Date and before the opening of business at such office or agency on the related proposed date for payment of Defaulted Interest, such Bearer Security shall be surrendered without the coupon relating to such proposed date of payment and Defaulted Interest will not be payable on such proposed date of payment in respect of the Registered Security issued in exchange for such Bearer Security, but will be payable only to the Holder of such coupon when due in accordance with the provisions of this Indenture.</w:t>
      </w:r>
    </w:p>
    <w:p>
      <w:pPr>
        <w:spacing w:after="0" w:line="178" w:lineRule="exact"/>
        <w:rPr>
          <w:rFonts w:ascii="Arial" w:cs="Arial" w:eastAsia="Arial" w:hAnsi="Arial"/>
          <w:sz w:val="16"/>
          <w:szCs w:val="16"/>
          <w:color w:val="auto"/>
        </w:rPr>
      </w:pPr>
    </w:p>
    <w:p>
      <w:pPr>
        <w:ind w:right="120" w:firstLine="436"/>
        <w:spacing w:after="0" w:line="259" w:lineRule="auto"/>
        <w:tabs>
          <w:tab w:leader="none" w:pos="6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Registered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ind w:right="100" w:firstLine="436"/>
        <w:spacing w:after="0" w:line="269" w:lineRule="auto"/>
        <w:tabs>
          <w:tab w:leader="none" w:pos="695"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provisions of this Section 307(b) may be made applicable to any series of Securities pursuant to Section 301 (with such modifications, additions or substitutions as may be specified pursuant to such Section 301). The interest rate (or the spread or spread multiplier used to calculate such interest rate, if applicable) on any Security of such series may be reset by the Company on the date or dates specified on the face of such Security (each an “Optional Reset Date”). The Company may exercise such option with respect to such Security by notifying the Trustee of such exercise at least 45 but not more than 60 days prior to an Optional Reset Date for such Security. Not later than 40 days prior to each Optional Reset Date, the Trustee shall transmit, in the manner provided for in Section 106, to the Holder of any such Security a notice (the “Reset Notice”) indicating whether the Company has elected to reset the interest rate (or the spread or spread multiplier used to calculate such interest rate, if applicable), and if so (i) such new interest rate (or such new spread or spread multiplier, if applicable) and (ii) the provisions, if any, for redemption during the period from such Optional Reset Date to the next Optional Reset Date or if there is no such next Optional Reset Date, to the Stated Maturity of such Security (each such period a “Subsequent Interest Period”), including the date or dates on which or the period or periods during which and the price or prices at which such redemption may occur during the Subsequent Interest Period.</w:t>
      </w:r>
    </w:p>
    <w:p>
      <w:pPr>
        <w:spacing w:after="0" w:line="182"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Notwithstanding the foregoing, not later than 20 days prior to the Optional Reset Date, the Company may, at its option, revoke the interest rate (or the spread or spread multiplier used to calculate such interest rate, if applicable) provided for in the Reset Notice and establish a higher interest rate (or a spread or spread multiplier providing for 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77" w:name="page78"/>
    <w:bookmarkEnd w:id="77"/>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higher interest rate, if applicable) for the Subsequent Interest Period by causing the Trustee to transmit, in the manner provided for in Section 106, notice of such higher interest rate (or such higher spread or spread multiplier providing for a higher interest rate, if applicable) to the Holder of such Security. Such notice shall be irrevocable. All Securities with respect to which the interest rate (or the spread or spread multiplier used to calculate such interest rate, if applicable) is reset on an Optional Reset Date, and with respect to which the Holders of such Securities have not tendered such Securities for repayment (or have validly revoked any such tender) pursuant to the next succeeding paragraph, will bear such higher interest rate (or such higher spread or spread multiplier providing for a higher interest rate, if applicable).</w:t>
      </w:r>
    </w:p>
    <w:p>
      <w:pPr>
        <w:spacing w:after="0" w:line="17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Holder of any such Security will have the option to elect repayment by the Company of the principal of such Security on each Optional Reset Date at a price equal to the principal amount thereof plus interest accrued to such Optional Reset Date. In order to obtain repayment on an Optional Reset Date, the Holder must follow the procedures set forth in Article Thirteen for repayment at the option of Holders except that the period for delivery or notification to the Trustee shall be at least 25 but not more than 35 days prior to such Optional Reset Date and except that, if the Holder has tendered any Security for repayment pursuant to the Reset Notice, the Holder may, by written notice to the Trustee, revoke such tender or repayment until the close of business on the tenth day before such Optional Reset Date.</w:t>
      </w:r>
    </w:p>
    <w:p>
      <w:pPr>
        <w:spacing w:after="0" w:line="178"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Subject to the foregoing provisions of this Section and Section 305,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308. Optional Extension of Maturity.</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provisions of this Section 308 may be made applicable to any series of Securities pursuant to Section 301 (with such modifications, additions or substitutions as may be specified pursuant to such Section 301). The Stated Maturity of any Security of such series may be extended at the option of the Company for the period or periods specified on the face of such Security (each an “Extension Period”) up to but not beyond the date (the “Final Maturity”) set forth on the face of such Security. The Company may exercise such option with respect to any Security by notifying the Trustee of such exercise at least 45 but not more than 60 days prior to the Stated Maturity of such Security in effect prior to the exercise of such option (the “Original Stated Maturity”). If the Company exercises such option, the Trustee shall transmit, in the manner provided for in Section 106, to the Holder of such Security not later than 40 days prior to the Original Stated Maturity a notice (the “Extension Notice”), prepared by the Company, indicating (i) the election of the Company to extend the Stated Maturity, (ii) the new Stated Maturity, (iii) the interest rate (or spread, spread multiplier or other formula to calculate such interest rate, if applicable), if any, applicable to the Extension Period and (iv) the provisions, if any, for redemption during such Extension Period. Upon the Trustee’s transmittal of the Extension Notice, the Stated Maturity of such Security shall be extended automatically and, except as modified by the Extension Notice and as described in the next paragraph, such Security will have the same terms as prior to the transmittal of such Extension Notice.</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Notwithstanding the foregoing, not later than 20 days before the Original Stated Maturity of such Security, the Company may, at its option, revoke the interest rate (or spread, spread multiplier or other formula to calculate such interest rate, if applicable) provided for in the Extension Notice and establish a higher interest rate (or spread, spread multiplier or other formula to calculate such higher interest rate, if applicable) for the Extension Period by causing the Trustee to transmit, in the manner provided for in Section 106, notice of such higher interest rate (or spread, spread multiplier or other formula to calculate such interest rate, if applicable) to the Holder of such Security. Such notice shall be irrevocable. All Securities with respect to which the Stated Maturity is extended will bear such higher interest rate.</w:t>
      </w:r>
    </w:p>
    <w:p>
      <w:pPr>
        <w:spacing w:after="0" w:line="1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If the Company extends the Stated Maturity of any Security, the Holder will have the option to elect repayment of such Security by the Company on the Original Stated Maturity at a price equal to the principal amount thereof, plus interest accrued to such date. In order to obtain repayment on the Original Stated Maturity once the Company has extended the Stated Maturity thereof, the Holder must follow the procedures set forth in Article Thirteen for repayment at the option of Holders, except that the period for delivery or notification to the Trustee shall be at least 25 but not more than 35 days prior to the Original Stated Maturity and except that, if the Holder has tendered any Security for repayment pursuant to an Extension Notice, the Holder may by written notice to the Trustee revoke such tender for repayment until the close of business on the tenth day before the Original Stated Maturity.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309. Persons Deemed Owners.</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Prior to due presentment of a Registered Security for registration of transfer, the Company, the Trustee and any agent of the Company or the Trustee may treat the Person in whose name such Registered Security is registered as the owner of such Registered Security for the purpose of receiving payment of principal of (and premium, if any) and (subject to Sections 305 and 307) interest, if any, on such Registered Security and for all other purposes whatsoever, whether or not such Registered Security be overdue, and neither the Company, the Trustee nor any agent of the Company or the Trustee shall be affected by notice to the contrary.</w:t>
      </w:r>
    </w:p>
    <w:p>
      <w:pPr>
        <w:spacing w:after="0" w:line="18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Title to any Bearer Security and any coupons appertaining thereto shall pass by delivery. The Company, the Trustee and any agent of the Company or the Trustee may treat the bearer of any Bearer Security and the bearer of any coupon as the absolute owner of such Security or coupon for the purpose of receiving payment thereof or on account thereof and for all other purposes whatsoever, whether or not such Security or coupon be overdue, and neither the Company, the Trustee nor any agent of the Company or the Trustee shall be affected by notice to the contrary.</w:t>
      </w:r>
    </w:p>
    <w:p>
      <w:pPr>
        <w:spacing w:after="0" w:line="15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None of the Company, the Trustee, any Paying Agent or the Security Registrar will have any responsibility or liability for any aspect of the records relating to or payments made on account of beneficial ownership interests of a Security in global form or for maintaining, supervising or reviewing any records relating to such beneficial ownership interests.</w:t>
      </w:r>
    </w:p>
    <w:p>
      <w:pPr>
        <w:spacing w:after="0" w:line="184"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Notwithstanding the foregoing, with respect to any global temporary or permanent Security, nothing herein shall prevent the Company, the Trustee or any agent of the Company or the Trustee, from giving effect to any written certification, proxy or other authorization furnished by any depositary, as a Holder, with respect to such global Security or impair, as between such depositary and owners of beneficial interests in such global Security, the operation of customary practices governing the exercise of the rights of such depositary (or its nominee) as Holder of such global Security.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310. Cancellation.</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All Securities and coupons surrendered for payment, redemption, repayment at the option of the Holder, registration of transfer or exchange or for credit against any sinking fund payment shall, if surrendered to any Person other than the Trustee, be delivered to the Trustee, and any such Securities and coupons and Securities and coupons surrendered directly to the Trustee for any such purpose shall be promptly cancelled by the Trustee.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and coupons held by the Trustee shall be destroyed by the Trustee in accordance with its customary procedures, unless by a Company Order the Company directs the Trustee to deliver a certificate of such destruction to the Company or to return them to the Company.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311. Computation of Interest.</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Except as otherwise specified as contemplated by Section 301 with respect to Securities of any series, interest, if any, on the Securities of each series shall be computed on the basis of a 360-day year consisting of twelve 30-day months.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312. Currency and Manner of Payments in Respect of Securities.</w:t>
      </w:r>
    </w:p>
    <w:p>
      <w:pPr>
        <w:spacing w:after="0" w:line="121" w:lineRule="exact"/>
        <w:rPr>
          <w:sz w:val="20"/>
          <w:szCs w:val="20"/>
          <w:color w:val="auto"/>
        </w:rPr>
      </w:pPr>
    </w:p>
    <w:p>
      <w:pPr>
        <w:ind w:firstLine="436"/>
        <w:spacing w:after="0" w:line="296" w:lineRule="auto"/>
        <w:tabs>
          <w:tab w:leader="none" w:pos="685" w:val="left"/>
        </w:tabs>
        <w:numPr>
          <w:ilvl w:val="0"/>
          <w:numId w:val="83"/>
        </w:numPr>
        <w:rPr>
          <w:rFonts w:ascii="Arial" w:cs="Arial" w:eastAsia="Arial" w:hAnsi="Arial"/>
          <w:sz w:val="16"/>
          <w:szCs w:val="16"/>
          <w:color w:val="auto"/>
        </w:rPr>
      </w:pPr>
      <w:r>
        <w:rPr>
          <w:rFonts w:ascii="Arial" w:cs="Arial" w:eastAsia="Arial" w:hAnsi="Arial"/>
          <w:sz w:val="16"/>
          <w:szCs w:val="16"/>
          <w:color w:val="auto"/>
        </w:rPr>
        <w:t>Unless otherwise specified with respect to any Securities pursuant to Section 301, with respect to Registered Securities of any series not permitting the election provided for in paragraph (b) below or the Holders of which have not made the election provided for in paragraph (b) below, and with respect to Bearer Securities of any series, except as provided in paragraph (d) below, payment of the principal of (and premium, if any) and interest, if any, on any Registered or Bearer Security of such series will be made in the Currency in which such Registered Security or Bearer Security, as the case may be, is payable. The provisions of this Section 312 may be modified or superseded with respect to any Securities pursuant to Section 301.</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0" w:right="459" w:bottom="1440" w:gutter="0" w:footer="0" w:header="0"/>
        </w:sectPr>
      </w:pPr>
    </w:p>
    <w:bookmarkStart w:id="79" w:name="page80"/>
    <w:bookmarkEnd w:id="79"/>
    <w:p>
      <w:pPr>
        <w:ind w:left="4" w:firstLine="436"/>
        <w:spacing w:after="0" w:line="268" w:lineRule="auto"/>
        <w:tabs>
          <w:tab w:leader="none" w:pos="699" w:val="left"/>
        </w:tabs>
        <w:numPr>
          <w:ilvl w:val="0"/>
          <w:numId w:val="8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may be provided pursuant to Section 301 with respect to Registered Securities of any series that Holders shall have the option, subject to paragraphs (d) and (e) below, to receive payments of principal of (or premium, if any) or interest, if any, on such Registered Securities in any of the Currencies which may be designated for such election by delivering to the Trustee for such series of Registered Securities a written election with signature guarantees and in the applicable form established pursuant to Section 301, not later than the close of business on the Election Date immediately preceding the applicable payment date. If a Holder so elects to receive such payments in any such Currency, such election will remain in effect for such Holder or any transferee of such Holder until changed by such Holder or such transferee by written notice to the Trustee for such series of Registered Securities (but any such change must be made not later than the close of business on the Election Date immediately preceding the next payment date to be effective for the payment to be made on such payment date and no such change of election may be made with respect to payments to be made on any Registered Security of such series with respect to which an Event of Default has occurred or with respect to which the Company has deposited funds pursuant to Article Four or Fourteen or with respect to which a notice of redemption has been given by the Company or a notice of option to elect repayment has been sent by such Holder or such transferee). Any Holder of any such Registered Security who shall not have delivered any such election to the Trustee of such series of Registered Securities not later than the close of business on the applicable Election Date will be paid the amount due on the applicable payment date in the relevant Currency as provided in Section 312(a). The Trustee for each such series of Registered Securities shall notify the Exchange Rate Agent as soon as practicable after the Election Date of the aggregate principal amount of Registered Securities for which Holders have made such written election.</w:t>
      </w:r>
    </w:p>
    <w:p>
      <w:pPr>
        <w:spacing w:after="0" w:line="181" w:lineRule="exact"/>
        <w:rPr>
          <w:rFonts w:ascii="Arial" w:cs="Arial" w:eastAsia="Arial" w:hAnsi="Arial"/>
          <w:sz w:val="17"/>
          <w:szCs w:val="17"/>
          <w:color w:val="auto"/>
        </w:rPr>
      </w:pPr>
    </w:p>
    <w:p>
      <w:pPr>
        <w:ind w:left="684" w:hanging="244"/>
        <w:spacing w:after="0"/>
        <w:tabs>
          <w:tab w:leader="none" w:pos="684" w:val="left"/>
        </w:tabs>
        <w:numPr>
          <w:ilvl w:val="0"/>
          <w:numId w:val="84"/>
        </w:numPr>
        <w:rPr>
          <w:rFonts w:ascii="Arial" w:cs="Arial" w:eastAsia="Arial" w:hAnsi="Arial"/>
          <w:sz w:val="17"/>
          <w:szCs w:val="17"/>
          <w:color w:val="auto"/>
        </w:rPr>
      </w:pPr>
      <w:r>
        <w:rPr>
          <w:rFonts w:ascii="Arial" w:cs="Arial" w:eastAsia="Arial" w:hAnsi="Arial"/>
          <w:sz w:val="17"/>
          <w:szCs w:val="17"/>
          <w:color w:val="auto"/>
        </w:rPr>
        <w:t>Unless otherwise specified pursuant to Section 301, if the election referred to in paragraph (b) above has been provided for pursuant to</w:t>
      </w:r>
    </w:p>
    <w:p>
      <w:pPr>
        <w:spacing w:after="0" w:line="35" w:lineRule="exact"/>
        <w:rPr>
          <w:sz w:val="20"/>
          <w:szCs w:val="20"/>
          <w:color w:val="auto"/>
        </w:rPr>
      </w:pPr>
    </w:p>
    <w:p>
      <w:pPr>
        <w:ind w:left="4" w:right="120"/>
        <w:spacing w:after="0" w:line="281" w:lineRule="auto"/>
        <w:rPr>
          <w:sz w:val="20"/>
          <w:szCs w:val="20"/>
          <w:color w:val="auto"/>
        </w:rPr>
      </w:pPr>
      <w:r>
        <w:rPr>
          <w:rFonts w:ascii="Arial" w:cs="Arial" w:eastAsia="Arial" w:hAnsi="Arial"/>
          <w:sz w:val="16"/>
          <w:szCs w:val="16"/>
          <w:color w:val="auto"/>
        </w:rPr>
        <w:t>Section 301, then, unless otherwise specified pursuant to Section 301, not later than the fourth Business Day after the Election Date for each payment date for Registered Securities of any series, the Exchange Rate Agent shall deliver to the Company a written notice specifying the Currency in which Registered Securities of such series are payable, the respective aggregate amounts of principal of (and premium, if any) and interest, if any, on the Registered Securities to be paid on such payment date, specifying the amounts in such Currency so payable in respect of the Registered Securities as to which the Holders of Registered Securities denominated in any Currency shall have elected to be paid in another Currency as provided in paragraph</w:t>
      </w:r>
    </w:p>
    <w:p>
      <w:pPr>
        <w:spacing w:after="0" w:line="3" w:lineRule="exact"/>
        <w:rPr>
          <w:sz w:val="20"/>
          <w:szCs w:val="20"/>
          <w:color w:val="auto"/>
        </w:rPr>
      </w:pPr>
    </w:p>
    <w:p>
      <w:pPr>
        <w:ind w:left="4" w:right="40" w:hanging="4"/>
        <w:spacing w:after="0" w:line="288" w:lineRule="auto"/>
        <w:tabs>
          <w:tab w:leader="none" w:pos="259" w:val="left"/>
        </w:tabs>
        <w:numPr>
          <w:ilvl w:val="0"/>
          <w:numId w:val="85"/>
        </w:numPr>
        <w:rPr>
          <w:rFonts w:ascii="Arial" w:cs="Arial" w:eastAsia="Arial" w:hAnsi="Arial"/>
          <w:sz w:val="16"/>
          <w:szCs w:val="16"/>
          <w:color w:val="auto"/>
        </w:rPr>
      </w:pPr>
      <w:r>
        <w:rPr>
          <w:rFonts w:ascii="Arial" w:cs="Arial" w:eastAsia="Arial" w:hAnsi="Arial"/>
          <w:sz w:val="16"/>
          <w:szCs w:val="16"/>
          <w:color w:val="auto"/>
        </w:rPr>
        <w:t>above. If the election referred to in paragraph (b) above has been provided for pursuant to Section 301 and if at least one Holder has made such election, then, unless otherwise specified pursuant to Section 301, on the second Business Day preceding such payment date the Company shall deliver to the Trustee for such series of Registered Securities an Exchange Rate Officer’s Certificate in respect of the Dollar or Foreign Currency or Currencies payments to be made on such payment date. Unless otherwise specified pursuant to Section 301, the Dollar or Foreign Currency or Currencies amount receivable by Holders of Registered Securities who have elected payment in a Currency as provided in paragraph (b) above shall be determined by the Company on the basis of the applicable Market Exchange Rate in effect on the second Business Day (the “Valuation Date”) immediately preceding each payment date, and such determination shall be conclusive and binding for all purposes, absent manifest error.</w:t>
      </w:r>
    </w:p>
    <w:p>
      <w:pPr>
        <w:spacing w:after="0" w:line="168" w:lineRule="exact"/>
        <w:rPr>
          <w:rFonts w:ascii="Arial" w:cs="Arial" w:eastAsia="Arial" w:hAnsi="Arial"/>
          <w:sz w:val="16"/>
          <w:szCs w:val="16"/>
          <w:color w:val="auto"/>
        </w:rPr>
      </w:pPr>
    </w:p>
    <w:p>
      <w:pPr>
        <w:ind w:left="4" w:firstLine="436"/>
        <w:spacing w:after="0" w:line="271" w:lineRule="auto"/>
        <w:tabs>
          <w:tab w:leader="none" w:pos="699" w:val="left"/>
        </w:tabs>
        <w:numPr>
          <w:ilvl w:val="1"/>
          <w:numId w:val="85"/>
        </w:numPr>
        <w:rPr>
          <w:rFonts w:ascii="Arial" w:cs="Arial" w:eastAsia="Arial" w:hAnsi="Arial"/>
          <w:sz w:val="17"/>
          <w:szCs w:val="17"/>
          <w:color w:val="auto"/>
        </w:rPr>
      </w:pPr>
      <w:r>
        <w:rPr>
          <w:rFonts w:ascii="Arial" w:cs="Arial" w:eastAsia="Arial" w:hAnsi="Arial"/>
          <w:sz w:val="17"/>
          <w:szCs w:val="17"/>
          <w:color w:val="auto"/>
        </w:rPr>
        <w:t>If a Conversion Event occurs with respect to a Foreign Currency in which any of the Securities are denominated or payable other than pursuant to an election provided for pursuant to paragraph (b) above, then with respect to each date for the payment of principal of (and premium, if any) and interest, if any on the applicable Securities denominated or payable in such Foreign Currency occurring after the last date on which such Foreign Currency was used (the “Conversion Date”), the Dollar shall be the currency of payment for use on each such payment date. Unless otherwise specified pursuant to Section 301, the Dollar amount to be paid by the Company to the Trustee of each such series of Securities and by such Trustee or any Paying Agent to the Holders of such Securities with respect to such payment date shall be, in the case of a Foreign Currency other than a currency unit, the Dollar Equivalent of the Foreign Currency or, in the case of a currency unit, the Dollar Equivalent of the Currency Unit, in each case as determined by the Exchange Rate Agent in the manner provided in paragraph (f) or (g) below.</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80" w:name="page81"/>
    <w:bookmarkEnd w:id="80"/>
    <w:p>
      <w:pPr>
        <w:ind w:left="4" w:firstLine="436"/>
        <w:spacing w:after="0" w:line="257" w:lineRule="auto"/>
        <w:tabs>
          <w:tab w:leader="none" w:pos="689" w:val="left"/>
        </w:tabs>
        <w:numPr>
          <w:ilvl w:val="1"/>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specified pursuant to Section 301, if the Holder of a Registered Security denominated in any Currency shall have elected to be paid in another Currency as provided in paragraph (b) above, and a Conversion Event occurs with respect to such elected Currency, such Holder shall receive payment in the Currency in which payment would have been made in the absence of such election; and if a Conversion Event occurs with respect to the Currency in which payment would have been made in the absence of such election, such Holder shall receive payment in Dollars as provided in paragraph (d) of this Section 312.</w:t>
      </w:r>
    </w:p>
    <w:p>
      <w:pPr>
        <w:spacing w:after="0" w:line="187" w:lineRule="exact"/>
        <w:rPr>
          <w:rFonts w:ascii="Arial" w:cs="Arial" w:eastAsia="Arial" w:hAnsi="Arial"/>
          <w:sz w:val="18"/>
          <w:szCs w:val="18"/>
          <w:color w:val="auto"/>
        </w:rPr>
      </w:pPr>
    </w:p>
    <w:p>
      <w:pPr>
        <w:ind w:left="4" w:right="180" w:firstLine="436"/>
        <w:spacing w:after="0" w:line="308" w:lineRule="auto"/>
        <w:tabs>
          <w:tab w:leader="none" w:pos="669" w:val="left"/>
        </w:tabs>
        <w:numPr>
          <w:ilvl w:val="1"/>
          <w:numId w:val="86"/>
        </w:numPr>
        <w:rPr>
          <w:rFonts w:ascii="Arial" w:cs="Arial" w:eastAsia="Arial" w:hAnsi="Arial"/>
          <w:sz w:val="17"/>
          <w:szCs w:val="17"/>
          <w:color w:val="auto"/>
        </w:rPr>
      </w:pPr>
      <w:r>
        <w:rPr>
          <w:rFonts w:ascii="Arial" w:cs="Arial" w:eastAsia="Arial" w:hAnsi="Arial"/>
          <w:sz w:val="17"/>
          <w:szCs w:val="17"/>
          <w:color w:val="auto"/>
        </w:rPr>
        <w:t>The “Dollar Equivalent of the Foreign Currency” shall be determined by the Exchange Rate Agent and shall be obtained for each subsequent payment date by converting the specified Foreign Currency into Dollars at the Market Exchange Rate on the Conversion Date.</w:t>
      </w:r>
    </w:p>
    <w:p>
      <w:pPr>
        <w:spacing w:after="0" w:line="146" w:lineRule="exact"/>
        <w:rPr>
          <w:rFonts w:ascii="Arial" w:cs="Arial" w:eastAsia="Arial" w:hAnsi="Arial"/>
          <w:sz w:val="17"/>
          <w:szCs w:val="17"/>
          <w:color w:val="auto"/>
        </w:rPr>
      </w:pPr>
    </w:p>
    <w:p>
      <w:pPr>
        <w:ind w:left="704" w:hanging="264"/>
        <w:spacing w:after="0"/>
        <w:tabs>
          <w:tab w:leader="none" w:pos="704" w:val="left"/>
        </w:tabs>
        <w:numPr>
          <w:ilvl w:val="1"/>
          <w:numId w:val="86"/>
        </w:numPr>
        <w:rPr>
          <w:rFonts w:ascii="Arial" w:cs="Arial" w:eastAsia="Arial" w:hAnsi="Arial"/>
          <w:sz w:val="17"/>
          <w:szCs w:val="17"/>
          <w:color w:val="auto"/>
        </w:rPr>
      </w:pPr>
      <w:r>
        <w:rPr>
          <w:rFonts w:ascii="Arial" w:cs="Arial" w:eastAsia="Arial" w:hAnsi="Arial"/>
          <w:sz w:val="17"/>
          <w:szCs w:val="17"/>
          <w:color w:val="auto"/>
        </w:rPr>
        <w:t>The “Dollar Equivalent of the Currency Unit” shall be determined by the Exchange Rate Agent and subject to the provisions of paragraph</w:t>
      </w:r>
    </w:p>
    <w:p>
      <w:pPr>
        <w:spacing w:after="0" w:line="34" w:lineRule="exact"/>
        <w:rPr>
          <w:rFonts w:ascii="Arial" w:cs="Arial" w:eastAsia="Arial" w:hAnsi="Arial"/>
          <w:sz w:val="17"/>
          <w:szCs w:val="17"/>
          <w:color w:val="auto"/>
        </w:rPr>
      </w:pPr>
    </w:p>
    <w:p>
      <w:pPr>
        <w:ind w:left="4" w:right="520" w:hanging="4"/>
        <w:spacing w:after="0" w:line="260" w:lineRule="auto"/>
        <w:tabs>
          <w:tab w:leader="none" w:pos="259" w:val="left"/>
        </w:tabs>
        <w:numPr>
          <w:ilvl w:val="0"/>
          <w:numId w:val="87"/>
        </w:numPr>
        <w:rPr>
          <w:rFonts w:ascii="Arial" w:cs="Arial" w:eastAsia="Arial" w:hAnsi="Arial"/>
          <w:sz w:val="18"/>
          <w:szCs w:val="18"/>
          <w:color w:val="auto"/>
        </w:rPr>
      </w:pPr>
      <w:r>
        <w:rPr>
          <w:rFonts w:ascii="Arial" w:cs="Arial" w:eastAsia="Arial" w:hAnsi="Arial"/>
          <w:sz w:val="18"/>
          <w:szCs w:val="18"/>
          <w:color w:val="auto"/>
        </w:rPr>
        <w:t>below shall be the sum of each amount obtained by converting the Specified Amount of each Component Currency into Dollars at the Market Exchange Rate for such Component Currency on the Valuation Date with respect to each payment.</w:t>
      </w:r>
    </w:p>
    <w:p>
      <w:pPr>
        <w:spacing w:after="0" w:line="185" w:lineRule="exact"/>
        <w:rPr>
          <w:rFonts w:ascii="Arial" w:cs="Arial" w:eastAsia="Arial" w:hAnsi="Arial"/>
          <w:sz w:val="18"/>
          <w:szCs w:val="18"/>
          <w:color w:val="auto"/>
        </w:rPr>
      </w:pPr>
    </w:p>
    <w:p>
      <w:pPr>
        <w:ind w:left="704" w:hanging="264"/>
        <w:spacing w:after="0"/>
        <w:tabs>
          <w:tab w:leader="none" w:pos="704" w:val="left"/>
        </w:tabs>
        <w:numPr>
          <w:ilvl w:val="1"/>
          <w:numId w:val="87"/>
        </w:numPr>
        <w:rPr>
          <w:rFonts w:ascii="Arial" w:cs="Arial" w:eastAsia="Arial" w:hAnsi="Arial"/>
          <w:sz w:val="18"/>
          <w:szCs w:val="18"/>
          <w:color w:val="auto"/>
        </w:rPr>
      </w:pPr>
      <w:r>
        <w:rPr>
          <w:rFonts w:ascii="Arial" w:cs="Arial" w:eastAsia="Arial" w:hAnsi="Arial"/>
          <w:sz w:val="18"/>
          <w:szCs w:val="18"/>
          <w:color w:val="auto"/>
        </w:rPr>
        <w:t>For purposes of this Section 312, the following terms shall have the following meanings:</w:t>
      </w:r>
    </w:p>
    <w:p>
      <w:pPr>
        <w:spacing w:after="0" w:line="225" w:lineRule="exact"/>
        <w:rPr>
          <w:sz w:val="20"/>
          <w:szCs w:val="20"/>
          <w:color w:val="auto"/>
        </w:rPr>
      </w:pPr>
    </w:p>
    <w:p>
      <w:pPr>
        <w:ind w:left="4" w:right="260" w:firstLine="991"/>
        <w:spacing w:after="0" w:line="277"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Component Currency</w:t>
      </w:r>
      <w:r>
        <w:rPr>
          <w:rFonts w:ascii="Arial" w:cs="Arial" w:eastAsia="Arial" w:hAnsi="Arial"/>
          <w:sz w:val="18"/>
          <w:szCs w:val="18"/>
          <w:color w:val="auto"/>
        </w:rPr>
        <w:t>” shall mean any currency which, on the Conversion Date, was a component currency of the relevant currency unit, including, but not limited to, the Euro.</w:t>
      </w:r>
    </w:p>
    <w:p>
      <w:pPr>
        <w:spacing w:after="0" w:line="170" w:lineRule="exact"/>
        <w:rPr>
          <w:sz w:val="20"/>
          <w:szCs w:val="20"/>
          <w:color w:val="auto"/>
        </w:rPr>
      </w:pPr>
    </w:p>
    <w:p>
      <w:pPr>
        <w:ind w:left="4" w:firstLine="991"/>
        <w:spacing w:after="0" w:line="286" w:lineRule="auto"/>
        <w:rPr>
          <w:sz w:val="20"/>
          <w:szCs w:val="20"/>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Specified Amount</w:t>
      </w:r>
      <w:r>
        <w:rPr>
          <w:rFonts w:ascii="Arial" w:cs="Arial" w:eastAsia="Arial" w:hAnsi="Arial"/>
          <w:sz w:val="16"/>
          <w:szCs w:val="16"/>
          <w:color w:val="auto"/>
        </w:rPr>
        <w:t>” of a Component Currency shall mean the number of units of such Component Currency or fractions thereof which were represented in the relevant currency unit, including, but not limited to, the Euro, on the Conversion Date. If after the Conversion Date the official unit of any Component Currency is altered by way of combination or subdivision, the Specified Amount of such Component Currency shall be divided or multiplied in the same proportion. If after the Conversion Date two or more Component Currencies are consolidated into a single currency, the respective Specified Amounts of such Component Currencies shall be replaced by an amount in such single currency equal to the sum of the respective Specified Amounts of such consolidated Component Currencies expressed in such single currency, and such amount shall thereafter be a Specified Amount and such single currency shall thereafter be a Component Currency. If after the Conversion Date any Component Currency shall be divided into two or more currencies, the Specified Amount of such Component Currency shall be replaced by amounts of such two or more currencies, having an aggregate Dollar Equivalent value at the Market Exchange Rate on the date of such replacement equal to the Dollar Equivalent of the Specified Amount of such former Component Currency at the Market Exchange Rate immediately before such division, and such amounts shall thereafter be Specified Amounts and such currencies shall thereafter be Component Currencies. If, after the Conversion Date of the relevant currency unit, including, but not limited to, the Euro, a Conversion Event (other than any event referred to above in this definition of “Specified Amount”) occurs with respect to any Component Currency of such currency unit and is continuing on the applicable Valuation Date, the Specified Amount of such Component Currency shall, for purposes of calculating the Dollar Equivalent of the Currency Unit, be converted into Dollars at the Market Exchange Rate in effect on the Conversion Date of such Component Currency.</w:t>
      </w:r>
    </w:p>
    <w:p>
      <w:pPr>
        <w:spacing w:after="0" w:line="387" w:lineRule="exact"/>
        <w:rPr>
          <w:sz w:val="20"/>
          <w:szCs w:val="20"/>
          <w:color w:val="auto"/>
        </w:rPr>
      </w:pPr>
    </w:p>
    <w:p>
      <w:pPr>
        <w:ind w:left="4" w:right="120" w:firstLine="991"/>
        <w:spacing w:after="0" w:line="263" w:lineRule="auto"/>
        <w:rPr>
          <w:sz w:val="20"/>
          <w:szCs w:val="20"/>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Election Date</w:t>
      </w:r>
      <w:r>
        <w:rPr>
          <w:rFonts w:ascii="Arial" w:cs="Arial" w:eastAsia="Arial" w:hAnsi="Arial"/>
          <w:sz w:val="18"/>
          <w:szCs w:val="18"/>
          <w:color w:val="auto"/>
        </w:rPr>
        <w:t>” shall mean the Regular Record Date for the applicable series of Registered Securities or at least 16 days prior to Maturity, as the case may be, or such other prior date for any series of Registered Securities as specified pursuant to clause 13 of Section 301 by which the written election referred to in Section 312(b) may be made.</w:t>
      </w:r>
    </w:p>
    <w:p>
      <w:pPr>
        <w:spacing w:after="0" w:line="184" w:lineRule="exact"/>
        <w:rPr>
          <w:sz w:val="20"/>
          <w:szCs w:val="20"/>
          <w:color w:val="auto"/>
        </w:rPr>
      </w:pPr>
    </w:p>
    <w:p>
      <w:pPr>
        <w:ind w:left="4" w:right="80"/>
        <w:spacing w:after="0" w:line="275" w:lineRule="auto"/>
        <w:rPr>
          <w:sz w:val="20"/>
          <w:szCs w:val="20"/>
          <w:color w:val="auto"/>
        </w:rPr>
      </w:pPr>
      <w:r>
        <w:rPr>
          <w:rFonts w:ascii="Arial" w:cs="Arial" w:eastAsia="Arial" w:hAnsi="Arial"/>
          <w:sz w:val="17"/>
          <w:szCs w:val="17"/>
          <w:color w:val="auto"/>
        </w:rPr>
        <w:t>All decisions and determinations of the Exchange Rate Agent regarding the Dollar Equivalent of the Foreign Currency, the Dollar Equivalent of the Currency Unit, the Market Exchange Rate and changes in the Specified Amounts as specified above shall be in its sole discretion and shall, in the absence of manifest error, be conclusive for all purposes and irrevocably binding upon the Company, the Trustee for the appropriate series of Securities and all Holders of such Securities denominated or payable in the relevant Currency. The Exchange Rate Agent shall promptly give written notice to the Company and the Trustee for the appropriate series of Securities of any such decision or determination.</w:t>
      </w:r>
    </w:p>
    <w:p>
      <w:pPr>
        <w:spacing w:after="0" w:line="176" w:lineRule="exact"/>
        <w:rPr>
          <w:sz w:val="20"/>
          <w:szCs w:val="20"/>
          <w:color w:val="auto"/>
        </w:rPr>
      </w:pPr>
    </w:p>
    <w:p>
      <w:pPr>
        <w:ind w:left="4" w:right="300"/>
        <w:spacing w:after="0" w:line="259" w:lineRule="auto"/>
        <w:rPr>
          <w:sz w:val="20"/>
          <w:szCs w:val="20"/>
          <w:color w:val="auto"/>
        </w:rPr>
      </w:pPr>
      <w:r>
        <w:rPr>
          <w:rFonts w:ascii="Arial" w:cs="Arial" w:eastAsia="Arial" w:hAnsi="Arial"/>
          <w:sz w:val="18"/>
          <w:szCs w:val="18"/>
          <w:color w:val="auto"/>
        </w:rPr>
        <w:t>In the event that the Company determines in good faith that a Conversion Event has occurred with respect to a Foreign Currency, the company shall immediately give written notice thereof to the Trustee of the appropriate series of Securities and to the Exchange Rate Agent (and such Trustee shall promptly thereafter give notice in the manner provided in Section 106 to the affected Holders) specifying the Conversion Date. In the event the Company so</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4"/>
          </w:cols>
          <w:pgMar w:left="436" w:top="274" w:right="479" w:bottom="1440" w:gutter="0" w:footer="0" w:header="0"/>
        </w:sectPr>
      </w:pPr>
    </w:p>
    <w:bookmarkStart w:id="81" w:name="page82"/>
    <w:bookmarkEnd w:id="81"/>
    <w:p>
      <w:pPr>
        <w:ind w:left="4"/>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determines that a Conversion Event has occurred with respect to the Euro or any other currency unit in which Securities are denominated or payable, the Company shall immediately give written notice thereof to the Trustee of the appropriate series of Securities and to the Exchange Rate Agent (and such Trustee shall promptly thereafter give notice in the manner provided in Section 106 to the affected Holders) specifying the Conversion Date and the Specified Amount of each Component Currency on the Conversion Date. In the event the Company determines in good faith that any subsequent change in any Component Currency as set forth in the definition of Specified Amount above has occurred, the Company shall similarly give written notice to the Trustee of the appropriate series of Securities and to the Exchange Rate Agent.</w:t>
      </w:r>
    </w:p>
    <w:p>
      <w:pPr>
        <w:spacing w:after="0" w:line="178" w:lineRule="exact"/>
        <w:rPr>
          <w:sz w:val="20"/>
          <w:szCs w:val="20"/>
          <w:color w:val="auto"/>
        </w:rPr>
      </w:pPr>
    </w:p>
    <w:p>
      <w:pPr>
        <w:jc w:val="both"/>
        <w:ind w:left="4" w:right="240"/>
        <w:spacing w:after="0" w:line="263" w:lineRule="auto"/>
        <w:rPr>
          <w:sz w:val="20"/>
          <w:szCs w:val="20"/>
          <w:color w:val="auto"/>
        </w:rPr>
      </w:pPr>
      <w:r>
        <w:rPr>
          <w:rFonts w:ascii="Arial" w:cs="Arial" w:eastAsia="Arial" w:hAnsi="Arial"/>
          <w:sz w:val="18"/>
          <w:szCs w:val="18"/>
          <w:color w:val="auto"/>
        </w:rPr>
        <w:t>The Trustee of the appropriate series of Securities shall be fully justified and protected in relying and acting upon information received by it from the Company and the Exchange Rate Agent and shall not otherwise have any duty or obligation to determine the accuracy or validity of such information independent of the Company or the Exchange Rate Agent.</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313. Appointment and Resignation of Successor Exchange Rate Agent.</w:t>
      </w:r>
    </w:p>
    <w:p>
      <w:pPr>
        <w:spacing w:after="0" w:line="121" w:lineRule="exact"/>
        <w:rPr>
          <w:sz w:val="20"/>
          <w:szCs w:val="20"/>
          <w:color w:val="auto"/>
        </w:rPr>
      </w:pPr>
    </w:p>
    <w:p>
      <w:pPr>
        <w:ind w:left="684" w:hanging="244"/>
        <w:spacing w:after="0"/>
        <w:tabs>
          <w:tab w:leader="none" w:pos="684" w:val="left"/>
        </w:tabs>
        <w:numPr>
          <w:ilvl w:val="1"/>
          <w:numId w:val="88"/>
        </w:numPr>
        <w:rPr>
          <w:rFonts w:ascii="Arial" w:cs="Arial" w:eastAsia="Arial" w:hAnsi="Arial"/>
          <w:sz w:val="16"/>
          <w:szCs w:val="16"/>
          <w:color w:val="auto"/>
        </w:rPr>
      </w:pPr>
      <w:r>
        <w:rPr>
          <w:rFonts w:ascii="Arial" w:cs="Arial" w:eastAsia="Arial" w:hAnsi="Arial"/>
          <w:sz w:val="16"/>
          <w:szCs w:val="16"/>
          <w:color w:val="auto"/>
        </w:rPr>
        <w:t>Unless otherwise specified pursuant to Section 301, if and so long as the Securities of any series (i) are denominated in a Foreign Currency or</w:t>
      </w:r>
    </w:p>
    <w:p>
      <w:pPr>
        <w:spacing w:after="0" w:line="46" w:lineRule="exact"/>
        <w:rPr>
          <w:rFonts w:ascii="Arial" w:cs="Arial" w:eastAsia="Arial" w:hAnsi="Arial"/>
          <w:sz w:val="16"/>
          <w:szCs w:val="16"/>
          <w:color w:val="auto"/>
        </w:rPr>
      </w:pPr>
    </w:p>
    <w:p>
      <w:pPr>
        <w:ind w:left="4" w:right="60" w:hanging="4"/>
        <w:spacing w:after="0" w:line="271" w:lineRule="auto"/>
        <w:tabs>
          <w:tab w:leader="none" w:pos="269" w:val="left"/>
        </w:tabs>
        <w:numPr>
          <w:ilvl w:val="0"/>
          <w:numId w:val="89"/>
        </w:numPr>
        <w:rPr>
          <w:rFonts w:ascii="Arial" w:cs="Arial" w:eastAsia="Arial" w:hAnsi="Arial"/>
          <w:sz w:val="17"/>
          <w:szCs w:val="17"/>
          <w:color w:val="auto"/>
        </w:rPr>
      </w:pPr>
      <w:r>
        <w:rPr>
          <w:rFonts w:ascii="Arial" w:cs="Arial" w:eastAsia="Arial" w:hAnsi="Arial"/>
          <w:sz w:val="17"/>
          <w:szCs w:val="17"/>
          <w:color w:val="auto"/>
        </w:rPr>
        <w:t>may be payable in a Foreign Currency, or so long as it is required under any other provision of this Indenture, then the Company shall maintain with respect to each such series of Securities, or as so required, at least one Exchange Rate Agent. The Company shall cause the Exchange Rate Agent to make the necessary foreign exchange determinations at the time and in the manner specified pursuant to Section 301 for the purpose of determining the applicable rate of exchange and, if applicable, for the purpose of converting the issued Foreign Currency into the applicable payment Currency for the payment of principal (and premium, if any) and interest, if any, pursuant to Section 312.</w:t>
      </w:r>
    </w:p>
    <w:p>
      <w:pPr>
        <w:spacing w:after="0" w:line="178" w:lineRule="exact"/>
        <w:rPr>
          <w:rFonts w:ascii="Arial" w:cs="Arial" w:eastAsia="Arial" w:hAnsi="Arial"/>
          <w:sz w:val="17"/>
          <w:szCs w:val="17"/>
          <w:color w:val="auto"/>
        </w:rPr>
      </w:pPr>
    </w:p>
    <w:p>
      <w:pPr>
        <w:ind w:left="4" w:right="20" w:firstLine="436"/>
        <w:spacing w:after="0" w:line="311" w:lineRule="auto"/>
        <w:tabs>
          <w:tab w:leader="none" w:pos="699" w:val="left"/>
        </w:tabs>
        <w:numPr>
          <w:ilvl w:val="1"/>
          <w:numId w:val="89"/>
        </w:numPr>
        <w:rPr>
          <w:rFonts w:ascii="Arial" w:cs="Arial" w:eastAsia="Arial" w:hAnsi="Arial"/>
          <w:sz w:val="16"/>
          <w:szCs w:val="16"/>
          <w:color w:val="auto"/>
        </w:rPr>
      </w:pPr>
      <w:r>
        <w:rPr>
          <w:rFonts w:ascii="Arial" w:cs="Arial" w:eastAsia="Arial" w:hAnsi="Arial"/>
          <w:sz w:val="16"/>
          <w:szCs w:val="16"/>
          <w:color w:val="auto"/>
        </w:rPr>
        <w:t>No resignation of the Exchange Rate Agent and no appointment of a successor Exchange Rate Agent pursuant to this Section shall become effective until the acceptance of appointment by the successor Exchange Rate Agent as evidenced by a written instrument delivered to the Company and the Trustee of the appropriate series of Securities accepting such appointment executed by the successor Exchange Rate Agent.</w:t>
      </w:r>
    </w:p>
    <w:p>
      <w:pPr>
        <w:spacing w:after="0" w:line="148" w:lineRule="exact"/>
        <w:rPr>
          <w:rFonts w:ascii="Arial" w:cs="Arial" w:eastAsia="Arial" w:hAnsi="Arial"/>
          <w:sz w:val="16"/>
          <w:szCs w:val="16"/>
          <w:color w:val="auto"/>
        </w:rPr>
      </w:pPr>
    </w:p>
    <w:p>
      <w:pPr>
        <w:ind w:left="4" w:right="40" w:firstLine="436"/>
        <w:spacing w:after="0" w:line="293" w:lineRule="auto"/>
        <w:tabs>
          <w:tab w:leader="none" w:pos="689" w:val="left"/>
        </w:tabs>
        <w:numPr>
          <w:ilvl w:val="1"/>
          <w:numId w:val="89"/>
        </w:numPr>
        <w:rPr>
          <w:rFonts w:ascii="Arial" w:cs="Arial" w:eastAsia="Arial" w:hAnsi="Arial"/>
          <w:sz w:val="16"/>
          <w:szCs w:val="16"/>
          <w:color w:val="auto"/>
        </w:rPr>
      </w:pPr>
      <w:r>
        <w:rPr>
          <w:rFonts w:ascii="Arial" w:cs="Arial" w:eastAsia="Arial" w:hAnsi="Arial"/>
          <w:sz w:val="16"/>
          <w:szCs w:val="16"/>
          <w:color w:val="auto"/>
        </w:rPr>
        <w:t>If the Exchange Rate Agent shall resign, be removed or become incapable of acting, or if a vacancy shall occur in the office of the Exchange Rate Agent for any cause, with respect to the Securities of one or more series, the Company, by or pursuant to a Board Resolution, shall promptly appoint a successor Exchange Rate Agent or Exchange Rate Agents with respect to the Securities of that or those series (it being understood that any such successor Exchange Rate Agent may be appointed with respect to the Securities of one or more or all of such series and that, unless otherwise specified pursuant to Section 301, at any time there shall only be one Exchange Rate Agent with respect to the Securities of any particular series that are originally issued by the Company on the same date and that are initially denominated and/or payable in the same Currency).</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314. CUSIP Numbers.</w:t>
      </w:r>
    </w:p>
    <w:p>
      <w:pPr>
        <w:spacing w:after="0" w:line="121" w:lineRule="exact"/>
        <w:rPr>
          <w:sz w:val="20"/>
          <w:szCs w:val="20"/>
          <w:color w:val="auto"/>
        </w:rPr>
      </w:pPr>
    </w:p>
    <w:p>
      <w:pPr>
        <w:ind w:left="4"/>
        <w:spacing w:after="0" w:line="296" w:lineRule="auto"/>
        <w:rPr>
          <w:sz w:val="20"/>
          <w:szCs w:val="20"/>
          <w:color w:val="auto"/>
        </w:rPr>
      </w:pPr>
      <w:r>
        <w:rPr>
          <w:rFonts w:ascii="Arial" w:cs="Arial" w:eastAsia="Arial" w:hAnsi="Arial"/>
          <w:sz w:val="16"/>
          <w:szCs w:val="16"/>
          <w:color w:val="auto"/>
        </w:rPr>
        <w:t xml:space="preserve">The Company in issuing the Securities may use “CUSIP” numbers (if then generally in use), and, if so, the Trustee shall indicate the respective “CUSIP” numbers of the Securities in notices of redemption as a convenience to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notice may state that no representation is made as to the correctness of such numbers, either as printed on the Securities or as contained in any notice of redemption, and that reliance may be placed only on the other identification numbers printed on the Securities, and that any such redemption shall not be affected by any defect in or omission of such numbers. The Company shall advise the Trustee as promptly as practicable in writing of any change in the CUSIP numbers.</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4" w:right="45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FOUR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401. Satisfaction and Discharge of Indenture.</w:t>
      </w:r>
    </w:p>
    <w:p>
      <w:pPr>
        <w:spacing w:after="0" w:line="121"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Except as set forth below, this Indenture shall upon Company Request cease to be of further effect with respect to any series of Securities specified in such Company Request (except as to any surviving rights of registration of transfer or exchange of Securities of such series expressly provided for herein or pursuant hereto, any surviving rights of tender for repayment at the option of the Holders and any right to receive Additional Amounts, as provided in Section 1004), and the Trustee, upon receipt of a Company Order, and at the expense of the Company, shall execute proper instruments acknowledging satisfaction and discharge of this Indenture as to such series when:</w:t>
      </w:r>
    </w:p>
    <w:p>
      <w:pPr>
        <w:spacing w:after="0" w:line="176" w:lineRule="exact"/>
        <w:rPr>
          <w:sz w:val="20"/>
          <w:szCs w:val="20"/>
          <w:color w:val="auto"/>
        </w:rPr>
      </w:pPr>
    </w:p>
    <w:p>
      <w:pPr>
        <w:ind w:left="700" w:hanging="264"/>
        <w:spacing w:after="0"/>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firstLine="987"/>
        <w:spacing w:after="0" w:line="291" w:lineRule="auto"/>
        <w:tabs>
          <w:tab w:leader="none" w:pos="1286" w:val="left"/>
        </w:tabs>
        <w:numPr>
          <w:ilvl w:val="1"/>
          <w:numId w:val="90"/>
        </w:numPr>
        <w:rPr>
          <w:rFonts w:ascii="Arial" w:cs="Arial" w:eastAsia="Arial" w:hAnsi="Arial"/>
          <w:sz w:val="16"/>
          <w:szCs w:val="16"/>
          <w:color w:val="auto"/>
        </w:rPr>
      </w:pPr>
      <w:r>
        <w:rPr>
          <w:rFonts w:ascii="Arial" w:cs="Arial" w:eastAsia="Arial" w:hAnsi="Arial"/>
          <w:sz w:val="16"/>
          <w:szCs w:val="16"/>
          <w:color w:val="auto"/>
        </w:rPr>
        <w:t>all Securities of such series theretofore authenticated and delivered and all coupons, if any, appertaining thereto (other than (i) coupons appertaining to Bearer Securities surrendered for exchange for Registered Securities and maturing after such exchange, whose surrender is not required or has been waived as provided in Section 305, (ii) Securities and coupons of such series which have been destroyed, lost or stolen and which have been replaced or paid as provided in Section 306, (iii) coupons appertaining to Securities called for redemption and maturing after the relevant Redemption Date, whose surrender has been waived as provided in Section 1106, and (iv) Securities and coupons of such series for whose payment money has theretofore been deposited in trust with the Trustee or any Paying Agent or segregated and held in trust by the Company and thereafter repaid to the Company or discharged from such trust, as provided in Section 1003) have been delivered to the Trustee for cancellation; or</w:t>
      </w:r>
    </w:p>
    <w:p>
      <w:pPr>
        <w:spacing w:after="0" w:line="166" w:lineRule="exact"/>
        <w:rPr>
          <w:rFonts w:ascii="Arial" w:cs="Arial" w:eastAsia="Arial" w:hAnsi="Arial"/>
          <w:sz w:val="16"/>
          <w:szCs w:val="16"/>
          <w:color w:val="auto"/>
        </w:rPr>
      </w:pPr>
    </w:p>
    <w:p>
      <w:pPr>
        <w:ind w:right="160" w:firstLine="987"/>
        <w:spacing w:after="0" w:line="259" w:lineRule="auto"/>
        <w:tabs>
          <w:tab w:leader="none" w:pos="1276"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Securities of such series and, in the case of (i) or (ii) below, any coupons appertaining thereto not theretofore delivered to the Trustee for cancellation (i) have become due and payable, or (ii) will become due and payable at their Stated Maturity within one year, or (iii) if redeemable at the option of the Company, are to be called for redemption within one year under arrangements satisfactory to the Trustee for the giving of notice of redemption by the Trustee in the name, and at the expense, of the Company,</w:t>
      </w:r>
    </w:p>
    <w:p>
      <w:pPr>
        <w:spacing w:after="0" w:line="18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and the Company, in the case of clause B (i), (ii) or (iii) above, has irrevocably deposited or caused to be deposited with the Trustee as trust funds in trust for such purpose, solely for the benefit of the Holders, an amount in the Currency in which the Securities of such series are payable, sufficient to pay and discharge the entire indebtedness on such Securities and such coupons not theretofore delivered to the Trustee for cancellation, for principal (and premium, if any) and interest, if any, to the date of such deposit (in the case of Securities which have become due and payable) or to the Stated Maturity or Redemption Date, as the case may be;</w:t>
      </w:r>
    </w:p>
    <w:p>
      <w:pPr>
        <w:spacing w:after="0" w:line="188" w:lineRule="exact"/>
        <w:rPr>
          <w:sz w:val="20"/>
          <w:szCs w:val="20"/>
          <w:color w:val="auto"/>
        </w:rPr>
      </w:pPr>
    </w:p>
    <w:p>
      <w:pPr>
        <w:ind w:left="700" w:hanging="264"/>
        <w:spacing w:after="0"/>
        <w:tabs>
          <w:tab w:leader="none" w:pos="7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has irrevocably paid or caused to be irrevocably paid all other sums payable hereunder by the Company; and</w:t>
      </w:r>
    </w:p>
    <w:p>
      <w:pPr>
        <w:spacing w:after="0" w:line="225" w:lineRule="exact"/>
        <w:rPr>
          <w:rFonts w:ascii="Arial" w:cs="Arial" w:eastAsia="Arial" w:hAnsi="Arial"/>
          <w:sz w:val="18"/>
          <w:szCs w:val="18"/>
          <w:color w:val="auto"/>
        </w:rPr>
      </w:pPr>
    </w:p>
    <w:p>
      <w:pPr>
        <w:ind w:right="80" w:firstLine="436"/>
        <w:spacing w:after="0" w:line="277" w:lineRule="auto"/>
        <w:tabs>
          <w:tab w:leader="none" w:pos="69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and any predecessor Trustee under Section 606, the obligations of the Company to any Authenticating Agent under Section 612 and, if money shall have been deposited with the Trustee pursuant to subclause (B) of clause (1) of this Section, the obligations of the Trustee under Section 402 and the last paragraph of Section 1003 shall survive any termination of this Indenture.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402. Application of Trust Funds.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Subject to the provisions of the last paragraph of Section 1003,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(and premium, if any) and interest, if any, for whose payment such money has been deposited with or received by the Trustee, but such money need not be segregated from other funds except to the extent required by law.</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0" w:right="479" w:bottom="1440" w:gutter="0" w:footer="0" w:header="0"/>
        </w:sectPr>
      </w:pPr>
    </w:p>
    <w:bookmarkStart w:id="83" w:name="page84"/>
    <w:bookmarkEnd w:id="8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FIVE</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REMEDIES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501. Events of Default.</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“Event of Default”, wherever used 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 unless it is either inapplicable to a particular series or is specifically deleted or modified in or pursuant to the supplemental indenture or a Board Resolution establishing such series of Securities or is in the form of Security for such series:</w:t>
      </w:r>
    </w:p>
    <w:p>
      <w:pPr>
        <w:spacing w:after="0" w:line="188" w:lineRule="exact"/>
        <w:rPr>
          <w:sz w:val="20"/>
          <w:szCs w:val="20"/>
          <w:color w:val="auto"/>
        </w:rPr>
      </w:pPr>
    </w:p>
    <w:p>
      <w:pPr>
        <w:ind w:right="280" w:firstLine="436"/>
        <w:spacing w:after="0" w:line="277" w:lineRule="auto"/>
        <w:tabs>
          <w:tab w:leader="none" w:pos="6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that series or of any coupon appertaining thereto, when such interest or coupon becomes due and payable, and continuance of such default for a period of 30 days; or</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default in the payment of the principal of (or premium, if any) any Security of that series when it becomes due and payable at its Maturity; or</w:t>
      </w:r>
    </w:p>
    <w:p>
      <w:pPr>
        <w:spacing w:after="0" w:line="248" w:lineRule="exact"/>
        <w:rPr>
          <w:rFonts w:ascii="Arial" w:cs="Arial" w:eastAsia="Arial" w:hAnsi="Arial"/>
          <w:sz w:val="16"/>
          <w:szCs w:val="16"/>
          <w:color w:val="auto"/>
        </w:rPr>
      </w:pPr>
    </w:p>
    <w:p>
      <w:pPr>
        <w:ind w:left="700" w:hanging="264"/>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any Security of that series; or</w:t>
      </w:r>
    </w:p>
    <w:p>
      <w:pPr>
        <w:spacing w:after="0" w:line="225" w:lineRule="exact"/>
        <w:rPr>
          <w:rFonts w:ascii="Arial" w:cs="Arial" w:eastAsia="Arial" w:hAnsi="Arial"/>
          <w:sz w:val="18"/>
          <w:szCs w:val="18"/>
          <w:color w:val="auto"/>
        </w:rPr>
      </w:pPr>
    </w:p>
    <w:p>
      <w:pPr>
        <w:ind w:right="40" w:firstLine="436"/>
        <w:spacing w:after="0" w:line="273" w:lineRule="auto"/>
        <w:tabs>
          <w:tab w:leader="none" w:pos="695" w:val="left"/>
        </w:tabs>
        <w:numPr>
          <w:ilvl w:val="0"/>
          <w:numId w:val="92"/>
        </w:numPr>
        <w:rPr>
          <w:rFonts w:ascii="Arial" w:cs="Arial" w:eastAsia="Arial" w:hAnsi="Arial"/>
          <w:sz w:val="17"/>
          <w:szCs w:val="17"/>
          <w:color w:val="auto"/>
        </w:rPr>
      </w:pPr>
      <w:r>
        <w:rPr>
          <w:rFonts w:ascii="Arial" w:cs="Arial" w:eastAsia="Arial" w:hAnsi="Arial"/>
          <w:sz w:val="17"/>
          <w:szCs w:val="17"/>
          <w:color w:val="auto"/>
        </w:rPr>
        <w:t>default in the performance, or breach, of any covenant or agreement of the Company in this Indenture with respect to any Security of that series (other than a covenant or agreement a default in whose performance or whose breach is elsewhere in this Section specifically dealt with or which has expressly been included in this Indenture solely for the benefit of a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77" w:lineRule="exact"/>
        <w:rPr>
          <w:rFonts w:ascii="Arial" w:cs="Arial" w:eastAsia="Arial" w:hAnsi="Arial"/>
          <w:sz w:val="17"/>
          <w:szCs w:val="17"/>
          <w:color w:val="auto"/>
        </w:rPr>
      </w:pPr>
    </w:p>
    <w:p>
      <w:pPr>
        <w:ind w:left="700" w:hanging="264"/>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117" w:lineRule="exact"/>
        <w:rPr>
          <w:rFonts w:ascii="Arial" w:cs="Arial" w:eastAsia="Arial" w:hAnsi="Arial"/>
          <w:sz w:val="18"/>
          <w:szCs w:val="18"/>
          <w:color w:val="auto"/>
        </w:rPr>
      </w:pPr>
    </w:p>
    <w:p>
      <w:pPr>
        <w:ind w:left="1280" w:hanging="293"/>
        <w:spacing w:after="0"/>
        <w:tabs>
          <w:tab w:leader="none" w:pos="12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commences a voluntary case or proceeding under any Bankruptcy Law, or</w:t>
      </w:r>
    </w:p>
    <w:p>
      <w:pPr>
        <w:spacing w:after="0" w:line="225" w:lineRule="exact"/>
        <w:rPr>
          <w:rFonts w:ascii="Arial" w:cs="Arial" w:eastAsia="Arial" w:hAnsi="Arial"/>
          <w:sz w:val="18"/>
          <w:szCs w:val="18"/>
          <w:color w:val="auto"/>
        </w:rPr>
      </w:pPr>
    </w:p>
    <w:p>
      <w:pPr>
        <w:ind w:right="100" w:firstLine="987"/>
        <w:spacing w:after="0" w:line="277" w:lineRule="auto"/>
        <w:tabs>
          <w:tab w:leader="none" w:pos="1276" w:val="left"/>
        </w:tabs>
        <w:numPr>
          <w:ilvl w:val="1"/>
          <w:numId w:val="92"/>
        </w:numPr>
        <w:rPr>
          <w:rFonts w:ascii="Arial" w:cs="Arial" w:eastAsia="Arial" w:hAnsi="Arial"/>
          <w:sz w:val="18"/>
          <w:szCs w:val="18"/>
          <w:color w:val="auto"/>
        </w:rPr>
      </w:pPr>
      <w:r>
        <w:rPr>
          <w:rFonts w:ascii="Arial" w:cs="Arial" w:eastAsia="Arial" w:hAnsi="Arial"/>
          <w:sz w:val="18"/>
          <w:szCs w:val="18"/>
          <w:color w:val="auto"/>
        </w:rPr>
        <w:t>consents to the commencement of any bankruptcy or insolvency case or proceeding against it, or files a petition or answer or consent seeking reorganization or relief against it, or</w:t>
      </w:r>
    </w:p>
    <w:p>
      <w:pPr>
        <w:spacing w:after="0" w:line="170" w:lineRule="exact"/>
        <w:rPr>
          <w:rFonts w:ascii="Arial" w:cs="Arial" w:eastAsia="Arial" w:hAnsi="Arial"/>
          <w:sz w:val="18"/>
          <w:szCs w:val="18"/>
          <w:color w:val="auto"/>
        </w:rPr>
      </w:pPr>
    </w:p>
    <w:p>
      <w:pPr>
        <w:ind w:left="1280" w:hanging="293"/>
        <w:spacing w:after="0"/>
        <w:tabs>
          <w:tab w:leader="none" w:pos="12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consents to the entry of a decree or order for relief against it in an involuntary case or proceeding, or</w:t>
      </w:r>
    </w:p>
    <w:p>
      <w:pPr>
        <w:spacing w:after="0" w:line="225" w:lineRule="exact"/>
        <w:rPr>
          <w:rFonts w:ascii="Arial" w:cs="Arial" w:eastAsia="Arial" w:hAnsi="Arial"/>
          <w:sz w:val="18"/>
          <w:szCs w:val="18"/>
          <w:color w:val="auto"/>
        </w:rPr>
      </w:pPr>
    </w:p>
    <w:p>
      <w:pPr>
        <w:ind w:right="420" w:firstLine="987"/>
        <w:spacing w:after="0" w:line="277" w:lineRule="auto"/>
        <w:tabs>
          <w:tab w:leader="none" w:pos="1286" w:val="left"/>
        </w:tabs>
        <w:numPr>
          <w:ilvl w:val="1"/>
          <w:numId w:val="92"/>
        </w:numPr>
        <w:rPr>
          <w:rFonts w:ascii="Arial" w:cs="Arial" w:eastAsia="Arial" w:hAnsi="Arial"/>
          <w:sz w:val="18"/>
          <w:szCs w:val="18"/>
          <w:color w:val="auto"/>
        </w:rPr>
      </w:pPr>
      <w:r>
        <w:rPr>
          <w:rFonts w:ascii="Arial" w:cs="Arial" w:eastAsia="Arial" w:hAnsi="Arial"/>
          <w:sz w:val="18"/>
          <w:szCs w:val="18"/>
          <w:color w:val="auto"/>
        </w:rPr>
        <w:t>consents to the filing of such petition or to the appointment of, or taking possession by, a Custodian of the Company or for all or substantially all of the Company’s property, or</w:t>
      </w:r>
    </w:p>
    <w:p>
      <w:pPr>
        <w:spacing w:after="0" w:line="170" w:lineRule="exact"/>
        <w:rPr>
          <w:rFonts w:ascii="Arial" w:cs="Arial" w:eastAsia="Arial" w:hAnsi="Arial"/>
          <w:sz w:val="18"/>
          <w:szCs w:val="18"/>
          <w:color w:val="auto"/>
        </w:rPr>
      </w:pPr>
    </w:p>
    <w:p>
      <w:pPr>
        <w:ind w:right="140" w:firstLine="987"/>
        <w:spacing w:after="0" w:line="277" w:lineRule="auto"/>
        <w:tabs>
          <w:tab w:leader="none" w:pos="1266" w:val="left"/>
        </w:tabs>
        <w:numPr>
          <w:ilvl w:val="1"/>
          <w:numId w:val="92"/>
        </w:numPr>
        <w:rPr>
          <w:rFonts w:ascii="Arial" w:cs="Arial" w:eastAsia="Arial" w:hAnsi="Arial"/>
          <w:sz w:val="18"/>
          <w:szCs w:val="18"/>
          <w:color w:val="auto"/>
        </w:rPr>
      </w:pPr>
      <w:r>
        <w:rPr>
          <w:rFonts w:ascii="Arial" w:cs="Arial" w:eastAsia="Arial" w:hAnsi="Arial"/>
          <w:sz w:val="18"/>
          <w:szCs w:val="18"/>
          <w:color w:val="auto"/>
        </w:rPr>
        <w:t>makes an assignment for the benefit of creditors, or admits in writing of its inability to pay its debts generally as they become due or takes any corporate action in furtherance of any such action; or</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1280" w:hanging="293"/>
        <w:spacing w:after="0"/>
        <w:tabs>
          <w:tab w:leader="none" w:pos="12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 or proceeding, or</w:t>
      </w:r>
    </w:p>
    <w:p>
      <w:pPr>
        <w:spacing w:after="0" w:line="225" w:lineRule="exact"/>
        <w:rPr>
          <w:rFonts w:ascii="Arial" w:cs="Arial" w:eastAsia="Arial" w:hAnsi="Arial"/>
          <w:sz w:val="18"/>
          <w:szCs w:val="18"/>
          <w:color w:val="auto"/>
        </w:rPr>
      </w:pPr>
    </w:p>
    <w:p>
      <w:pPr>
        <w:ind w:right="20" w:firstLine="987"/>
        <w:spacing w:after="0" w:line="277" w:lineRule="auto"/>
        <w:tabs>
          <w:tab w:leader="none" w:pos="1276" w:val="left"/>
        </w:tabs>
        <w:numPr>
          <w:ilvl w:val="1"/>
          <w:numId w:val="92"/>
        </w:numPr>
        <w:rPr>
          <w:rFonts w:ascii="Arial" w:cs="Arial" w:eastAsia="Arial" w:hAnsi="Arial"/>
          <w:sz w:val="18"/>
          <w:szCs w:val="18"/>
          <w:color w:val="auto"/>
        </w:rPr>
      </w:pPr>
      <w:r>
        <w:rPr>
          <w:rFonts w:ascii="Arial" w:cs="Arial" w:eastAsia="Arial" w:hAnsi="Arial"/>
          <w:sz w:val="18"/>
          <w:szCs w:val="18"/>
          <w:color w:val="auto"/>
        </w:rPr>
        <w:t>adjudges the Company bankrupt or insolvent, or approves as properly filed a petition seeking reorganization, arrangement, adjustment or composition of or in respect of the Company, or</w:t>
      </w:r>
    </w:p>
    <w:p>
      <w:pPr>
        <w:spacing w:after="0" w:line="170" w:lineRule="exact"/>
        <w:rPr>
          <w:rFonts w:ascii="Arial" w:cs="Arial" w:eastAsia="Arial" w:hAnsi="Arial"/>
          <w:sz w:val="18"/>
          <w:szCs w:val="18"/>
          <w:color w:val="auto"/>
        </w:rPr>
      </w:pPr>
    </w:p>
    <w:p>
      <w:pPr>
        <w:ind w:left="1280" w:hanging="293"/>
        <w:spacing w:after="0"/>
        <w:tabs>
          <w:tab w:leader="none" w:pos="12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225" w:lineRule="exact"/>
        <w:rPr>
          <w:rFonts w:ascii="Arial" w:cs="Arial" w:eastAsia="Arial" w:hAnsi="Arial"/>
          <w:sz w:val="18"/>
          <w:szCs w:val="18"/>
          <w:color w:val="auto"/>
        </w:rPr>
      </w:pPr>
    </w:p>
    <w:p>
      <w:pPr>
        <w:ind w:left="1280" w:hanging="293"/>
        <w:spacing w:after="0"/>
        <w:tabs>
          <w:tab w:leader="none" w:pos="12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orders the winding up or liquidation of the Company,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40"/>
          </w:cols>
          <w:pgMar w:left="440" w:top="270" w:right="519" w:bottom="1440" w:gutter="0" w:footer="0" w:header="0"/>
        </w:sectPr>
      </w:pPr>
    </w:p>
    <w:bookmarkStart w:id="84" w:name="page85"/>
    <w:bookmarkEnd w:id="84"/>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the continuance of any such decree or order for relief or any such other decree or order unstayed and in effect for a period of 123 consecutive days; or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 any other Event of Default provided with respect to Securities of that series.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term “Bankruptcy Law” means title 11, U.S. Code or any applicable federal or state bankruptcy, insolvency, reorganization or other similar law. The term “Custodian” means any custodian, receiver, trustee, assignee, liquidator, sequestrator or other similar official under any Bankruptcy Law.</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502. Acceleration of Maturity; Rescission and Annulment.</w:t>
      </w:r>
    </w:p>
    <w:p>
      <w:pPr>
        <w:spacing w:after="0" w:line="12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If an Event of Default with respect to Securities of any series at the time Outstanding occurs and is continuing, then and in every such case the Trustee or the Holders of not less than 25% in principal amount of the Outstanding Securities of that series may declare the principal (or, if any Securities are Original Issue Discount Securities or Indexed Securities, such portion of the principal as may be specified in the terms thereof) of all the Securities of that series to be due and payable immediately, by a notice in writing to the Company (and to the Trustee if given by the Holders), and upon any such declaration such principal or specified portion thereof shall become immediately due and payable.</w:t>
      </w:r>
    </w:p>
    <w:p>
      <w:pPr>
        <w:spacing w:after="0" w:line="176"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At any time after such a declaration of acceleration with respect to Securities of any series has been made and before a judgment or decree for payment of the money due has been obtained by the Trustee as hereinafter provided in this Article, the Holders of a majority in principal amount of the Outstanding Securities of that series, by written notice to the Company and the Trustee, may rescind and annul such declaration and its consequences if:</w:t>
      </w:r>
    </w:p>
    <w:p>
      <w:pPr>
        <w:spacing w:after="0" w:line="149" w:lineRule="exact"/>
        <w:rPr>
          <w:sz w:val="20"/>
          <w:szCs w:val="20"/>
          <w:color w:val="auto"/>
        </w:rPr>
      </w:pPr>
    </w:p>
    <w:p>
      <w:pPr>
        <w:jc w:val="both"/>
        <w:ind w:right="120" w:firstLine="436"/>
        <w:spacing w:after="0" w:line="263" w:lineRule="auto"/>
        <w:tabs>
          <w:tab w:leader="none" w:pos="69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has paid or deposited with the Trustee a sum sufficient to pay in the Currency in which the Securities of such series are payable (except as otherwise specified pursuant to Section 301 for the Securities of such series and except, if applicable, as provided in Sections 312(b), 312(d) and 312(e)):</w:t>
      </w:r>
    </w:p>
    <w:p>
      <w:pPr>
        <w:spacing w:after="0" w:line="183" w:lineRule="exact"/>
        <w:rPr>
          <w:rFonts w:ascii="Arial" w:cs="Arial" w:eastAsia="Arial" w:hAnsi="Arial"/>
          <w:sz w:val="18"/>
          <w:szCs w:val="18"/>
          <w:color w:val="auto"/>
        </w:rPr>
      </w:pPr>
    </w:p>
    <w:p>
      <w:pPr>
        <w:ind w:left="1280" w:hanging="293"/>
        <w:spacing w:after="0"/>
        <w:tabs>
          <w:tab w:leader="none" w:pos="12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overdue installments of interest, if any, on all Outstanding Securities of that series and any related coupons,</w:t>
      </w:r>
    </w:p>
    <w:p>
      <w:pPr>
        <w:spacing w:after="0" w:line="225" w:lineRule="exact"/>
        <w:rPr>
          <w:rFonts w:ascii="Arial" w:cs="Arial" w:eastAsia="Arial" w:hAnsi="Arial"/>
          <w:sz w:val="18"/>
          <w:szCs w:val="18"/>
          <w:color w:val="auto"/>
        </w:rPr>
      </w:pPr>
    </w:p>
    <w:p>
      <w:pPr>
        <w:ind w:right="640" w:firstLine="987"/>
        <w:spacing w:after="0" w:line="277" w:lineRule="auto"/>
        <w:tabs>
          <w:tab w:leader="none" w:pos="1276"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principal of (and premium, if any) all Outstanding Securities of that series which have become due otherwise than by such declaration of acceleration and interest thereon at the rate or rates borne by or provided for in such Securities,</w:t>
      </w:r>
    </w:p>
    <w:p>
      <w:pPr>
        <w:spacing w:after="0" w:line="170" w:lineRule="exact"/>
        <w:rPr>
          <w:rFonts w:ascii="Arial" w:cs="Arial" w:eastAsia="Arial" w:hAnsi="Arial"/>
          <w:sz w:val="18"/>
          <w:szCs w:val="18"/>
          <w:color w:val="auto"/>
        </w:rPr>
      </w:pPr>
    </w:p>
    <w:p>
      <w:pPr>
        <w:ind w:right="480" w:firstLine="987"/>
        <w:spacing w:after="0" w:line="277" w:lineRule="auto"/>
        <w:tabs>
          <w:tab w:leader="none" w:pos="1276" w:val="left"/>
        </w:tabs>
        <w:numPr>
          <w:ilvl w:val="1"/>
          <w:numId w:val="93"/>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installments of interest at the rate or rates borne by or provided for in such Securities, and</w:t>
      </w:r>
    </w:p>
    <w:p>
      <w:pPr>
        <w:spacing w:after="0" w:line="170" w:lineRule="exact"/>
        <w:rPr>
          <w:rFonts w:ascii="Arial" w:cs="Arial" w:eastAsia="Arial" w:hAnsi="Arial"/>
          <w:sz w:val="18"/>
          <w:szCs w:val="18"/>
          <w:color w:val="auto"/>
        </w:rPr>
      </w:pPr>
    </w:p>
    <w:p>
      <w:pPr>
        <w:ind w:right="240" w:firstLine="987"/>
        <w:spacing w:after="0" w:line="277" w:lineRule="auto"/>
        <w:tabs>
          <w:tab w:leader="none" w:pos="1286"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170" w:lineRule="exact"/>
        <w:rPr>
          <w:rFonts w:ascii="Arial" w:cs="Arial" w:eastAsia="Arial" w:hAnsi="Arial"/>
          <w:sz w:val="18"/>
          <w:szCs w:val="18"/>
          <w:color w:val="auto"/>
        </w:rPr>
      </w:pPr>
    </w:p>
    <w:p>
      <w:pPr>
        <w:ind w:right="120" w:firstLine="436"/>
        <w:spacing w:after="0" w:line="342" w:lineRule="auto"/>
        <w:tabs>
          <w:tab w:leader="none" w:pos="695" w:val="left"/>
        </w:tabs>
        <w:numPr>
          <w:ilvl w:val="0"/>
          <w:numId w:val="93"/>
        </w:numPr>
        <w:rPr>
          <w:rFonts w:ascii="Arial" w:cs="Arial" w:eastAsia="Arial" w:hAnsi="Arial"/>
          <w:sz w:val="16"/>
          <w:szCs w:val="16"/>
          <w:color w:val="auto"/>
        </w:rPr>
      </w:pPr>
      <w:r>
        <w:rPr>
          <w:rFonts w:ascii="Arial" w:cs="Arial" w:eastAsia="Arial" w:hAnsi="Arial"/>
          <w:sz w:val="16"/>
          <w:szCs w:val="16"/>
          <w:color w:val="auto"/>
        </w:rPr>
        <w:t>all Events of Default with respect to Securities of that series, other than the nonpayment of the principal of (or premium, if any) or interest on Securities of that series which have become due solely by such declaration of acceleration, have been cured or waived as provided in Section 513.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503. Collection of Indebtedness and Suits for Enforcement by Trustee.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covenants that if:</w:t>
      </w:r>
    </w:p>
    <w:p>
      <w:pPr>
        <w:spacing w:after="0" w:line="225" w:lineRule="exact"/>
        <w:rPr>
          <w:sz w:val="20"/>
          <w:szCs w:val="20"/>
          <w:color w:val="auto"/>
        </w:rPr>
      </w:pPr>
    </w:p>
    <w:p>
      <w:pPr>
        <w:ind w:right="60" w:firstLine="436"/>
        <w:spacing w:after="0" w:line="277" w:lineRule="auto"/>
        <w:tabs>
          <w:tab w:leader="none" w:pos="695"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default is made in the payment of any installment of interest on any Security of any series and any related coupon when such interest becomes due and payable and such default continues for a period of 30 days, or</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any Security of any series at its Maturity,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85" w:name="page86"/>
    <w:bookmarkEnd w:id="85"/>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then the Company will, upon demand of the Trustee, pay to the Trustee, for the benefit of the Holders of Securities of such series and coupons, the whole amount then due and payable on such Securities and coupons for principal (and premium, if any) and interest, if any, with interest upon any overdue principal (and premium, if any) and, to the extent that payment of such interest shall be legally enforceable, upon any overdue installments of interest, if any,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92"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Securities of such series and collect the moneys adjudged or decreed to be payable in the manner provided by law out of the property of the Company or any other obligor upon such Securities of such series, wherever situated.</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and any related coupons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504. Trustee May File Proofs of Claim.</w:t>
      </w:r>
    </w:p>
    <w:p>
      <w:pPr>
        <w:spacing w:after="0" w:line="12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any overdue principal, premium or interest) shall be entitled and empowered, by intervention in such proceeding or otherwise:</w:t>
      </w:r>
    </w:p>
    <w:p>
      <w:pPr>
        <w:spacing w:after="0" w:line="176" w:lineRule="exact"/>
        <w:rPr>
          <w:sz w:val="20"/>
          <w:szCs w:val="20"/>
          <w:color w:val="auto"/>
        </w:rPr>
      </w:pPr>
    </w:p>
    <w:p>
      <w:pPr>
        <w:ind w:right="240" w:firstLine="436"/>
        <w:spacing w:after="0" w:line="257"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principal (or in the case of Original Issue Discount Securities or Indexed Securities, such portion of the principal as may be provided for in the terms thereof) (and premium, if any) and interest, if any,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87" w:lineRule="exact"/>
        <w:rPr>
          <w:rFonts w:ascii="Arial" w:cs="Arial" w:eastAsia="Arial" w:hAnsi="Arial"/>
          <w:sz w:val="18"/>
          <w:szCs w:val="18"/>
          <w:color w:val="auto"/>
        </w:rPr>
      </w:pPr>
    </w:p>
    <w:p>
      <w:pPr>
        <w:ind w:left="700" w:hanging="264"/>
        <w:spacing w:after="0"/>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Holder of Securities of such series and coupons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Section 606.</w:t>
      </w:r>
    </w:p>
    <w:p>
      <w:pPr>
        <w:spacing w:after="0" w:line="18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Subject to Article Eight and Section 902 and unless otherwise provided as contemplated by Section 301, nothing herein contained shall be deemed to authorize the Trustee to authorize or consent to or accept or adopt on behalf of any Holder of a Security or coupon any plan of reorganization, arrangement, adjustment or composition affecting the Securities or coupons or the rights of any Holder thereof, or to authorize the Trustee to vote in respect of the claim of any Holder of a Security or coupon in any such proceeding.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505. Trustee May Enforce Claims Without Possession of Securities or Coupons.</w:t>
      </w:r>
    </w:p>
    <w:p>
      <w:pPr>
        <w:spacing w:after="0" w:line="121"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All rights of action and claims under this Indenture or any of the Securities or coupons may be prosecuted and enforced by the Trustee without the possession of any of the Securities or coupons or the production thereof in any proceeding relating thereto, and any such proceeding instituted by the Trustee shall be brought in its own name and as trustee of an express trust, and any recovery of judgment shall, after provision for the payment of the reasonable compensation, expenses, disbursements and advances of the Trustee, its agents and counsel, be for the ratable benefit of the Holders of the Securities and coupons in respect of which such judgment has been recovered.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506. Application of Money Collected.</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Any money collected by the Trustee pursuant to this Article shall be applied in the following order, at the date or dates fixed by the Trustee and, in case of the distribution of such money on account of principal (or premium, if any) or interest, if any, upon presentation of the Securities or coupons, or both, as the case may be, and the notation thereon of the payment if only partially paid and upon surrender thereof if fully paid: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FIRST: To the payment of all amounts due the Trustee and any predecessor Trustee under Section 606;</w:t>
      </w:r>
    </w:p>
    <w:p>
      <w:pPr>
        <w:spacing w:after="0" w:line="22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SECOND: To the payment of the amounts then due and unpaid upon the Securities and coupons for principal (and premium, if any) and interest, if any, in respect of which or for the benefit of which such money has been collected, ratably, without preference or priority of any kind, according to the aggregate amounts due and payable on such Securities and coupons for principal (and premium, if any) and interest, if any, respectively; and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THIRD: To the payment of the remainder, if any, to the Company or any other Person or Persons entitled thereto.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507. Limitation on Suits.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No Holder of any Security of any series or any related coupon shall have any right to institute any proceeding, judicial or otherwise, with respect to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 or for the appointment of a receiver or trustee, or for any other remedy hereunder, unless:</w:t>
      </w:r>
    </w:p>
    <w:p>
      <w:pPr>
        <w:spacing w:after="0" w:line="211" w:lineRule="exact"/>
        <w:rPr>
          <w:sz w:val="20"/>
          <w:szCs w:val="20"/>
          <w:color w:val="auto"/>
        </w:rPr>
      </w:pPr>
    </w:p>
    <w:p>
      <w:pPr>
        <w:ind w:left="700" w:hanging="264"/>
        <w:spacing w:after="0"/>
        <w:tabs>
          <w:tab w:leader="none" w:pos="7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the Securities of that series;</w:t>
      </w:r>
    </w:p>
    <w:p>
      <w:pPr>
        <w:spacing w:after="0" w:line="248" w:lineRule="exact"/>
        <w:rPr>
          <w:rFonts w:ascii="Arial" w:cs="Arial" w:eastAsia="Arial" w:hAnsi="Arial"/>
          <w:sz w:val="16"/>
          <w:szCs w:val="16"/>
          <w:color w:val="auto"/>
        </w:rPr>
      </w:pPr>
    </w:p>
    <w:p>
      <w:pPr>
        <w:ind w:right="40" w:firstLine="436"/>
        <w:spacing w:after="0" w:line="277" w:lineRule="auto"/>
        <w:tabs>
          <w:tab w:leader="none" w:pos="69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right="820" w:firstLine="436"/>
        <w:spacing w:after="0" w:line="277" w:lineRule="auto"/>
        <w:tabs>
          <w:tab w:leader="none" w:pos="695"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reasonable indemnity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Trustee for 60 days after its receipt of such notice, request and offer of indemnity has failed to institute any such proceeding; and</w:t>
      </w:r>
    </w:p>
    <w:p>
      <w:pPr>
        <w:spacing w:after="0" w:line="236" w:lineRule="exact"/>
        <w:rPr>
          <w:rFonts w:ascii="Arial" w:cs="Arial" w:eastAsia="Arial" w:hAnsi="Arial"/>
          <w:sz w:val="17"/>
          <w:szCs w:val="17"/>
          <w:color w:val="auto"/>
        </w:rPr>
      </w:pPr>
    </w:p>
    <w:p>
      <w:pPr>
        <w:ind w:right="320" w:firstLine="436"/>
        <w:spacing w:after="0" w:line="277" w:lineRule="auto"/>
        <w:tabs>
          <w:tab w:leader="none" w:pos="695"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508. Unconditional Right of Holders to Receive Principal, Premium and Interest.</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Notwithstanding any other provision in this Indenture, the Holder of any Security or coupon shall have the right which is absolute and unconditional to receive payment of the principal of (and premium, if any) and (subject to Sections 305 and 307) interest, if any, on such Security or payment of such coupon on the Stated Maturity or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0" w:right="479" w:bottom="1440" w:gutter="0" w:footer="0" w:header="0"/>
        </w:sectPr>
      </w:pPr>
    </w:p>
    <w:bookmarkStart w:id="87" w:name="page88"/>
    <w:bookmarkEnd w:id="87"/>
    <w:p>
      <w:pPr>
        <w:jc w:val="both"/>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Maturities expressed in such Security or coupon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509. Restoration of Rights and Remedies.</w:t>
      </w:r>
    </w:p>
    <w:p>
      <w:pPr>
        <w:spacing w:after="0" w:line="121"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If the Trustee or 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and coupons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510. Rights and Remedies Cumulative.</w:t>
      </w:r>
    </w:p>
    <w:p>
      <w:pPr>
        <w:spacing w:after="0" w:line="12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Except as otherwise provided with respect to the replacement or payment of mutilated, destroyed, lost or stolen Securities or coupons in the last paragraph of Section 306,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511. Delay or Omission Not Waiver.</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or coupons, as the case may be.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512. Control by Holders of Securities.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Subject to Section 602(5), 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4" w:lineRule="exact"/>
        <w:rPr>
          <w:sz w:val="20"/>
          <w:szCs w:val="20"/>
          <w:color w:val="auto"/>
        </w:rPr>
      </w:pPr>
    </w:p>
    <w:p>
      <w:pPr>
        <w:ind w:left="700" w:hanging="264"/>
        <w:spacing w:after="0"/>
        <w:tabs>
          <w:tab w:leader="none" w:pos="7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225" w:lineRule="exact"/>
        <w:rPr>
          <w:rFonts w:ascii="Arial" w:cs="Arial" w:eastAsia="Arial" w:hAnsi="Arial"/>
          <w:sz w:val="18"/>
          <w:szCs w:val="18"/>
          <w:color w:val="auto"/>
        </w:rPr>
      </w:pPr>
    </w:p>
    <w:p>
      <w:pPr>
        <w:ind w:right="160" w:firstLine="436"/>
        <w:spacing w:after="0" w:line="277" w:lineRule="auto"/>
        <w:tabs>
          <w:tab w:leader="none" w:pos="69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Trustee need not take any action which might involve it in personal liability or be unjustly prejudicial to the Holders of Securities of such series not consenting.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513. Waiver of Past Defaults.</w:t>
      </w:r>
    </w:p>
    <w:p>
      <w:pPr>
        <w:spacing w:after="0" w:line="12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Subject to Section 502, the Holders of not less than a majority in principal amount of the Outstanding Securities of any series may on behalf of the Holders of all the Securities of such series and any related coupons waive any past default hereunder with respect to Securities of such series and its consequences, except a default</w:t>
      </w:r>
    </w:p>
    <w:p>
      <w:pPr>
        <w:spacing w:after="0" w:line="184" w:lineRule="exact"/>
        <w:rPr>
          <w:sz w:val="20"/>
          <w:szCs w:val="20"/>
          <w:color w:val="auto"/>
        </w:rPr>
      </w:pPr>
    </w:p>
    <w:p>
      <w:pPr>
        <w:ind w:left="700" w:hanging="264"/>
        <w:spacing w:after="0"/>
        <w:tabs>
          <w:tab w:leader="none" w:pos="7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the payment of the principal of (or premium, if any) or interest, if any, on any Security of such series or any related coupons, or</w:t>
      </w:r>
    </w:p>
    <w:p>
      <w:pPr>
        <w:spacing w:after="0" w:line="225" w:lineRule="exact"/>
        <w:rPr>
          <w:rFonts w:ascii="Arial" w:cs="Arial" w:eastAsia="Arial" w:hAnsi="Arial"/>
          <w:sz w:val="18"/>
          <w:szCs w:val="18"/>
          <w:color w:val="auto"/>
        </w:rPr>
      </w:pPr>
    </w:p>
    <w:p>
      <w:pPr>
        <w:ind w:right="320" w:firstLine="436"/>
        <w:spacing w:after="0" w:line="277" w:lineRule="auto"/>
        <w:tabs>
          <w:tab w:leader="none" w:pos="695"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Nine cannot be modified or amended without the consent of the Holder of each Outstanding Security of such series affected.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88" w:name="page89"/>
    <w:bookmarkEnd w:id="88"/>
    <w:p>
      <w:pPr>
        <w:ind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514. Waiver of Stay or Extension Laws.</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388"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ARTICLE SIX</w:t>
      </w:r>
    </w:p>
    <w:p>
      <w:pPr>
        <w:spacing w:after="0" w:line="11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THE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601. Notice of Defaults.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Within 90 days after the occurrence of any Default hereunder with respect to the Securities of any series, the Trustee shall transmit in the manner and to the extent provided in TIA Section 313(c), notice of such Default hereunder known to the Trustee, unless such Default shall have been cured or waived;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in the case of a Default in the payment of the principal of (or premium, if any) or interest, if any, on any Security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and/or Responsible Officers of the Trustee in good faith determines that the withholding of such notice is in the interest of the Holders of the Securities and coupons of such series;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the case of any Default or breach of the character specified in Section 501(4) with respect to the Securities and coupons of such series, no such notice to Holders shall be given until at least 60 days after the occurrence thereof.</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602. Certain Rights of Trustee.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provisions of TIA Section 315(a) through 315(d):</w:t>
      </w:r>
    </w:p>
    <w:p>
      <w:pPr>
        <w:spacing w:after="0" w:line="225" w:lineRule="exact"/>
        <w:rPr>
          <w:sz w:val="20"/>
          <w:szCs w:val="20"/>
          <w:color w:val="auto"/>
        </w:rPr>
      </w:pPr>
    </w:p>
    <w:p>
      <w:pPr>
        <w:jc w:val="both"/>
        <w:ind w:right="40" w:firstLine="436"/>
        <w:spacing w:after="0" w:line="263" w:lineRule="auto"/>
        <w:tabs>
          <w:tab w:leader="none" w:pos="69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direction, consent, order, bond, debenture, note, coupon or other paper or document believed by it to be genuine and to have been signed or presented by the proper party or parties.</w:t>
      </w:r>
    </w:p>
    <w:p>
      <w:pPr>
        <w:spacing w:after="0" w:line="183" w:lineRule="exact"/>
        <w:rPr>
          <w:rFonts w:ascii="Arial" w:cs="Arial" w:eastAsia="Arial" w:hAnsi="Arial"/>
          <w:sz w:val="18"/>
          <w:szCs w:val="18"/>
          <w:color w:val="auto"/>
        </w:rPr>
      </w:pPr>
    </w:p>
    <w:p>
      <w:pPr>
        <w:ind w:right="220" w:firstLine="436"/>
        <w:spacing w:after="0" w:line="259" w:lineRule="auto"/>
        <w:tabs>
          <w:tab w:leader="none" w:pos="69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(other than delivery of any Security, together with any coupons appertaining thereto, to the Trustee for authentication and delivery pursuant to Section 303 which shall be sufficiently evidenced as provided therein) and any resolution of the Board of Directors may be sufficiently evidenced by a Board Resolution.</w:t>
      </w:r>
    </w:p>
    <w:p>
      <w:pPr>
        <w:spacing w:after="0" w:line="186" w:lineRule="exact"/>
        <w:rPr>
          <w:rFonts w:ascii="Arial" w:cs="Arial" w:eastAsia="Arial" w:hAnsi="Arial"/>
          <w:sz w:val="18"/>
          <w:szCs w:val="18"/>
          <w:color w:val="auto"/>
        </w:rPr>
      </w:pPr>
    </w:p>
    <w:p>
      <w:pPr>
        <w:ind w:right="220" w:firstLine="436"/>
        <w:spacing w:after="0" w:line="263" w:lineRule="auto"/>
        <w:tabs>
          <w:tab w:leader="none" w:pos="695" w:val="left"/>
        </w:tabs>
        <w:numPr>
          <w:ilvl w:val="0"/>
          <w:numId w:val="99"/>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 Board Resolution, an Opinion of Counsel or an Officer’s Certificate.</w:t>
      </w:r>
    </w:p>
    <w:p>
      <w:pPr>
        <w:spacing w:after="0" w:line="183" w:lineRule="exact"/>
        <w:rPr>
          <w:rFonts w:ascii="Arial" w:cs="Arial" w:eastAsia="Arial" w:hAnsi="Arial"/>
          <w:sz w:val="18"/>
          <w:szCs w:val="18"/>
          <w:color w:val="auto"/>
        </w:rPr>
      </w:pPr>
    </w:p>
    <w:p>
      <w:pPr>
        <w:ind w:right="900" w:firstLine="436"/>
        <w:spacing w:after="0" w:line="342" w:lineRule="auto"/>
        <w:tabs>
          <w:tab w:leader="none" w:pos="695"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23" w:lineRule="exact"/>
        <w:rPr>
          <w:rFonts w:ascii="Arial" w:cs="Arial" w:eastAsia="Arial" w:hAnsi="Arial"/>
          <w:sz w:val="16"/>
          <w:szCs w:val="16"/>
          <w:color w:val="auto"/>
        </w:rPr>
      </w:pPr>
    </w:p>
    <w:p>
      <w:pPr>
        <w:ind w:right="120" w:firstLine="436"/>
        <w:spacing w:after="0" w:line="311" w:lineRule="auto"/>
        <w:tabs>
          <w:tab w:leader="none" w:pos="695"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 reasonable security or indemnity against the costs, expenses and liabilities which might be incurred by it in compliance with such request or direction.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89" w:name="page90"/>
    <w:bookmarkEnd w:id="89"/>
    <w:p>
      <w:pPr>
        <w:ind w:right="120" w:firstLine="436"/>
        <w:spacing w:after="0" w:line="275" w:lineRule="auto"/>
        <w:tabs>
          <w:tab w:leader="none" w:pos="695" w:val="left"/>
        </w:tabs>
        <w:numPr>
          <w:ilvl w:val="0"/>
          <w:numId w:val="10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not be bound to make any investigation into the facts or matters stated in any resolution, certificate, statement, instrument, opinion, report, notice, request, direction, consent, order, bond, debenture, note, coupon or other paper or document, but the Trustee, in its discretion, may make such further inquiry or investigation into such facts or matters as it may see fit, and, if the Trustee shall determine to make such further inquiry or investigation, it shall be entitled upon reasonable notice and at reasonable times during normal business hours to examine the books, records and premises of the Company, personally or by agent or attorney.</w:t>
      </w:r>
    </w:p>
    <w:p>
      <w:pPr>
        <w:spacing w:after="0" w:line="176" w:lineRule="exact"/>
        <w:rPr>
          <w:rFonts w:ascii="Arial" w:cs="Arial" w:eastAsia="Arial" w:hAnsi="Arial"/>
          <w:sz w:val="17"/>
          <w:szCs w:val="17"/>
          <w:color w:val="auto"/>
        </w:rPr>
      </w:pPr>
    </w:p>
    <w:p>
      <w:pPr>
        <w:ind w:right="260" w:firstLine="436"/>
        <w:spacing w:after="0" w:line="263" w:lineRule="auto"/>
        <w:tabs>
          <w:tab w:leader="none" w:pos="69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3" w:lineRule="exact"/>
        <w:rPr>
          <w:rFonts w:ascii="Arial" w:cs="Arial" w:eastAsia="Arial" w:hAnsi="Arial"/>
          <w:sz w:val="18"/>
          <w:szCs w:val="18"/>
          <w:color w:val="auto"/>
        </w:rPr>
      </w:pPr>
    </w:p>
    <w:p>
      <w:pPr>
        <w:ind w:right="320" w:firstLine="436"/>
        <w:spacing w:after="0" w:line="263" w:lineRule="auto"/>
        <w:tabs>
          <w:tab w:leader="none" w:pos="69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Trustee shall not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spacing w:after="0" w:line="183" w:lineRule="exact"/>
        <w:rPr>
          <w:rFonts w:ascii="Arial" w:cs="Arial" w:eastAsia="Arial" w:hAnsi="Arial"/>
          <w:sz w:val="18"/>
          <w:szCs w:val="18"/>
          <w:color w:val="auto"/>
        </w:rPr>
      </w:pPr>
    </w:p>
    <w:p>
      <w:pPr>
        <w:ind w:right="160" w:firstLine="436"/>
        <w:spacing w:after="0" w:line="277" w:lineRule="auto"/>
        <w:tabs>
          <w:tab w:leader="none" w:pos="69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w:t>
      </w:r>
    </w:p>
    <w:p>
      <w:pPr>
        <w:spacing w:after="0" w:line="170" w:lineRule="exact"/>
        <w:rPr>
          <w:rFonts w:ascii="Arial" w:cs="Arial" w:eastAsia="Arial" w:hAnsi="Arial"/>
          <w:sz w:val="18"/>
          <w:szCs w:val="18"/>
          <w:color w:val="auto"/>
        </w:rPr>
      </w:pPr>
    </w:p>
    <w:p>
      <w:pPr>
        <w:ind w:left="780" w:hanging="344"/>
        <w:spacing w:after="0"/>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permissive rights of the Trustee enumerated herein shall not be construed as duties.</w:t>
      </w:r>
    </w:p>
    <w:p>
      <w:pPr>
        <w:spacing w:after="0" w:line="22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603. Not Responsible for Recitals or Issuance of Securities.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recitals contained herein and in the Securities, except the Trustee’s certificate of authentication, and in any coupons shall be taken as the statements of the Company, and neither the Trustee nor any Authenticating Agent assumes any responsibility for their correctness. The Trustee makes no representations as to the validity or sufficiency of this Indenture or of the Securities or coupons,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Neither the Trustee nor any Authenticating Agent shall be accountable for the use or application by the Company of Securities or the proceeds thereof.</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604. May Hold Securities.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Trustee, any Paying Agent, Security Registrar, Authenticating Agent or any other agent of the Company, in its individual or any other capacity, may become the owner or pledgee of Securities and coupons and, subject to TIA Sections 310(b) and 311, may otherwise deal with the Company with the same rights it would have if it were not Trustee, Paying Agent, Security Registrar, Authenticating Agent or such other agent.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605. Money Held in Trust.</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274" w:right="47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606. Compensation and Reimbursement and Indemnification of Trustee.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agrees:</w:t>
      </w:r>
    </w:p>
    <w:p>
      <w:pPr>
        <w:spacing w:after="0" w:line="225" w:lineRule="exact"/>
        <w:rPr>
          <w:sz w:val="20"/>
          <w:szCs w:val="20"/>
          <w:color w:val="auto"/>
        </w:rPr>
      </w:pPr>
    </w:p>
    <w:p>
      <w:pPr>
        <w:jc w:val="both"/>
        <w:ind w:right="140" w:firstLine="436"/>
        <w:spacing w:after="0" w:line="263" w:lineRule="auto"/>
        <w:tabs>
          <w:tab w:leader="none" w:pos="6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pay to the Trustee or any predecessor Trustee from time to time such reasonable compensation for all services rendered by it hereunder as has been agreed upon from time to time in writing (which compensation shall not be limited by any provision of law in regard to the compensation of a trustee of an express trust).</w:t>
      </w:r>
    </w:p>
    <w:p>
      <w:pPr>
        <w:spacing w:after="0" w:line="183" w:lineRule="exact"/>
        <w:rPr>
          <w:rFonts w:ascii="Arial" w:cs="Arial" w:eastAsia="Arial" w:hAnsi="Arial"/>
          <w:sz w:val="18"/>
          <w:szCs w:val="18"/>
          <w:color w:val="auto"/>
        </w:rPr>
      </w:pPr>
    </w:p>
    <w:p>
      <w:pPr>
        <w:ind w:right="20" w:firstLine="436"/>
        <w:spacing w:after="0" w:line="259" w:lineRule="auto"/>
        <w:tabs>
          <w:tab w:leader="none" w:pos="6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Except as otherwise expressly provided herein, to reimburse each of the Trustee and any predecessor Trustee upon its request for all reasonable expenses, disbursements and advances incurred or made by the Trustee or any predecessor Trustee in accordance with any provision of this Indenture (including the reasonable compensation and the expenses and disbursements of its agents and counsel), except any such expense, disbursement or advance as may be attributable to its negligence or bad faith.</w:t>
      </w:r>
    </w:p>
    <w:p>
      <w:pPr>
        <w:spacing w:after="0" w:line="186" w:lineRule="exact"/>
        <w:rPr>
          <w:rFonts w:ascii="Arial" w:cs="Arial" w:eastAsia="Arial" w:hAnsi="Arial"/>
          <w:sz w:val="18"/>
          <w:szCs w:val="18"/>
          <w:color w:val="auto"/>
        </w:rPr>
      </w:pPr>
    </w:p>
    <w:p>
      <w:pPr>
        <w:ind w:right="60" w:firstLine="436"/>
        <w:spacing w:after="0" w:line="259" w:lineRule="auto"/>
        <w:tabs>
          <w:tab w:leader="none" w:pos="6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indemnify each of the Trustee or any predecessor Trustee for, and to hold it harmless against, any loss, liability or expense incurred without negligence or bad faith on its own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8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 security for the performance of the obligations of the Company under this Section, the Trustee shall have a claim prior to the Securities upon all property and funds held or collected by the Trustee as such, except funds held in trust for the payment of principal of (or premium, if any) or interest, if any, on particular Securities or any coupons.</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501 occurs, the expenses and compensation for such services are intended to constitute expenses of administration under Title 11, U.S. Code, or any similar Federal, State or analogous foreign law for the relief of debtors.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provisions of this Section 606 shall survive the resignation or removal of the Trustee and the satisfaction, termination or discharge of this Indenture.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607. Corporate Trustee Required; Eligibility.</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shall at all times be a Trustee hereunder which shall be eligible to act as Trustee under TIA Section 310(a)(1) and shall have a combined capital and surplus of at least $50,000,000. If such corporation publishes reports of condition at least annually, pursuant to law or to the requirements of Federal, State, Territorial or the District of Columbia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608. Disqualification; Conflicting Interests.</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609. Resignation and Removal; Appointment of Successor.</w:t>
      </w:r>
    </w:p>
    <w:p>
      <w:pPr>
        <w:spacing w:after="0" w:line="121" w:lineRule="exact"/>
        <w:rPr>
          <w:sz w:val="20"/>
          <w:szCs w:val="20"/>
          <w:color w:val="auto"/>
        </w:rPr>
      </w:pPr>
    </w:p>
    <w:p>
      <w:pPr>
        <w:ind w:right="300" w:firstLine="436"/>
        <w:spacing w:after="0" w:line="277" w:lineRule="auto"/>
        <w:tabs>
          <w:tab w:leader="none" w:pos="68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610.</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Trustee may resign at any time with respect to the Securities of one or more series by giving written notice thereof to the Company.</w:t>
      </w:r>
    </w:p>
    <w:p>
      <w:pPr>
        <w:spacing w:after="0" w:line="169" w:lineRule="exact"/>
        <w:rPr>
          <w:rFonts w:ascii="Arial" w:cs="Arial" w:eastAsia="Arial" w:hAnsi="Arial"/>
          <w:sz w:val="17"/>
          <w:szCs w:val="17"/>
          <w:color w:val="auto"/>
        </w:rPr>
      </w:pPr>
    </w:p>
    <w:p>
      <w:pPr>
        <w:ind w:left="5420"/>
        <w:spacing w:after="0"/>
        <w:rPr>
          <w:rFonts w:ascii="Arial" w:cs="Arial" w:eastAsia="Arial" w:hAnsi="Arial"/>
          <w:sz w:val="17"/>
          <w:szCs w:val="17"/>
          <w:color w:val="auto"/>
        </w:rPr>
      </w:pPr>
      <w:r>
        <w:rPr>
          <w:rFonts w:ascii="Arial" w:cs="Arial" w:eastAsia="Arial" w:hAnsi="Arial"/>
          <w:sz w:val="18"/>
          <w:szCs w:val="18"/>
          <w:color w:val="auto"/>
        </w:rPr>
        <w:t>37</w:t>
      </w:r>
    </w:p>
    <w:p>
      <w:pPr>
        <w:sectPr>
          <w:pgSz w:w="11900" w:h="16838" w:orient="portrait"/>
          <w:cols w:equalWidth="0" w:num="1">
            <w:col w:w="11020"/>
          </w:cols>
          <w:pgMar w:left="440" w:top="270" w:right="439" w:bottom="1440" w:gutter="0" w:footer="0" w:header="0"/>
        </w:sectPr>
      </w:pPr>
    </w:p>
    <w:bookmarkStart w:id="91" w:name="page92"/>
    <w:bookmarkEnd w:id="91"/>
    <w:p>
      <w:pPr>
        <w:ind w:right="80" w:firstLine="436"/>
        <w:spacing w:after="0" w:line="273" w:lineRule="auto"/>
        <w:tabs>
          <w:tab w:leader="none" w:pos="685" w:val="left"/>
        </w:tabs>
        <w:numPr>
          <w:ilvl w:val="0"/>
          <w:numId w:val="10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Trustee may be removed at any time with respect to the Securities of any series by (i) the Company, by an Officer’s Certificate delivered to the Trustee, provided that contemporaneously therewith (x) the Company immediately appoints a successor Trustee with respect to the Securities of such series meeting the requirements of Section 607 hereof and (y) the terms of Section 610 hereof are complied with in respect of such appointment (the Trustee being removed hereby agreeing to execute the instrument contemplated by Section 610(b) hereof, if applicable, under such circumstances);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Default with respect to such Securities shall have occurred and then be continuing at such time, or (ii) Act of the Holders of a majority in principal amount of the Outstanding Securities of such series delivered to the Trustee and to the Company.</w:t>
      </w:r>
    </w:p>
    <w:p>
      <w:pPr>
        <w:spacing w:after="0" w:line="177" w:lineRule="exact"/>
        <w:rPr>
          <w:rFonts w:ascii="Arial" w:cs="Arial" w:eastAsia="Arial" w:hAnsi="Arial"/>
          <w:sz w:val="17"/>
          <w:szCs w:val="17"/>
          <w:color w:val="auto"/>
        </w:rPr>
      </w:pPr>
    </w:p>
    <w:p>
      <w:pPr>
        <w:ind w:left="700" w:hanging="264"/>
        <w:spacing w:after="0"/>
        <w:tabs>
          <w:tab w:leader="none" w:pos="7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225" w:lineRule="exact"/>
        <w:rPr>
          <w:rFonts w:ascii="Arial" w:cs="Arial" w:eastAsia="Arial" w:hAnsi="Arial"/>
          <w:sz w:val="18"/>
          <w:szCs w:val="18"/>
          <w:color w:val="auto"/>
        </w:rPr>
      </w:pPr>
    </w:p>
    <w:p>
      <w:pPr>
        <w:ind w:right="380" w:firstLine="987"/>
        <w:spacing w:after="0" w:line="277" w:lineRule="auto"/>
        <w:tabs>
          <w:tab w:leader="none" w:pos="124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TIA Section 310(b) after written request therefor by the Company or by any Holder of a Security who has been a bona fide Holder of a Security for at least six months, or</w:t>
      </w:r>
    </w:p>
    <w:p>
      <w:pPr>
        <w:spacing w:after="0" w:line="170" w:lineRule="exact"/>
        <w:rPr>
          <w:rFonts w:ascii="Arial" w:cs="Arial" w:eastAsia="Arial" w:hAnsi="Arial"/>
          <w:sz w:val="18"/>
          <w:szCs w:val="18"/>
          <w:color w:val="auto"/>
        </w:rPr>
      </w:pPr>
    </w:p>
    <w:p>
      <w:pPr>
        <w:ind w:right="100" w:firstLine="987"/>
        <w:spacing w:after="0" w:line="277" w:lineRule="auto"/>
        <w:tabs>
          <w:tab w:leader="none" w:pos="124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607 and shall fail to resign after written request therefor by the Company or by any Holder of a Security who has been a bona fide Holder of a Security for at least six months, or</w:t>
      </w:r>
    </w:p>
    <w:p>
      <w:pPr>
        <w:spacing w:after="0" w:line="170" w:lineRule="exact"/>
        <w:rPr>
          <w:rFonts w:ascii="Arial" w:cs="Arial" w:eastAsia="Arial" w:hAnsi="Arial"/>
          <w:sz w:val="18"/>
          <w:szCs w:val="18"/>
          <w:color w:val="auto"/>
        </w:rPr>
      </w:pPr>
    </w:p>
    <w:p>
      <w:pPr>
        <w:ind w:right="100" w:firstLine="987"/>
        <w:spacing w:after="0" w:line="263" w:lineRule="auto"/>
        <w:tabs>
          <w:tab w:leader="none" w:pos="124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87" w:lineRule="exact"/>
        <w:rPr>
          <w:sz w:val="20"/>
          <w:szCs w:val="20"/>
          <w:color w:val="auto"/>
        </w:rPr>
      </w:pPr>
    </w:p>
    <w:p>
      <w:pPr>
        <w:ind w:right="60" w:firstLine="436"/>
        <w:spacing w:after="0" w:line="263" w:lineRule="auto"/>
        <w:tabs>
          <w:tab w:leader="none" w:pos="68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an instrument of acceptance by a successor Trustee shall not have been delivered to the Trustee within 30 days after the giving of a notice of resignation or the delivery of an Act of removal, the Trustee resigning or being removed may petition any court of competent jurisdiction for the appointment of a successor Trustee.</w:t>
      </w:r>
    </w:p>
    <w:p>
      <w:pPr>
        <w:spacing w:after="0" w:line="183" w:lineRule="exact"/>
        <w:rPr>
          <w:rFonts w:ascii="Arial" w:cs="Arial" w:eastAsia="Arial" w:hAnsi="Arial"/>
          <w:sz w:val="18"/>
          <w:szCs w:val="18"/>
          <w:color w:val="auto"/>
        </w:rPr>
      </w:pPr>
    </w:p>
    <w:p>
      <w:pPr>
        <w:ind w:firstLine="436"/>
        <w:spacing w:after="0" w:line="269" w:lineRule="auto"/>
        <w:tabs>
          <w:tab w:leader="none" w:pos="66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spacing w:after="0" w:line="178" w:lineRule="exact"/>
        <w:rPr>
          <w:rFonts w:ascii="Arial" w:cs="Arial" w:eastAsia="Arial" w:hAnsi="Arial"/>
          <w:sz w:val="17"/>
          <w:szCs w:val="17"/>
          <w:color w:val="auto"/>
        </w:rPr>
      </w:pPr>
    </w:p>
    <w:p>
      <w:pPr>
        <w:ind w:right="300" w:firstLine="436"/>
        <w:spacing w:after="0" w:line="259" w:lineRule="auto"/>
        <w:tabs>
          <w:tab w:leader="none" w:pos="69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Each notice shall include the name of the successor Trustee with respect to the Securities of such series and the address of its Corporate Trust Office.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92" w:name="page93"/>
    <w:bookmarkEnd w:id="9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610. Acceptance of Appointment by Successor.</w:t>
      </w:r>
    </w:p>
    <w:p>
      <w:pPr>
        <w:spacing w:after="0" w:line="121" w:lineRule="exact"/>
        <w:rPr>
          <w:sz w:val="20"/>
          <w:szCs w:val="20"/>
          <w:color w:val="auto"/>
        </w:rPr>
      </w:pPr>
    </w:p>
    <w:p>
      <w:pPr>
        <w:ind w:left="4" w:firstLine="436"/>
        <w:spacing w:after="0" w:line="272" w:lineRule="auto"/>
        <w:tabs>
          <w:tab w:leader="none" w:pos="689" w:val="left"/>
        </w:tabs>
        <w:numPr>
          <w:ilvl w:val="1"/>
          <w:numId w:val="105"/>
        </w:numPr>
        <w:rPr>
          <w:rFonts w:ascii="Arial" w:cs="Arial" w:eastAsia="Arial" w:hAnsi="Arial"/>
          <w:sz w:val="17"/>
          <w:szCs w:val="17"/>
          <w:color w:val="auto"/>
        </w:rPr>
      </w:pPr>
      <w:r>
        <w:rPr>
          <w:rFonts w:ascii="Arial" w:cs="Arial" w:eastAsia="Arial" w:hAnsi="Arial"/>
          <w:sz w:val="17"/>
          <w:szCs w:val="17"/>
          <w:color w:val="auto"/>
        </w:rPr>
        <w:t>In case of the appointment hereunder of a successor Trustee with respect to all Securities, every such successor Trustee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However,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606.</w:t>
      </w:r>
    </w:p>
    <w:p>
      <w:pPr>
        <w:spacing w:after="0" w:line="177" w:lineRule="exact"/>
        <w:rPr>
          <w:rFonts w:ascii="Arial" w:cs="Arial" w:eastAsia="Arial" w:hAnsi="Arial"/>
          <w:sz w:val="17"/>
          <w:szCs w:val="17"/>
          <w:color w:val="auto"/>
        </w:rPr>
      </w:pPr>
    </w:p>
    <w:p>
      <w:pPr>
        <w:ind w:left="4" w:right="20" w:firstLine="436"/>
        <w:spacing w:after="0" w:line="284" w:lineRule="auto"/>
        <w:tabs>
          <w:tab w:leader="none" w:pos="699" w:val="left"/>
        </w:tabs>
        <w:numPr>
          <w:ilvl w:val="1"/>
          <w:numId w:val="105"/>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w:t>
      </w:r>
    </w:p>
    <w:p>
      <w:pPr>
        <w:spacing w:after="0" w:line="2" w:lineRule="exact"/>
        <w:rPr>
          <w:rFonts w:ascii="Arial" w:cs="Arial" w:eastAsia="Arial" w:hAnsi="Arial"/>
          <w:sz w:val="16"/>
          <w:szCs w:val="16"/>
          <w:color w:val="auto"/>
        </w:rPr>
      </w:pPr>
    </w:p>
    <w:p>
      <w:pPr>
        <w:ind w:left="4" w:hanging="4"/>
        <w:spacing w:after="0" w:line="267" w:lineRule="auto"/>
        <w:tabs>
          <w:tab w:leader="none" w:pos="259" w:val="left"/>
        </w:tabs>
        <w:numPr>
          <w:ilvl w:val="0"/>
          <w:numId w:val="106"/>
        </w:numPr>
        <w:rPr>
          <w:rFonts w:ascii="Arial" w:cs="Arial" w:eastAsia="Arial" w:hAnsi="Arial"/>
          <w:sz w:val="17"/>
          <w:szCs w:val="17"/>
          <w:color w:val="auto"/>
        </w:rPr>
      </w:pPr>
      <w:r>
        <w:rPr>
          <w:rFonts w:ascii="Arial" w:cs="Arial" w:eastAsia="Arial" w:hAnsi="Arial"/>
          <w:sz w:val="17"/>
          <w:szCs w:val="17"/>
          <w:color w:val="auto"/>
        </w:rPr>
        <w:t>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 Whenever there is a successor Trustee with respect to one or more (but less than all) series of securities issued pursuant to this Indenture, the terms “Indenture” and “Securities” shall have the meanings specified in the provisos to the respective definition of those terms in Section 101 which contemplate such situation.</w:t>
      </w:r>
    </w:p>
    <w:p>
      <w:pPr>
        <w:spacing w:after="0" w:line="185" w:lineRule="exact"/>
        <w:rPr>
          <w:rFonts w:ascii="Arial" w:cs="Arial" w:eastAsia="Arial" w:hAnsi="Arial"/>
          <w:sz w:val="17"/>
          <w:szCs w:val="17"/>
          <w:color w:val="auto"/>
        </w:rPr>
      </w:pPr>
    </w:p>
    <w:p>
      <w:pPr>
        <w:ind w:left="4" w:right="320" w:firstLine="436"/>
        <w:spacing w:after="0" w:line="342" w:lineRule="auto"/>
        <w:tabs>
          <w:tab w:leader="none" w:pos="689" w:val="left"/>
        </w:tabs>
        <w:numPr>
          <w:ilvl w:val="1"/>
          <w:numId w:val="106"/>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23" w:lineRule="exact"/>
        <w:rPr>
          <w:rFonts w:ascii="Arial" w:cs="Arial" w:eastAsia="Arial" w:hAnsi="Arial"/>
          <w:sz w:val="16"/>
          <w:szCs w:val="16"/>
          <w:color w:val="auto"/>
        </w:rPr>
      </w:pPr>
    </w:p>
    <w:p>
      <w:pPr>
        <w:ind w:left="4" w:right="160" w:firstLine="436"/>
        <w:spacing w:after="0" w:line="277" w:lineRule="auto"/>
        <w:tabs>
          <w:tab w:leader="none" w:pos="699" w:val="left"/>
        </w:tabs>
        <w:numPr>
          <w:ilvl w:val="1"/>
          <w:numId w:val="106"/>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611. Merger, Conversion, Consolidation or Succession to Business.</w:t>
      </w:r>
    </w:p>
    <w:p>
      <w:pPr>
        <w:spacing w:after="0" w:line="121" w:lineRule="exact"/>
        <w:rPr>
          <w:sz w:val="20"/>
          <w:szCs w:val="20"/>
          <w:color w:val="auto"/>
        </w:rPr>
      </w:pPr>
    </w:p>
    <w:p>
      <w:pPr>
        <w:ind w:left="4" w:right="20"/>
        <w:spacing w:after="0" w:line="269" w:lineRule="auto"/>
        <w:rPr>
          <w:sz w:val="20"/>
          <w:szCs w:val="20"/>
          <w:color w:val="auto"/>
        </w:rPr>
      </w:pPr>
      <w:r>
        <w:rPr>
          <w:rFonts w:ascii="Arial" w:cs="Arial" w:eastAsia="Arial" w:hAnsi="Arial"/>
          <w:sz w:val="17"/>
          <w:szCs w:val="17"/>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corporation shall be otherwise qualified and eligible under this Article, without the execution or filing of any paper or any further act on the part of any of the parties hereto. In case any Securities or coupons shall have been authenticated, but not delivered, by the Trustee then in office, any successor by merger, conversion or consolidation to such authenticating Trustee may adopt such authentication and deliver the Securities or coupons so authenticated with the same effect as if such successor Trustee had itself authenticated such Securities or coupons. In case any Securities or coupons shall not have been authenticated by such predecessor Trustee, any such successor Trustee may authenticate and deliver such Securities or coupons, in either its own name or that of its predecessor Trustee, with the full force and effect which this Indenture provides for the certificate of authentication of the Trustee;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right to adopt the certificate of authentication of any predecessor Trustee or to authenticate Securities in the name of any predecessor Trustee shall apply only to its successor or successors by merger, conversion or consolidation.</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4"/>
          </w:cols>
          <w:pgMar w:left="436" w:top="270" w:right="4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612. Appointment of Authenticating Agent.</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At any time when any of the Securities remain Outstanding, the Trustee may appoint an Authenticating Agent or Agents (which may be an Affiliate or Affiliates of the Company) with respect to one or more series of Securities which shall be authorized to act on behalf of the Trustee to authenticate Securities of such series issued upon original issue or upon exchange, registration of transfer or partial redemption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except as may otherwise be provided pursuant to Section 301,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$5,000,000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pacing w:after="0" w:line="176"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5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promptly give written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19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 agrees to pay to each Authenticating Agent from time to time reasonable compensation including reimbursement of its reasonable expenses for its services under this Section.</w:t>
      </w:r>
    </w:p>
    <w:p>
      <w:pPr>
        <w:spacing w:after="0" w:line="170"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40" w:top="270" w:right="47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AMERICAN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LLC,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Authenticating Agent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Officer</w:t>
      </w:r>
    </w:p>
    <w:p>
      <w:pPr>
        <w:spacing w:after="0" w:line="33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If all of the Securities of a series may not be originally issued at one time, and the Trustee does not have an office capable of authenticating Securities upon original issuance located in a Place of Payment where the Company wishes to have Securities of such series authenticated upon original issuance, the Trustee, if so requested by the Company in writing (which writing need not comply with Section 102 and need not be accompanied by an Opinion of Counsel), shall appoint in accordance with this Section an Authenticating Agent (which, if so requested by the Company, shall be an Affiliate of the Company) having an office in a Place of Payment designated by the Company with respect to such series of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terms and conditions of such appointment are acceptable to the Trustee.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SEVEN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701. Disclosure of Names and Addresses of Holders.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Every Holder of Securities or coupons, by receiving and holding the same, agrees with the Company and the Trustee that neither the Company nor the Trustee nor any Authenticating Agent nor any Paying Agent nor any Security Registrar nor any agent of any of them shall be held accountable by reason of the disclosure of any information as to the names and addresses of the Holders of Securities in accordance with TIA Section 312, regardless of the source from which such information was derived, and that the Trustee shall not be held accountable by reason of mailing any material pursuant to a request made under TIA Section 312(b).</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702. Preservation of Information; Communications to Holders.</w:t>
      </w:r>
    </w:p>
    <w:p>
      <w:pPr>
        <w:spacing w:after="0" w:line="121" w:lineRule="exact"/>
        <w:rPr>
          <w:sz w:val="20"/>
          <w:szCs w:val="20"/>
          <w:color w:val="auto"/>
        </w:rPr>
      </w:pPr>
    </w:p>
    <w:p>
      <w:pPr>
        <w:ind w:right="160" w:firstLine="436"/>
        <w:spacing w:after="0" w:line="311" w:lineRule="auto"/>
        <w:tabs>
          <w:tab w:leader="none" w:pos="68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148" w:lineRule="exact"/>
        <w:rPr>
          <w:rFonts w:ascii="Arial" w:cs="Arial" w:eastAsia="Arial" w:hAnsi="Arial"/>
          <w:sz w:val="16"/>
          <w:szCs w:val="16"/>
          <w:color w:val="auto"/>
        </w:rPr>
      </w:pPr>
    </w:p>
    <w:p>
      <w:pPr>
        <w:ind w:right="460" w:firstLine="436"/>
        <w:spacing w:after="0" w:line="277" w:lineRule="auto"/>
        <w:tabs>
          <w:tab w:leader="none" w:pos="69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rights of Holders to communicate with other Holders with respect to their rights under this Indenture or under the Securities, and the corresponding rights and duties of the Trustee, shall be as provided by the Trust Indenture Act.</w:t>
      </w:r>
    </w:p>
    <w:p>
      <w:pPr>
        <w:spacing w:after="0" w:line="170" w:lineRule="exact"/>
        <w:rPr>
          <w:rFonts w:ascii="Arial" w:cs="Arial" w:eastAsia="Arial" w:hAnsi="Arial"/>
          <w:sz w:val="18"/>
          <w:szCs w:val="18"/>
          <w:color w:val="auto"/>
        </w:rPr>
      </w:pPr>
    </w:p>
    <w:p>
      <w:pPr>
        <w:ind w:right="60" w:firstLine="436"/>
        <w:spacing w:after="0" w:line="263" w:lineRule="auto"/>
        <w:tabs>
          <w:tab w:leader="none" w:pos="68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703. Reports by Trustee.</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Within 60 days after May 15 of each year commencing with the first May 15 after the first issuance of Securities pursuant to this Indenture, the Trustee shall transmit by mail to all Holders of Securities as provided in TIA Section 313(c) a brief report dated as of such May 15 which meets the requirements of TIA Section 313(a).</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95" w:name="page96"/>
    <w:bookmarkEnd w:id="95"/>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copy of each such report shall, at the time of such transmission to Holders, be filed by the Trustee with each stock exchange, if any, upon which the Securities are listed, with the Commission and with the Company. The Company shall promptly notify the Trustee of the listing of the Securities on any stock exchange.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704. Reports by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w:t>
      </w:r>
    </w:p>
    <w:p>
      <w:pPr>
        <w:spacing w:after="0" w:line="225" w:lineRule="exact"/>
        <w:rPr>
          <w:sz w:val="20"/>
          <w:szCs w:val="20"/>
          <w:color w:val="auto"/>
        </w:rPr>
      </w:pPr>
    </w:p>
    <w:p>
      <w:pPr>
        <w:ind w:firstLine="436"/>
        <w:spacing w:after="0" w:line="291" w:lineRule="auto"/>
        <w:tabs>
          <w:tab w:leader="none" w:pos="69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Securities Exchange Act of 1934; or, if the Company is not required to file information, documents or reports pursuant to either of such Sections, then it shall file with the Trustee and the Commission, in accordance with rules and regulations prescribed from time to time by the Commission, such of the supplementary and periodic information, documents and reports which may be required pursuant to Section 13 of the Securities Exchange Act of 1934 in respect of a security listed and registered on a national securities exchange as may be prescribed from time to time in such rules and regulations;</w:t>
      </w:r>
    </w:p>
    <w:p>
      <w:pPr>
        <w:spacing w:after="0" w:line="166" w:lineRule="exact"/>
        <w:rPr>
          <w:rFonts w:ascii="Arial" w:cs="Arial" w:eastAsia="Arial" w:hAnsi="Arial"/>
          <w:sz w:val="16"/>
          <w:szCs w:val="16"/>
          <w:color w:val="auto"/>
        </w:rPr>
      </w:pPr>
    </w:p>
    <w:p>
      <w:pPr>
        <w:ind w:right="140" w:firstLine="436"/>
        <w:spacing w:after="0" w:line="263" w:lineRule="auto"/>
        <w:tabs>
          <w:tab w:leader="none" w:pos="69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 and</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Trustee shall transmit by mail to the Holders of Securities, within 30 days after the filing thereof with the Trustee, in the manner and to the extent provided in TIA Section 313(c), such summaries of any information, documents and reports required to be filed by the Company pursuant to paragraphs (1) and (2) of this Section as may be required by rules and regulations prescribed from time to time by the Commission.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705. Calculation of Original Issue Discount.</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Upon request of the Trustee, the Company shall file with the Trustee promptly at the end of each calendar year a written notice specifying the amount of original issue discount (including daily rates and accrual periods), if any, accrued on Outstanding Securities as of the end of such year.</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EIGHT</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CONSOLIDATION, MERGER, CONVEYANCE OR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801. Company May Consolidate, Etc., Only on Certain Terms.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shall not consolidate with or merge with or into any other corporation or convey or transfer its properties and assets substantially as an entirety to any Person, unless:</w:t>
      </w:r>
    </w:p>
    <w:p>
      <w:pPr>
        <w:spacing w:after="0" w:line="170" w:lineRule="exact"/>
        <w:rPr>
          <w:sz w:val="20"/>
          <w:szCs w:val="20"/>
          <w:color w:val="auto"/>
        </w:rPr>
      </w:pPr>
    </w:p>
    <w:p>
      <w:pPr>
        <w:ind w:right="100" w:firstLine="436"/>
        <w:spacing w:after="0" w:line="257" w:lineRule="auto"/>
        <w:tabs>
          <w:tab w:leader="none" w:pos="69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either the Company shall be the continuing corporation, or the corporation (if other than the Company) formed by such consolidation or into which the Company is merged or the Person which acquires by conveyance or transfer the properties and assets of the Company substantially as an entirety shall expressly assume, by an indenture supplemental hereto, executed and delivered to the Trustee, in form satisfactory to the Trustee, the due and punctual payment of the principal of (and premium, if any) and interest, if any, on all the Securities and the performance of every covenant of this Indenture on the part of the Company to be performed or observed;</w:t>
      </w:r>
    </w:p>
    <w:p>
      <w:pPr>
        <w:spacing w:after="0" w:line="187" w:lineRule="exact"/>
        <w:rPr>
          <w:rFonts w:ascii="Arial" w:cs="Arial" w:eastAsia="Arial" w:hAnsi="Arial"/>
          <w:sz w:val="18"/>
          <w:szCs w:val="18"/>
          <w:color w:val="auto"/>
        </w:rPr>
      </w:pPr>
    </w:p>
    <w:p>
      <w:pPr>
        <w:ind w:left="700" w:hanging="264"/>
        <w:spacing w:after="0"/>
        <w:tabs>
          <w:tab w:leader="none" w:pos="7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happened and be continuing;</w:t>
      </w:r>
    </w:p>
    <w:p>
      <w:pPr>
        <w:spacing w:after="0" w:line="225" w:lineRule="exact"/>
        <w:rPr>
          <w:rFonts w:ascii="Arial" w:cs="Arial" w:eastAsia="Arial" w:hAnsi="Arial"/>
          <w:sz w:val="18"/>
          <w:szCs w:val="18"/>
          <w:color w:val="auto"/>
        </w:rPr>
      </w:pPr>
    </w:p>
    <w:p>
      <w:pPr>
        <w:ind w:right="320" w:firstLine="436"/>
        <w:spacing w:after="0" w:line="342" w:lineRule="auto"/>
        <w:tabs>
          <w:tab w:leader="none" w:pos="69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if as a result thereof any property or assets of the Company or a Subsidiary would become subject to any mortgage, lien, pledge, charge or other encumbrance not permitted by (1) through (10) of Section 1006, compliance shall be effected with the first clause of Section 1006; and</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0"/>
          </w:cols>
          <w:pgMar w:left="440" w:top="274" w:right="499" w:bottom="1440" w:gutter="0" w:footer="0" w:header="0"/>
        </w:sectPr>
      </w:pPr>
    </w:p>
    <w:bookmarkStart w:id="96" w:name="page97"/>
    <w:bookmarkEnd w:id="96"/>
    <w:p>
      <w:pPr>
        <w:ind w:right="80" w:firstLine="436"/>
        <w:spacing w:after="0" w:line="263" w:lineRule="auto"/>
        <w:tabs>
          <w:tab w:leader="none" w:pos="695" w:val="left"/>
        </w:tabs>
        <w:numPr>
          <w:ilvl w:val="0"/>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the successor Person have delivered to the Trustee an Officer’s Certificate and an Opinion of Counsel each stating that such consolidation, merger, conveyance or transfer and such supplemental indenture comply with this Article and that all conditions precedent herein provided for relating to such transaction have been complied with.</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802. Successor Person Substituted.</w:t>
      </w:r>
    </w:p>
    <w:p>
      <w:pPr>
        <w:spacing w:after="0" w:line="12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Upon any consolidation or merger, or any conveyance or transfer of the properties and assets of the Company substantially as an entirety in accordance with Section 801, the successor corporation formed by such consolidation or into which the Company is merged or the successor Person to which such conveyance or transfer is made shall succeed to, and be substituted for, and may exercise every right and power of, the Company under this Indenture with the same effect as if such successor had been named as the Company herein; and in the event of any such conveyance or transfer, the Company shall be discharged from all obligations and covenants under this Indenture and the Securities and coupons and may be dissolved and liquidated.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NINE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INDENTURES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901. Supplemental Indentures Without Consent of Holders.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Without the consent of any Holders of Securities or coupons, the Company, when authorized by or pursuant to a Board Resolution, and the Trustee, at any time and from time to time, may enter into one or more indentures supplemental hereto, in form reasonably satisfactory to the Trustee, for any of the following purposes:</w:t>
      </w:r>
    </w:p>
    <w:p>
      <w:pPr>
        <w:spacing w:after="0" w:line="76" w:lineRule="exact"/>
        <w:rPr>
          <w:sz w:val="20"/>
          <w:szCs w:val="20"/>
          <w:color w:val="auto"/>
        </w:rPr>
      </w:pPr>
    </w:p>
    <w:p>
      <w:pPr>
        <w:ind w:right="380" w:firstLine="436"/>
        <w:spacing w:after="0" w:line="277" w:lineRule="auto"/>
        <w:tabs>
          <w:tab w:leader="none" w:pos="69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and the assumption by any such successor of the covenants of the Company herein and in the Securities contained; or</w:t>
      </w:r>
    </w:p>
    <w:p>
      <w:pPr>
        <w:spacing w:after="0" w:line="170" w:lineRule="exact"/>
        <w:rPr>
          <w:rFonts w:ascii="Arial" w:cs="Arial" w:eastAsia="Arial" w:hAnsi="Arial"/>
          <w:sz w:val="18"/>
          <w:szCs w:val="18"/>
          <w:color w:val="auto"/>
        </w:rPr>
      </w:pPr>
    </w:p>
    <w:p>
      <w:pPr>
        <w:ind w:right="40" w:firstLine="436"/>
        <w:spacing w:after="0" w:line="263" w:lineRule="auto"/>
        <w:tabs>
          <w:tab w:leader="none" w:pos="69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or any coupon appertaining thereto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83" w:lineRule="exact"/>
        <w:rPr>
          <w:rFonts w:ascii="Arial" w:cs="Arial" w:eastAsia="Arial" w:hAnsi="Arial"/>
          <w:sz w:val="18"/>
          <w:szCs w:val="18"/>
          <w:color w:val="auto"/>
        </w:rPr>
      </w:pPr>
    </w:p>
    <w:p>
      <w:pPr>
        <w:ind w:right="100" w:firstLine="436"/>
        <w:spacing w:after="0" w:line="293" w:lineRule="auto"/>
        <w:tabs>
          <w:tab w:leader="none" w:pos="69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spacing w:after="0" w:line="164" w:lineRule="exact"/>
        <w:rPr>
          <w:rFonts w:ascii="Arial" w:cs="Arial" w:eastAsia="Arial" w:hAnsi="Arial"/>
          <w:sz w:val="16"/>
          <w:szCs w:val="16"/>
          <w:color w:val="auto"/>
        </w:rPr>
      </w:pPr>
    </w:p>
    <w:p>
      <w:pPr>
        <w:jc w:val="both"/>
        <w:ind w:right="220" w:firstLine="436"/>
        <w:spacing w:after="0" w:line="275" w:lineRule="auto"/>
        <w:tabs>
          <w:tab w:leader="none" w:pos="69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to add to or change any of the provisions of this Indenture to provide that Bearer Securities may be registrable as to principal, to change or eliminate any restrictions on the payment of principal of or any premium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action shall not materially adversely affect the interests of the Holders of Securities of any series or any related coupons in any material respect; or</w:t>
      </w:r>
    </w:p>
    <w:p>
      <w:pPr>
        <w:spacing w:after="0" w:line="176" w:lineRule="exact"/>
        <w:rPr>
          <w:rFonts w:ascii="Arial" w:cs="Arial" w:eastAsia="Arial" w:hAnsi="Arial"/>
          <w:sz w:val="17"/>
          <w:szCs w:val="17"/>
          <w:color w:val="auto"/>
        </w:rPr>
      </w:pPr>
    </w:p>
    <w:p>
      <w:pPr>
        <w:ind w:right="80" w:firstLine="436"/>
        <w:spacing w:after="0" w:line="263" w:lineRule="auto"/>
        <w:tabs>
          <w:tab w:leader="none" w:pos="69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to change or eliminate any of the provisions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change or elimination shall become effective only when there is no Security Outstanding of any series created prior to the execution of such supplemental indenture which is entitled to the benefit of such provision; or</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secure the Securities pursuant to the requirements of Section 801 or 1006, or otherwise;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4" w:right="479" w:bottom="1440" w:gutter="0" w:footer="0" w:header="0"/>
        </w:sectPr>
      </w:pPr>
    </w:p>
    <w:bookmarkStart w:id="97" w:name="page98"/>
    <w:bookmarkEnd w:id="97"/>
    <w:p>
      <w:pPr>
        <w:jc w:val="both"/>
        <w:ind w:right="680" w:firstLine="436"/>
        <w:spacing w:after="0" w:line="342" w:lineRule="auto"/>
        <w:tabs>
          <w:tab w:leader="none" w:pos="695" w:val="left"/>
        </w:tabs>
        <w:numPr>
          <w:ilvl w:val="0"/>
          <w:numId w:val="1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establish the form or terms of Securities of any series and any related coupons as permitted by Sections 201 and 301, including the provisions and procedures relating to Securities convertible into or exchangeable for any securities of any Person (including the Company); or</w:t>
      </w:r>
    </w:p>
    <w:p>
      <w:pPr>
        <w:spacing w:after="0" w:line="123" w:lineRule="exact"/>
        <w:rPr>
          <w:rFonts w:ascii="Arial" w:cs="Arial" w:eastAsia="Arial" w:hAnsi="Arial"/>
          <w:sz w:val="16"/>
          <w:szCs w:val="16"/>
          <w:color w:val="auto"/>
        </w:rPr>
      </w:pPr>
    </w:p>
    <w:p>
      <w:pPr>
        <w:jc w:val="both"/>
        <w:ind w:right="340" w:firstLine="436"/>
        <w:spacing w:after="0" w:line="263" w:lineRule="auto"/>
        <w:tabs>
          <w:tab w:leader="none" w:pos="69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83" w:lineRule="exact"/>
        <w:rPr>
          <w:rFonts w:ascii="Arial" w:cs="Arial" w:eastAsia="Arial" w:hAnsi="Arial"/>
          <w:sz w:val="18"/>
          <w:szCs w:val="18"/>
          <w:color w:val="auto"/>
        </w:rPr>
      </w:pPr>
    </w:p>
    <w:p>
      <w:pPr>
        <w:ind w:right="80" w:firstLine="436"/>
        <w:spacing w:after="0" w:line="263" w:lineRule="auto"/>
        <w:tabs>
          <w:tab w:leader="none" w:pos="69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to cure any ambiguity, to correct or supplement any provision herein which may be inconsistent with any other provision herein, or to make any other provisions with respect to matters or questions arising under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action shall not materially adversely affect the interests of the Holders of Securities of any series or any related coupons in any material respect; or</w:t>
      </w:r>
    </w:p>
    <w:p>
      <w:pPr>
        <w:spacing w:after="0" w:line="183" w:lineRule="exact"/>
        <w:rPr>
          <w:rFonts w:ascii="Arial" w:cs="Arial" w:eastAsia="Arial" w:hAnsi="Arial"/>
          <w:sz w:val="18"/>
          <w:szCs w:val="18"/>
          <w:color w:val="auto"/>
        </w:rPr>
      </w:pPr>
    </w:p>
    <w:p>
      <w:pPr>
        <w:ind w:right="80" w:firstLine="436"/>
        <w:spacing w:after="0" w:line="286" w:lineRule="auto"/>
        <w:tabs>
          <w:tab w:leader="none" w:pos="785"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to supplement any of the provisions of this Indenture to such extent as shall be necessary to permit or facilitate the defeasance and discharge of any series of Securities pursuant to Sections 401, 1402 and 1403;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action shall not materially adversely affect the interests of the Holders of Securities of such series and any related coupons or any other series of Securities in any material respect.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902. Supplemental Indentures with Consent of Holders.</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With the consent of the Holders of not less than a majority in aggregate principal amount of all Outstanding Securities affected by such supplemental indenture,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which affects such series of Securities or of modifying in any manner the rights of the Holders of such series of Securities and any related coupons under this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supplemental indenture shall, without the consent of the Holder of each Outstanding Security affected thereby:</w:t>
      </w:r>
    </w:p>
    <w:p>
      <w:pPr>
        <w:spacing w:after="0" w:line="70" w:lineRule="exact"/>
        <w:rPr>
          <w:sz w:val="20"/>
          <w:szCs w:val="20"/>
          <w:color w:val="auto"/>
        </w:rPr>
      </w:pPr>
    </w:p>
    <w:p>
      <w:pPr>
        <w:ind w:firstLine="436"/>
        <w:spacing w:after="0" w:line="288" w:lineRule="auto"/>
        <w:tabs>
          <w:tab w:leader="none" w:pos="69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premium, if any) or any installment of principal of or interest on, any Security, subject to the provisions of Section 308; or the terms of any sinking fund with respect to any Security; or reduce the principal amount thereof or the rate of interest (or change the manner of calculating the rate of interest, thereon, or any premium payable upon the redemption thereof, or change any obligation of the Company to pay Additional Amounts pursuant to Section 1004 (except as contemplated by Section 801(1) and permitted by Section 901(1)), or reduce the portion of the principal of an Original Issue Discount Security or Indexed Security that would be due and payable upon a declaration of acceleration of the Maturity thereof pursuant to Section 502, or upon the redemption thereof or the amount thereof provable in bankruptcy pursuant to Section 504, or adversely affect any right of repayment at the option of the Holder of any Security, or change any Place of Payment where, or the Currency in which, any Security or any premium or interest thereon is payable, or impair the right to institute suit for the enforcement of any such payment on or after the Stated Maturity thereof (or, in the case of redemption or repayment at the option of the Holder, on or after the Redemption Date or the Repayment Date, as the case may be), or adversely affect any right to convert or exchange any Security as may be provided pursuant to Section 301 herein, or</w:t>
      </w:r>
    </w:p>
    <w:p>
      <w:pPr>
        <w:spacing w:after="0" w:line="168" w:lineRule="exact"/>
        <w:rPr>
          <w:rFonts w:ascii="Arial" w:cs="Arial" w:eastAsia="Arial" w:hAnsi="Arial"/>
          <w:sz w:val="16"/>
          <w:szCs w:val="16"/>
          <w:color w:val="auto"/>
        </w:rPr>
      </w:pPr>
    </w:p>
    <w:p>
      <w:pPr>
        <w:ind w:right="20" w:firstLine="436"/>
        <w:spacing w:after="0" w:line="259" w:lineRule="auto"/>
        <w:tabs>
          <w:tab w:leader="none" w:pos="69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with respect to such series (of compliance with certain provisions of this Indenture or certain defaults hereunder and their consequences) provided for in this Indenture, or reduce the requirements of Section 1504 for quorum or voting, or</w:t>
      </w:r>
    </w:p>
    <w:p>
      <w:pPr>
        <w:spacing w:after="0" w:line="186" w:lineRule="exact"/>
        <w:rPr>
          <w:rFonts w:ascii="Arial" w:cs="Arial" w:eastAsia="Arial" w:hAnsi="Arial"/>
          <w:sz w:val="18"/>
          <w:szCs w:val="18"/>
          <w:color w:val="auto"/>
        </w:rPr>
      </w:pPr>
    </w:p>
    <w:p>
      <w:pPr>
        <w:ind w:right="280" w:firstLine="436"/>
        <w:spacing w:after="0" w:line="257" w:lineRule="auto"/>
        <w:tabs>
          <w:tab w:leader="none" w:pos="69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modify any of the provisions of this Section, Section 513 or Section 1007, except to increase any such percentage or to provide that certain other provisions of this Indenture cannot be modified or waived without the consent of the Holder of each Outstanding Security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clause shall not be deemed to require the consent of any Holder of a Security or coupon with respect to changes in the references to “the Trustee” and concomitant changes in this Section, or the deletion of this proviso, in accordance with the requirements of Sections 610(b) and 901(8).</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60"/>
          </w:cols>
          <w:pgMar w:left="440" w:top="274" w:right="499" w:bottom="1440" w:gutter="0" w:footer="0" w:header="0"/>
        </w:sectPr>
      </w:pPr>
    </w:p>
    <w:bookmarkStart w:id="98" w:name="page99"/>
    <w:bookmarkEnd w:id="98"/>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shall not be necessary for any Act of Holders under this Section to approve the particular form of any proposed supplemental indenture, but it shall be sufficient if such Act shall approve the substance thereof.</w:t>
      </w:r>
    </w:p>
    <w:p>
      <w:pPr>
        <w:spacing w:after="0" w:line="170"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4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 xml:space="preserve">The Company may, but shall not be obligated to, fix a record date for the purpose of determining the Persons entitled to consent to any indenture supplemental hereto. If a record date is fixed, the Holders on such record date, or their duly designated proxies, and only such Persons, shall be entitled to consent to such supplemental indenture, whether or not such Holders remain Holders after such record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such consent shall have become effective by virtue of the requisite percentage having been obtained prior to the date which is 90 days after such record date, any such consent previously given shall automatically and without further action by any Holder be cancelled and of no further effect.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903. Execution of Supplemental Indentures.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executing, or accepting the additional trusts created by, any supplemental indenture permitted by this Article or the modification thereby of the trusts created by this Indenture, the Trustee shall be entitled to receive, and shall be fully protected in relying upon, in addition to the documents required by Section 102 of this Indenture,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904. Effect of Supplemental Indentures.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 appertaining thereto shall be bound thereby.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905. Conformity with Trust Indenture Act.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Every supplemental indenture executed pursuant to this Article shall conform to the requirements of the Trust Indenture Act as then in effect.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906. Reference in Securities to Supplemental Indentures.</w:t>
      </w:r>
    </w:p>
    <w:p>
      <w:pPr>
        <w:spacing w:after="0" w:line="12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369"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ARTICLE TEN</w:t>
      </w:r>
    </w:p>
    <w:p>
      <w:pPr>
        <w:spacing w:after="0" w:line="11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1001. Payment of Principal, Premium, if any, and Interest.</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covenants and agrees for the benefit of the Holders of each series of Securities and any coupons appertaining thereto that it will duly and punctually pay the principal of (and premium, if any) and interest, if any, on the Securities of that series in accordance with the terms of such series of Securities, any coupons appertaining thereto and this Indenture. Any interest due on Bearer Securities on or before Maturity, other than Additional Amounts, if any, payable as provided in Section 1004 in respect of principal of (or premium, if any) such a Security, shall be payable only upon presentation and surrender of the several coupons for such interest installments as are evidenced thereby as they severally mature. Unless otherwise specified with respect to Securities of any series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40"/>
          </w:cols>
          <w:pgMar w:left="440" w:top="274" w:right="519" w:bottom="1440" w:gutter="0" w:footer="0" w:header="0"/>
        </w:sectPr>
      </w:pPr>
    </w:p>
    <w:bookmarkStart w:id="99" w:name="page100"/>
    <w:bookmarkEnd w:id="99"/>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Section 301, at the option of the Company, all payments of principal may be paid by check to the registered Holder of the Registered Security or other person entitled thereto against surrender of such Security. Unless otherwise specified as contemplated by Section 301 with respect to any series of Securities, any interest due on Bearer Securities on or before Maturity shall be payable only upon presentation and surrender of the several coupons for such interest installments as are evidenced thereby as they severally mature.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1002. Maintenance of Office or Agency.</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If Securities of a series are issuable only as Registered Securities, the Company shall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that are convertible or exchangeable may be surrendered for conversion or exchange, as applicable, and where notices and demands to or upon the Company in respect of the Securities of that series and this Indenture may be served. If Securities of a series are issuable as Bearer Securities, the Company will maintain (A) in the Borough of Manhattan, The City of New York, an office or agency where any Registered Securities of that series may be presented or surrendered for payment, where any Registered Securities of that series may be surrendered for registration of transfer, where Securities of that series may be surrendered for exchange, where Securities of that series that are convertible or exchangeable may be surrendered for conversion or exchange, as applicable, and where notices and demands to or upon the Company in respect of the Securities of that series and this Indenture may be served and where Bearer Securities of that series and related coupons may be presented or surrendered for payment in the circumstances described in the following paragraph (and not otherwise), (B) subject to any laws or regulations applicable thereto, in a Place of Payment for that series which is located outside the United States, an office or agency where Securities of that series and related coupons may be presented and surrendered for payment (including payment of any Additional Amounts payable on Securities of that series pursuant to Section 1004);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Securities of that series are listed on the Luxembourg Stock Exchange or any other stock exchange located outside the United States and such stock exchange shall so require, the Company shall maintain a Paying Agent for the Securities of that series in Luxembourg or any other required city located outside the United States, as the case may be, so long as the Securities of that series are listed on such exchange, and (C)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exchange, where Securities of that series that are convertible or exchangeable may be surrendered for conversion or exchange, as applicable and where notices and demands to or upon the Company in respect of the Securities of that series and this Indenture may be served. The Company shall give prompt written notice to the Trustee of the location, and any change in the location, of each such office or agency. If at any time the Company shall fail to maintain any such required office or agency in respect of any series of Securities or shall fail to furnish the Trustee with the address thereof, such presentations, surrenders, notices and demands may be made or served at the Corporate Trust Office of the Trustee; provided that Bearer Securities of that series and the related coupons may be presented and surrendered for payment (including payment of any Additional Amounts payable on Bearer Securities of that series pursuant to Section 1004) at the offices specified in the Security, in London, England, and the Company hereby appoints the same as its agent to receive such respective presentations, surrenders, notices and demands, and the Company hereby appoints the Trustee its agent to receive all such presentations, surrenders, notices and demands.</w:t>
      </w:r>
    </w:p>
    <w:p>
      <w:pPr>
        <w:spacing w:after="0" w:line="17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Unless otherwise specified with respect to any Securities pursuant to Section 301, no payment of principal, premium or interest on Bearer Securities shall be made at any office or agency of the Company in the United States or by check mailed to any address in the United States or by transfer to any account maintained with a financial institution located in the United States;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Securities of a series are denominated and payable in Dollars, payment of principal of (and premium, if any) and interest, if any, on any Bearer Security (including payment of any Additional Amounts payable on Bearer Securities of that series pursuant to Section 1004) shall be made at the office of the Company’s Paying Agent in the Borough of Manhattan, The City of New York, if (but only if) payment in Dollars of the full amount of such principal, premium, if any, interest or Additional Amounts, as the case may be, at all offices or agencies outside the United States maintained for such purpose by the Company in accordance with this Indenture, is illegal or effectively precluded by exchange controls or other similar restrictions.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100" w:name="page101"/>
    <w:bookmarkEnd w:id="100"/>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 may also from time to time designate one or more other offices or agencies where the Securities of one or more series may be presented or surrendered for any or all of such purposes, and may from time to time rescind such designations;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the office or agency of the Company in the Borough of Manhattan, The City of New York, and initially appoints the Trustee at its Corporate Trust Office as Paying Agent in the Borough of Manhattan, The City of New York and as its agent to receive all such presentations, surrenders, notices and demands.</w:t>
      </w:r>
    </w:p>
    <w:p>
      <w:pPr>
        <w:spacing w:after="0" w:line="16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Unless otherwise specified with respect to any Securities pursuant to Section 301, if and so long as the Securities of any series (i) are denominated in a currency other than Dollars or (ii) may be payable in a currency other than Dollars, or so long as it is required under any other provision of the Indenture, then the Company shall maintain with respect to each such series of Securities, or as so required, at least one Exchange Rate Agent.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1003. Money for Securities Payments to Be Held in Trust.</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If the Company at any time act, as its own Paying Agent with respect to any series of any Securities and any related coupons, it shall, on or before each due date of the principal of (or premium, if any) or interest, if any, on any of the Securities of that series, segregate and hold in trust for the benefit of the Persons entitled thereto a sum in the Currency in which the Securities of such series are payable (except as otherwise specified pursuant to Section 301 for the Securities of such series and except, if applicable, as provided in Sections 312(b), 312(d) and 312(e)) sufficient to pay the principal (and premium, if any) and interest, if any, on Securities of such series so becoming due until such sums shall be paid to such Persons or otherwise disposed of as herein provided, and shall promptly notify the Trustee of its action or failure so to act.</w:t>
      </w:r>
    </w:p>
    <w:p>
      <w:pPr>
        <w:spacing w:after="0" w:line="17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Whenever the Company has one or more Paying Agents for any series of Securities and any related coupons, it shall, on or before each due date of the principal of (or premium, if any) or interest, if any, on any Securities of that series, deposit with a Paying Agent a sum (in the Currency or Currencies described in the preceding paragraph) sufficient to pay the principal (or premium, if any) or interest, if any, so becoming due, such sum of money to be held in trust for the benefit of the Persons entitled to such principal, premium or interest and (unless such Paying Agent is the Trustee) the Company shall promptly notify the Trustee of its action or failure so to act.</w:t>
      </w:r>
    </w:p>
    <w:p>
      <w:pPr>
        <w:spacing w:after="0" w:line="18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 all sums of money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Except as otherwise provided in the Securities of any series, any money deposited with the Trustee or any Paying Agent, or then held by the Company, in trust for the payment of the principal of (or premium, if any) or interest, if any, on any Security of any series, or any coupon appertaining thereto, and remaining unclaimed for two years after such principal, premium or interest has become due and payable shall be paid to the Company upon Company Request, or (if then held by the Company) shall be discharged from such trust; and the Holder of such Security or any coupon appertaining thereto shall thereafter, as an unsecured general creditor, look only to the Company for payment thereof, and all liability of the Trustee or such Paying Agent with respect to such money held in trust, and all liability of the Company as trustee thereof, shall thereupon cease;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Trustee or such Paying Agent, before being required to make any such repayment may, at the expense of the Company, cause to be published once, in an Authorized Newspaper, notice that such money remains unclaimed and that, after a date specified therein, which shall not be less than 30 days from the date of such publication, any unclaimed balance of such money then remaining shall be repaid to the Company.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1004. Additional Amounts.</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If the Securities of a series provide for the payment of Additional Amounts, the Company shall pay to the Holder of any Security of such series or any coupon appertaining thereto such Additional Amounts as may be specified as contemplated by Section 301. Whenever in this Indenture there is mentioned, in any context, the payment of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101" w:name="page102"/>
    <w:bookmarkEnd w:id="101"/>
    <w:p>
      <w:pPr>
        <w:ind w:left="4"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principal of (or premium, if any) or interest, if any, on any Security of any series or payment of any related coupon or the net proceeds received on the sale or exchange of any Security of any series, such mention shall be deemed to include mention of the payment of Additional Amounts provided for by the terms of such series established pursuant to Section 301 to the extent that, in such context, Additional Amounts are, were or would be payable in respect thereof pursuant to such terms and express mention of the payment of Additional Amounts (if applicable) in any provisions hereof shall not be construed as excluding Additional Amounts in those provisions hereof where such express mention is not made.</w:t>
      </w:r>
    </w:p>
    <w:p>
      <w:pPr>
        <w:spacing w:after="0" w:line="176" w:lineRule="exact"/>
        <w:rPr>
          <w:sz w:val="20"/>
          <w:szCs w:val="20"/>
          <w:color w:val="auto"/>
        </w:rPr>
      </w:pPr>
    </w:p>
    <w:p>
      <w:pPr>
        <w:ind w:left="4"/>
        <w:spacing w:after="0" w:line="285" w:lineRule="auto"/>
        <w:rPr>
          <w:sz w:val="20"/>
          <w:szCs w:val="20"/>
          <w:color w:val="auto"/>
        </w:rPr>
      </w:pPr>
      <w:r>
        <w:rPr>
          <w:rFonts w:ascii="Arial" w:cs="Arial" w:eastAsia="Arial" w:hAnsi="Arial"/>
          <w:sz w:val="16"/>
          <w:szCs w:val="16"/>
          <w:color w:val="auto"/>
        </w:rPr>
        <w:t>Except as otherwise specified as contemplated by Section 301, if the Securities of a series provide for the payment of Additional Amounts, at least 10 days prior to the first Interest Payment Date with respect to that series of Securities (or if the Securities of that series shall not bear interest prior to Maturity, the first day on which a payment of principal premium is made), and at least 10 days prior to each date of payment of principal, premium or interest if there has been any change with respect to the matters set forth in the below-mentioned Officer’s Certificate, the Company shall furnish the Trustee and the Company’s principal Paying Agent or Paying Agents, if other than the Trustee, with an Officer’s Certificate instructing the Trustee and such Paying Agent or Paying Agents whether such payment of principal, premium or interest on the Securities of that series shall be made to Holders of Securities of that series or any related coupons who are not United States persons without withholding for or on account of any tax, assessment or other governmental charge described in the Securities of that series. If any such withholding shall be required, then such Officer’s Certificate shall specify by country the amount, if any, required to be withheld on such payments to such Holders of Securities of that series or related coupons and the Company shall pay to the Trustee or such Paying Agent the Additional Amounts required by the terms of such Securities. In the event that the Trustee or any Paying Agent, as the case may be, shall not so receive the above-mentioned certificate, then the Trustee or such Paying Agent shall be entitled (i) to assume that no such withholding or deduction is required with respect to any payment of principal or interest with respect to any Securities of a series or related coupons until it shall have received a certificate advising otherwise and (ii) to make all payments of principal and interest with respect to the Securities of a series or related coupons without withholding or deductions until otherwise advised.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 or in reliance on the Company’s not furnishing such an Officer’s Certificate.</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1005. Statement as to Compliance.</w:t>
      </w:r>
    </w:p>
    <w:p>
      <w:pPr>
        <w:spacing w:after="0" w:line="121" w:lineRule="exact"/>
        <w:rPr>
          <w:sz w:val="20"/>
          <w:szCs w:val="20"/>
          <w:color w:val="auto"/>
        </w:rPr>
      </w:pPr>
    </w:p>
    <w:p>
      <w:pPr>
        <w:ind w:left="244" w:hanging="244"/>
        <w:spacing w:after="0"/>
        <w:tabs>
          <w:tab w:leader="none" w:pos="244"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Company shall deliver to the Trustee, within 120 days after the end of each fiscal year ending after the date hereof so long as any Security is</w:t>
      </w:r>
    </w:p>
    <w:p>
      <w:pPr>
        <w:spacing w:after="0" w:line="46" w:lineRule="exact"/>
        <w:rPr>
          <w:rFonts w:ascii="Arial" w:cs="Arial" w:eastAsia="Arial" w:hAnsi="Arial"/>
          <w:sz w:val="16"/>
          <w:szCs w:val="16"/>
          <w:color w:val="auto"/>
        </w:rPr>
      </w:pPr>
    </w:p>
    <w:p>
      <w:pPr>
        <w:jc w:val="both"/>
        <w:ind w:left="4"/>
        <w:spacing w:after="0" w:line="277" w:lineRule="auto"/>
        <w:rPr>
          <w:rFonts w:ascii="Arial" w:cs="Arial" w:eastAsia="Arial" w:hAnsi="Arial"/>
          <w:sz w:val="16"/>
          <w:szCs w:val="16"/>
          <w:color w:val="auto"/>
        </w:rPr>
      </w:pPr>
      <w:r>
        <w:rPr>
          <w:rFonts w:ascii="Arial" w:cs="Arial" w:eastAsia="Arial" w:hAnsi="Arial"/>
          <w:sz w:val="17"/>
          <w:szCs w:val="17"/>
          <w:color w:val="auto"/>
        </w:rPr>
        <w:t>Outstanding hereunder, a brief certificate from the principal executive officer, principal financial officer or principal accounting officer of the Company as to his or her knowledge of the Company’s compliance with all conditions and covenants under this Indenture. For purposes of this Section 1005, such compliance shall be determined without regard to any period of grace or requirement of notice under this Indenture.</w:t>
      </w:r>
    </w:p>
    <w:p>
      <w:pPr>
        <w:spacing w:after="0" w:line="172" w:lineRule="exact"/>
        <w:rPr>
          <w:rFonts w:ascii="Arial" w:cs="Arial" w:eastAsia="Arial" w:hAnsi="Arial"/>
          <w:sz w:val="16"/>
          <w:szCs w:val="16"/>
          <w:color w:val="auto"/>
        </w:rPr>
      </w:pPr>
    </w:p>
    <w:p>
      <w:pPr>
        <w:ind w:left="264" w:hanging="264"/>
        <w:spacing w:after="0"/>
        <w:tabs>
          <w:tab w:leader="none" w:pos="264"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Company shall, so long as any series of Securities are Outstanding, deliver to the Trustee, as promptly as practicable upon any officer listed in</w:t>
      </w:r>
    </w:p>
    <w:p>
      <w:pPr>
        <w:spacing w:after="0" w:line="46" w:lineRule="exact"/>
        <w:rPr>
          <w:rFonts w:ascii="Arial" w:cs="Arial" w:eastAsia="Arial" w:hAnsi="Arial"/>
          <w:sz w:val="16"/>
          <w:szCs w:val="16"/>
          <w:color w:val="auto"/>
        </w:rPr>
      </w:pPr>
    </w:p>
    <w:p>
      <w:pPr>
        <w:ind w:left="4" w:right="360" w:hanging="4"/>
        <w:spacing w:after="0" w:line="255" w:lineRule="auto"/>
        <w:tabs>
          <w:tab w:leader="none" w:pos="24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above becoming aware of any Default, Event of Default or default in the performance of any covenant, agreement or condition contained in this Indenture, an Officer’s Certificate specifying such Default, Event of Default, default or event of default and what action the Company is taking or proposes to take with respect thereto and the status thereof.</w:t>
      </w:r>
    </w:p>
    <w:p>
      <w:pPr>
        <w:spacing w:after="0" w:line="29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1006. Limitations on Liens.</w:t>
      </w:r>
    </w:p>
    <w:p>
      <w:pPr>
        <w:spacing w:after="0" w:line="121" w:lineRule="exact"/>
        <w:rPr>
          <w:sz w:val="20"/>
          <w:szCs w:val="20"/>
          <w:color w:val="auto"/>
        </w:rPr>
      </w:pPr>
    </w:p>
    <w:p>
      <w:pPr>
        <w:ind w:left="4" w:right="120"/>
        <w:spacing w:after="0" w:line="296" w:lineRule="auto"/>
        <w:rPr>
          <w:sz w:val="20"/>
          <w:szCs w:val="20"/>
          <w:color w:val="auto"/>
        </w:rPr>
      </w:pPr>
      <w:r>
        <w:rPr>
          <w:rFonts w:ascii="Arial" w:cs="Arial" w:eastAsia="Arial" w:hAnsi="Arial"/>
          <w:sz w:val="16"/>
          <w:szCs w:val="16"/>
          <w:color w:val="auto"/>
        </w:rPr>
        <w:t xml:space="preserve">Except as hereinbelow in this Section provided, the Company shall not, and shall not permit any Subsidiary to, at any time pledge or otherwise subject to any lien any of its property or assets, or any of the property or assets of a Subsidiary, without thereby expressly securing the due and punctual payment of the principal of and the interest on the Securities equally and ratably with any and all other obligations and indebtedness secured by such pledge or other lien, so long as any such other obligations and indebtedness shall be so secured, and the Company covenants that if and when any such pledge or other lien is created, the Securities shall be so secured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restriction shall not apply to:</w:t>
      </w:r>
    </w:p>
    <w:p>
      <w:pPr>
        <w:spacing w:after="0" w:line="9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4"/>
          </w:cols>
          <w:pgMar w:left="436" w:top="274" w:right="499" w:bottom="1440" w:gutter="0" w:footer="0" w:header="0"/>
        </w:sectPr>
      </w:pPr>
    </w:p>
    <w:bookmarkStart w:id="102" w:name="page103"/>
    <w:bookmarkEnd w:id="102"/>
    <w:p>
      <w:pPr>
        <w:ind w:right="400" w:firstLine="436"/>
        <w:spacing w:after="0" w:line="277" w:lineRule="auto"/>
        <w:tabs>
          <w:tab w:leader="none" w:pos="6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to secure debt incurred under the $100 million revolving senior secured credit facility entered into by the Company on June 23, 2011, which may be amended, extended or modified from time to time;</w:t>
      </w:r>
    </w:p>
    <w:p>
      <w:pPr>
        <w:spacing w:after="0" w:line="170" w:lineRule="exact"/>
        <w:rPr>
          <w:rFonts w:ascii="Arial" w:cs="Arial" w:eastAsia="Arial" w:hAnsi="Arial"/>
          <w:sz w:val="18"/>
          <w:szCs w:val="18"/>
          <w:color w:val="auto"/>
        </w:rPr>
      </w:pPr>
    </w:p>
    <w:p>
      <w:pPr>
        <w:ind w:right="140" w:firstLine="436"/>
        <w:spacing w:after="0" w:line="275" w:lineRule="auto"/>
        <w:tabs>
          <w:tab w:leader="none" w:pos="6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liens to secure the purchase or lease of fixed assets or other physical properties and purchase money debt incurred in the ordinary course of business of the Company or any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lien may not extend to any property of the Company or any Subsidiary other than the property acquired, constructed or leased and any improvements or accessions to such property (including, in the case of the acquisition of capital stock of a person that becomes a Subsidiary, liens on the property of the person whose capital stock was acquired), and such lien is incurred within 180 days of the acquisition, construction or lease of such property;</w:t>
      </w:r>
    </w:p>
    <w:p>
      <w:pPr>
        <w:spacing w:after="0" w:line="176" w:lineRule="exact"/>
        <w:rPr>
          <w:rFonts w:ascii="Arial" w:cs="Arial" w:eastAsia="Arial" w:hAnsi="Arial"/>
          <w:sz w:val="17"/>
          <w:szCs w:val="17"/>
          <w:color w:val="auto"/>
        </w:rPr>
      </w:pPr>
    </w:p>
    <w:p>
      <w:pPr>
        <w:ind w:right="260" w:firstLine="436"/>
        <w:spacing w:after="0" w:line="263" w:lineRule="auto"/>
        <w:tabs>
          <w:tab w:leader="none" w:pos="6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liens or levies on the property of the Company or any Subsidiary for taxes, assessments or other governmental charges, if the same are being contested in good faith and by appropriate proceedings promptly instituted and diligently concluded, provided that any reserve or other appropriate provision shall have been made therefor;</w:t>
      </w:r>
    </w:p>
    <w:p>
      <w:pPr>
        <w:spacing w:after="0" w:line="183" w:lineRule="exact"/>
        <w:rPr>
          <w:rFonts w:ascii="Arial" w:cs="Arial" w:eastAsia="Arial" w:hAnsi="Arial"/>
          <w:sz w:val="18"/>
          <w:szCs w:val="18"/>
          <w:color w:val="auto"/>
        </w:rPr>
      </w:pPr>
    </w:p>
    <w:p>
      <w:pPr>
        <w:ind w:firstLine="436"/>
        <w:spacing w:after="0" w:line="259" w:lineRule="auto"/>
        <w:tabs>
          <w:tab w:leader="none" w:pos="6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landlord’s, repairmen’s and mechanics’ liens and other similar liens, on the property of the Company or any Subsidiary arising in the ordinary course of business and securing payment of obligations that are not more than 60 days past due or are being contested in good faith and by appropriate proceedings, provided that any reserve or other appropriate provision shall have been made therefor;</w:t>
      </w:r>
    </w:p>
    <w:p>
      <w:pPr>
        <w:spacing w:after="0" w:line="186" w:lineRule="exact"/>
        <w:rPr>
          <w:rFonts w:ascii="Arial" w:cs="Arial" w:eastAsia="Arial" w:hAnsi="Arial"/>
          <w:sz w:val="18"/>
          <w:szCs w:val="18"/>
          <w:color w:val="auto"/>
        </w:rPr>
      </w:pPr>
    </w:p>
    <w:p>
      <w:pPr>
        <w:ind w:right="120" w:firstLine="436"/>
        <w:spacing w:after="0" w:line="279" w:lineRule="auto"/>
        <w:tabs>
          <w:tab w:leader="none" w:pos="6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liens on property in place at the time the Company or a Subsidiary acquired such property, including any acquisition by means of a merger or consolidation with or into the Company or any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such lien may not extend to any other property of the Company or any Subsidiary;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such liens shall not have been incurred in anticipation of or in connection with the transaction or series of transactions pursuant to which such property was acquired by the Company or any Subsidiary;</w:t>
      </w:r>
    </w:p>
    <w:p>
      <w:pPr>
        <w:spacing w:after="0" w:line="171" w:lineRule="exact"/>
        <w:rPr>
          <w:rFonts w:ascii="Arial" w:cs="Arial" w:eastAsia="Arial" w:hAnsi="Arial"/>
          <w:sz w:val="17"/>
          <w:szCs w:val="17"/>
          <w:color w:val="auto"/>
        </w:rPr>
      </w:pPr>
    </w:p>
    <w:p>
      <w:pPr>
        <w:jc w:val="both"/>
        <w:ind w:right="280" w:firstLine="436"/>
        <w:spacing w:after="0" w:line="311" w:lineRule="auto"/>
        <w:tabs>
          <w:tab w:leader="none" w:pos="6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liens on the property of a person at the time such person becomes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lien may not extend to any other property of the Company or any other Subsidiary that is not a direct Subsidiary of such person;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any such lien was not incurred in anticipation of or in connection with the transaction or series of transactions pursuant to which such person became a Subsidiary;</w:t>
      </w:r>
    </w:p>
    <w:p>
      <w:pPr>
        <w:spacing w:after="0" w:line="148" w:lineRule="exact"/>
        <w:rPr>
          <w:rFonts w:ascii="Arial" w:cs="Arial" w:eastAsia="Arial" w:hAnsi="Arial"/>
          <w:sz w:val="16"/>
          <w:szCs w:val="16"/>
          <w:color w:val="auto"/>
        </w:rPr>
      </w:pPr>
    </w:p>
    <w:p>
      <w:pPr>
        <w:ind w:right="100" w:firstLine="436"/>
        <w:spacing w:after="0" w:line="277" w:lineRule="auto"/>
        <w:tabs>
          <w:tab w:leader="none" w:pos="6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mortgages, pledges, liens or charges existing on property acquired by the Company or a Subsidiary through the exercise of rights arising out of defaults on receivables acquired in the ordinary course of business;</w:t>
      </w:r>
    </w:p>
    <w:p>
      <w:pPr>
        <w:spacing w:after="0" w:line="170" w:lineRule="exact"/>
        <w:rPr>
          <w:rFonts w:ascii="Arial" w:cs="Arial" w:eastAsia="Arial" w:hAnsi="Arial"/>
          <w:sz w:val="18"/>
          <w:szCs w:val="18"/>
          <w:color w:val="auto"/>
        </w:rPr>
      </w:pPr>
    </w:p>
    <w:p>
      <w:pPr>
        <w:ind w:left="620" w:hanging="184"/>
        <w:spacing w:after="0"/>
        <w:tabs>
          <w:tab w:leader="none" w:pos="6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pledges or deposits by the Company or any Subsidiary under workers’ compensation laws, social security, unemployment insurance laws,</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old-age pensions or similar legislation, or good faith deposits in connection with bids, tenders, contracts (other than for the payment of Debt) or leases to which the Company or any Subsidiary is party, or deposits to secure public or statutory obligations of the Company, or deposits for the payment of rent, in each case incurred in the ordinary course of business;</w:t>
      </w:r>
    </w:p>
    <w:p>
      <w:pPr>
        <w:spacing w:after="0" w:line="190" w:lineRule="exact"/>
        <w:rPr>
          <w:sz w:val="20"/>
          <w:szCs w:val="20"/>
          <w:color w:val="auto"/>
        </w:rPr>
      </w:pPr>
    </w:p>
    <w:p>
      <w:pPr>
        <w:ind w:right="180" w:firstLine="436"/>
        <w:spacing w:after="0" w:line="277" w:lineRule="auto"/>
        <w:tabs>
          <w:tab w:leader="none" w:pos="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utility easements, building restrictions and such other encumbrances or charges against real property as are of a nature generally existing with respect to properties of a similar character;</w:t>
      </w:r>
    </w:p>
    <w:p>
      <w:pPr>
        <w:spacing w:after="0" w:line="170" w:lineRule="exact"/>
        <w:rPr>
          <w:rFonts w:ascii="Arial" w:cs="Arial" w:eastAsia="Arial" w:hAnsi="Arial"/>
          <w:sz w:val="18"/>
          <w:szCs w:val="18"/>
          <w:color w:val="auto"/>
        </w:rPr>
      </w:pPr>
    </w:p>
    <w:p>
      <w:pPr>
        <w:ind w:right="60" w:firstLine="436"/>
        <w:spacing w:after="0" w:line="293" w:lineRule="auto"/>
        <w:tabs>
          <w:tab w:leader="none" w:pos="71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liens on the property of the Company or any Subsidiary to secure any refinancing debt in respect of debt secured by liens described under clause (1)-(3) and (5)-(7) of this definition; provided, however, that any such lien shall be limited to all or part of the same property that secured the original lien (together with improvements and accessions to such property), and the aggregate principal amount of debt that is secured by such lien shall not be increased to an amount greater than the sum of (i) the outstanding principal amount, or, if greater, the committed amount, of the debt being refinanced at the time the original lien became a Permitted Lien under the Indenture, and (ii) an amount necessary to pay any fees and expenses, including premiums and defeasance costs, incurred by the Company or such Subsidiary in connection with such refinancing;</w:t>
      </w:r>
    </w:p>
    <w:p>
      <w:pPr>
        <w:spacing w:after="0" w:line="164" w:lineRule="exact"/>
        <w:rPr>
          <w:rFonts w:ascii="Arial" w:cs="Arial" w:eastAsia="Arial" w:hAnsi="Arial"/>
          <w:sz w:val="16"/>
          <w:szCs w:val="16"/>
          <w:color w:val="auto"/>
        </w:rPr>
      </w:pPr>
    </w:p>
    <w:p>
      <w:pPr>
        <w:ind w:right="520" w:firstLine="436"/>
        <w:spacing w:after="0" w:line="277" w:lineRule="auto"/>
        <w:tabs>
          <w:tab w:leader="none" w:pos="70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liens on property used to defease or to satisfy and discharge debt; provided that (i) the incurrence of such debt was not prohibited by the Indenture and (ii) such defeasance or satisfaction and discharge is not prohibited by the Indenture;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103" w:name="page104"/>
    <w:bookmarkEnd w:id="103"/>
    <w:p>
      <w:pPr>
        <w:ind w:left="700" w:hanging="264"/>
        <w:spacing w:after="0"/>
        <w:tabs>
          <w:tab w:leader="none" w:pos="7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in favor of the Company or any Subsidiary;</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rights of banks to set off deposits against Debt owed to said bank;</w:t>
      </w:r>
    </w:p>
    <w:p>
      <w:pPr>
        <w:spacing w:after="0" w:line="225" w:lineRule="exact"/>
        <w:rPr>
          <w:rFonts w:ascii="Arial" w:cs="Arial" w:eastAsia="Arial" w:hAnsi="Arial"/>
          <w:sz w:val="18"/>
          <w:szCs w:val="18"/>
          <w:color w:val="auto"/>
        </w:rPr>
      </w:pPr>
    </w:p>
    <w:p>
      <w:pPr>
        <w:ind w:right="180" w:firstLine="436"/>
        <w:spacing w:after="0" w:line="277" w:lineRule="auto"/>
        <w:tabs>
          <w:tab w:leader="none" w:pos="71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commercial letters of credit which encumber documents and other assets relating to such letters of credit and products and proceeds thereof;</w:t>
      </w:r>
    </w:p>
    <w:p>
      <w:pPr>
        <w:spacing w:after="0" w:line="170" w:lineRule="exact"/>
        <w:rPr>
          <w:rFonts w:ascii="Arial" w:cs="Arial" w:eastAsia="Arial" w:hAnsi="Arial"/>
          <w:sz w:val="18"/>
          <w:szCs w:val="18"/>
          <w:color w:val="auto"/>
        </w:rPr>
      </w:pPr>
    </w:p>
    <w:p>
      <w:pPr>
        <w:ind w:right="20" w:firstLine="436"/>
        <w:spacing w:after="0" w:line="263" w:lineRule="auto"/>
        <w:tabs>
          <w:tab w:leader="none" w:pos="71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deposit or pledge of assets with any surety company or clerk of any court, or in escrow, as collateral in connection with, or in lieu of, any bond on appeal from any judgment or decree against the Company or a Subsidiary, or in connection with other proceedings or actions at law or in equity by or against the Company or a Subsidiary;</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mortgages and pledges, liens or charges by a Subsidiary as security for indebtedness owed to the Company;</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judgment liens, so long as the finality of such judgment is being contested in good faith and execution thereon is stayed;</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claim in favor of the Trustee or any predecessor, pursuant to Section 607;</w:t>
      </w:r>
    </w:p>
    <w:p>
      <w:pPr>
        <w:spacing w:after="0" w:line="225" w:lineRule="exact"/>
        <w:rPr>
          <w:rFonts w:ascii="Arial" w:cs="Arial" w:eastAsia="Arial" w:hAnsi="Arial"/>
          <w:sz w:val="18"/>
          <w:szCs w:val="18"/>
          <w:color w:val="auto"/>
        </w:rPr>
      </w:pPr>
    </w:p>
    <w:p>
      <w:pPr>
        <w:ind w:right="400" w:firstLine="436"/>
        <w:spacing w:after="0" w:line="308" w:lineRule="auto"/>
        <w:tabs>
          <w:tab w:leader="none" w:pos="71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any pledge or lien (other than directly or indirectly to secure borrowed money) if, after giving effect thereto, the aggregate principal sums secured by pledges or liens otherwise within the restrictions in this Section 1006 contained do not exceed $10,000,000; and</w:t>
      </w:r>
    </w:p>
    <w:p>
      <w:pPr>
        <w:spacing w:after="0" w:line="146" w:lineRule="exact"/>
        <w:rPr>
          <w:rFonts w:ascii="Arial" w:cs="Arial" w:eastAsia="Arial" w:hAnsi="Arial"/>
          <w:sz w:val="17"/>
          <w:szCs w:val="17"/>
          <w:color w:val="auto"/>
        </w:rPr>
      </w:pPr>
    </w:p>
    <w:p>
      <w:pPr>
        <w:ind w:right="760" w:firstLine="436"/>
        <w:spacing w:after="0" w:line="277" w:lineRule="auto"/>
        <w:tabs>
          <w:tab w:leader="none" w:pos="71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transaction characterized as a sale of receivables (retail or wholesale) but reflected as secured indebtedness on a balance sheet in conformity with generally accepted accounting principles then in effect.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1007. Waiver of Certain Covenants.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may omit in any particular instance to comply with any covenant or condition set forth in Section 1006, and, as specified pursuant to Section 301(15) for Securities of any series, in any covenants of the Company added to Article Ten pursuant to Section 301(14) or Section 301(15) in connection with the Securities of a series, if before or after the time for such compliance the Holders of at least a majority in aggregate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covenant or condition shall remain in full force and effect.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ELEVEN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1101. Applicability of Article.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1102. Election to Redeem; Notice to Trustee.</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election of the Company to redeem any Securities shall be evidenced by or pursuant to a Board Resolution. In case of any redemption at the election of the Company of less than all of the Securities of any series, the Company shall, at least 60 days prior to the Redemption Date fixed by the Company (unless a shorter notice shall be satisfactory to the Trustee), notify the Trustee in writing of such Redemption Date and of the principal amount of Securities of such series to be redeemed, and, if applicable, of the tenor of the Securities to be redeemed, and shall deliver to the Trustee such documentation and records as shall enable the Trustee to select the Securities to be redeemed pursuant to Section 1103. In the case of any redemption of Securities of any series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1103. Selection by Trustee of Securities to Be Redeemed.</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If less than all the Securities of any series issued on the same day with the same terms are to be redeemed, the particular Securities to be redeemed shall be selected not more than 60 days prior to the Redemption Date by the Trustee, from the Outstanding Securities of such series issued on such date with the same terms not previously called for redemption, by such method as the Trustee shall deem fair and appropriate;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method complies with the rules of any national securities exchange or quotation system on which the Securities are listed, and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partial redemption shall reduce the portion of the principal amount of a Security not redeemed to less than the minimum authorized denomination for Securities of such series.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1104. Notice of Redemption.</w:t>
      </w:r>
    </w:p>
    <w:p>
      <w:pPr>
        <w:spacing w:after="0" w:line="12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Notice of redemption shall be given in the manner provided in Section 106, not less than 30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15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Any notice that is mailed to the Holders of Registered Securities in the manner herein provided shall be conclusively presumed to have been duly given, whether or not the Holder receives the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notices of redemption shall state:</w:t>
      </w:r>
    </w:p>
    <w:p>
      <w:pPr>
        <w:spacing w:after="0" w:line="117" w:lineRule="exact"/>
        <w:rPr>
          <w:sz w:val="20"/>
          <w:szCs w:val="20"/>
          <w:color w:val="auto"/>
        </w:rPr>
      </w:pPr>
    </w:p>
    <w:p>
      <w:pPr>
        <w:ind w:left="700" w:hanging="264"/>
        <w:spacing w:after="0"/>
        <w:tabs>
          <w:tab w:leader="none" w:pos="7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Redemption Price and accrued interest, if any, to the Redemption Date payable as provided in Section 1106,</w:t>
      </w:r>
    </w:p>
    <w:p>
      <w:pPr>
        <w:spacing w:after="0" w:line="225" w:lineRule="exact"/>
        <w:rPr>
          <w:rFonts w:ascii="Arial" w:cs="Arial" w:eastAsia="Arial" w:hAnsi="Arial"/>
          <w:sz w:val="18"/>
          <w:szCs w:val="18"/>
          <w:color w:val="auto"/>
        </w:rPr>
      </w:pPr>
    </w:p>
    <w:p>
      <w:pPr>
        <w:ind w:right="180" w:firstLine="436"/>
        <w:spacing w:after="0" w:line="277" w:lineRule="auto"/>
        <w:tabs>
          <w:tab w:leader="none" w:pos="69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less than all Outstanding Securities of any series are to be redeemed, the identification (and, in the case of partial redemption, the principal amount) of the particular Security or Securities to be redeemed,</w:t>
      </w:r>
    </w:p>
    <w:p>
      <w:pPr>
        <w:spacing w:after="0" w:line="170" w:lineRule="exact"/>
        <w:rPr>
          <w:rFonts w:ascii="Arial" w:cs="Arial" w:eastAsia="Arial" w:hAnsi="Arial"/>
          <w:sz w:val="18"/>
          <w:szCs w:val="18"/>
          <w:color w:val="auto"/>
        </w:rPr>
      </w:pPr>
    </w:p>
    <w:p>
      <w:pPr>
        <w:ind w:right="100" w:firstLine="436"/>
        <w:spacing w:after="0" w:line="263" w:lineRule="auto"/>
        <w:tabs>
          <w:tab w:leader="none" w:pos="69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case any Security is to be redeemed in part only, the notice which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183" w:lineRule="exact"/>
        <w:rPr>
          <w:rFonts w:ascii="Arial" w:cs="Arial" w:eastAsia="Arial" w:hAnsi="Arial"/>
          <w:sz w:val="18"/>
          <w:szCs w:val="18"/>
          <w:color w:val="auto"/>
        </w:rPr>
      </w:pPr>
    </w:p>
    <w:p>
      <w:pPr>
        <w:ind w:right="160" w:firstLine="436"/>
        <w:spacing w:after="0" w:line="263" w:lineRule="auto"/>
        <w:tabs>
          <w:tab w:leader="none" w:pos="69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that on the Redemption Date, the Redemption Price and accrued interest, if any, to the Redemption Date payable as provided in Section 1106 will become due and payable upon each such Security, or the portion thereof, to be redeemed and, if applicable, that interest thereon shall cease to accrue on and after said date,</w:t>
      </w:r>
    </w:p>
    <w:p>
      <w:pPr>
        <w:spacing w:after="0" w:line="183" w:lineRule="exact"/>
        <w:rPr>
          <w:rFonts w:ascii="Arial" w:cs="Arial" w:eastAsia="Arial" w:hAnsi="Arial"/>
          <w:sz w:val="18"/>
          <w:szCs w:val="18"/>
          <w:color w:val="auto"/>
        </w:rPr>
      </w:pPr>
    </w:p>
    <w:p>
      <w:pPr>
        <w:ind w:right="260" w:firstLine="436"/>
        <w:spacing w:after="0" w:line="308" w:lineRule="auto"/>
        <w:tabs>
          <w:tab w:leader="none" w:pos="69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Place or Places of Payment where such Securities, together in the case of Bearer Securities with all coupons appertaining thereto, if any, maturing after the Redemption Date, are to be surrendered for payment of the Redemption Price and accrued interest, if any,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0" w:right="459" w:bottom="1440" w:gutter="0" w:footer="0" w:header="0"/>
        </w:sectPr>
      </w:pPr>
    </w:p>
    <w:bookmarkStart w:id="105" w:name="page106"/>
    <w:bookmarkEnd w:id="105"/>
    <w:p>
      <w:pPr>
        <w:ind w:left="700" w:hanging="264"/>
        <w:spacing w:after="0"/>
        <w:tabs>
          <w:tab w:leader="none" w:pos="7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the redemption is for a sinking fund, if such is the case,</w:t>
      </w:r>
    </w:p>
    <w:p>
      <w:pPr>
        <w:spacing w:after="0" w:line="225" w:lineRule="exact"/>
        <w:rPr>
          <w:rFonts w:ascii="Arial" w:cs="Arial" w:eastAsia="Arial" w:hAnsi="Arial"/>
          <w:sz w:val="18"/>
          <w:szCs w:val="18"/>
          <w:color w:val="auto"/>
        </w:rPr>
      </w:pPr>
    </w:p>
    <w:p>
      <w:pPr>
        <w:ind w:right="140" w:firstLine="436"/>
        <w:spacing w:after="0" w:line="311" w:lineRule="auto"/>
        <w:tabs>
          <w:tab w:leader="none" w:pos="69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that, unless otherwise specified in such notice, Bearer Securities of any series, if any, surrendered for redemption must be accompanied by all coupons maturing subsequent to the Redemption Date or the amount of any such missing coupon or coupons will be deducted from the Redemption Price, unless security or indemnity satisfactory to the Company, the Trustee for such series and any Paying Agent is furnished,</w:t>
      </w:r>
    </w:p>
    <w:p>
      <w:pPr>
        <w:spacing w:after="0" w:line="148" w:lineRule="exact"/>
        <w:rPr>
          <w:rFonts w:ascii="Arial" w:cs="Arial" w:eastAsia="Arial" w:hAnsi="Arial"/>
          <w:sz w:val="16"/>
          <w:szCs w:val="16"/>
          <w:color w:val="auto"/>
        </w:rPr>
      </w:pPr>
    </w:p>
    <w:p>
      <w:pPr>
        <w:ind w:right="80" w:firstLine="436"/>
        <w:spacing w:after="0" w:line="263" w:lineRule="auto"/>
        <w:tabs>
          <w:tab w:leader="none" w:pos="69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Bearer Securities of any series are to be redeemed and any Registered Securities of such series are not to be redeemed, and if such Bearer Securities may be exchanged for Registered Securities not subject to redemption on this Redemption Date pursuant to Section 305 or otherwise, the last date, as determined by the Company, on which such exchanges may be made, and</w:t>
      </w:r>
    </w:p>
    <w:p>
      <w:pPr>
        <w:spacing w:after="0" w:line="183" w:lineRule="exact"/>
        <w:rPr>
          <w:rFonts w:ascii="Arial" w:cs="Arial" w:eastAsia="Arial" w:hAnsi="Arial"/>
          <w:sz w:val="18"/>
          <w:szCs w:val="18"/>
          <w:color w:val="auto"/>
        </w:rPr>
      </w:pPr>
    </w:p>
    <w:p>
      <w:pPr>
        <w:ind w:left="780" w:hanging="344"/>
        <w:spacing w:after="0"/>
        <w:tabs>
          <w:tab w:leader="none" w:pos="7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CUSIP number of such Security, if any.</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notice of redemption published as contemplated by Section 106 need not identify particular Registered Securities to be redeemed. Notice of redemption of Securities to be redeemed shall be given by the Company or, at the Company’s request, by the Trustee in the name and at the expense of the Company.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1105. Deposit of Redemption Price.</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or prior to 10:00 am, New York City time, on any Redemption Date, the Company shall deposit with the Trustee or with a Paying Agent (or, if the Company is acting as its own Paying Agent, which it may not do in the case of a sinking fund payment under Article Twelve, segregate and hold in trust as provided in Section 1003) an amount of money in the Currency in which the Securities of such series are payable (except as otherwise specified pursuant to Section 301 for the Securities of such series and except, if applicable, as provided in Sections 312(b), 312(d) and 312(e)) sufficient to pay on the Redemption Date the Redemption Price of, and (unless otherwise specified pursuant to Section 301) accrued interest on, all the Securities or portions thereof which are to be redeemed on that date.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1106. Securities Payable on Redemption Date.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Notice of redemption having been given as aforesaid, the Securities so to be redeemed shall, on the Redemption Date, become due and payable at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Redemption Price therein specified in the Currency in which the Securities of such series are payable (except as otherwise specified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301 for the Securities of such series and except, if applicable, as provided in Sections 312(b), 312(d) and 312(e)) (together with accrued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if any, to the Redemption Date), and from and after such date (unless the Company shall default in the payment of the Redemption Price and accrued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if any) such Securities shall, if the same were interest-bearing, cease to bear interest, and the coupons for such interest appertaining to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Bearer Securities so to be redeemed, except to the extent provided below, shall be void. Upon surrender of any such Security for redemption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said notice, together with all coupons, if any, appertaining thereto maturing after the Redemption Date, such Security shall be paid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 at the Redemption Price, together with accrued interest, if any, to the Redemption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installments of interest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Bearer Securities whose Stated Maturity is on or prior to the Redemption Date shall be payable only at an office or agency located outside the United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States (except as otherwise provided in Section 1002) and, unless otherwise specified as contemplated by Section 301, only upon presentation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surrender of coupons for such interest;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unless</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otherwise specified as contemplated by Section 301,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106" w:name="page107"/>
    <w:bookmarkEnd w:id="106"/>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Security called for redemption shall not be so paid upon surrender thereof for redemption, the Redemption Price shall, until paid, bear interest from the Redemption Date at the rate of interest set forth in such Security or, in the case of an Original Issue Discount Security, at the Yield to Maturity of such Security.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1107. Securities Redeemed in Part.</w:t>
      </w:r>
    </w:p>
    <w:p>
      <w:pPr>
        <w:spacing w:after="0" w:line="12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Any Registered Security which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 If a temporary global Security or permanent global Security is so surrendered, such new Security so issued shall be a new temporary global Security or permanent global Security, respectively. However, if less than all the Securities of any series with differing issue dates, interest rates and stated maturities are to be redeemed, the Company in its sole discretion shall select the particular Securities to be redeemed and shall notify the Trustee in writing thereof at least 45 days prior to the relevant redemption date.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TWELVE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SINKING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1201. Applicability of Article.</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provisions of this Article shall be applicable to any sinking fund for the retirement of Securities of a series except as otherwise specified as contemplated by Section 301 for Securities of such series.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1202. Satisfaction of Sinking Fund Payments with Securities.</w:t>
      </w:r>
    </w:p>
    <w:p>
      <w:pPr>
        <w:spacing w:after="0" w:line="12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The Company may, in satisfaction of all or any part of any mandatory sinking fund payment with respect to the Securities of a series, (1) deliver Outstanding Securities of such series (other than any previously called for redemption) together in the case of any Bearer Securities of such series with all unmatured coupons appertaining thereto and (2)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1203. Redemption of Securities for Sinking Fund.</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Not less than 60 days prior to each sinking fund payment date for Securities of any series, the Company shall deliver to the Trustee an Officer’s Certificate specifying the amount of the next ensuing mandatory sinking fund payment for that series pursuant to the terms of that series, the portion thereof, if any, which is to be satisfied by payment 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107" w:name="page108"/>
    <w:bookmarkEnd w:id="107"/>
    <w:p>
      <w:pPr>
        <w:ind w:right="10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cash in the Currency in which the Securities of such series are payable (except as otherwise specified pursuant to Section 301 for the Securities of such series and except, if applicable, as provided in Sections 312(b), 312(d) and 312(e))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 be obligated to pay the amount therein specified.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THIRTEEN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REPAYMENT AT THE OPTION OF 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1301. Applicability of Article.</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Repayment of Securities of any series before their Stated Maturity at the option of Holders thereof shall be made in accordance with the terms of such Securities and (except as otherwise specified by the terms of such series established pursuant to Section 301) in accordance with this Article.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1302. Repayment of Securities.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Securities of any series subject to repayment in whole or in part at the option of the Holders thereof shall, unless otherwise provided in the terms of such Securities, be repaid at the Repayment Price thereof, together with interest, if any, thereon accrued to the Repayment Date specified in or pursuant to the terms of such Securities. The Company covenants that on or before 10:00 am, New York City time, on the Repayment Date it shall deposit with the Trustee or with a Paying Agent (or, if the Company is acting as its own Paying Agent, segregate and hold in trust as provided in Section 1003) an amount of money in the Currency in which the Securities of such series are payable (except as otherwise specified pursuant to Section 301 for the Securities of such series and except, if applicable, as provided in Sections 312(b), 312(d) and 312(e)) sufficient to pay the Repayment Price of, and (unless otherwise specified pursuant to Section 301) accrued interest on, all the Securities or portions thereof, as the case may be, to be repaid on such date.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1303. Exercise of Option.</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Securities of any series subject to repayment at the option of the Holders thereof shall contain an “Option to Elect Repayment” form on the reverse of such Securities. To be repaid at the option of the Holder, any Security so providing for such repayment, with the “Option to Elect Repayment” form on the reverse of such Security duly completed by the Holder (or by the Holder’s attorney duly authorized in writing), must be received by the Company at the Place of Payment therefor specified in the terms of such Security (or at such other place or places of which the Company shall from time to time notify the Holders of such Securities) not earlier than 45 days nor later than 30 days prior to the Repayment Date. If less than the entire Repayment Price of such Security is to be repaid in accordance with the terms of such Security, the portion of the Repayment Price of such Security to be repaid, in increments of the minimum denomination for Securities of such series, and the denomination or denominations of the Security or Securities to be issued to the Holder for the portion of such Security surrendered that is not to be repaid, must be specified.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1304. When Securities Presented for Repayment Become Due and Payable.</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and the coupons for such interest appertaining to any Bearer Securities so to be repaid, except to the extent provided below, shall be void. Upon surrender of any such Security for repayment in accordance with such provisions, together with all coupons, if any, appertaining thereto maturing after the Repayment Date, the Repayment Price of such Security so to be repaid shall be paid by the Company, together with accrued interest, if any, to the Repayment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coupons whose Stated Maturity is on or prior to the Repayment Date shall be payable only at an office or agency located outside the United States (except as otherwise provided in Section 1002) and, unless otherwise specified pursuant to Section 301, only upon presentation and surrender of such coupons;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installments of interest on Registered Securities, whose Stated Maturity is prior to (or, if specified pursuant to Section 301, on)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spacing w:after="0" w:line="17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If any Bearer Security surrendered for repayment shall not be accompanied by all appurtenant coupons maturing after the Repayment Date, such Security may be paid after deducting from the amount payable therefor as provided in Section 1302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as provided in the preceding sentence, such Holder shall be entitled to receive the amount so deducted;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78"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If any Security surrendered for repayment shall not be so repaid upon surrender thereof, the Repayment Price shall, until paid, bear interest from the Repayment Date at the rate of interest set forth in such Security or, in the case of an Original Issue Discount Security, at the Yield to Maturity of such Security.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1305. Securities Repaid in Part.</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Upon surrender of any Registered Security which is to be repaid in part only, the Company shall execute and the Trustee shall authenticate and deliver to the Holder of such Security, without service charge and at the expense of the Company, a new Registered Security or Securities of the same series, and of like tenor, of any authorized denomination specified by the Holder, in an aggregate principal amount equal to and in exchange for the portion of the principal of such Security so surrendered which is not to be repaid. If a temporary global Security or permanent global Security is so surrendered, such new Security so issued shall be a new temporary global Security or a new permanent global Security, respectively.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FOURTEEN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DEFEASANCE AND COVENANT DEFEASANCE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1401. Applicability of Article; Company’s Option to Effect Defeasance or Covenant Defeasance.</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If pursuant to Section 301 provision is made for either or both of (a) defeasance of the Securities of or within a series under Section 1402 or (b) 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any coupons appertaining thereto, and the Company may, at its option by Board Resolution at any time, with respect to such Securities and any coupons appertaining thereto, elect to have either Section 1402 (if applicable) or Section 1403 (if applicable) be applied to such Outstanding Securities and any coupons appertaining thereto upon compliance with the conditions set forth below in this Article.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0" w:right="459" w:bottom="1440" w:gutter="0" w:footer="0" w:header="0"/>
        </w:sectPr>
      </w:pPr>
    </w:p>
    <w:bookmarkStart w:id="109" w:name="page110"/>
    <w:bookmarkEnd w:id="10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1402. Defeasance and Discharge.</w:t>
      </w:r>
    </w:p>
    <w:p>
      <w:pPr>
        <w:spacing w:after="0" w:line="121" w:lineRule="exact"/>
        <w:rPr>
          <w:sz w:val="20"/>
          <w:szCs w:val="20"/>
          <w:color w:val="auto"/>
        </w:rPr>
      </w:pPr>
    </w:p>
    <w:p>
      <w:pPr>
        <w:ind w:left="4"/>
        <w:spacing w:after="0" w:line="285" w:lineRule="auto"/>
        <w:rPr>
          <w:sz w:val="20"/>
          <w:szCs w:val="20"/>
          <w:color w:val="auto"/>
        </w:rPr>
      </w:pPr>
      <w:r>
        <w:rPr>
          <w:rFonts w:ascii="Arial" w:cs="Arial" w:eastAsia="Arial" w:hAnsi="Arial"/>
          <w:sz w:val="16"/>
          <w:szCs w:val="16"/>
          <w:color w:val="auto"/>
        </w:rPr>
        <w:t>Upon the Company’s exercise of the above option applicable to this Section with respect to any Securities of or within a series, the Company shall be deemed to have been discharged from its obligations with respect to such Outstanding Securities and any coupons appertaining thereto on and after the date the conditions set forth in Section 1404 are satisfied (hereinafter, “defeasance”). For this purpose, such defeasance means that the Company shall be deemed to have paid and discharged the entire indebtedness represented by such Outstanding Securities and any coupons appertaining thereto, which shall thereafter be deemed to be “Outstanding” only for the purposes of Section 1405 and the other Sections of this Indenture referred to in clauses</w:t>
      </w:r>
    </w:p>
    <w:p>
      <w:pPr>
        <w:spacing w:after="0" w:line="2" w:lineRule="exact"/>
        <w:rPr>
          <w:sz w:val="20"/>
          <w:szCs w:val="20"/>
          <w:color w:val="auto"/>
        </w:rPr>
      </w:pPr>
    </w:p>
    <w:p>
      <w:pPr>
        <w:ind w:left="4" w:right="40" w:hanging="4"/>
        <w:spacing w:after="0" w:line="286" w:lineRule="auto"/>
        <w:tabs>
          <w:tab w:leader="none" w:pos="299"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and (B) of this Section, and to have satisfied all its other obligations under such Securities and any coupons appertaining thereto and this Indenture insofar as such Securities and any coupons appertaining thereto are concerned (and the Trustee, at the expense of the Company, shall execute proper instruments acknowledging the same), except for the following which shall survive until otherwise terminated or discharged hereunder: (A) the rights of Holders of such Outstanding Securities and any coupons appertaining thereto to receive, solely from the trust fund described in Section 1404 and as more fully set forth in such Section, payments in respect of the principal of (and premium, if any) and interest, if any, on such Securities and any coupons appertaining thereto when such payments are due, (B) the Company’s obligations with respect to such Securities under Sections 305, 306, 1002 and 1003 and with respect to the payment of Additional Amounts, if any, on such Securities as contemplated by Section 1004, (C) the rights, powers, trusts, duties and immunities of the Trustee hereunder and (D) this Article. Subject to compliance with this Article Fourteen, the Company may exercise its option under this Section notwithstanding the prior exercise of its option under Section 1403 with respect to such Securities and any coupons appertaining thereto. Following a defeasance, payment of such Securities may not be accelerated because of an Event of Default.</w:t>
      </w:r>
    </w:p>
    <w:p>
      <w:pPr>
        <w:spacing w:after="0" w:line="27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1403. Covenant Defeasance.</w:t>
      </w:r>
    </w:p>
    <w:p>
      <w:pPr>
        <w:spacing w:after="0" w:line="121" w:lineRule="exact"/>
        <w:rPr>
          <w:sz w:val="20"/>
          <w:szCs w:val="20"/>
          <w:color w:val="auto"/>
        </w:rPr>
      </w:pPr>
    </w:p>
    <w:p>
      <w:pPr>
        <w:ind w:left="4" w:right="20"/>
        <w:spacing w:after="0" w:line="286" w:lineRule="auto"/>
        <w:rPr>
          <w:sz w:val="20"/>
          <w:szCs w:val="20"/>
          <w:color w:val="auto"/>
        </w:rPr>
      </w:pPr>
      <w:r>
        <w:rPr>
          <w:rFonts w:ascii="Arial" w:cs="Arial" w:eastAsia="Arial" w:hAnsi="Arial"/>
          <w:sz w:val="16"/>
          <w:szCs w:val="16"/>
          <w:color w:val="auto"/>
        </w:rPr>
        <w:t>Upon the Company’s exercise of the above option applicable to this Section with respect to any Securities of or within a series, the Company shall be released from its obligations under Section 1006, and, if specified pursuant to Section 301, its obligations under any other covenant, with respect to such Outstanding Securities and any coupons appertaining thereto on and after the date the conditions set forth in Section 1404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 with Section 1006, or such other covenant, but shall continue to be deemed “Outstanding” for all other purposes hereunder. For this purpose, such covenant defeasance means that, with respect to such Outstanding Securities and any coupons appertaining thereto,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501(4) or 501(7) or otherwise, as the case may be, but, except as specified above, the remainder of this Indenture and such Securities and any coupons appertaining thereto shall be unaffected thereby. Following a covenant defeasance, payment of such Securities may not be accelerated because of an Event of Default solely by reference to such Sections specified above in this Section 1403.</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1404. Conditions to Defeasance or Covenant Defeasance.</w:t>
      </w:r>
    </w:p>
    <w:p>
      <w:pPr>
        <w:spacing w:after="0" w:line="121"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The following shall be the conditions to application of either Section 1402 or Section 1403 to any Outstanding Securities of or within a series and any coupons appertaining thereto:</w:t>
      </w:r>
    </w:p>
    <w:p>
      <w:pPr>
        <w:spacing w:after="0" w:line="62" w:lineRule="exact"/>
        <w:rPr>
          <w:sz w:val="20"/>
          <w:szCs w:val="20"/>
          <w:color w:val="auto"/>
        </w:rPr>
      </w:pPr>
    </w:p>
    <w:p>
      <w:pPr>
        <w:ind w:left="4" w:right="20" w:firstLine="436"/>
        <w:spacing w:after="0" w:line="257" w:lineRule="auto"/>
        <w:tabs>
          <w:tab w:leader="none" w:pos="68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Company shall have irrevocably deposited or caused to be irrevocably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the benefit of, and dedicated solely to, the Holders of such Securities and any coupons appertaining thereto, (1) an amount (in such Currency in which such Securities and any coupons appertaining thereto are then specified as payable at Stated Maturity), or (2) Government Obligations applicable to</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4"/>
          </w:cols>
          <w:pgMar w:left="436" w:top="270" w:right="459" w:bottom="1440" w:gutter="0" w:footer="0" w:header="0"/>
        </w:sectPr>
      </w:pPr>
    </w:p>
    <w:bookmarkStart w:id="110" w:name="page111"/>
    <w:bookmarkEnd w:id="110"/>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Securities and coupons appertaining thereto (determined on the basis of the Currency in which such Securities and coupons appertaining thereto are then specified as payable at Stated Maturity) which through the scheduled payment of principal and interest in respect thereof in accordance with their terms will provide, not later than one day before the due date of any payment of principal of (and premium, if any) and interest, if any, on such Securities and any coupons appertaining thereto, money in an amount, or (3) a combination thereof in an amount, sufficient, in the opinion of a nationally recognized firm of independent public accountants expressed in a written certification thereof delivered to the Trustee, to pay and discharge, and which shall be applied by the Trustee (or other qualifying trustee) to pay and discharge, (i) the principal of (and premium, if any) and interest, if any, on such Outstanding Securities and any coupons appertaining thereto on the Stated Maturity of such principal or installment of principal or interest and</w:t>
      </w:r>
    </w:p>
    <w:p>
      <w:pPr>
        <w:spacing w:after="0" w:line="2" w:lineRule="exact"/>
        <w:rPr>
          <w:sz w:val="20"/>
          <w:szCs w:val="20"/>
          <w:color w:val="auto"/>
        </w:rPr>
      </w:pPr>
    </w:p>
    <w:p>
      <w:pPr>
        <w:ind w:left="4" w:right="20" w:hanging="4"/>
        <w:spacing w:after="0" w:line="255" w:lineRule="auto"/>
        <w:tabs>
          <w:tab w:leader="none" w:pos="26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mandatory sinking fund payments or analogous payments applicable to such Outstanding Securities and any coupons appertaining thereto on the day on which such payments are due and payable in accordance with the terms of this Indenture and of such Securities and any coupons appertaining thereto.</w:t>
      </w:r>
    </w:p>
    <w:p>
      <w:pPr>
        <w:spacing w:after="0" w:line="189" w:lineRule="exact"/>
        <w:rPr>
          <w:rFonts w:ascii="Arial" w:cs="Arial" w:eastAsia="Arial" w:hAnsi="Arial"/>
          <w:sz w:val="18"/>
          <w:szCs w:val="18"/>
          <w:color w:val="auto"/>
        </w:rPr>
      </w:pPr>
    </w:p>
    <w:p>
      <w:pPr>
        <w:ind w:left="4" w:right="280" w:firstLine="436"/>
        <w:spacing w:after="0" w:line="277" w:lineRule="auto"/>
        <w:tabs>
          <w:tab w:leader="none" w:pos="699" w:val="left"/>
        </w:tabs>
        <w:numPr>
          <w:ilvl w:val="1"/>
          <w:numId w:val="123"/>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170" w:lineRule="exact"/>
        <w:rPr>
          <w:rFonts w:ascii="Arial" w:cs="Arial" w:eastAsia="Arial" w:hAnsi="Arial"/>
          <w:sz w:val="18"/>
          <w:szCs w:val="18"/>
          <w:color w:val="auto"/>
        </w:rPr>
      </w:pPr>
    </w:p>
    <w:p>
      <w:pPr>
        <w:jc w:val="both"/>
        <w:ind w:left="4" w:right="100" w:firstLine="436"/>
        <w:spacing w:after="0" w:line="286" w:lineRule="auto"/>
        <w:tabs>
          <w:tab w:leader="none" w:pos="689" w:val="left"/>
        </w:tabs>
        <w:numPr>
          <w:ilvl w:val="1"/>
          <w:numId w:val="123"/>
        </w:numPr>
        <w:rPr>
          <w:rFonts w:ascii="Arial" w:cs="Arial" w:eastAsia="Arial" w:hAnsi="Arial"/>
          <w:sz w:val="17"/>
          <w:szCs w:val="17"/>
          <w:color w:val="auto"/>
        </w:rPr>
      </w:pPr>
      <w:r>
        <w:rPr>
          <w:rFonts w:ascii="Arial" w:cs="Arial" w:eastAsia="Arial" w:hAnsi="Arial"/>
          <w:sz w:val="17"/>
          <w:szCs w:val="17"/>
          <w:color w:val="auto"/>
        </w:rPr>
        <w:t>No Default or Event of Default with respect to such Securities and any coupons appertaining thereto shall have occurred and be continuing on the date of such deposit or, insofar as Sections 501(5) and 501(6) are concerned, at any time during the period ending on the 123</w:t>
      </w:r>
      <w:r>
        <w:rPr>
          <w:rFonts w:ascii="Arial" w:cs="Arial" w:eastAsia="Arial" w:hAnsi="Arial"/>
          <w:sz w:val="14"/>
          <w:szCs w:val="14"/>
          <w:color w:val="auto"/>
        </w:rPr>
        <w:t>rd</w:t>
      </w:r>
      <w:r>
        <w:rPr>
          <w:rFonts w:ascii="Arial" w:cs="Arial" w:eastAsia="Arial" w:hAnsi="Arial"/>
          <w:sz w:val="17"/>
          <w:szCs w:val="17"/>
          <w:color w:val="auto"/>
        </w:rPr>
        <w:t xml:space="preserve"> day after the date of such deposit (it being understood that this condition shall not be deemed satisfied until the expiration of such period).</w:t>
      </w:r>
    </w:p>
    <w:p>
      <w:pPr>
        <w:spacing w:after="0" w:line="165" w:lineRule="exact"/>
        <w:rPr>
          <w:rFonts w:ascii="Arial" w:cs="Arial" w:eastAsia="Arial" w:hAnsi="Arial"/>
          <w:sz w:val="17"/>
          <w:szCs w:val="17"/>
          <w:color w:val="auto"/>
        </w:rPr>
      </w:pPr>
    </w:p>
    <w:p>
      <w:pPr>
        <w:ind w:left="4" w:right="20" w:firstLine="436"/>
        <w:spacing w:after="0" w:line="273" w:lineRule="auto"/>
        <w:tabs>
          <w:tab w:leader="none" w:pos="699" w:val="left"/>
        </w:tabs>
        <w:numPr>
          <w:ilvl w:val="1"/>
          <w:numId w:val="123"/>
        </w:numPr>
        <w:rPr>
          <w:rFonts w:ascii="Arial" w:cs="Arial" w:eastAsia="Arial" w:hAnsi="Arial"/>
          <w:sz w:val="17"/>
          <w:szCs w:val="17"/>
          <w:color w:val="auto"/>
        </w:rPr>
      </w:pPr>
      <w:r>
        <w:rPr>
          <w:rFonts w:ascii="Arial" w:cs="Arial" w:eastAsia="Arial" w:hAnsi="Arial"/>
          <w:sz w:val="17"/>
          <w:szCs w:val="17"/>
          <w:color w:val="auto"/>
        </w:rPr>
        <w:t>In the case of an election under Section 1402, the Company shall have delivered to the Trustee an Opinion of Counsel stating that (i) the Company has received from, or there has been published by, the Internal Revenue Service a ruling, or (ii) since the date of execution of this Indenture, there has been a change in the applicable U.S. federal income tax law, in either case to the effect that, and based thereon such opinion shall confirm that, the Holders of such Outstanding Securities and any coupons appertaining thereto will not recognize income, gain or loss for U.S. federal income tax purposes as a result of such defeasance and will be subject to U.S. federal income tax on the same amounts, in the same manner and at the same times as would have been the case if such defeasance had not occurred.</w:t>
      </w:r>
    </w:p>
    <w:p>
      <w:pPr>
        <w:spacing w:after="0" w:line="177" w:lineRule="exact"/>
        <w:rPr>
          <w:rFonts w:ascii="Arial" w:cs="Arial" w:eastAsia="Arial" w:hAnsi="Arial"/>
          <w:sz w:val="17"/>
          <w:szCs w:val="17"/>
          <w:color w:val="auto"/>
        </w:rPr>
      </w:pPr>
    </w:p>
    <w:p>
      <w:pPr>
        <w:ind w:left="4" w:right="360" w:firstLine="436"/>
        <w:spacing w:after="0" w:line="279" w:lineRule="auto"/>
        <w:tabs>
          <w:tab w:leader="none" w:pos="689" w:val="left"/>
        </w:tabs>
        <w:numPr>
          <w:ilvl w:val="1"/>
          <w:numId w:val="123"/>
        </w:numPr>
        <w:rPr>
          <w:rFonts w:ascii="Arial" w:cs="Arial" w:eastAsia="Arial" w:hAnsi="Arial"/>
          <w:sz w:val="17"/>
          <w:szCs w:val="17"/>
          <w:color w:val="auto"/>
        </w:rPr>
      </w:pPr>
      <w:r>
        <w:rPr>
          <w:rFonts w:ascii="Arial" w:cs="Arial" w:eastAsia="Arial" w:hAnsi="Arial"/>
          <w:sz w:val="17"/>
          <w:szCs w:val="17"/>
          <w:color w:val="auto"/>
        </w:rPr>
        <w:t>In the case of an election under Section 1403, the Company shall have delivered to the Trustee an Opinion of Counsel to the effect that the Holders of such Outstanding Securities and any coupons appertaining thereto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171" w:lineRule="exact"/>
        <w:rPr>
          <w:rFonts w:ascii="Arial" w:cs="Arial" w:eastAsia="Arial" w:hAnsi="Arial"/>
          <w:sz w:val="17"/>
          <w:szCs w:val="17"/>
          <w:color w:val="auto"/>
        </w:rPr>
      </w:pPr>
    </w:p>
    <w:p>
      <w:pPr>
        <w:ind w:left="4" w:right="80" w:firstLine="436"/>
        <w:spacing w:after="0" w:line="255" w:lineRule="auto"/>
        <w:tabs>
          <w:tab w:leader="none" w:pos="669"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to either the defeasance under Section 1402 or the covenant defeasance under Section 1403 (as the case may be) have been complied with, and an Opinion of Counsel to the effect that either (i) as a result of a deposit pursuant to subsection (a) above and the related exercise of the Company’s option under Section 1402 or Section 1403 (as the case may be), registration is not required under the Investment Company Act of 1940, as amended, by the Company, with respect to the trust funds representing such deposit or by the trustee for such trust funds or (ii) all necessary registrations under said Act have been effected.</w:t>
      </w:r>
    </w:p>
    <w:p>
      <w:pPr>
        <w:spacing w:after="0" w:line="192" w:lineRule="exact"/>
        <w:rPr>
          <w:rFonts w:ascii="Arial" w:cs="Arial" w:eastAsia="Arial" w:hAnsi="Arial"/>
          <w:sz w:val="18"/>
          <w:szCs w:val="18"/>
          <w:color w:val="auto"/>
        </w:rPr>
      </w:pPr>
    </w:p>
    <w:p>
      <w:pPr>
        <w:jc w:val="both"/>
        <w:ind w:left="4" w:right="580" w:firstLine="436"/>
        <w:spacing w:after="0" w:line="342" w:lineRule="auto"/>
        <w:tabs>
          <w:tab w:leader="none" w:pos="699" w:val="left"/>
        </w:tabs>
        <w:numPr>
          <w:ilvl w:val="1"/>
          <w:numId w:val="123"/>
        </w:numPr>
        <w:rPr>
          <w:rFonts w:ascii="Arial" w:cs="Arial" w:eastAsia="Arial" w:hAnsi="Arial"/>
          <w:sz w:val="16"/>
          <w:szCs w:val="16"/>
          <w:color w:val="auto"/>
        </w:rPr>
      </w:pPr>
      <w:r>
        <w:rPr>
          <w:rFonts w:ascii="Arial" w:cs="Arial" w:eastAsia="Arial" w:hAnsi="Arial"/>
          <w:sz w:val="16"/>
          <w:szCs w:val="16"/>
          <w:color w:val="auto"/>
        </w:rPr>
        <w:t>Notwithstanding any other provisions of this Section, such defeasance or covenant defeasance shall be effected in compliance with any additional or substitute terms, conditions or limitations which may be imposed on the Company in connection therewith pursuant to Section 301.</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1405. Deposited Money and Government Obligations to Be Held in Trust; Other Miscellaneous Provisions.</w:t>
      </w:r>
    </w:p>
    <w:p>
      <w:pPr>
        <w:spacing w:after="0" w:line="121" w:lineRule="exact"/>
        <w:rPr>
          <w:sz w:val="20"/>
          <w:szCs w:val="20"/>
          <w:color w:val="auto"/>
        </w:rPr>
      </w:pPr>
    </w:p>
    <w:p>
      <w:pPr>
        <w:ind w:left="4" w:right="20"/>
        <w:spacing w:after="0" w:line="301" w:lineRule="auto"/>
        <w:rPr>
          <w:sz w:val="20"/>
          <w:szCs w:val="20"/>
          <w:color w:val="auto"/>
        </w:rPr>
      </w:pPr>
      <w:r>
        <w:rPr>
          <w:rFonts w:ascii="Arial" w:cs="Arial" w:eastAsia="Arial" w:hAnsi="Arial"/>
          <w:sz w:val="16"/>
          <w:szCs w:val="16"/>
          <w:color w:val="auto"/>
        </w:rPr>
        <w:t>Subject to the provisions of the last paragraph of Section 1003, all money and Government Obligations (or other property as may be provided pursuant to Section 301) (including the proceeds thereof) deposited with the Trustee (or other qualifying trustee, collectively for purposes of this Section 1405, the “Trustee”) pursuant to Section 1404 in respect of any Outstanding Securities of any series and any coupons appertaining thereto shall be held in trust and applied by the Trustee, in accordance with the provisions of such Securities and any coupons appertaining thereto</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4"/>
          </w:cols>
          <w:pgMar w:left="436" w:top="274" w:right="459" w:bottom="1440" w:gutter="0" w:footer="0" w:header="0"/>
        </w:sectPr>
      </w:pPr>
    </w:p>
    <w:bookmarkStart w:id="111" w:name="page112"/>
    <w:bookmarkEnd w:id="111"/>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this Indenture, to the payment, either directly or through any Paying Agent (including the Company acting as its own Paying Agent) as the Trustee may determine, to the Holders of such Securities and any coupons appertaining thereto of all sums due and to become due thereon in respect of principal (and premium, if any) and interest, if any, but such money need not be segregated from other funds except to the extent required by law.</w:t>
      </w:r>
    </w:p>
    <w:p>
      <w:pPr>
        <w:spacing w:after="0" w:line="14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Unless otherwise specified with respect to any Security pursuant to Section 301, if, after a deposit referred to in Section 1404(a) has been made, (a) the Holder of a Security in respect of which such deposit was made is entitled to, and does, elect pursuant to Section 312(b) or the terms of such Security to receive payment in a Currency other than that in which the deposit pursuant to Section 1404(a) has been made in respect of such Security, or (b) a Conversion Event occurs as contemplated in Section 312(d) or 312(e) or by the terms of any Security in respect of which the deposit pursuant to Section 1404(a) has been made, the indebtedness represented by such Security and any coupons appertaining thereto shall be deemed to have been, and will be, fully discharged and satisfied through the payment of the principal of (and premium, if any) and interest, if any, on such Security as the same becomes due out of the proceeds yielded by converting (from time to time as specified below in the case of any such election) the amount or other property deposited in respect of such Security into the Currency in which such Security becomes payable as a result of such election or Conversion Event based on the applicable Market Exchange Rate for such Currency in effect on the second Business Day prior to each payment date, except, with respect to a Conversion Event, for such Currency in effect (as nearly as feasible) at the time of the Conversion Event.</w:t>
      </w:r>
    </w:p>
    <w:p>
      <w:pPr>
        <w:spacing w:after="0" w:line="168"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Company shall pay and indemnify the Trustee against any tax, fee or other charge imposed on or assessed against the money or Government Obligations deposited pursuant to Section 1404 or the principal and interest received in respect thereof other than any such tax, fee or other charge which by law is for the account of the Holders of such Outstanding Securities and any coupons appertaining thereto.</w:t>
      </w:r>
    </w:p>
    <w:p>
      <w:pPr>
        <w:spacing w:after="0" w:line="16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Anything in this Article to the contrary notwithstanding, the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FIFTEEN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MEETINGS OF HOLDERS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1501. Purposes for Which Meetings May Be Called.</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If Securities of a series are issuable as Bearer Securities, a meeting of Holders of Securities of such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1502. Call, Notice and Place of Meetings.</w:t>
      </w:r>
    </w:p>
    <w:p>
      <w:pPr>
        <w:spacing w:after="0" w:line="121" w:lineRule="exact"/>
        <w:rPr>
          <w:sz w:val="20"/>
          <w:szCs w:val="20"/>
          <w:color w:val="auto"/>
        </w:rPr>
      </w:pPr>
    </w:p>
    <w:p>
      <w:pPr>
        <w:ind w:right="80" w:firstLine="436"/>
        <w:spacing w:after="0" w:line="301" w:lineRule="auto"/>
        <w:tabs>
          <w:tab w:leader="none" w:pos="68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Trustee may at any time call a meeting of Holders of Securities of any series for any purpose specified in Section 1501, to be held at such time and at such place in the Borough of Manhattan, The City of New York or in London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21 nor more than 180 days prior to the date fixed for the meeting.</w:t>
      </w:r>
    </w:p>
    <w:p>
      <w:pPr>
        <w:spacing w:after="0" w:line="157" w:lineRule="exact"/>
        <w:rPr>
          <w:rFonts w:ascii="Arial" w:cs="Arial" w:eastAsia="Arial" w:hAnsi="Arial"/>
          <w:sz w:val="16"/>
          <w:szCs w:val="16"/>
          <w:color w:val="auto"/>
        </w:rPr>
      </w:pPr>
    </w:p>
    <w:p>
      <w:pPr>
        <w:ind w:firstLine="436"/>
        <w:spacing w:after="0" w:line="257" w:lineRule="auto"/>
        <w:tabs>
          <w:tab w:leader="none" w:pos="69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or mailing of the notice of such meeting within 21 days after receipt of such request or shall not thereafter proceed to cause the meeting to be held as provided herein, then the Company or the Holders of Securities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80"/>
          </w:cols>
          <w:pgMar w:left="440" w:top="274" w:right="479" w:bottom="1440" w:gutter="0" w:footer="0" w:header="0"/>
        </w:sectPr>
      </w:pPr>
    </w:p>
    <w:bookmarkStart w:id="112" w:name="page113"/>
    <w:bookmarkEnd w:id="112"/>
    <w:p>
      <w:pPr>
        <w:ind w:right="3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such series in the amount above specified, as the case may be, may determine the time and the place in the Borough of Manhattan, The City of New York or in London for such meeting and may call such meeting for such purposes by giving notice thereof as provided in subsection (a) of this Section.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1503. Persons Entitled to Vote at Meetings.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1504. Quorum; Action.</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The Persons entitled to vote a majority in principal amount of the Outstanding Securities of a series shall constitute a quorum for a meeting of Holders of Securities of such series;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action is to be taken at such meeting with respect to a consent, waiver, request, demand, notice, authorization, direction or other action which this Indenture expressly provides may be made, given or taken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1502(a), except that such notice need be given only once not less than five days prior to the date on which the meeting is scheduled to be reconvened. Notice of the reconvening of any adjourned meeting shall state expressly the percentage, as provided above, of the principal amount of the Outstanding Securities of such series which shall constitute a quorum.</w:t>
      </w:r>
    </w:p>
    <w:p>
      <w:pPr>
        <w:spacing w:after="0" w:line="16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Except as limited by the proviso to Section 902, any resolution presented to a meeting or adjourned meeting duly reconvened at which a quorum is present as aforesaid may be adopted by the affirmative vote of the Holders of a majority in principal amount of the Outstanding Securities of that series;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as limited by the proviso to Section 902, any resolution with respect to any consent, waiver, request, demand, notice, authorization, direction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9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4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Notwithstanding the foregoing provisions of this Section 1504, if any action is to be taken at a meeting of Holders of Securities of any series with respect to any consent, waiver, request, demand, notice, authorization, direction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79" w:lineRule="exact"/>
        <w:rPr>
          <w:sz w:val="20"/>
          <w:szCs w:val="20"/>
          <w:color w:val="auto"/>
        </w:rPr>
      </w:pPr>
    </w:p>
    <w:p>
      <w:pPr>
        <w:ind w:left="660" w:hanging="224"/>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225" w:lineRule="exact"/>
        <w:rPr>
          <w:rFonts w:ascii="Arial" w:cs="Arial" w:eastAsia="Arial" w:hAnsi="Arial"/>
          <w:sz w:val="18"/>
          <w:szCs w:val="18"/>
          <w:color w:val="auto"/>
        </w:rPr>
      </w:pPr>
    </w:p>
    <w:p>
      <w:pPr>
        <w:ind w:right="600" w:firstLine="436"/>
        <w:spacing w:after="0" w:line="263" w:lineRule="auto"/>
        <w:tabs>
          <w:tab w:leader="none" w:pos="70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principal amount of the Outstanding Securities of such series that vote in favor of such consent, waiver, request, demand, notice, authorization, direction or other action shall be taken into account in determining whether such request, demand, authorization, direction, notice, consent, waiver or other action has been made, given or taken under this Indenture.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1505. Determination of Voting Rights; Conduct and Adjournment of Meetings.</w:t>
      </w:r>
    </w:p>
    <w:p>
      <w:pPr>
        <w:spacing w:after="0" w:line="121" w:lineRule="exact"/>
        <w:rPr>
          <w:sz w:val="20"/>
          <w:szCs w:val="20"/>
          <w:color w:val="auto"/>
        </w:rPr>
      </w:pPr>
    </w:p>
    <w:p>
      <w:pPr>
        <w:ind w:right="60" w:firstLine="436"/>
        <w:spacing w:after="0" w:line="290" w:lineRule="auto"/>
        <w:tabs>
          <w:tab w:leader="none" w:pos="68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Notwithstanding any other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165" w:lineRule="exact"/>
        <w:rPr>
          <w:rFonts w:ascii="Arial" w:cs="Arial" w:eastAsia="Arial" w:hAnsi="Arial"/>
          <w:sz w:val="16"/>
          <w:szCs w:val="16"/>
          <w:color w:val="auto"/>
        </w:rPr>
      </w:pPr>
    </w:p>
    <w:p>
      <w:pPr>
        <w:ind w:right="120" w:firstLine="436"/>
        <w:spacing w:after="0" w:line="301" w:lineRule="auto"/>
        <w:tabs>
          <w:tab w:leader="none" w:pos="69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57" w:lineRule="exact"/>
        <w:rPr>
          <w:rFonts w:ascii="Arial" w:cs="Arial" w:eastAsia="Arial" w:hAnsi="Arial"/>
          <w:sz w:val="16"/>
          <w:szCs w:val="16"/>
          <w:color w:val="auto"/>
        </w:rPr>
      </w:pPr>
    </w:p>
    <w:p>
      <w:pPr>
        <w:jc w:val="both"/>
        <w:ind w:right="80" w:firstLine="436"/>
        <w:spacing w:after="0" w:line="259" w:lineRule="auto"/>
        <w:tabs>
          <w:tab w:leader="none" w:pos="68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At any meeting of Holders, each Holder of a Security of such series or proxy shall be entitled to one vote for each $1,000 principal amount of the Outstanding Securities of such series held or represented by such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86" w:lineRule="exact"/>
        <w:rPr>
          <w:rFonts w:ascii="Arial" w:cs="Arial" w:eastAsia="Arial" w:hAnsi="Arial"/>
          <w:sz w:val="18"/>
          <w:szCs w:val="18"/>
          <w:color w:val="auto"/>
        </w:rPr>
      </w:pPr>
    </w:p>
    <w:p>
      <w:pPr>
        <w:ind w:right="120" w:firstLine="436"/>
        <w:spacing w:after="0" w:line="263" w:lineRule="auto"/>
        <w:tabs>
          <w:tab w:leader="none" w:pos="69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1506. Counting Votes and Recording Action of Meetings.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Section 1502 and, if applicable, 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80"/>
          </w:cols>
          <w:pgMar w:left="440" w:top="270" w:right="47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SIXTEEN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SUBORDINATION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1601. Agreement to Subordinate.</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for itself, its successors and assigns, covenants and agrees, and each Holder of Senior Subordinated Securities by his acceptance thereof, likewise covenants and agrees, that the payment of the principal of (and premium, if any) and interest, if any, on each and all of the Senior Subordinated Securities is hereby expressly subordinated, to the extent and in the manner hereinafter set forth, in right of payment to the prior payment in full of all Senior Indebtedness.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for itself, its successors and assigns, covenants and agrees, and each Holder of Junior Subordinated Securities by his acceptance thereof, likewise covenants and agrees, that the payment of the principal of (and premium, if any) and interest, if any, on each and all of the Junior Subordinated Securities is hereby expressly subordinated, to the extent and in the manner hereinafter set forth, in right of payment to the prior payment in full of all Senior Indebtedness and Senior Subordinated Indebtedness.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1602. Distribution on Dissolution, Liquidation and Reorganization; Subrogation of Subordinated Securities.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Upon any distribution of assets of the Company upon any dissolution, winding up, liquidation or reorganization of the Company, whether in bankruptcy, insolvency, reorganization or receivership proceedings or upon an assignment for the benefit of creditors or any other marshalling of the assets and liabilities of the Company or otherwise (subject to the power of a court of competent jurisdiction to make other equitable provision reflecting the rights conferred in this Indenture upon the Senior Indebtedness and the holders thereof with respect to the Securities and the holders thereof by a lawful plan of reorganization under applicable bankruptcy law):</w:t>
      </w:r>
    </w:p>
    <w:p>
      <w:pPr>
        <w:spacing w:after="0" w:line="188" w:lineRule="exact"/>
        <w:rPr>
          <w:sz w:val="20"/>
          <w:szCs w:val="20"/>
          <w:color w:val="auto"/>
        </w:rPr>
      </w:pPr>
    </w:p>
    <w:p>
      <w:pPr>
        <w:ind w:right="20" w:firstLine="436"/>
        <w:spacing w:after="0" w:line="263" w:lineRule="auto"/>
        <w:tabs>
          <w:tab w:leader="none" w:pos="68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holders of all Senior Indebtedness shall be entitled to receive payment in full of the principal thereof (and premium, if any) and interest due thereon before the Holders of the Subordinated Securities are entitled to receive any payment upon the principal (or premium, if any) or interest, if any, on indebtedness evidenced by the Subordinated Securities; and</w:t>
      </w:r>
    </w:p>
    <w:p>
      <w:pPr>
        <w:spacing w:after="0" w:line="183" w:lineRule="exact"/>
        <w:rPr>
          <w:rFonts w:ascii="Arial" w:cs="Arial" w:eastAsia="Arial" w:hAnsi="Arial"/>
          <w:sz w:val="18"/>
          <w:szCs w:val="18"/>
          <w:color w:val="auto"/>
        </w:rPr>
      </w:pPr>
    </w:p>
    <w:p>
      <w:pPr>
        <w:ind w:right="120" w:firstLine="436"/>
        <w:spacing w:after="0" w:line="263" w:lineRule="auto"/>
        <w:tabs>
          <w:tab w:leader="none" w:pos="69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holders of all Senior Subordinated Indebtedness shall be entitled to receive payment in full of the principal thereof (and premium, if any) and interest due thereon before the Holders of the Junior Subordinated Securities are entitled to receive any payment upon the principal (or premium, if any) or interest, if any, on indebtedness evidenced by the Junior Subordinated Securities; and</w:t>
      </w:r>
    </w:p>
    <w:p>
      <w:pPr>
        <w:spacing w:after="0" w:line="183" w:lineRule="exact"/>
        <w:rPr>
          <w:rFonts w:ascii="Arial" w:cs="Arial" w:eastAsia="Arial" w:hAnsi="Arial"/>
          <w:sz w:val="18"/>
          <w:szCs w:val="18"/>
          <w:color w:val="auto"/>
        </w:rPr>
      </w:pPr>
    </w:p>
    <w:p>
      <w:pPr>
        <w:ind w:right="20" w:firstLine="436"/>
        <w:spacing w:after="0" w:line="291" w:lineRule="auto"/>
        <w:tabs>
          <w:tab w:leader="none" w:pos="68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any payment or distribution of assets of the Company of any kind or character, whether in cash, property or securities, to which the Holders of the Securities or the Trustee would be entitled except for the provisions of this Article Sixteen shall be paid by the liquidating trustee or agent or other person making such payment or distribution, whether a trustee in bankruptcy, a receiver or liquidating trustee or otherwise, directly to the holders of Senior Indebtedness or their representative or representatives or to the trustee or trustees under any indenture under which any instruments evidencing any of such Senior Indebtedness may have been issued, ratably according to the aggregate amounts remaining unpaid on account of the principal of (and premium, if any) and interest on the Senior Indebtedness held or represented by each, to the extent necessary to make payment in full of all Senior Indebtedness remaining unpaid, after giving effect to any concurrent payment or distribution to the holders of such Senior Indebtedness; and</w:t>
      </w:r>
    </w:p>
    <w:p>
      <w:pPr>
        <w:spacing w:after="0" w:line="166" w:lineRule="exact"/>
        <w:rPr>
          <w:rFonts w:ascii="Arial" w:cs="Arial" w:eastAsia="Arial" w:hAnsi="Arial"/>
          <w:sz w:val="16"/>
          <w:szCs w:val="16"/>
          <w:color w:val="auto"/>
        </w:rPr>
      </w:pPr>
    </w:p>
    <w:p>
      <w:pPr>
        <w:ind w:right="100" w:firstLine="436"/>
        <w:spacing w:after="0" w:line="293" w:lineRule="auto"/>
        <w:tabs>
          <w:tab w:leader="none" w:pos="69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in the event that, notwithstanding the foregoing, any payment or distribution of assets of the Company of any kind or character, whether in cash, property or securities, shall be received by the Trustee or the Holders of the Subordinated Securities before all Senior Indebtedness is paid in full, such payment or distribution shall be paid over, upon written notice to the Trustee, to the holder of such Senior Indebtedness or their representative or representatives or to the trustee or trustees under any indenture under which any instrument evidencing any of such Senior Indebtedness may have been issued, ratably as aforesaid, for application to payment of all Senior Indebtedness remaining unpaid until all such Senior Indebtedness shall have been paid in full, after giving effect to any concurrent payment or distribution to the holders of such Senior Indebtedness.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0" w:right="459" w:bottom="1440" w:gutter="0" w:footer="0" w:header="0"/>
        </w:sectPr>
      </w:pPr>
    </w:p>
    <w:bookmarkStart w:id="115" w:name="page116"/>
    <w:bookmarkEnd w:id="11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the payment in full of all Senior Indebtedness, the Holders of the Subordinated Securities shall be subrogated to the rights of the holders of Senior Indebtedness to receive payments or distributions of cash, property or securities of the Company applicable to Senior Indebtedness until the principal of (and premium, if any) and interest, if any, on the Subordinated Securities shall be paid in full and no such payments or distributions to the Holders of the Subordinated Securities of cash, property or securities otherwise distributable to the holders of Senior Indebtedness shall, as between the Company, its creditors other than the holders of Senior Indebtedness, and the Holders of the Subordinated Securities be deemed to be a payment by the Company to or on account of the Subordinated Securities. It is understood that the provisions of this Article Sixteen are and are intended solely for the purpose of defining the relative rights of the Holders of the Subordinated Securities, on the one hand, and the holders of the Senior Indebtedness, on the other hand. Nothing contained in this Article Sixteen or elsewhere in this Indenture or in the Subordinated Securities is intended to or shall impair, as between the Company, its creditors other than the holders of Senior Indebtedness, and the Holders of the Subordinated Securities, the obligation of the Company, which is unconditional and absolute, to pay to the Holders of the Subordinated Securities the principal of (and premium, if any) and interest, if any, on the Subordinated Securities as and when the same shall become due and payable in accordance with their terms, or to affect the relative rights of the Holders of the Subordinated Securities and creditors of the Company other than the holders of Senior Indebtedness, nor shall anything herein or in the Subordinated Securities prevent the Trustee or the Holder of any Subordinated Security from exercising all remedies otherwise permitted by applicable law upon default under this Indenture, subject to the rights, if any, under this Article Sixteen of the holders of Senior Indebtedness in respect of cash, property or securities of the Company received upon the exercise of any such remedy. Upon any payment or distribution of assets of the Company referred to in this Article Sixteen, the Trustee, subject to the provisions of Section 601, shall be entitled to rely upon a certificate of the liquidating trustee or agent or other person making any distribution to the Trustee for the purpose of ascertaining the Persons entitled to participate in such distribution, the holders of Senior Indebtedness and other indebtedness of the Company, the amount thereof or payable thereon, the amount or amounts paid or distributed thereon and all other facts pertinent thereto or to this Article Sixteen.</w:t>
      </w:r>
    </w:p>
    <w:p>
      <w:pPr>
        <w:spacing w:after="0" w:line="169"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If the Trustee or any Holder of Subordinated Securities does not file a proper claim or proof of debt in the form required in any proceeding referred to above prior to 30 days before the expiration of the time to file such claim in such proceeding, then the holder of any Senior Indebtedness is hereby authorized, and has the right, to file an appropriate claim or claims for or on behalf of such Holder of Subordinated Securities.</w:t>
      </w:r>
    </w:p>
    <w:p>
      <w:pPr>
        <w:spacing w:after="0" w:line="149"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With respect to the holders of Senior Indebtedness, the Trustee undertakes to perform or to observe only such of its covenants or obligations as are specifically set forth in this Article and no implied covenants or obligations with respect to holders of Senior Indebtedness shall be read into this Indenture against the Trustee. The Trustee does not owe any fiduciary duties to the holders of Securities other than Securities issued under this Indenture.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1603. No Payment on Subordinated Securities in Event of Default on Senior Indebtedness.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No payment by the Company on account of principal (or premium, if any), sinking funds or interest, if any, on the Subordinated Securities shall be made unless full payment of amounts then due for principal (premium, if any), sinking funds and interest on Senior Indebtedness has been made or duly provided for in money or money’s worth.</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1604. Payments on Subordinated Securities Permitted.</w:t>
      </w:r>
    </w:p>
    <w:p>
      <w:pPr>
        <w:spacing w:after="0" w:line="121"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Nothing contained in this Indenture or in any of the Subordinated Securities shall (a) affect the obligation of the Company to make, or prevent the Company from making, at any time except as provided in Sections 1602 and 1603, payments of principal of (or premium, if any) or interest, if any, on the Subordinated Securities or (b) prevent the application by the Trustee of any moneys deposited with it hereunder to the payment of or on account of the principal of (or premium, if any) or interest, if any, on the Subordinated Securities, unless the Trustee shall have received at its Corporate Trust Office written notice of any event prohibiting the making of such payment more than three Business Days prior to the date fixed for such payment.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1605. Authorization of Holders to Trustee to Effect Subordination.</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Each Holder of Subordinated Securities by his acceptance thereof authorizes and directs the Trustee on his behalf to take such action as may be necessary or appropriate to effectuate the subordination as provided in this Article Sixteen and appoints the Trustee his attorney-in-fact for any and all such purposes.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1606. Notices to Trustee.</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Notwithstanding the provisions of this Article or any other provisions of this Indenture, neither the Trustee nor any Paying Agent (other than the Company) shall be charged with knowledge of the existence of any Senior Indebtedness or of any event which would prohibit the making of any payment of moneys to or by the Trustee or such Paying Agent, unless and until the Trustee or such Paying Agent shall have received (in the case of the Trustee, at its Corporate Trust Office) written notice thereof from the Company or from the holder of any Senior Indebtedness or from the trustee for any such holder, together with proof satisfactory to the Trustee of such holding of Senior Indebtedness or of the authority of such trustee;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least three Business Days prior to the date upon which by the terms hereof any such moneys may become payable for any purpose (including, without limitation, the payment of either the principal (or premium, if any) or interest, if any, on any Subordinated Security) the Trustee shall not have received with respect to such moneys the notice provided for in this Section 1606, then, anything herein contained to the contrary notwithstanding, the Trustee shall have full power and authority to receive such moneys and to apply the same to the purpose for which they were received, and shall not be affected by any notice to the contrary, which may be received by it within three Business Days prior to such date. The Trustee shall be entitled to rely on the delivery to it of a written notice by a Person representing himself to be a holder of Senior Indebtedness (or a trustee on behalf of such holder) to establish that such a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Sixteen,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Sixteen and, if such evidence is not furnished, the Trustee may defer any payment to such Person pending judicial determination as to the right of such Person to receive such payment.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1607. Trustee as Holder of Senior Indebtedness.</w:t>
      </w:r>
    </w:p>
    <w:p>
      <w:pPr>
        <w:spacing w:after="0" w:line="12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Trustee in its individual capacity shall be entitled to all the rights set forth in this Article Sixteen in respect of any Senior Indebtedness at any time held by it to the same extent as any other holder of Senior Indebtedness and nothing in Section 613 or elsewhere in this Indenture shall be construed to deprive the Trustee of any of its rights as such holder.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Nothing in this Article Sixteen shall apply to claims of, or payments to, the Trustee under or pursuant to Section 606.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1608. Modifications of Terms of Senior Indebtedness.</w:t>
      </w:r>
    </w:p>
    <w:p>
      <w:pPr>
        <w:spacing w:after="0" w:line="12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Any renewal or extension of the time of payment of any Senior Indebtedness or the exercise by the holders of Senior Indebtedness of any of their rights under any instrument creating or evidencing Senior Indebtedness, including, without limitation, the waiver of default thereunder, may be made or done all without notice to or assent from the Holders of the Subordinated Securities or the Trustee.</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No compromise, alteration, amendment, modification, extension, renewal or other change of, or waiver, consent or other action in respect of, any liability or obligation under or in respect of, or of any of the terms, covenants or conditions of any indenture or other instrument under which any Senior Indebtedness is outstanding or of such Senior Indebtedness, whether or not such release is in accordance with the provisions of any applicable document, shall in any way alter or affect any of the provisions of this Article Sixteen or of the Subordinated Securities relating to the subordination thereof.</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1609. Reliance on Judicial Order or Certificate of Liquidating Agent.</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Upon any payment or distribution of assets of the Company referred to in this Article Sixteen, the Trustee and the Holders of the Securities shall be entitled to rely upon any order or decree entered by any court of competent jurisdiction in which such insolvency, bankruptcy, receivership, liquidation, reorganization, dissolution, winding up or similar case or proceeding is pending, or a certificate of the trustee in bankruptcy, liquidating trustee, custodian, receiver, assignee for the benefit of creditors, agent or other person making such payment or distribution, delivered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0" w:right="459" w:bottom="1440" w:gutter="0" w:footer="0" w:header="0"/>
        </w:sectPr>
      </w:pPr>
    </w:p>
    <w:bookmarkStart w:id="117" w:name="page118"/>
    <w:bookmarkEnd w:id="117"/>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Trustee or to the Holders of Subordinated Securities, for the purpose of ascertaining the persons entitled to participate in such payment or distribution, the holders of Senior Indebtedness and other indebtedness of the Company, the amount thereof or payable thereon, the amount or amounts paid or distributed thereon and all other facts pertinent thereto or to this Article Sixteen.</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Indenture may be executed in any number of counterparts, each of which so executed shall be deemed to be an original, but all such counterparts shall together constitute but one and the same Indenture.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860"/>
          </w:cols>
          <w:pgMar w:left="440" w:top="274" w:right="59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Indenture to be duly executed, as of the day and year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 Paul H.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Paul H. Kim</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Assistant General Counsel</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019"/>
          </w:cols>
          <w:pgMar w:left="440" w:top="274" w:right="1440"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ind w:left="4284"/>
        <w:spacing w:after="0"/>
        <w:rPr>
          <w:sz w:val="20"/>
          <w:szCs w:val="20"/>
          <w:color w:val="auto"/>
        </w:rPr>
      </w:pPr>
      <w:r>
        <w:rPr>
          <w:rFonts w:ascii="Arial" w:cs="Arial" w:eastAsia="Arial" w:hAnsi="Arial"/>
          <w:sz w:val="18"/>
          <w:szCs w:val="18"/>
          <w:b w:val="1"/>
          <w:bCs w:val="1"/>
          <w:color w:val="auto"/>
        </w:rPr>
        <w:t>FORMS OF CERTIFICATION</w:t>
      </w:r>
    </w:p>
    <w:p>
      <w:pPr>
        <w:spacing w:after="0" w:line="117" w:lineRule="exact"/>
        <w:rPr>
          <w:sz w:val="20"/>
          <w:szCs w:val="20"/>
          <w:color w:val="auto"/>
        </w:rPr>
      </w:pPr>
    </w:p>
    <w:p>
      <w:pPr>
        <w:ind w:left="4964"/>
        <w:spacing w:after="0"/>
        <w:rPr>
          <w:sz w:val="20"/>
          <w:szCs w:val="20"/>
          <w:color w:val="auto"/>
        </w:rPr>
      </w:pPr>
      <w:r>
        <w:rPr>
          <w:rFonts w:ascii="Arial" w:cs="Arial" w:eastAsia="Arial" w:hAnsi="Arial"/>
          <w:sz w:val="18"/>
          <w:szCs w:val="18"/>
          <w:b w:val="1"/>
          <w:bCs w:val="1"/>
          <w:color w:val="auto"/>
        </w:rPr>
        <w:t>EXHIBIT A-1</w:t>
      </w:r>
    </w:p>
    <w:p>
      <w:pPr>
        <w:spacing w:after="0" w:line="117" w:lineRule="exact"/>
        <w:rPr>
          <w:sz w:val="20"/>
          <w:szCs w:val="20"/>
          <w:color w:val="auto"/>
        </w:rPr>
      </w:pPr>
    </w:p>
    <w:p>
      <w:pPr>
        <w:ind w:left="2824"/>
        <w:spacing w:after="0"/>
        <w:rPr>
          <w:sz w:val="20"/>
          <w:szCs w:val="20"/>
          <w:color w:val="auto"/>
        </w:rPr>
      </w:pPr>
      <w:r>
        <w:rPr>
          <w:rFonts w:ascii="Arial" w:cs="Arial" w:eastAsia="Arial" w:hAnsi="Arial"/>
          <w:sz w:val="18"/>
          <w:szCs w:val="18"/>
          <w:b w:val="1"/>
          <w:bCs w:val="1"/>
          <w:color w:val="auto"/>
        </w:rPr>
        <w:t>FORM OF CERTIFICATE TO BE GIVEN BY PERSON ENTITLED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TO RECEIVE BEARER SECURITY OR TO OBTAIN INTEREST</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PAYABLE PRIOR TO THE EXCHANGE DATE</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[Insert title or sufficient description of Securities to be delivered]</w:t>
      </w:r>
    </w:p>
    <w:p>
      <w:pPr>
        <w:spacing w:after="0" w:line="225" w:lineRule="exact"/>
        <w:rPr>
          <w:sz w:val="20"/>
          <w:szCs w:val="20"/>
          <w:color w:val="auto"/>
        </w:rPr>
      </w:pPr>
    </w:p>
    <w:p>
      <w:pPr>
        <w:ind w:left="4" w:right="20"/>
        <w:spacing w:after="0" w:line="286" w:lineRule="auto"/>
        <w:rPr>
          <w:sz w:val="20"/>
          <w:szCs w:val="20"/>
          <w:color w:val="auto"/>
        </w:rPr>
      </w:pPr>
      <w:r>
        <w:rPr>
          <w:rFonts w:ascii="Arial" w:cs="Arial" w:eastAsia="Arial" w:hAnsi="Arial"/>
          <w:sz w:val="16"/>
          <w:szCs w:val="16"/>
          <w:color w:val="auto"/>
        </w:rPr>
        <w:t>This is to certify that, as of the date hereof, and except as set forth below, the above-captioned Securities held by you for our account (i) are owned by person(s) that are not citizens or residents of the United States, domestic partnerships, domestic corporations or any estate or trust the income of which is subject to United States federal income taxation regardless of its source (“United States person(s)”), (ii) are owned by United States person(s) that are (a) foreign branches of United States financial institutions (financial institutions, as defined in United States Treasury Regulations</w:t>
      </w:r>
    </w:p>
    <w:p>
      <w:pPr>
        <w:spacing w:after="0" w:line="1" w:lineRule="exact"/>
        <w:rPr>
          <w:sz w:val="20"/>
          <w:szCs w:val="20"/>
          <w:color w:val="auto"/>
        </w:rPr>
      </w:pPr>
    </w:p>
    <w:p>
      <w:pPr>
        <w:ind w:left="4" w:right="120"/>
        <w:spacing w:after="0" w:line="281" w:lineRule="auto"/>
        <w:rPr>
          <w:sz w:val="20"/>
          <w:szCs w:val="20"/>
          <w:color w:val="auto"/>
        </w:rPr>
      </w:pPr>
      <w:r>
        <w:rPr>
          <w:rFonts w:ascii="Arial" w:cs="Arial" w:eastAsia="Arial" w:hAnsi="Arial"/>
          <w:sz w:val="16"/>
          <w:szCs w:val="16"/>
          <w:color w:val="auto"/>
        </w:rPr>
        <w:t>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PennantPark Floating Rate Capital Ltd. or its agent that such financial institution will comply with the requirements of Section 165(j)(3)(A), (B) or (C) of the United States Internal Revenue Code of 1986, as amended, and the regulations thereunder), or</w:t>
      </w:r>
    </w:p>
    <w:p>
      <w:pPr>
        <w:spacing w:after="0" w:line="3" w:lineRule="exact"/>
        <w:rPr>
          <w:sz w:val="20"/>
          <w:szCs w:val="20"/>
          <w:color w:val="auto"/>
        </w:rPr>
      </w:pPr>
    </w:p>
    <w:p>
      <w:pPr>
        <w:ind w:left="4" w:right="20" w:hanging="4"/>
        <w:spacing w:after="0" w:line="281" w:lineRule="auto"/>
        <w:tabs>
          <w:tab w:leader="none" w:pos="319"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are owned by United States or foreign financial institution(s) for purposes of resale during the restricted period (as defined in United States Treasury Regulations Section 1.163-5(c)(2)(i)(D)(7)), and, in addition, if the owner is a United States or foreign financial institution described in clause</w:t>
      </w:r>
    </w:p>
    <w:p>
      <w:pPr>
        <w:spacing w:after="0" w:line="1" w:lineRule="exact"/>
        <w:rPr>
          <w:rFonts w:ascii="Arial" w:cs="Arial" w:eastAsia="Arial" w:hAnsi="Arial"/>
          <w:sz w:val="16"/>
          <w:szCs w:val="16"/>
          <w:color w:val="auto"/>
        </w:rPr>
      </w:pPr>
    </w:p>
    <w:p>
      <w:pPr>
        <w:ind w:left="4" w:right="260" w:hanging="4"/>
        <w:spacing w:after="0" w:line="290" w:lineRule="auto"/>
        <w:tabs>
          <w:tab w:leader="none" w:pos="319"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61"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70"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We undertake to advise you promptly by tested telex on or prior to the date on which you intend to submit your certification relating to the above-captioned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84"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This certificate excepts and does not relate to [U.S.$] of such interest in the above-captioned Securities in respect of which we are not able to certify and as to which we understand an exchange for an interest in a Permanent Global Security or an exchange for and delivery of definitive Securities (or, if relevant, collection of any interest) cannot be made until we do so certify.</w:t>
      </w:r>
    </w:p>
    <w:p>
      <w:pPr>
        <w:spacing w:after="0" w:line="184" w:lineRule="exact"/>
        <w:rPr>
          <w:sz w:val="20"/>
          <w:szCs w:val="20"/>
          <w:color w:val="auto"/>
        </w:rPr>
      </w:pPr>
    </w:p>
    <w:p>
      <w:pPr>
        <w:jc w:val="both"/>
        <w:ind w:left="4" w:right="140"/>
        <w:spacing w:after="0" w:line="263" w:lineRule="auto"/>
        <w:rPr>
          <w:sz w:val="20"/>
          <w:szCs w:val="20"/>
          <w:color w:val="auto"/>
        </w:rPr>
      </w:pPr>
      <w:r>
        <w:rPr>
          <w:rFonts w:ascii="Arial" w:cs="Arial" w:eastAsia="Arial" w:hAnsi="Arial"/>
          <w:sz w:val="18"/>
          <w:szCs w:val="18"/>
          <w:color w:val="auto"/>
        </w:rPr>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24"/>
          </w:cols>
          <w:pgMar w:left="436" w:top="270" w:right="4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Dated: [●], 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be dated no earlier than the 15</w:t>
      </w:r>
      <w:r>
        <w:rPr>
          <w:rFonts w:ascii="Arial" w:cs="Arial" w:eastAsia="Arial" w:hAnsi="Arial"/>
          <w:sz w:val="15"/>
          <w:szCs w:val="15"/>
          <w:color w:val="auto"/>
        </w:rPr>
        <w:t>th</w:t>
      </w:r>
      <w:r>
        <w:rPr>
          <w:rFonts w:ascii="Arial" w:cs="Arial" w:eastAsia="Arial" w:hAnsi="Arial"/>
          <w:sz w:val="18"/>
          <w:szCs w:val="18"/>
          <w:color w:val="auto"/>
        </w:rPr>
        <w:t xml:space="preserve"> day prior to (i)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Exchange Date or (ii) the relevant Interest Payment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occurring prior to the Exchange Date, as applicable]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of Person Making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ind w:right="429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0019"/>
          </w:cols>
          <w:pgMar w:left="440" w:top="274" w:right="1440"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 TO BE GIVEN BY EUROCLEAR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CLEARSTREAM IN CONNECTION WITH THE EXCHANGE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PORTION OF A TEMPORARY GLOBAL SECURITY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TO OBTAIN INTEREST PAYABLE PRIOR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EXCHANGE DATE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[Insert title or sufficient description of Securities to be delivered]</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This is to certify that, based solely on written certifications that we have received in writing, by tested telex or by electronic transmission from each of the persons appearing in our records as persons entitled to a portion of the principal amount set forth below (our “Member Organizations”) substantially in the form attached hereto, as of the date hereof, [U.S.$] principal amount of the above-captioned Securities (i) is owned by person(s) that are not citizens or residents of the United States, domestic partnerships, domestic corporations or any estate or trust the income of which is subject to United States Federal income taxation regardless of its source (“United States person(s)”), (ii) is owned by United States person(s) that are (a) foreign branches of United States financial institutions (financial institutions, as defined in U.S. Treasury Regulations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PennantPark Floating Rate Capital Ltd. or its agent that such financial institution shall comply with the requirements of Section 165(j)(3)(A), (B) or (C) of the Internal Revenue Code of 1986, as amended, and the regulations thereunder), or (iii) is owned by United States or foreign financial institution(s) for purposes of resale during the restricted period (as defined in United States Treasury Regulations Section 1.163-5(c)(2)(i)(D)(7)), and, to the further effect, that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further certify that (i) we are not making available herewith for exchange (or, if relevant, collection of any interest) any portion of the temporary global Security representing the above-captioned Securities excepted in the above-referenced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188"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020"/>
          </w:cols>
          <w:pgMar w:left="440" w:top="270" w:right="4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Dated: [●], 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be dated no earlier than the Exchange Date or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relevant Interest Payment Date occurring prior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Exchange Date, as applicable]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as Operator of the Euroclear System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24345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7" w:lineRule="exact"/>
        <w:rPr>
          <w:sz w:val="20"/>
          <w:szCs w:val="20"/>
          <w:color w:val="auto"/>
        </w:rPr>
      </w:pPr>
    </w:p>
    <w:p>
      <w:pPr>
        <w:jc w:val="right"/>
        <w:ind w:right="429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0019"/>
          </w:cols>
          <w:pgMar w:left="440" w:top="274" w:right="1440"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EXHIBIT 4.2</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FIRST SUPPLEMENTAL INDENTURE</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PENNANT PARK FLOATING RATE CAPITAL LTD.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AMERICAN STOCK TRANSFER &amp; TRUST COMPANY, LLC,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as Trustee</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Dated as of March 23, 2021</w:t>
      </w:r>
    </w:p>
    <w:p>
      <w:pPr>
        <w:sectPr>
          <w:pgSz w:w="11900" w:h="16838" w:orient="portrait"/>
          <w:cols w:equalWidth="0" w:num="1">
            <w:col w:w="10020"/>
          </w:cols>
          <w:pgMar w:left="1440" w:top="125" w:right="439" w:bottom="1440" w:gutter="0" w:footer="0" w:header="0"/>
        </w:sectPr>
      </w:pPr>
    </w:p>
    <w:bookmarkStart w:id="124" w:name="page125"/>
    <w:bookmarkEnd w:id="124"/>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SUPPLEMENTAL INDENTURE</w:t>
      </w:r>
    </w:p>
    <w:p>
      <w:pPr>
        <w:spacing w:after="0" w:line="225"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THIS FIRST SUPPLEMENTAL INDENTURE (this “First Supplemental Indenture”), dated as of March 23, 2021, is between Pennant Park Floating Rate Capital Ltd., a Maryland corporation (the “Company”), and American Stock Transfer &amp; Trust Company, LLC, as trustee (the “Trustee”). All capitalized terms used herein shall have the meaning set forth in the Base Indenture (as defined below) unless otherwise defined herein.</w:t>
      </w:r>
    </w:p>
    <w:p>
      <w:pPr>
        <w:spacing w:after="0" w:line="3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RECITALS OF THE COMPANY</w:t>
      </w:r>
    </w:p>
    <w:p>
      <w:pPr>
        <w:spacing w:after="0" w:line="225"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The Company and the Trustee executed and delivered an Indenture, dated as of March 23, 2021 (the “Base Indenture”), as amended and supplemented by this First Supplemental Indenture, dated as of March 23, 2021 (the First Supplemental Indenture together with the Base Indenture, the “Indenture”), to provide for the issuance by the Company from time to time of the Company’s unsecured debentures, notes or other evidences of indebtedness (the “Securities”), to be issued in one or more series as provided in the Indenture.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desires to issue and sell $100,000,000 aggregate principal amount of the Company’s 4.25% Notes due 2026 (the “Notes”).</w:t>
      </w:r>
    </w:p>
    <w:p>
      <w:pPr>
        <w:spacing w:after="0" w:line="237"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Sections 901(4) and 901(5) of the Base Indenture provide that without the consent of Holders of the Securities of any series issued under the Indenture, the Company, when authorized by or pursuant to a Board Resolution, and the Trustee, at any time and from time to time, may enter into one or more indentures supplemental to the Base Indenture to (i) change or eliminate any of the provisions of the Indenture when there is no Security Outstanding of any series created prior to the execution of a supplemental indenture that is entitled to the benefit of such provision and (ii) establish the form or terms of Securities of any series as permitted by Section 201 and Section 301 of the Base Indenture.</w:t>
      </w:r>
    </w:p>
    <w:p>
      <w:pPr>
        <w:spacing w:after="0" w:line="176"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The Company desires to establish the form and terms of the Notes and to modify, alter, supplement and change certain provisions of the Base Indenture for the benefit of the Holders of the Notes (except as may be provided in a future supplemental indenture to the Indenture (“Future Supplemental Indenture”)).</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Company has duly authorized the execution and delivery of this First Supplemental Indenture to provide for the issuance of the Notes and all acts and things necessary to make this First Supplemental Indenture a valid, binding, and legal obligation of the Company and to constitute a valid agreement of the Company, in accordance with its terms, have been done and performed.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THIS INDENTURE WITNESSETH:</w:t>
      </w:r>
    </w:p>
    <w:p>
      <w:pPr>
        <w:spacing w:after="0" w:line="225" w:lineRule="exact"/>
        <w:rPr>
          <w:sz w:val="20"/>
          <w:szCs w:val="20"/>
          <w:color w:val="auto"/>
        </w:rPr>
      </w:pPr>
    </w:p>
    <w:p>
      <w:pPr>
        <w:ind w:right="880" w:firstLine="440"/>
        <w:spacing w:after="0" w:line="277" w:lineRule="auto"/>
        <w:rPr>
          <w:sz w:val="20"/>
          <w:szCs w:val="20"/>
          <w:color w:val="auto"/>
        </w:rPr>
      </w:pPr>
      <w:r>
        <w:rPr>
          <w:rFonts w:ascii="Arial" w:cs="Arial" w:eastAsia="Arial" w:hAnsi="Arial"/>
          <w:sz w:val="18"/>
          <w:szCs w:val="18"/>
          <w:color w:val="auto"/>
        </w:rPr>
        <w:t>For and in consideration of the premises and the purchase of the Notes by the Holders thereof, it is mutually agreed, for the equal and proportionate benefit of all Holders of the Notes, as follows:</w:t>
      </w:r>
    </w:p>
    <w:p>
      <w:pPr>
        <w:sectPr>
          <w:pgSz w:w="11900" w:h="16838" w:orient="portrait"/>
          <w:cols w:equalWidth="0" w:num="1">
            <w:col w:w="10920"/>
          </w:cols>
          <w:pgMar w:left="440" w:top="274" w:right="5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THE NOTES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1.01 Terms of the Notes</w:t>
      </w:r>
      <w:r>
        <w:rPr>
          <w:rFonts w:ascii="Arial" w:cs="Arial" w:eastAsia="Arial" w:hAnsi="Arial"/>
          <w:sz w:val="18"/>
          <w:szCs w:val="18"/>
          <w:color w:val="auto"/>
        </w:rPr>
        <w:t>. The following terms relating to the Notes are hereby established:</w:t>
      </w:r>
    </w:p>
    <w:p>
      <w:pPr>
        <w:spacing w:after="0" w:line="225" w:lineRule="exact"/>
        <w:rPr>
          <w:sz w:val="20"/>
          <w:szCs w:val="20"/>
          <w:color w:val="auto"/>
        </w:rPr>
      </w:pPr>
    </w:p>
    <w:p>
      <w:pPr>
        <w:ind w:right="40" w:firstLine="436"/>
        <w:spacing w:after="0" w:line="277" w:lineRule="auto"/>
        <w:tabs>
          <w:tab w:leader="none" w:pos="68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Notes shall constitute a series of Securities having the title “4.25% Notes due 2026” and shall be designated as Senior Securities under the Indenture. The Notes shall bear a CUSIP number of 70806A AA4 and an ISIN number of US70806AAA43.</w:t>
      </w:r>
    </w:p>
    <w:p>
      <w:pPr>
        <w:spacing w:after="0" w:line="170" w:lineRule="exact"/>
        <w:rPr>
          <w:rFonts w:ascii="Arial" w:cs="Arial" w:eastAsia="Arial" w:hAnsi="Arial"/>
          <w:sz w:val="18"/>
          <w:szCs w:val="18"/>
          <w:color w:val="auto"/>
        </w:rPr>
      </w:pPr>
    </w:p>
    <w:p>
      <w:pPr>
        <w:ind w:firstLine="436"/>
        <w:spacing w:after="0" w:line="271" w:lineRule="auto"/>
        <w:tabs>
          <w:tab w:leader="none" w:pos="69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The aggregate principal amount of the Notes that may be initially authenticated and delivered under the Indenture (except for Notes authenticated and delivered upon registration of, transfer of, or in exchange for, or in lieu of, other Notes pursuant to Sections 304, 305, 306, 906 or 1107 of the Base Indenture) shall be $100,000,000. Under a Board Resolution, Officers’ Certificate pursuant to Board Resolutions or an indenture supplement, the Company may from time to time, without the consent of the Holders of Notes, issue additional Notes (in any such case “Additional Notes”) having the same ranking and the same interest rate, maturity, CUSIP number and other terms as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Additional Notes must be part of the same issue as the Notes for U.S. federal income tax purposes if represented by the same CUSIP number as the Notes. Any Additional Notes and the existing Notes will constitute a single series under the Indenture and all references to the relevant Notes herein shall include the Additional Notes unless the context otherwise requires.</w:t>
      </w:r>
    </w:p>
    <w:p>
      <w:pPr>
        <w:spacing w:after="0" w:line="178" w:lineRule="exact"/>
        <w:rPr>
          <w:rFonts w:ascii="Arial" w:cs="Arial" w:eastAsia="Arial" w:hAnsi="Arial"/>
          <w:sz w:val="17"/>
          <w:szCs w:val="17"/>
          <w:color w:val="auto"/>
        </w:rPr>
      </w:pPr>
    </w:p>
    <w:p>
      <w:pPr>
        <w:ind w:right="100" w:firstLine="436"/>
        <w:spacing w:after="0" w:line="277" w:lineRule="auto"/>
        <w:tabs>
          <w:tab w:leader="none" w:pos="68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entire Outstanding principal amount of the Notes shall be payable on April 1, 2026, unless earlier redeemed or repurchased in accordance with the provisions of this First Supplemental Indenture.</w:t>
      </w:r>
    </w:p>
    <w:p>
      <w:pPr>
        <w:spacing w:after="0" w:line="170" w:lineRule="exact"/>
        <w:rPr>
          <w:rFonts w:ascii="Arial" w:cs="Arial" w:eastAsia="Arial" w:hAnsi="Arial"/>
          <w:sz w:val="18"/>
          <w:szCs w:val="18"/>
          <w:color w:val="auto"/>
        </w:rPr>
      </w:pPr>
    </w:p>
    <w:p>
      <w:pPr>
        <w:ind w:firstLine="436"/>
        <w:spacing w:after="0" w:line="268" w:lineRule="auto"/>
        <w:tabs>
          <w:tab w:leader="none" w:pos="69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rate at which the Notes shall bear interest shall be 4.25% per annum (the “Applicable Interest Rate”). The date from which interest shall accrue on the Notes shall be March 23, 2021, or the most recent Interest Payment Date to which interest has been paid or provided for; the Interest Payment Dates for the Notes shall be April 1 and October 1 of each year, commencing October 1, 2021 (if an Interest Payment Date falls on a day that is not a Business Day, then the applicable interest payment will be made on the next succeeding Business Day with the same force and effect as if made on the scheduled Interest Payment Date and no additional interest will accrue as a result of such delayed payment); the initial interest period will be the period from and including March 23, 2021 (or the most recent Interest Payment Date to which interest has been paid or provided for), to, but excluding, the initial Interest Payment Date, and the subsequent interest periods will be the periods from and including an Interest Payment Date to, but excluding, the next Interest Payment Date or the Stated Maturity, as the case may be; the interest so payable, and punctually paid or duly provided for, on any Interest Payment Date, will be paid to the Person in whose name the Note (or one or more predecessor Notes) is registered at the close of business on the Regular Record Date for such interest, which shall be April 1 and October 1 (whether or not a Business Day), as the case may be, next preceding such Interest Payment Date. Payment of principal of (and premium, if any) and any such interest on the Notes will be made at the Corporate Trust Office of the Paying Agent, which shall initially be the Trustee, in such coin or currency of the United States of America as at the time of payment is legal tender for payment of public and private debts;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126" w:name="page127"/>
    <w:bookmarkEnd w:id="126"/>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 however, that in the case of Notes that are not in global form, at the option of the Company, payment of interest may be made by check mailed to the address of the Person entitled thereto as such address shall appear in the Security Register. Interest on the Notes will be computed on the basis of a 360-day year of twelve 30-day months.</w:t>
      </w:r>
    </w:p>
    <w:p>
      <w:pPr>
        <w:spacing w:after="0" w:line="184" w:lineRule="exact"/>
        <w:rPr>
          <w:sz w:val="20"/>
          <w:szCs w:val="20"/>
          <w:color w:val="auto"/>
        </w:rPr>
      </w:pPr>
    </w:p>
    <w:p>
      <w:pPr>
        <w:ind w:right="40" w:firstLine="436"/>
        <w:spacing w:after="0" w:line="254" w:lineRule="auto"/>
        <w:tabs>
          <w:tab w:leader="none" w:pos="68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The Notes shall be initially issuable in global form (each such Note, a “Global Note”). The Global Notes and the Trustee’s certificate of authentication thereon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First Supplemental Indenture. Each Global Note shall represent the Outstanding Notes as shall be specified therein and each shall provide that it shall represent the aggregate amount of Outstanding Notes from time to time endorsed thereon and that the aggregate amount of Outstanding Notes represented thereby may from time to time be reduced or increased, as appropriate, to reflect exchanges and redemptions. Any endorsement of a Global Note to reflect the amount of any increase or decrease in the amount of Outstanding Notes represented thereby shall be made by the Trustee or the Security Registrar, in accordance with Sections 203 and 305 of the Base Indenture.</w:t>
      </w:r>
    </w:p>
    <w:p>
      <w:pPr>
        <w:spacing w:after="0" w:line="194" w:lineRule="exact"/>
        <w:rPr>
          <w:rFonts w:ascii="Arial" w:cs="Arial" w:eastAsia="Arial" w:hAnsi="Arial"/>
          <w:sz w:val="18"/>
          <w:szCs w:val="18"/>
          <w:color w:val="auto"/>
        </w:rPr>
      </w:pPr>
    </w:p>
    <w:p>
      <w:pPr>
        <w:ind w:right="240" w:firstLine="436"/>
        <w:spacing w:after="0" w:line="277" w:lineRule="auto"/>
        <w:tabs>
          <w:tab w:leader="none" w:pos="66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depositary for such Global Notes shall be The Depository Trust Company, New York, New York. The Security Registrar with respect to the Global Notes shall be the Trustee.</w:t>
      </w:r>
    </w:p>
    <w:p>
      <w:pPr>
        <w:spacing w:after="0" w:line="170" w:lineRule="exact"/>
        <w:rPr>
          <w:rFonts w:ascii="Arial" w:cs="Arial" w:eastAsia="Arial" w:hAnsi="Arial"/>
          <w:sz w:val="18"/>
          <w:szCs w:val="18"/>
          <w:color w:val="auto"/>
        </w:rPr>
      </w:pPr>
    </w:p>
    <w:p>
      <w:pPr>
        <w:ind w:right="40" w:firstLine="436"/>
        <w:spacing w:after="0" w:line="263" w:lineRule="auto"/>
        <w:tabs>
          <w:tab w:leader="none" w:pos="69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Notes shall be defeasible pursuant to Section 1402 or Section 1403 of the Base Indenture. Covenant defeasance contained in Section 1403 of the Base Indenture shall apply to the covenants contained in Sections 1008 and 1009 thereof (after giving effect to the amendments set forth in Section 5.01 of this First Supplemental Indenture).</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Notes shall be redeemable pursuant to Section 1101 of the Base Indenture and as follows:</w:t>
      </w:r>
    </w:p>
    <w:p>
      <w:pPr>
        <w:spacing w:after="0" w:line="117" w:lineRule="exact"/>
        <w:rPr>
          <w:sz w:val="20"/>
          <w:szCs w:val="20"/>
          <w:color w:val="auto"/>
        </w:rPr>
      </w:pPr>
    </w:p>
    <w:p>
      <w:pPr>
        <w:ind w:left="440" w:right="40" w:firstLine="419"/>
        <w:spacing w:after="0" w:line="308" w:lineRule="auto"/>
        <w:tabs>
          <w:tab w:leader="none" w:pos="1078"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Notes will be redeemable, in whole or in part, at any time, or from time to time, at the option of the Company, at a Redemption Price equal to the greater of the following amounts, plus, in each case, accrued and unpaid interest to, but excluding, the Redemption Date:</w:t>
      </w:r>
    </w:p>
    <w:p>
      <w:pPr>
        <w:spacing w:after="0" w:line="3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 100% of the principal amount of the Notes to be redeemed, or</w:t>
      </w:r>
    </w:p>
    <w:p>
      <w:pPr>
        <w:spacing w:after="0" w:line="117" w:lineRule="exact"/>
        <w:rPr>
          <w:sz w:val="20"/>
          <w:szCs w:val="20"/>
          <w:color w:val="auto"/>
        </w:rPr>
      </w:pPr>
    </w:p>
    <w:p>
      <w:pPr>
        <w:ind w:left="440" w:right="160" w:firstLine="423"/>
        <w:spacing w:after="0" w:line="263" w:lineRule="auto"/>
        <w:rPr>
          <w:sz w:val="20"/>
          <w:szCs w:val="20"/>
          <w:color w:val="auto"/>
        </w:rPr>
      </w:pPr>
      <w:r>
        <w:rPr>
          <w:rFonts w:ascii="Arial" w:cs="Arial" w:eastAsia="Arial" w:hAnsi="Arial"/>
          <w:sz w:val="18"/>
          <w:szCs w:val="18"/>
          <w:color w:val="auto"/>
        </w:rPr>
        <w:t>B. the sum of the present values of the remaining scheduled payments of principal and interest (exclusive of accrued and unpaid interest to the Redemption Date) on the Notes to be redeemed, discounted to the Redemption Date on a semi-annual basis (assuming a 360-day year consisting of twelve 30-day months) using the applicable Treasury Rate plus 50 basis points;</w:t>
      </w:r>
    </w:p>
    <w:p>
      <w:pPr>
        <w:spacing w:after="0" w:line="76" w:lineRule="exact"/>
        <w:rPr>
          <w:sz w:val="20"/>
          <w:szCs w:val="20"/>
          <w:color w:val="auto"/>
        </w:rPr>
      </w:pPr>
    </w:p>
    <w:p>
      <w:pPr>
        <w:ind w:left="440" w:right="100" w:firstLine="423"/>
        <w:spacing w:after="0" w:line="342"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however, that if the Company redeems any Notes on or after January 1, 2026, the Redemption Price for the Notes will be equal to</w:t>
      </w:r>
      <w:r>
        <w:rPr>
          <w:rFonts w:ascii="Arial" w:cs="Arial" w:eastAsia="Arial" w:hAnsi="Arial"/>
          <w:sz w:val="16"/>
          <w:szCs w:val="16"/>
          <w:i w:val="1"/>
          <w:iCs w:val="1"/>
          <w:color w:val="auto"/>
        </w:rPr>
        <w:t xml:space="preserve"> </w:t>
      </w:r>
      <w:r>
        <w:rPr>
          <w:rFonts w:ascii="Arial" w:cs="Arial" w:eastAsia="Arial" w:hAnsi="Arial"/>
          <w:sz w:val="16"/>
          <w:szCs w:val="16"/>
          <w:color w:val="auto"/>
        </w:rPr>
        <w:t>100% of the principal amount of the Notes to be redeemed, plus accrued and unpaid interest, if any, to, but excluding, the Redemption Date.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27" w:name="page128"/>
    <w:bookmarkEnd w:id="127"/>
    <w:p>
      <w:pPr>
        <w:ind w:right="200" w:firstLine="42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calculating the Redemption Price in connection with the redemption of the Notes, on any Redemption Date, the following terms have the meanings set forth below:</w:t>
      </w:r>
    </w:p>
    <w:p>
      <w:pPr>
        <w:spacing w:after="0" w:line="62" w:lineRule="exact"/>
        <w:rPr>
          <w:sz w:val="20"/>
          <w:szCs w:val="20"/>
          <w:color w:val="auto"/>
        </w:rPr>
      </w:pPr>
    </w:p>
    <w:p>
      <w:pPr>
        <w:ind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Rate</w:t>
      </w:r>
      <w:r>
        <w:rPr>
          <w:rFonts w:ascii="Arial" w:cs="Arial" w:eastAsia="Arial" w:hAnsi="Arial"/>
          <w:sz w:val="18"/>
          <w:szCs w:val="18"/>
          <w:color w:val="auto"/>
        </w:rPr>
        <w:t>”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the Company.</w:t>
      </w:r>
    </w:p>
    <w:p>
      <w:pPr>
        <w:spacing w:after="0" w:line="79" w:lineRule="exact"/>
        <w:rPr>
          <w:sz w:val="20"/>
          <w:szCs w:val="20"/>
          <w:color w:val="auto"/>
        </w:rPr>
      </w:pPr>
    </w:p>
    <w:p>
      <w:pPr>
        <w:ind w:right="180" w:firstLine="423"/>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Comparable Treasury Issue</w:t>
      </w:r>
      <w:r>
        <w:rPr>
          <w:rFonts w:ascii="Arial" w:cs="Arial" w:eastAsia="Arial" w:hAnsi="Arial"/>
          <w:sz w:val="16"/>
          <w:szCs w:val="16"/>
          <w:color w:val="auto"/>
        </w:rPr>
        <w:t>” means the United States Treasury security selected by the Reference Treasury Dealer as having a maturity comparable to the remaining term of the Notes to be redeemed that would be utilized, at the time of selection and in accordance with customary financing practice, in pricing new issues of corporate debt securities of comparable maturity to the remaining term of the Notes being redeemed.</w:t>
      </w:r>
    </w:p>
    <w:p>
      <w:pPr>
        <w:spacing w:after="0" w:line="41" w:lineRule="exact"/>
        <w:rPr>
          <w:sz w:val="20"/>
          <w:szCs w:val="20"/>
          <w:color w:val="auto"/>
        </w:rPr>
      </w:pPr>
    </w:p>
    <w:p>
      <w:pPr>
        <w:ind w:right="80"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Comparable Treasury Price</w:t>
      </w:r>
      <w:r>
        <w:rPr>
          <w:rFonts w:ascii="Arial" w:cs="Arial" w:eastAsia="Arial" w:hAnsi="Arial"/>
          <w:sz w:val="18"/>
          <w:szCs w:val="18"/>
          <w:color w:val="auto"/>
        </w:rPr>
        <w:t>”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Quotation Agent</w:t>
      </w:r>
      <w:r>
        <w:rPr>
          <w:rFonts w:ascii="Arial" w:cs="Arial" w:eastAsia="Arial" w:hAnsi="Arial"/>
          <w:sz w:val="18"/>
          <w:szCs w:val="18"/>
          <w:color w:val="auto"/>
        </w:rPr>
        <w:t>” means a Reference Treasury Dealer selected by the Company.</w:t>
      </w:r>
    </w:p>
    <w:p>
      <w:pPr>
        <w:spacing w:after="0" w:line="117" w:lineRule="exact"/>
        <w:rPr>
          <w:sz w:val="20"/>
          <w:szCs w:val="20"/>
          <w:color w:val="auto"/>
        </w:rPr>
      </w:pPr>
    </w:p>
    <w:p>
      <w:pPr>
        <w:ind w:right="20"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Treasury Dealer</w:t>
      </w:r>
      <w:r>
        <w:rPr>
          <w:rFonts w:ascii="Arial" w:cs="Arial" w:eastAsia="Arial" w:hAnsi="Arial"/>
          <w:sz w:val="18"/>
          <w:szCs w:val="18"/>
          <w:color w:val="auto"/>
        </w:rPr>
        <w:t>” means each of (1) Goldman Sachs &amp; Co. LLC or its affiliates which is a primary U.S. government securities dealer in the United States (a “Primary Treasury Dealer”) and its successors; provided, however, that if Goldman Sachs &amp; Co. LLC or its affiliates shall cease to be a Primary Treasury Dealer, the Company shall select another Primary Treasury Dealer, and (2) three other Primary Treasury Dealers selected by the Company.</w:t>
      </w:r>
    </w:p>
    <w:p>
      <w:pPr>
        <w:spacing w:after="0" w:line="79" w:lineRule="exact"/>
        <w:rPr>
          <w:sz w:val="20"/>
          <w:szCs w:val="20"/>
          <w:color w:val="auto"/>
        </w:rPr>
      </w:pPr>
    </w:p>
    <w:p>
      <w:pPr>
        <w:jc w:val="both"/>
        <w:ind w:right="100"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time on the third Business Day preceding such Redemption Date.</w:t>
      </w:r>
    </w:p>
    <w:p>
      <w:pPr>
        <w:spacing w:after="0" w:line="79" w:lineRule="exact"/>
        <w:rPr>
          <w:sz w:val="20"/>
          <w:szCs w:val="20"/>
          <w:color w:val="auto"/>
        </w:rPr>
      </w:pPr>
    </w:p>
    <w:p>
      <w:pPr>
        <w:ind w:right="320" w:firstLine="423"/>
        <w:spacing w:after="0" w:line="277" w:lineRule="auto"/>
        <w:rPr>
          <w:sz w:val="20"/>
          <w:szCs w:val="20"/>
          <w:color w:val="auto"/>
        </w:rPr>
      </w:pPr>
      <w:r>
        <w:rPr>
          <w:rFonts w:ascii="Arial" w:cs="Arial" w:eastAsia="Arial" w:hAnsi="Arial"/>
          <w:sz w:val="18"/>
          <w:szCs w:val="18"/>
          <w:color w:val="auto"/>
        </w:rPr>
        <w:t>All determinations made by any Reference Treasury Dealer, including the Quotation Agent, with respect to determining the Redemption Price will be final and binding absent manifest error.</w:t>
      </w:r>
    </w:p>
    <w:p>
      <w:pPr>
        <w:spacing w:after="0" w:line="62" w:lineRule="exact"/>
        <w:rPr>
          <w:sz w:val="20"/>
          <w:szCs w:val="20"/>
          <w:color w:val="auto"/>
        </w:rPr>
      </w:pPr>
    </w:p>
    <w:p>
      <w:pPr>
        <w:ind w:right="180" w:firstLine="419"/>
        <w:spacing w:after="0" w:line="311" w:lineRule="auto"/>
        <w:tabs>
          <w:tab w:leader="none" w:pos="68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Notice of redemption shall be given in writing and mailed, first-class postage prepaid or by overnight courier guaranteeing next-day delivery, or sent electronically in accordance with Applicable Procedures with respect to Notes in global form, to each Holder of the Notes to be redeemed, not less than 30 nor more than 60 days prior to the Redemption Date, at the Holder’s address appearing in the Security Register.</w:t>
      </w:r>
    </w:p>
    <w:p>
      <w:pPr>
        <w:spacing w:after="0" w:line="8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128" w:name="page129"/>
    <w:bookmarkEnd w:id="128"/>
    <w:p>
      <w:pPr>
        <w:ind w:left="440" w:firstLine="42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notices of redemption shall contain the information set forth in Section 1104 of the Base Indenture. If the Redemption Price is not known at the time such notice is to be given, the actual Redemption Price, calculated as described in the terms of the Notes, will be set forth in an Officers’ Certificate of the Company delivered to the Trustee no later than two Business Days prior to the Redemption Date.</w:t>
      </w:r>
    </w:p>
    <w:p>
      <w:pPr>
        <w:spacing w:after="0" w:line="57" w:lineRule="exact"/>
        <w:rPr>
          <w:sz w:val="20"/>
          <w:szCs w:val="20"/>
          <w:color w:val="auto"/>
        </w:rPr>
      </w:pPr>
    </w:p>
    <w:p>
      <w:pPr>
        <w:ind w:left="440" w:right="60" w:firstLine="419"/>
        <w:spacing w:after="0" w:line="277" w:lineRule="auto"/>
        <w:tabs>
          <w:tab w:leader="none" w:pos="117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exercise of the Company’s option to redeem the Notes will be done in compliance with the Investment Company Act, to the extent applicable.</w:t>
      </w:r>
    </w:p>
    <w:p>
      <w:pPr>
        <w:spacing w:after="0" w:line="62" w:lineRule="exact"/>
        <w:rPr>
          <w:rFonts w:ascii="Arial" w:cs="Arial" w:eastAsia="Arial" w:hAnsi="Arial"/>
          <w:sz w:val="18"/>
          <w:szCs w:val="18"/>
          <w:color w:val="auto"/>
        </w:rPr>
      </w:pPr>
    </w:p>
    <w:p>
      <w:pPr>
        <w:ind w:left="440" w:firstLine="419"/>
        <w:spacing w:after="0" w:line="273" w:lineRule="auto"/>
        <w:tabs>
          <w:tab w:leader="none" w:pos="1168" w:val="left"/>
        </w:tabs>
        <w:numPr>
          <w:ilvl w:val="1"/>
          <w:numId w:val="134"/>
        </w:numPr>
        <w:rPr>
          <w:rFonts w:ascii="Arial" w:cs="Arial" w:eastAsia="Arial" w:hAnsi="Arial"/>
          <w:sz w:val="17"/>
          <w:szCs w:val="17"/>
          <w:color w:val="auto"/>
        </w:rPr>
      </w:pPr>
      <w:r>
        <w:rPr>
          <w:rFonts w:ascii="Arial" w:cs="Arial" w:eastAsia="Arial" w:hAnsi="Arial"/>
          <w:sz w:val="17"/>
          <w:szCs w:val="17"/>
          <w:color w:val="auto"/>
        </w:rPr>
        <w:t xml:space="preserve">If the Company elects to redeem only a portion of the Notes, the particular Notes to be redeemed will be selected by the Trustee on a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rata </w:t>
      </w:r>
      <w:r>
        <w:rPr>
          <w:rFonts w:ascii="Arial" w:cs="Arial" w:eastAsia="Arial" w:hAnsi="Arial"/>
          <w:sz w:val="17"/>
          <w:szCs w:val="17"/>
          <w:color w:val="auto"/>
        </w:rPr>
        <w:t>basis to the extent practicable, or, if a</w:t>
      </w:r>
      <w:r>
        <w:rPr>
          <w:rFonts w:ascii="Arial" w:cs="Arial" w:eastAsia="Arial" w:hAnsi="Arial"/>
          <w:sz w:val="17"/>
          <w:szCs w:val="17"/>
          <w:i w:val="1"/>
          <w:iCs w:val="1"/>
          <w:color w:val="auto"/>
        </w:rPr>
        <w:t xml:space="preserve"> pro rata </w:t>
      </w:r>
      <w:r>
        <w:rPr>
          <w:rFonts w:ascii="Arial" w:cs="Arial" w:eastAsia="Arial" w:hAnsi="Arial"/>
          <w:sz w:val="17"/>
          <w:szCs w:val="17"/>
          <w:color w:val="auto"/>
        </w:rPr>
        <w:t>basis is not practicable for any reason, by lot or in such other manner as the Trustee shall deem</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fair and appropriate, and in any case in accordance with the applicable procedures of the Depositary and in accordance with the Investment Company Act as directed by the Company. In the event of a redemption of this Note in part only, a new Note or Notes will be issued in the name of the Holder thereof upon the cancellation of the original Note;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partial redemption shall reduce the portion of the principal amount of a Note not redeemed to less than $2,000.</w:t>
      </w:r>
    </w:p>
    <w:p>
      <w:pPr>
        <w:spacing w:after="0" w:line="69" w:lineRule="exact"/>
        <w:rPr>
          <w:rFonts w:ascii="Arial" w:cs="Arial" w:eastAsia="Arial" w:hAnsi="Arial"/>
          <w:sz w:val="17"/>
          <w:szCs w:val="17"/>
          <w:color w:val="auto"/>
        </w:rPr>
      </w:pPr>
    </w:p>
    <w:p>
      <w:pPr>
        <w:ind w:left="440" w:right="40" w:firstLine="419"/>
        <w:spacing w:after="0" w:line="277" w:lineRule="auto"/>
        <w:tabs>
          <w:tab w:leader="none" w:pos="111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Unless the Company defaults in payment of the Redemption Price, on and after the Redemption Date, interest will cease to accrue on the Notes or portion of the Notes called for redemption hereunder.</w:t>
      </w:r>
    </w:p>
    <w:p>
      <w:pPr>
        <w:spacing w:after="0" w:line="170" w:lineRule="exact"/>
        <w:rPr>
          <w:rFonts w:ascii="Arial" w:cs="Arial" w:eastAsia="Arial" w:hAnsi="Arial"/>
          <w:sz w:val="18"/>
          <w:szCs w:val="18"/>
          <w:color w:val="auto"/>
        </w:rPr>
      </w:pPr>
    </w:p>
    <w:p>
      <w:pPr>
        <w:ind w:left="660" w:hanging="224"/>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Notes shall not be subject to any sinking fund pursuant to Section 1201 of the Base Indenture.</w:t>
      </w:r>
    </w:p>
    <w:p>
      <w:pPr>
        <w:spacing w:after="0" w:line="225" w:lineRule="exact"/>
        <w:rPr>
          <w:rFonts w:ascii="Arial" w:cs="Arial" w:eastAsia="Arial" w:hAnsi="Arial"/>
          <w:sz w:val="18"/>
          <w:szCs w:val="18"/>
          <w:color w:val="auto"/>
        </w:rPr>
      </w:pPr>
    </w:p>
    <w:p>
      <w:pPr>
        <w:ind w:left="660" w:hanging="224"/>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Notes shall be issuable in denominations of $2,000 and integral multiples of $1,000 in excess thereof.</w:t>
      </w:r>
    </w:p>
    <w:p>
      <w:pPr>
        <w:spacing w:after="0" w:line="225" w:lineRule="exact"/>
        <w:rPr>
          <w:rFonts w:ascii="Arial" w:cs="Arial" w:eastAsia="Arial" w:hAnsi="Arial"/>
          <w:sz w:val="18"/>
          <w:szCs w:val="18"/>
          <w:color w:val="auto"/>
        </w:rPr>
      </w:pPr>
    </w:p>
    <w:p>
      <w:pPr>
        <w:ind w:right="540" w:firstLine="436"/>
        <w:spacing w:after="0" w:line="277" w:lineRule="auto"/>
        <w:tabs>
          <w:tab w:leader="none" w:pos="69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Holders of the Notes will not have the option to have the Notes repaid prior to the Stated Maturity other than in accordance with Article Thirteen of the Indenture.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211" w:lineRule="exact"/>
        <w:rPr>
          <w:sz w:val="20"/>
          <w:szCs w:val="20"/>
          <w:color w:val="auto"/>
        </w:rPr>
      </w:pPr>
    </w:p>
    <w:p>
      <w:pPr>
        <w:jc w:val="both"/>
        <w:ind w:right="380" w:firstLine="440"/>
        <w:spacing w:after="0" w:line="286" w:lineRule="auto"/>
        <w:rPr>
          <w:sz w:val="20"/>
          <w:szCs w:val="20"/>
          <w:color w:val="auto"/>
        </w:rPr>
      </w:pP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Except as may be provided in a Future Supplemental Indenture, for the benefit of the Holders of the Notes but no other series of Securities under the Indenture, whether now or hereafter issued and Outstanding, Article One of the Base Indenture shall be amended by adding the following defined terms to Section 101 of the Base Indenture in appropriate alphabetical sequence, as follows: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Notes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1.01(b)</w:t>
      </w:r>
      <w:r>
        <w:rPr>
          <w:rFonts w:ascii="Arial" w:cs="Arial" w:eastAsia="Arial" w:hAnsi="Arial"/>
          <w:sz w:val="18"/>
          <w:szCs w:val="18"/>
          <w:color w:val="auto"/>
        </w:rPr>
        <w:t xml:space="preserve"> of this First Supplemental Indenture.</w:t>
      </w:r>
    </w:p>
    <w:p>
      <w:pPr>
        <w:spacing w:after="0" w:line="225" w:lineRule="exact"/>
        <w:rPr>
          <w:sz w:val="20"/>
          <w:szCs w:val="20"/>
          <w:color w:val="auto"/>
        </w:rPr>
      </w:pPr>
    </w:p>
    <w:p>
      <w:pPr>
        <w:ind w:right="2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Below Investment Grade Rating Event</w:t>
      </w:r>
      <w:r>
        <w:rPr>
          <w:rFonts w:ascii="Arial" w:cs="Arial" w:eastAsia="Arial" w:hAnsi="Arial"/>
          <w:sz w:val="17"/>
          <w:szCs w:val="17"/>
          <w:color w:val="auto"/>
        </w:rPr>
        <w:t xml:space="preserve">” means the Notes are downgraded below Investment Grade by the Rating Agency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the Rating Agency);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Below Investment Grade Rating Event otherwise arising by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29" w:name="page130"/>
    <w:bookmarkEnd w:id="129"/>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Agency making the reduction in rating to which this definition would otherwise apply does not announce or publicly confirm or inform the Company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w:t>
      </w:r>
    </w:p>
    <w:p>
      <w:pPr>
        <w:spacing w:after="0" w:line="117" w:lineRule="exact"/>
        <w:rPr>
          <w:sz w:val="20"/>
          <w:szCs w:val="20"/>
          <w:color w:val="auto"/>
        </w:rPr>
      </w:pPr>
    </w:p>
    <w:p>
      <w:pPr>
        <w:ind w:left="440" w:firstLine="419"/>
        <w:spacing w:after="0" w:line="257" w:lineRule="auto"/>
        <w:tabs>
          <w:tab w:leader="none" w:pos="111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the direct or indirect sale, lease, transfer, conveyance or other disposition (other than by way of merger or consolidation) in one or a series of related transactions, of all or substantially all of the assets of the Company and its Controlled Subsidiaries taken as a whole to any “person” or “group” (as those terms are used in Section 13(d)(3) of the Securities Exchange Act), other than to any Permitted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 pledge of assets pursuant to any secured debt instrument of the Company or its Controlled Subsidiaries shall not be deemed to be any such sale, lease, transfer, conveyance or disposition;</w:t>
      </w:r>
    </w:p>
    <w:p>
      <w:pPr>
        <w:spacing w:after="0" w:line="79" w:lineRule="exact"/>
        <w:rPr>
          <w:rFonts w:ascii="Arial" w:cs="Arial" w:eastAsia="Arial" w:hAnsi="Arial"/>
          <w:sz w:val="18"/>
          <w:szCs w:val="18"/>
          <w:color w:val="auto"/>
        </w:rPr>
      </w:pPr>
    </w:p>
    <w:p>
      <w:pPr>
        <w:ind w:left="440" w:right="20" w:firstLine="419"/>
        <w:spacing w:after="0" w:line="279" w:lineRule="auto"/>
        <w:tabs>
          <w:tab w:leader="none" w:pos="111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consummation of any transaction (including, without limitation, any merger or consolidation) the result of which is that any “person” or “group” (as those terms are used in Section 13(d)(3) of the Securities Exchange Act) (other than any Permitted Holders) becomes the “beneficial owner” (as defined in Rules 13d-3 and 13d-5 under the Securities Exchange Act), directly or indirectly, of more than 50% of the outstanding Voting Stock of the Company, measured by voting power rather than number of shares; or</w:t>
      </w:r>
    </w:p>
    <w:p>
      <w:pPr>
        <w:spacing w:after="0" w:line="63" w:lineRule="exact"/>
        <w:rPr>
          <w:rFonts w:ascii="Arial" w:cs="Arial" w:eastAsia="Arial" w:hAnsi="Arial"/>
          <w:sz w:val="17"/>
          <w:szCs w:val="17"/>
          <w:color w:val="auto"/>
        </w:rPr>
      </w:pPr>
    </w:p>
    <w:p>
      <w:pPr>
        <w:ind w:left="1120" w:hanging="261"/>
        <w:spacing w:after="0"/>
        <w:tabs>
          <w:tab w:leader="none" w:pos="11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approval by the Company’s stockholders of any plan or proposal relating to the liquidation or dissolution of the Company.</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Repurchase Event</w:t>
      </w:r>
      <w:r>
        <w:rPr>
          <w:rFonts w:ascii="Arial" w:cs="Arial" w:eastAsia="Arial" w:hAnsi="Arial"/>
          <w:sz w:val="18"/>
          <w:szCs w:val="18"/>
          <w:color w:val="auto"/>
        </w:rPr>
        <w:t>” means the occurrence of a Change of Control and a Below Investment Grade Rating Event.</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Subsidiary</w:t>
      </w:r>
      <w:r>
        <w:rPr>
          <w:rFonts w:ascii="Arial" w:cs="Arial" w:eastAsia="Arial" w:hAnsi="Arial"/>
          <w:sz w:val="18"/>
          <w:szCs w:val="18"/>
          <w:color w:val="auto"/>
        </w:rPr>
        <w:t>” means any Subsidiary of the Company, 50% or more of the outstanding equity interests of which are owned by the Company and its direct or indirect Subsidiaries and of which the Company possesses, directly or indirectly, the power to direct or cause the direction of the management or policies, whether through the ownership of voting equity interests, by agreement or otherwise.</w:t>
      </w:r>
    </w:p>
    <w:p>
      <w:pPr>
        <w:spacing w:after="0" w:line="184"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means, with respect to each Note in global form, The Depository Trust Company, until a successor shall have been appointed and becomes such person, and thereafter, Depositary shall mean or include such successor.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Egan-Jones</w:t>
      </w:r>
      <w:r>
        <w:rPr>
          <w:rFonts w:ascii="Arial" w:cs="Arial" w:eastAsia="Arial" w:hAnsi="Arial"/>
          <w:sz w:val="18"/>
          <w:szCs w:val="18"/>
          <w:color w:val="auto"/>
        </w:rPr>
        <w:t>” means Egan-Jones Ratings Company, Inc., also known as Egan-Jones, or any successor thereto.</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130" w:name="page131"/>
    <w:bookmarkEnd w:id="130"/>
    <w:p>
      <w:pPr>
        <w:ind w:right="16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GAAP</w:t>
      </w:r>
      <w:r>
        <w:rPr>
          <w:rFonts w:ascii="Arial" w:cs="Arial" w:eastAsia="Arial" w:hAnsi="Arial"/>
          <w:sz w:val="16"/>
          <w:szCs w:val="16"/>
          <w:color w:val="auto"/>
        </w:rPr>
        <w:t>” means generally accepted accounting principles in the United States set forth in the opinions and pronouncements of the Accounting Principles Board of the American Institute of Certified Public Accountants, the opinions and pronouncements of the Public Company Accounting Oversight Board and the statements and pronouncements of the Financial Accounting Standards Board or in such other statements by such other entity as have been approved by a significant segment of the accounting profession in the United States, which are in effect from time to time.</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Adviser</w:t>
      </w:r>
      <w:r>
        <w:rPr>
          <w:rFonts w:ascii="Arial" w:cs="Arial" w:eastAsia="Arial" w:hAnsi="Arial"/>
          <w:sz w:val="18"/>
          <w:szCs w:val="18"/>
          <w:color w:val="auto"/>
        </w:rPr>
        <w:t>” means Pennant Park Investment Advisers, LLC.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as amended.</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Grade</w:t>
      </w:r>
      <w:r>
        <w:rPr>
          <w:rFonts w:ascii="Arial" w:cs="Arial" w:eastAsia="Arial" w:hAnsi="Arial"/>
          <w:sz w:val="18"/>
          <w:szCs w:val="18"/>
          <w:color w:val="auto"/>
        </w:rPr>
        <w:t>” means a rating of BBB- or better by Egan-Jones (or its equivalent under any successor rating categories of Egan-Jones) (or if such Rating Agency ceases to rate the Notes for reasons outside of the Company’s control, the equivalent investment grade credit rating from any Rating Agency selected by the Company as a replacement Rating Agency).</w:t>
      </w:r>
    </w:p>
    <w:p>
      <w:pPr>
        <w:spacing w:after="0" w:line="184"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means (i) the Company, (ii) one or more of the Company’s Controlled Subsidiaries and (iii) the Investment Adviser or any Affiliate of the Investment Adviser that is organized under the laws of a jurisdiction located in the United States of America and in the business of managing or advising clients.</w:t>
      </w:r>
    </w:p>
    <w:p>
      <w:pPr>
        <w:spacing w:after="0" w:line="184" w:lineRule="exact"/>
        <w:rPr>
          <w:sz w:val="20"/>
          <w:szCs w:val="20"/>
          <w:color w:val="auto"/>
        </w:rPr>
      </w:pPr>
    </w:p>
    <w:p>
      <w:pPr>
        <w:jc w:val="both"/>
        <w:ind w:right="5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Agency</w:t>
      </w:r>
      <w:r>
        <w:rPr>
          <w:rFonts w:ascii="Arial" w:cs="Arial" w:eastAsia="Arial" w:hAnsi="Arial"/>
          <w:sz w:val="18"/>
          <w:szCs w:val="18"/>
          <w:color w:val="auto"/>
        </w:rPr>
        <w:t>” means Egan-Jones; and if Egan-Jones ceases to rate the Notes or fails to make a rating of the Notes publicly available for reasons outside of the Company’s control, a “nationally recognized statistical rating organization” as defined in Section 3(a)(62) of the Securities Exchange Act selected by the Company as a replacement agency for Egan-Jones.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means any Subsidiary that would be a “significant subsidiary” as defined in Article 1, Rule 1-02 of Regulation S-X under the Securities Exchange Act, as such regulation is in effect on the original date of this Indenture (but excluding any Subsidiary which is (a) a non-recourse or limited recourse Subsidiary, (b) a bankruptcy remote special purpose vehicle or (c) is not consolidated with the Company for purposes of GAAP).</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Person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of this First Supplemental Indenture.</w:t>
      </w:r>
    </w:p>
    <w:p>
      <w:pPr>
        <w:spacing w:after="0" w:line="225" w:lineRule="exact"/>
        <w:rPr>
          <w:sz w:val="20"/>
          <w:szCs w:val="20"/>
          <w:color w:val="auto"/>
        </w:rPr>
      </w:pPr>
    </w:p>
    <w:p>
      <w:pPr>
        <w:ind w:right="3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Voting Stock</w:t>
      </w:r>
      <w:r>
        <w:rPr>
          <w:rFonts w:ascii="Arial" w:cs="Arial" w:eastAsia="Arial" w:hAnsi="Arial"/>
          <w:sz w:val="16"/>
          <w:szCs w:val="16"/>
          <w:color w:val="auto"/>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149"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101 of the Base Indenture shall be amended by replacing the definition of “Business Day” included therein in its entirety with the following:</w:t>
      </w:r>
    </w:p>
    <w:p>
      <w:pPr>
        <w:spacing w:after="0" w:line="184"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each Monday, Tuesday, Wednesday, Thursday and Friday that is not a day on which banking institutions in The City of New York are authorized or required by law or executive order to close.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31" w:name="page132"/>
    <w:bookmarkEnd w:id="131"/>
    <w:p>
      <w:pPr>
        <w:ind w:right="180" w:firstLine="440"/>
        <w:spacing w:after="0" w:line="26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2.03</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101 of the Base Indenture shall be amended by replacing the definition of “Subsidiary” included therein in its entirety with the following:</w:t>
      </w:r>
    </w:p>
    <w:p>
      <w:pPr>
        <w:spacing w:after="0" w:line="184"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corporation, partnership, joint venture, limited liability company or other business entity of which a majority of the outstanding shares or other interests having voting power is at the time directly or indirectly owned or controlled by such Person or one or more of the Subsidiaries of such Person. Unless the context otherwise requires, all references to Subsidiary or Subsidiaries under this Indenture shall refer to Subsidiaries of the Company. In addition, for purposes of this definition, “Subsidiary” shall exclude any investments held by the Company in the ordinary course of business which are not, under GAAP, consolidated on the financial statements of the Company and its Subsidiaries.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FORM</w:t>
      </w:r>
    </w:p>
    <w:p>
      <w:pPr>
        <w:spacing w:after="0" w:line="211" w:lineRule="exact"/>
        <w:rPr>
          <w:sz w:val="20"/>
          <w:szCs w:val="20"/>
          <w:color w:val="auto"/>
        </w:rPr>
      </w:pPr>
    </w:p>
    <w:p>
      <w:pPr>
        <w:jc w:val="both"/>
        <w:ind w:right="360" w:firstLine="440"/>
        <w:spacing w:after="0" w:line="263" w:lineRule="auto"/>
        <w:rPr>
          <w:sz w:val="20"/>
          <w:szCs w:val="20"/>
          <w:color w:val="auto"/>
        </w:rPr>
      </w:pP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Article Two of the Base Indenture shall be amended by adding the following new Section 204 thereto, as set forth below:</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204. Certificated Securities</w:t>
      </w:r>
      <w:r>
        <w:rPr>
          <w:rFonts w:ascii="Arial" w:cs="Arial" w:eastAsia="Arial" w:hAnsi="Arial"/>
          <w:sz w:val="18"/>
          <w:szCs w:val="18"/>
          <w:color w:val="auto"/>
        </w:rPr>
        <w:t>.</w:t>
      </w:r>
    </w:p>
    <w:p>
      <w:pPr>
        <w:spacing w:after="0" w:line="121" w:lineRule="exact"/>
        <w:rPr>
          <w:sz w:val="20"/>
          <w:szCs w:val="20"/>
          <w:color w:val="auto"/>
        </w:rPr>
      </w:pPr>
    </w:p>
    <w:p>
      <w:pPr>
        <w:ind w:left="440" w:right="140"/>
        <w:spacing w:after="0" w:line="277" w:lineRule="auto"/>
        <w:rPr>
          <w:sz w:val="20"/>
          <w:szCs w:val="20"/>
          <w:color w:val="auto"/>
        </w:rPr>
      </w:pPr>
      <w:r>
        <w:rPr>
          <w:rFonts w:ascii="Arial" w:cs="Arial" w:eastAsia="Arial" w:hAnsi="Arial"/>
          <w:sz w:val="18"/>
          <w:szCs w:val="18"/>
          <w:color w:val="auto"/>
        </w:rPr>
        <w:t>Notwithstanding anything to the contrary, Securities in physical, certificated form will be issued and delivered to each person that the Depositary identifies as a beneficial owner of the related Securities only if:</w:t>
      </w:r>
    </w:p>
    <w:p>
      <w:pPr>
        <w:spacing w:after="0" w:line="62" w:lineRule="exact"/>
        <w:rPr>
          <w:sz w:val="20"/>
          <w:szCs w:val="20"/>
          <w:color w:val="auto"/>
        </w:rPr>
      </w:pPr>
    </w:p>
    <w:p>
      <w:pPr>
        <w:ind w:left="440" w:right="120" w:hanging="4"/>
        <w:spacing w:after="0" w:line="277" w:lineRule="auto"/>
        <w:tabs>
          <w:tab w:leader="none" w:pos="69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Depositary notifies the Company at any time that it is unwilling or unable to continue as depositary for the Securities in global form and a successor depositary is not appointed within 90 days;</w:t>
      </w:r>
    </w:p>
    <w:p>
      <w:pPr>
        <w:spacing w:after="0" w:line="62" w:lineRule="exact"/>
        <w:rPr>
          <w:rFonts w:ascii="Arial" w:cs="Arial" w:eastAsia="Arial" w:hAnsi="Arial"/>
          <w:sz w:val="18"/>
          <w:szCs w:val="18"/>
          <w:color w:val="auto"/>
        </w:rPr>
      </w:pPr>
    </w:p>
    <w:p>
      <w:pPr>
        <w:ind w:left="440" w:right="420" w:hanging="4"/>
        <w:spacing w:after="0" w:line="277" w:lineRule="auto"/>
        <w:tabs>
          <w:tab w:leader="none" w:pos="69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Depositary ceases to be registered as a clearing agency under the Securities Exchange Act and a successor depositary is not appointed within 90 days; or</w:t>
      </w:r>
    </w:p>
    <w:p>
      <w:pPr>
        <w:spacing w:after="0" w:line="62" w:lineRule="exact"/>
        <w:rPr>
          <w:rFonts w:ascii="Arial" w:cs="Arial" w:eastAsia="Arial" w:hAnsi="Arial"/>
          <w:sz w:val="18"/>
          <w:szCs w:val="18"/>
          <w:color w:val="auto"/>
        </w:rPr>
      </w:pPr>
    </w:p>
    <w:p>
      <w:pPr>
        <w:ind w:left="440" w:right="460" w:hanging="4"/>
        <w:spacing w:after="0" w:line="277" w:lineRule="auto"/>
        <w:tabs>
          <w:tab w:leader="none" w:pos="69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 Event of Default with respect to the Securities has occurred and is continuing and such beneficial owner requests that its Securities be issued in physical, certificated form.”</w:t>
      </w:r>
    </w:p>
    <w:p>
      <w:pPr>
        <w:spacing w:after="0" w:line="38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REMEDIES</w:t>
      </w:r>
    </w:p>
    <w:p>
      <w:pPr>
        <w:spacing w:after="0" w:line="211"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501 of the Base Indenture shall be amended by replacing clause (2) thereof in its entirety with the following:</w:t>
      </w:r>
    </w:p>
    <w:p>
      <w:pPr>
        <w:spacing w:after="0" w:line="76"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color w:val="auto"/>
        </w:rPr>
        <w:t>“(2) default in the payment of the principal of (or premium, if any, on) any Note when it becomes due and payable at its Maturity, including upon any Redemption Date or required repurchase date;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32" w:name="page133"/>
    <w:bookmarkEnd w:id="132"/>
    <w:p>
      <w:pPr>
        <w:jc w:val="both"/>
        <w:ind w:right="360" w:firstLine="440"/>
        <w:spacing w:after="0" w:line="26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4.02</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501 of the Base Indenture shall be amended by replacing clause (6) thereof in its entirety with the following:</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 a court of competent jurisdiction enters an order or decree under any Bankruptcy Law that:</w:t>
      </w:r>
    </w:p>
    <w:p>
      <w:pPr>
        <w:spacing w:after="0" w:line="117" w:lineRule="exact"/>
        <w:rPr>
          <w:sz w:val="20"/>
          <w:szCs w:val="20"/>
          <w:color w:val="auto"/>
        </w:rPr>
      </w:pPr>
    </w:p>
    <w:p>
      <w:pPr>
        <w:ind w:left="1280" w:hanging="293"/>
        <w:spacing w:after="0"/>
        <w:tabs>
          <w:tab w:leader="none" w:pos="12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 or proceeding, or</w:t>
      </w:r>
    </w:p>
    <w:p>
      <w:pPr>
        <w:spacing w:after="0" w:line="117" w:lineRule="exact"/>
        <w:rPr>
          <w:rFonts w:ascii="Arial" w:cs="Arial" w:eastAsia="Arial" w:hAnsi="Arial"/>
          <w:sz w:val="18"/>
          <w:szCs w:val="18"/>
          <w:color w:val="auto"/>
        </w:rPr>
      </w:pPr>
    </w:p>
    <w:p>
      <w:pPr>
        <w:ind w:left="980" w:right="40" w:firstLine="7"/>
        <w:spacing w:after="0" w:line="277" w:lineRule="auto"/>
        <w:tabs>
          <w:tab w:leader="none" w:pos="126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adjudges the Company bankrupt or insolvent, or approves as properly filed a petition seeking reorganization, arrangement, adjustment or composition of or in respect of the Company, or</w:t>
      </w:r>
    </w:p>
    <w:p>
      <w:pPr>
        <w:spacing w:after="0" w:line="62" w:lineRule="exact"/>
        <w:rPr>
          <w:rFonts w:ascii="Arial" w:cs="Arial" w:eastAsia="Arial" w:hAnsi="Arial"/>
          <w:sz w:val="18"/>
          <w:szCs w:val="18"/>
          <w:color w:val="auto"/>
        </w:rPr>
      </w:pPr>
    </w:p>
    <w:p>
      <w:pPr>
        <w:ind w:left="1280" w:hanging="293"/>
        <w:spacing w:after="0"/>
        <w:tabs>
          <w:tab w:leader="none" w:pos="12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117" w:lineRule="exact"/>
        <w:rPr>
          <w:rFonts w:ascii="Arial" w:cs="Arial" w:eastAsia="Arial" w:hAnsi="Arial"/>
          <w:sz w:val="18"/>
          <w:szCs w:val="18"/>
          <w:color w:val="auto"/>
        </w:rPr>
      </w:pPr>
    </w:p>
    <w:p>
      <w:pPr>
        <w:ind w:left="1280" w:hanging="293"/>
        <w:spacing w:after="0"/>
        <w:tabs>
          <w:tab w:leader="none" w:pos="12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orders the winding up or liquidation of the Company,</w:t>
      </w:r>
    </w:p>
    <w:p>
      <w:pPr>
        <w:spacing w:after="0" w:line="117" w:lineRule="exact"/>
        <w:rPr>
          <w:sz w:val="20"/>
          <w:szCs w:val="20"/>
          <w:color w:val="auto"/>
        </w:rPr>
      </w:pPr>
    </w:p>
    <w:p>
      <w:pPr>
        <w:ind w:left="980" w:right="120"/>
        <w:spacing w:after="0" w:line="277" w:lineRule="auto"/>
        <w:rPr>
          <w:sz w:val="20"/>
          <w:szCs w:val="20"/>
          <w:color w:val="auto"/>
        </w:rPr>
      </w:pPr>
      <w:r>
        <w:rPr>
          <w:rFonts w:ascii="Arial" w:cs="Arial" w:eastAsia="Arial" w:hAnsi="Arial"/>
          <w:sz w:val="18"/>
          <w:szCs w:val="18"/>
          <w:color w:val="auto"/>
        </w:rPr>
        <w:t>and the continuance of any such decree or order for relief or any such other decree or order unstayed and undischarged and in effect for a period of 90 days.”</w:t>
      </w:r>
    </w:p>
    <w:p>
      <w:pPr>
        <w:spacing w:after="0" w:line="170" w:lineRule="exact"/>
        <w:rPr>
          <w:sz w:val="20"/>
          <w:szCs w:val="20"/>
          <w:color w:val="auto"/>
        </w:rPr>
      </w:pPr>
    </w:p>
    <w:p>
      <w:pPr>
        <w:jc w:val="both"/>
        <w:ind w:right="360" w:firstLine="440"/>
        <w:spacing w:after="0" w:line="263" w:lineRule="auto"/>
        <w:rPr>
          <w:sz w:val="20"/>
          <w:szCs w:val="20"/>
          <w:color w:val="auto"/>
        </w:rPr>
      </w:pP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501 of the Base Indenture shall be amended by replacing clause (7) thereof in its entirety with the following:</w:t>
      </w:r>
    </w:p>
    <w:p>
      <w:pPr>
        <w:spacing w:after="0" w:line="76" w:lineRule="exact"/>
        <w:rPr>
          <w:sz w:val="20"/>
          <w:szCs w:val="20"/>
          <w:color w:val="auto"/>
        </w:rPr>
      </w:pPr>
    </w:p>
    <w:p>
      <w:pPr>
        <w:ind w:left="440"/>
        <w:spacing w:after="0" w:line="271" w:lineRule="auto"/>
        <w:rPr>
          <w:sz w:val="20"/>
          <w:szCs w:val="20"/>
          <w:color w:val="auto"/>
        </w:rPr>
      </w:pPr>
      <w:r>
        <w:rPr>
          <w:rFonts w:ascii="Arial" w:cs="Arial" w:eastAsia="Arial" w:hAnsi="Arial"/>
          <w:sz w:val="17"/>
          <w:szCs w:val="17"/>
          <w:color w:val="auto"/>
        </w:rPr>
        <w:t>“(7) default by the Company or any of its Significant Subsidiaries, with respect to any mortgage, agreement or other instrument under which there may be outstanding, or by which there may be secured or evidenced, any indebtedness for money borrowed in excess of $75 million in the aggregate of the Company and/or any such Significant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the Company by the Trustee or to the Company and the Trustee by the Holders of at least 25% in aggregate principal amount of the Notes then Outstanding; or</w:t>
      </w:r>
    </w:p>
    <w:p>
      <w:pPr>
        <w:spacing w:after="0" w:line="70" w:lineRule="exact"/>
        <w:rPr>
          <w:sz w:val="20"/>
          <w:szCs w:val="20"/>
          <w:color w:val="auto"/>
        </w:rPr>
      </w:pPr>
    </w:p>
    <w:p>
      <w:pPr>
        <w:ind w:left="440" w:hanging="4"/>
        <w:spacing w:after="0" w:line="259" w:lineRule="auto"/>
        <w:tabs>
          <w:tab w:leader="none" w:pos="69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pursuant to Sections 18(a)(1)(C)(ii) and 61 of the Investment Company Act, or any successor provisions, on the last business day of each of twenty-four consecutive calendar months any class of Securities shall have an asset coverage (as such term is used in the Investment Company Act) of less than 100%, giving effect to any amendments to such provisions of the Investment Company Act or to any exemptive relief granted to the Company by the Commission”.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133" w:name="page134"/>
    <w:bookmarkEnd w:id="133"/>
    <w:p>
      <w:pPr>
        <w:ind w:right="160" w:firstLine="440"/>
        <w:spacing w:after="0" w:line="26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4.04</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502 of the Base Indenture shall be amended by replacing the first paragraph thereof in its entirety with the following:</w:t>
      </w:r>
    </w:p>
    <w:p>
      <w:pPr>
        <w:spacing w:after="0" w:line="76" w:lineRule="exact"/>
        <w:rPr>
          <w:sz w:val="20"/>
          <w:szCs w:val="20"/>
          <w:color w:val="auto"/>
        </w:rPr>
      </w:pPr>
    </w:p>
    <w:p>
      <w:pPr>
        <w:ind w:left="440"/>
        <w:spacing w:after="0" w:line="273" w:lineRule="auto"/>
        <w:rPr>
          <w:sz w:val="20"/>
          <w:szCs w:val="20"/>
          <w:color w:val="auto"/>
        </w:rPr>
      </w:pPr>
      <w:r>
        <w:rPr>
          <w:rFonts w:ascii="Arial" w:cs="Arial" w:eastAsia="Arial" w:hAnsi="Arial"/>
          <w:sz w:val="17"/>
          <w:szCs w:val="17"/>
          <w:color w:val="auto"/>
        </w:rPr>
        <w:t xml:space="preserve">“If an Event of Default with respect to the Securities occurs and is continuing, then and in every such case (other than an Event of Default specified in Section 501(5) or 501(6)), the Trustee or the holders of not less than 25% in principal amount of the Outstanding Securities may declare the principal of all the Outstanding Securities to be due and payable immediately, by a notice in writing to the Company (and to the Trustee if given by the holders of the Outstanding Securities), and upon any such declaration such principal shall become immediately due and payable;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100% of the principal of, and accrued and unpaid interest on, the Outstanding Securities will automatically become due and payable in the case of an Event of Default specified in Section 501(5) or 501(6) hereof.”</w:t>
      </w:r>
    </w:p>
    <w:p>
      <w:pPr>
        <w:spacing w:after="0" w:line="178" w:lineRule="exact"/>
        <w:rPr>
          <w:sz w:val="20"/>
          <w:szCs w:val="20"/>
          <w:color w:val="auto"/>
        </w:rPr>
      </w:pPr>
    </w:p>
    <w:p>
      <w:pPr>
        <w:jc w:val="both"/>
        <w:ind w:right="380" w:firstLine="440"/>
        <w:spacing w:after="0" w:line="263" w:lineRule="auto"/>
        <w:rPr>
          <w:sz w:val="20"/>
          <w:szCs w:val="20"/>
          <w:color w:val="auto"/>
        </w:rPr>
      </w:pPr>
      <w:r>
        <w:rPr>
          <w:rFonts w:ascii="Arial" w:cs="Arial" w:eastAsia="Arial" w:hAnsi="Arial"/>
          <w:sz w:val="18"/>
          <w:szCs w:val="18"/>
          <w:u w:val="single" w:color="auto"/>
          <w:color w:val="auto"/>
        </w:rPr>
        <w:t>Section 4.05</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507 of the Base Indenture shall be amended by replacing clause (3) thereof in its entirety with the following:</w:t>
      </w:r>
    </w:p>
    <w:p>
      <w:pPr>
        <w:spacing w:after="0" w:line="76" w:lineRule="exact"/>
        <w:rPr>
          <w:sz w:val="20"/>
          <w:szCs w:val="20"/>
          <w:color w:val="auto"/>
        </w:rPr>
      </w:pPr>
    </w:p>
    <w:p>
      <w:pPr>
        <w:ind w:left="440" w:right="80"/>
        <w:spacing w:after="0" w:line="277" w:lineRule="auto"/>
        <w:rPr>
          <w:sz w:val="20"/>
          <w:szCs w:val="20"/>
          <w:color w:val="auto"/>
        </w:rPr>
      </w:pPr>
      <w:r>
        <w:rPr>
          <w:rFonts w:ascii="Arial" w:cs="Arial" w:eastAsia="Arial" w:hAnsi="Arial"/>
          <w:sz w:val="18"/>
          <w:szCs w:val="18"/>
          <w:color w:val="auto"/>
        </w:rPr>
        <w:t>“(3) such Holder or Holders have offered to the Trustee security or indemnity satisfactory to the Trustee against the costs, expenses and liabilities to be incurred incompliance with such request;”</w:t>
      </w:r>
    </w:p>
    <w:p>
      <w:pPr>
        <w:spacing w:after="0" w:line="170" w:lineRule="exact"/>
        <w:rPr>
          <w:sz w:val="20"/>
          <w:szCs w:val="20"/>
          <w:color w:val="auto"/>
        </w:rPr>
      </w:pPr>
    </w:p>
    <w:p>
      <w:pPr>
        <w:jc w:val="both"/>
        <w:ind w:right="380" w:firstLine="440"/>
        <w:spacing w:after="0" w:line="263" w:lineRule="auto"/>
        <w:rPr>
          <w:sz w:val="20"/>
          <w:szCs w:val="20"/>
          <w:color w:val="auto"/>
        </w:rPr>
      </w:pPr>
      <w:r>
        <w:rPr>
          <w:rFonts w:ascii="Arial" w:cs="Arial" w:eastAsia="Arial" w:hAnsi="Arial"/>
          <w:sz w:val="18"/>
          <w:szCs w:val="18"/>
          <w:u w:val="single" w:color="auto"/>
          <w:color w:val="auto"/>
        </w:rPr>
        <w:t>Section 4.06</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512 of the Base Indenture shall be amended by replacing clause (3) thereof in its entirety with the following:</w:t>
      </w:r>
    </w:p>
    <w:p>
      <w:pPr>
        <w:spacing w:after="0" w:line="76" w:lineRule="exact"/>
        <w:rPr>
          <w:sz w:val="20"/>
          <w:szCs w:val="20"/>
          <w:color w:val="auto"/>
        </w:rPr>
      </w:pPr>
    </w:p>
    <w:p>
      <w:pPr>
        <w:jc w:val="both"/>
        <w:ind w:left="440" w:right="240"/>
        <w:spacing w:after="0" w:line="263" w:lineRule="auto"/>
        <w:rPr>
          <w:sz w:val="20"/>
          <w:szCs w:val="20"/>
          <w:color w:val="auto"/>
        </w:rPr>
      </w:pPr>
      <w:r>
        <w:rPr>
          <w:rFonts w:ascii="Arial" w:cs="Arial" w:eastAsia="Arial" w:hAnsi="Arial"/>
          <w:sz w:val="18"/>
          <w:szCs w:val="18"/>
          <w:color w:val="auto"/>
        </w:rPr>
        <w:t>“(3) the Trustee need not take any action that might involve it in personal liability or be unjustly prejudicial to the Holders of Securities of such series not consenting (it being understood that the Trustee does not have an affirmative duty to ascertain whether or not any such directions are unduly prejudicial to such Holders).”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jc w:val="both"/>
        <w:ind w:right="340" w:firstLine="440"/>
        <w:spacing w:after="0" w:line="263" w:lineRule="auto"/>
        <w:rPr>
          <w:sz w:val="20"/>
          <w:szCs w:val="20"/>
          <w:color w:val="auto"/>
        </w:rPr>
      </w:pP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1006 of the Base Indenture shall be amended by replacing Section 1006 thereof in its entirety with the following:</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1006. [RESERVED.]</w:t>
      </w:r>
      <w:r>
        <w:rPr>
          <w:rFonts w:ascii="Arial" w:cs="Arial" w:eastAsia="Arial" w:hAnsi="Arial"/>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134" w:name="page135"/>
    <w:bookmarkEnd w:id="134"/>
    <w:p>
      <w:pPr>
        <w:jc w:val="both"/>
        <w:ind w:right="400" w:firstLine="440"/>
        <w:spacing w:after="0" w:line="26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5.02</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Article Ten of the Base Indenture shall be amended by adding the following new Sections 1008 and 1009 thereto, each as set forth below:</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1008. Section 18(a)(1)(A) of the Investment Company Act</w:t>
      </w:r>
      <w:r>
        <w:rPr>
          <w:rFonts w:ascii="Arial" w:cs="Arial" w:eastAsia="Arial" w:hAnsi="Arial"/>
          <w:sz w:val="18"/>
          <w:szCs w:val="18"/>
          <w:color w:val="auto"/>
        </w:rPr>
        <w:t>.</w:t>
      </w:r>
    </w:p>
    <w:p>
      <w:pPr>
        <w:spacing w:after="0" w:line="121"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The Company hereby agrees that for the period of time during which Notes are Outstanding, the Company will not violate, whether or not it is subject to, Section 18(a)(1)(A) as modified by Section 61(a) of the Investment Company Act or any successor provisions thereto of the Investment Company Act, giving effect to any exemptive relief granted to the Company by the Commission.”</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1009. Commission Reports and Reports to Holders</w:t>
      </w:r>
      <w:r>
        <w:rPr>
          <w:rFonts w:ascii="Arial" w:cs="Arial" w:eastAsia="Arial" w:hAnsi="Arial"/>
          <w:sz w:val="18"/>
          <w:szCs w:val="18"/>
          <w:color w:val="auto"/>
        </w:rPr>
        <w:t>.</w:t>
      </w:r>
    </w:p>
    <w:p>
      <w:pPr>
        <w:spacing w:after="0" w:line="121" w:lineRule="exact"/>
        <w:rPr>
          <w:sz w:val="20"/>
          <w:szCs w:val="20"/>
          <w:color w:val="auto"/>
        </w:rPr>
      </w:pPr>
    </w:p>
    <w:p>
      <w:pPr>
        <w:ind w:left="440" w:right="100"/>
        <w:spacing w:after="0" w:line="255" w:lineRule="auto"/>
        <w:rPr>
          <w:sz w:val="20"/>
          <w:szCs w:val="20"/>
          <w:color w:val="auto"/>
        </w:rPr>
      </w:pPr>
      <w:r>
        <w:rPr>
          <w:rFonts w:ascii="Arial" w:cs="Arial" w:eastAsia="Arial" w:hAnsi="Arial"/>
          <w:sz w:val="18"/>
          <w:szCs w:val="18"/>
          <w:color w:val="auto"/>
        </w:rPr>
        <w:t>If, at any time, the Company is not subject to the reporting requirements of Sections 13 or 15(d) of the Securities Exchange Act to file any periodic reports with the Commission, the Company agrees to furnish to the Holders of Notes and the Trustee for the period of time during which the Notes are Outstanding: (i) within 90 days after the end of the each fiscal year of the Company, audited annual consolidated financial statements of the Company and (ii) within 45 days after the end of each fiscal quarter of the Company (other than the Company’s fourth fiscal quarter), unaudited interim consolidated financial statements of the Company. All such financial statements shall be prepared, in all material respects, in accordance with GAAP, as applicable.</w:t>
      </w:r>
    </w:p>
    <w:p>
      <w:pPr>
        <w:spacing w:after="0" w:line="84" w:lineRule="exact"/>
        <w:rPr>
          <w:sz w:val="20"/>
          <w:szCs w:val="20"/>
          <w:color w:val="auto"/>
        </w:rPr>
      </w:pPr>
    </w:p>
    <w:p>
      <w:pPr>
        <w:jc w:val="both"/>
        <w:ind w:left="440" w:right="120"/>
        <w:spacing w:after="0" w:line="311" w:lineRule="auto"/>
        <w:rPr>
          <w:sz w:val="20"/>
          <w:szCs w:val="20"/>
          <w:color w:val="auto"/>
        </w:rPr>
      </w:pPr>
      <w:r>
        <w:rPr>
          <w:rFonts w:ascii="Arial" w:cs="Arial" w:eastAsia="Arial" w:hAnsi="Arial"/>
          <w:sz w:val="16"/>
          <w:szCs w:val="16"/>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conclusively rely exclusively on Officers’ Certificates).”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TRUSTEE</w:t>
      </w:r>
    </w:p>
    <w:p>
      <w:pPr>
        <w:spacing w:after="0" w:line="21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Neither the Trustee nor any Paying Agent shall be responsible for determining whether any Change of Control or Below Investment Grade Rating Event has occurred and whether any Change of Control offer with respect to the Notes is required.</w:t>
      </w:r>
    </w:p>
    <w:p>
      <w:pPr>
        <w:spacing w:after="0" w:line="170"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602 of the Base Indenture shall be amended by replacing clause (5) thereof in its entirety with the following:</w:t>
      </w:r>
    </w:p>
    <w:p>
      <w:pPr>
        <w:spacing w:after="0" w:line="76" w:lineRule="exact"/>
        <w:rPr>
          <w:sz w:val="20"/>
          <w:szCs w:val="20"/>
          <w:color w:val="auto"/>
        </w:rPr>
      </w:pPr>
    </w:p>
    <w:p>
      <w:pPr>
        <w:ind w:left="440" w:right="40"/>
        <w:spacing w:after="0" w:line="259" w:lineRule="auto"/>
        <w:rPr>
          <w:sz w:val="20"/>
          <w:szCs w:val="20"/>
          <w:color w:val="auto"/>
        </w:rPr>
      </w:pPr>
      <w:r>
        <w:rPr>
          <w:rFonts w:ascii="Arial" w:cs="Arial" w:eastAsia="Arial" w:hAnsi="Arial"/>
          <w:sz w:val="18"/>
          <w:szCs w:val="18"/>
          <w:color w:val="auto"/>
        </w:rPr>
        <w:t>“(5) The Trustee shall be under no obligation to exercise any of the rights or powers vested in it by this Indenture at the request or direction of any of the Holders of any series or any related coupons pursuant to this Indenture, unless such Holders shall have offered to the Trustee security or indemnity satisfactory to the Trustee against the costs, expenses and liabilities which might be incurred by it in compliance with such request or direction.”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REPURCHASE UPON A CHANGE OF CONTROL REPURCHASE EVENT</w:t>
      </w:r>
    </w:p>
    <w:p>
      <w:pPr>
        <w:spacing w:after="0" w:line="211"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Article Thirteen of the Base Indenture shall be amended by replacing Sections 1301 to 1305 thereto in their entirety with the following:</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1301. Change of Control.</w:t>
      </w:r>
    </w:p>
    <w:p>
      <w:pPr>
        <w:spacing w:after="0" w:line="121" w:lineRule="exact"/>
        <w:rPr>
          <w:sz w:val="20"/>
          <w:szCs w:val="20"/>
          <w:color w:val="auto"/>
        </w:rPr>
      </w:pPr>
    </w:p>
    <w:p>
      <w:pPr>
        <w:ind w:left="440" w:firstLine="423"/>
        <w:spacing w:after="0" w:line="269" w:lineRule="auto"/>
        <w:rPr>
          <w:sz w:val="20"/>
          <w:szCs w:val="20"/>
          <w:color w:val="auto"/>
        </w:rPr>
      </w:pPr>
      <w:r>
        <w:rPr>
          <w:rFonts w:ascii="Arial" w:cs="Arial" w:eastAsia="Arial" w:hAnsi="Arial"/>
          <w:sz w:val="17"/>
          <w:szCs w:val="17"/>
          <w:color w:val="auto"/>
        </w:rPr>
        <w:t>If a Change of Control Repurchase Event occurs, unless the Company shall have exercised its right to redeem the Notes in full, the Company shall make an offer to each Holder of the Notes to repurchase all or any part (in minimum denominations of $2,000 and integral multiples of $1,000 principal amount there 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the Company’s option, prior to any Change of Control, but after the public announcement of the Change of Control, the Company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The Company shall comply with the requirements of Rule 14e-1 under the Securities Exchange Act and any other securities laws and regulations thereunder to the extent those laws and regulations are applicable in connection with the repurchase of the Notes as a result of a Change of Control Repurchase Event.</w:t>
      </w:r>
    </w:p>
    <w:p>
      <w:pPr>
        <w:spacing w:after="0" w:line="71" w:lineRule="exact"/>
        <w:rPr>
          <w:sz w:val="20"/>
          <w:szCs w:val="20"/>
          <w:color w:val="auto"/>
        </w:rPr>
      </w:pPr>
    </w:p>
    <w:p>
      <w:pPr>
        <w:ind w:left="440" w:right="280" w:firstLine="423"/>
        <w:spacing w:after="0" w:line="263" w:lineRule="auto"/>
        <w:rPr>
          <w:sz w:val="20"/>
          <w:szCs w:val="20"/>
          <w:color w:val="auto"/>
        </w:rPr>
      </w:pPr>
      <w:r>
        <w:rPr>
          <w:rFonts w:ascii="Arial" w:cs="Arial" w:eastAsia="Arial" w:hAnsi="Arial"/>
          <w:sz w:val="18"/>
          <w:szCs w:val="18"/>
          <w:color w:val="auto"/>
        </w:rPr>
        <w:t>To the extent that the provisions of any securities laws or regulations conflict with this Section 1301, the Company shall comply with the applicable securities laws and regulations and shall not be deemed to have breached its obligations under this Section 1301 by virtue of such conflict.</w:t>
      </w:r>
    </w:p>
    <w:p>
      <w:pPr>
        <w:spacing w:after="0" w:line="76" w:lineRule="exact"/>
        <w:rPr>
          <w:sz w:val="20"/>
          <w:szCs w:val="20"/>
          <w:color w:val="auto"/>
        </w:rPr>
      </w:pPr>
    </w:p>
    <w:p>
      <w:pPr>
        <w:ind w:left="440" w:firstLine="423"/>
        <w:spacing w:after="0" w:line="277" w:lineRule="auto"/>
        <w:rPr>
          <w:sz w:val="20"/>
          <w:szCs w:val="20"/>
          <w:color w:val="auto"/>
        </w:rPr>
      </w:pPr>
      <w:r>
        <w:rPr>
          <w:rFonts w:ascii="Arial" w:cs="Arial" w:eastAsia="Arial" w:hAnsi="Arial"/>
          <w:sz w:val="18"/>
          <w:szCs w:val="18"/>
          <w:color w:val="auto"/>
        </w:rPr>
        <w:t>On the Change of Control Repurchase Event payment date, subject to extension if necessary to comply with the provisions of the Investment Company Act, the Company shall, to the extent lawful:</w:t>
      </w:r>
    </w:p>
    <w:p>
      <w:pPr>
        <w:spacing w:after="0" w:line="62" w:lineRule="exact"/>
        <w:rPr>
          <w:sz w:val="20"/>
          <w:szCs w:val="20"/>
          <w:color w:val="auto"/>
        </w:rPr>
      </w:pPr>
    </w:p>
    <w:p>
      <w:pPr>
        <w:ind w:left="1640" w:hanging="252"/>
        <w:spacing w:after="0"/>
        <w:tabs>
          <w:tab w:leader="none" w:pos="16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its offer;</w:t>
      </w:r>
    </w:p>
    <w:p>
      <w:pPr>
        <w:spacing w:after="0" w:line="117" w:lineRule="exact"/>
        <w:rPr>
          <w:rFonts w:ascii="Arial" w:cs="Arial" w:eastAsia="Arial" w:hAnsi="Arial"/>
          <w:sz w:val="18"/>
          <w:szCs w:val="18"/>
          <w:color w:val="auto"/>
        </w:rPr>
      </w:pPr>
    </w:p>
    <w:p>
      <w:pPr>
        <w:ind w:left="980" w:right="20" w:firstLine="408"/>
        <w:spacing w:after="0" w:line="277" w:lineRule="auto"/>
        <w:tabs>
          <w:tab w:leader="none" w:pos="163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deposit with the Paying Agent by 11:00 am New York City time, an amount equal to the aggregate purchase price in respect of all Notes or portions of Notes properly tendered;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136" w:name="page137"/>
    <w:bookmarkEnd w:id="136"/>
    <w:p>
      <w:pPr>
        <w:ind w:left="980" w:right="480" w:firstLine="408"/>
        <w:spacing w:after="0" w:line="277" w:lineRule="auto"/>
        <w:tabs>
          <w:tab w:leader="none" w:pos="1636" w:val="left"/>
        </w:tabs>
        <w:numPr>
          <w:ilvl w:val="0"/>
          <w:numId w:val="1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 or cause to be delivered to the Trustee the Notes properly accepted, together with an Officers’ Certificate stating the aggregate principal amount of Notes being purchased by the Company.</w:t>
      </w:r>
    </w:p>
    <w:p>
      <w:pPr>
        <w:spacing w:after="0" w:line="62" w:lineRule="exact"/>
        <w:rPr>
          <w:sz w:val="20"/>
          <w:szCs w:val="20"/>
          <w:color w:val="auto"/>
        </w:rPr>
      </w:pPr>
    </w:p>
    <w:p>
      <w:pPr>
        <w:ind w:left="440" w:right="220" w:firstLine="423"/>
        <w:spacing w:after="0" w:line="259" w:lineRule="auto"/>
        <w:rPr>
          <w:sz w:val="20"/>
          <w:szCs w:val="20"/>
          <w:color w:val="auto"/>
        </w:rPr>
      </w:pPr>
      <w:r>
        <w:rPr>
          <w:rFonts w:ascii="Arial" w:cs="Arial" w:eastAsia="Arial" w:hAnsi="Arial"/>
          <w:sz w:val="18"/>
          <w:szCs w:val="18"/>
          <w:color w:val="auto"/>
        </w:rPr>
        <w:t xml:space="preserve">The Paying Agent will promptly remit to each Holder of Notes properly tendered the purchase price for the Notes, and the Trustee will promptly authenticate upon receipt of a Company Order and mail (or cause to be transferred by book-entry) to each Holder a new Note equal in principal amount to any unpurchased portion of any Notes surrendered;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new Note will be in a minimum principal amount of $2,000 or an integral multiple of $1,000 in excess thereof.</w:t>
      </w:r>
    </w:p>
    <w:p>
      <w:pPr>
        <w:spacing w:after="0" w:line="79" w:lineRule="exact"/>
        <w:rPr>
          <w:sz w:val="20"/>
          <w:szCs w:val="20"/>
          <w:color w:val="auto"/>
        </w:rPr>
      </w:pPr>
    </w:p>
    <w:p>
      <w:pPr>
        <w:ind w:left="440" w:firstLine="423"/>
        <w:spacing w:after="0" w:line="308" w:lineRule="auto"/>
        <w:rPr>
          <w:sz w:val="20"/>
          <w:szCs w:val="20"/>
          <w:color w:val="auto"/>
        </w:rPr>
      </w:pPr>
      <w:r>
        <w:rPr>
          <w:rFonts w:ascii="Arial" w:cs="Arial" w:eastAsia="Arial" w:hAnsi="Arial"/>
          <w:sz w:val="17"/>
          <w:szCs w:val="17"/>
          <w:color w:val="auto"/>
        </w:rPr>
        <w:t>If any Repayment Date upon a Change of Control Repurchase Event falls on a day that is not a Business Day, then the required payment will be made on the next succeeding Business Day and no additional interest will accrue as a result of such delayed payment.</w:t>
      </w:r>
    </w:p>
    <w:p>
      <w:pPr>
        <w:spacing w:after="0" w:line="38" w:lineRule="exact"/>
        <w:rPr>
          <w:sz w:val="20"/>
          <w:szCs w:val="20"/>
          <w:color w:val="auto"/>
        </w:rPr>
      </w:pPr>
    </w:p>
    <w:p>
      <w:pPr>
        <w:ind w:left="440" w:right="360" w:firstLine="423"/>
        <w:spacing w:after="0" w:line="286" w:lineRule="auto"/>
        <w:rPr>
          <w:sz w:val="20"/>
          <w:szCs w:val="20"/>
          <w:color w:val="auto"/>
        </w:rPr>
      </w:pPr>
      <w:r>
        <w:rPr>
          <w:rFonts w:ascii="Arial" w:cs="Arial" w:eastAsia="Arial" w:hAnsi="Arial"/>
          <w:sz w:val="17"/>
          <w:szCs w:val="17"/>
          <w:color w:val="auto"/>
        </w:rPr>
        <w:t>The Company will not be required to make an offer to repurchase the Notes upon a Change of Control Repurchase Event if a third party makes an offer in respect of the Notes in the manner, at the time and otherwise in compliance with the requirements for an offer made by the Company and such third party purchases all Notes properly tendered and not withdrawn under its offer.”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CONSOLIDATION, MERGER, CONVEYANCE OR TRANSFER</w:t>
      </w:r>
    </w:p>
    <w:p>
      <w:pPr>
        <w:spacing w:after="0" w:line="211"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801 of the Base Indenture shall be amended by replacing Section 801 in its entirety with the following:</w:t>
      </w:r>
    </w:p>
    <w:p>
      <w:pPr>
        <w:spacing w:after="0" w:line="7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801. Company May Consolidate, Etc., Only on Certain Terms.</w:t>
      </w:r>
    </w:p>
    <w:p>
      <w:pPr>
        <w:spacing w:after="0" w:line="121" w:lineRule="exact"/>
        <w:rPr>
          <w:sz w:val="20"/>
          <w:szCs w:val="20"/>
          <w:color w:val="auto"/>
        </w:rPr>
      </w:pPr>
    </w:p>
    <w:p>
      <w:pPr>
        <w:ind w:left="440" w:right="20" w:firstLine="423"/>
        <w:spacing w:after="0" w:line="255" w:lineRule="auto"/>
        <w:rPr>
          <w:sz w:val="20"/>
          <w:szCs w:val="20"/>
          <w:color w:val="auto"/>
        </w:rPr>
      </w:pPr>
      <w:r>
        <w:rPr>
          <w:rFonts w:ascii="Arial" w:cs="Arial" w:eastAsia="Arial" w:hAnsi="Arial"/>
          <w:sz w:val="18"/>
          <w:szCs w:val="18"/>
          <w:color w:val="auto"/>
        </w:rPr>
        <w:t>The Company shall not merge or consolidate with or into any other Person (other than a merger of a wholly owned Subsidiary of the Company into the Company) or sell, transfer, lease, convey or otherwise dispose of all or substantially all of its property (provided that, for the avoidance of doubt, a pledge of assets pursuant to any secured debt instrument of the Company or its Subsidiaries shall not be deemed to be any such sale, transfer, lease, conveyance or disposition; and provided further that this Section 801 shall not apply to any sale, transfer, lease, conveyance, or other disposition of all or substantially all of the Company’s property to a wholly owned Subsidiary) in one transaction or series of related transactions unless:</w:t>
      </w:r>
    </w:p>
    <w:p>
      <w:pPr>
        <w:spacing w:after="0" w:line="84" w:lineRule="exact"/>
        <w:rPr>
          <w:sz w:val="20"/>
          <w:szCs w:val="20"/>
          <w:color w:val="auto"/>
        </w:rPr>
      </w:pPr>
    </w:p>
    <w:p>
      <w:pPr>
        <w:ind w:left="980" w:right="60" w:firstLine="408"/>
        <w:spacing w:after="0" w:line="259" w:lineRule="auto"/>
        <w:tabs>
          <w:tab w:leader="none" w:pos="163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Company shall be the surviving Person (the “Surviving Person”) or the Surviving Person (if other than the Company) formed by such merger or consolidation or to which such sale, transfer, lease, conveyance or disposition is made shall be a corporation or limited liability company or trust organized and existing under the laws of the United States of America or any state or territory thereof or the District of Columbia;</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37" w:name="page138"/>
    <w:bookmarkEnd w:id="137"/>
    <w:p>
      <w:pPr>
        <w:ind w:left="980" w:right="20" w:firstLine="408"/>
        <w:spacing w:after="0" w:line="259" w:lineRule="auto"/>
        <w:tabs>
          <w:tab w:leader="none" w:pos="1636" w:val="left"/>
        </w:tabs>
        <w:numPr>
          <w:ilvl w:val="0"/>
          <w:numId w:val="1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Surviving Person (if other than the Company) expressly assumes, by supplemental indenture in form reasonably satisfactory to the Trustee, executed and delivered to the Trustee by such Surviving Person, the due and punctual payment of the principal of, and premium, if any, and interest on, all the Outstanding Securities, and the due and punctual performance and observance of all the covenants and conditions of this Indenture to be performed by the Company;</w:t>
      </w:r>
    </w:p>
    <w:p>
      <w:pPr>
        <w:spacing w:after="0" w:line="78" w:lineRule="exact"/>
        <w:rPr>
          <w:rFonts w:ascii="Arial" w:cs="Arial" w:eastAsia="Arial" w:hAnsi="Arial"/>
          <w:sz w:val="18"/>
          <w:szCs w:val="18"/>
          <w:color w:val="auto"/>
        </w:rPr>
      </w:pPr>
    </w:p>
    <w:p>
      <w:pPr>
        <w:ind w:left="980" w:right="140" w:firstLine="408"/>
        <w:spacing w:after="0" w:line="277" w:lineRule="auto"/>
        <w:tabs>
          <w:tab w:leader="none" w:pos="163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or series of related transactions, no Default or Event of Default shall have occurred and be continuing; and</w:t>
      </w:r>
    </w:p>
    <w:p>
      <w:pPr>
        <w:spacing w:after="0" w:line="62" w:lineRule="exact"/>
        <w:rPr>
          <w:rFonts w:ascii="Arial" w:cs="Arial" w:eastAsia="Arial" w:hAnsi="Arial"/>
          <w:sz w:val="18"/>
          <w:szCs w:val="18"/>
          <w:color w:val="auto"/>
        </w:rPr>
      </w:pPr>
    </w:p>
    <w:p>
      <w:pPr>
        <w:ind w:left="980" w:right="320" w:firstLine="408"/>
        <w:spacing w:after="0" w:line="263" w:lineRule="auto"/>
        <w:tabs>
          <w:tab w:leader="none" w:pos="163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Company shall deliver, or cause to be delivered, to the Trustee, an Officers’ Certificate and an Opinion of Counsel, each stating that such transaction and the supplemental indenture, if any, in respect thereto comply with this Section 801, that all conditions precedent in this Indenture relating to such transaction have been complied with.</w:t>
      </w:r>
    </w:p>
    <w:p>
      <w:pPr>
        <w:spacing w:after="0" w:line="76" w:lineRule="exact"/>
        <w:rPr>
          <w:sz w:val="20"/>
          <w:szCs w:val="20"/>
          <w:color w:val="auto"/>
        </w:rPr>
      </w:pPr>
    </w:p>
    <w:p>
      <w:pPr>
        <w:jc w:val="both"/>
        <w:ind w:left="440" w:right="20" w:firstLine="423"/>
        <w:spacing w:after="0" w:line="311" w:lineRule="auto"/>
        <w:rPr>
          <w:sz w:val="20"/>
          <w:szCs w:val="20"/>
          <w:color w:val="auto"/>
        </w:rPr>
      </w:pPr>
      <w:r>
        <w:rPr>
          <w:rFonts w:ascii="Arial" w:cs="Arial" w:eastAsia="Arial" w:hAnsi="Arial"/>
          <w:sz w:val="16"/>
          <w:szCs w:val="16"/>
          <w:color w:val="auto"/>
        </w:rPr>
        <w:t>For the purposes of this Section 801, the sale, transfer, lease, conveyance or other disposition of all the property of one or more Subsidiaries of the Company, which property, if held by the Company instead of such Subsidiaries, would constitute all or substantially all the property of the Company on a consolidated basis, shall be deemed to be the transfer of all or substantially all the property of the Company.”</w:t>
      </w:r>
    </w:p>
    <w:p>
      <w:pPr>
        <w:spacing w:after="0" w:line="149" w:lineRule="exact"/>
        <w:rPr>
          <w:sz w:val="20"/>
          <w:szCs w:val="20"/>
          <w:color w:val="auto"/>
        </w:rPr>
      </w:pPr>
    </w:p>
    <w:p>
      <w:pPr>
        <w:jc w:val="both"/>
        <w:ind w:right="360" w:firstLine="440"/>
        <w:spacing w:after="0" w:line="263" w:lineRule="auto"/>
        <w:rPr>
          <w:sz w:val="20"/>
          <w:szCs w:val="20"/>
          <w:color w:val="auto"/>
        </w:rPr>
      </w:pP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802 of the Base Indenture shall be amended by replacing Section 802 in its entirety with the following:</w:t>
      </w:r>
    </w:p>
    <w:p>
      <w:pPr>
        <w:spacing w:after="0" w:line="7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802. Successor Person Substituted.</w:t>
      </w:r>
    </w:p>
    <w:p>
      <w:pPr>
        <w:spacing w:after="0" w:line="121" w:lineRule="exact"/>
        <w:rPr>
          <w:sz w:val="20"/>
          <w:szCs w:val="20"/>
          <w:color w:val="auto"/>
        </w:rPr>
      </w:pPr>
    </w:p>
    <w:p>
      <w:pPr>
        <w:ind w:left="440" w:firstLine="423"/>
        <w:spacing w:after="0" w:line="255" w:lineRule="auto"/>
        <w:rPr>
          <w:sz w:val="20"/>
          <w:szCs w:val="20"/>
          <w:color w:val="auto"/>
        </w:rPr>
      </w:pPr>
      <w:r>
        <w:rPr>
          <w:rFonts w:ascii="Arial" w:cs="Arial" w:eastAsia="Arial" w:hAnsi="Arial"/>
          <w:sz w:val="18"/>
          <w:szCs w:val="18"/>
          <w:color w:val="auto"/>
        </w:rPr>
        <w:t>Upon any consolidation or merger, or any conveyance or transfer of the properties and assets of the Company substantially as an entirety in accordance with Section 801, the successor Person formed by such consolidation or into which the Company is merged or the successor Person to which such conveyance or transfer is made shall succeed to, and be substituted for, and may exercise every right and power of, the Company under this Indenture with the same effect as if such successor had been named as the Company herein; and in the event of any such conveyance or transfer, the Company shall be discharged from all obligations and covenants under this Indenture and the Securities and coupons and may be dissolved and liquidated.”</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REDEMPTION OF SECURITIES</w:t>
      </w:r>
    </w:p>
    <w:p>
      <w:pPr>
        <w:spacing w:after="0" w:line="21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In the event of any conflict between the terms relating to redemption set forth in </w:t>
      </w:r>
      <w:r>
        <w:rPr>
          <w:rFonts w:ascii="Arial" w:cs="Arial" w:eastAsia="Arial" w:hAnsi="Arial"/>
          <w:sz w:val="18"/>
          <w:szCs w:val="18"/>
          <w:u w:val="single" w:color="auto"/>
          <w:color w:val="auto"/>
        </w:rPr>
        <w:t>Section 1.01(h)</w:t>
      </w:r>
      <w:r>
        <w:rPr>
          <w:rFonts w:ascii="Arial" w:cs="Arial" w:eastAsia="Arial" w:hAnsi="Arial"/>
          <w:sz w:val="18"/>
          <w:szCs w:val="18"/>
          <w:color w:val="auto"/>
        </w:rPr>
        <w:t xml:space="preserve"> of this First Supplemental Indenture and Article 11 of the Base Indenture, the terms set forth in this First Supplemental Indenture shall control.</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4" w:right="499" w:bottom="1440" w:gutter="0" w:footer="0" w:header="0"/>
        </w:sectPr>
      </w:pPr>
    </w:p>
    <w:bookmarkStart w:id="138" w:name="page139"/>
    <w:bookmarkEnd w:id="138"/>
    <w:p>
      <w:pPr>
        <w:jc w:val="both"/>
        <w:ind w:right="340" w:firstLine="440"/>
        <w:spacing w:after="0" w:line="26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9.02</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1103 of the Base Indenture shall be amended by replacing Section 1103 in its entirety with the following:</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1103. Selection by Trustee of Securities to be Redeemed</w:t>
      </w:r>
      <w:r>
        <w:rPr>
          <w:rFonts w:ascii="Arial" w:cs="Arial" w:eastAsia="Arial" w:hAnsi="Arial"/>
          <w:sz w:val="18"/>
          <w:szCs w:val="18"/>
          <w:color w:val="auto"/>
        </w:rPr>
        <w:t>.</w:t>
      </w:r>
    </w:p>
    <w:p>
      <w:pPr>
        <w:spacing w:after="0" w:line="121" w:lineRule="exact"/>
        <w:rPr>
          <w:sz w:val="20"/>
          <w:szCs w:val="20"/>
          <w:color w:val="auto"/>
        </w:rPr>
      </w:pPr>
    </w:p>
    <w:p>
      <w:pPr>
        <w:ind w:left="440" w:firstLine="423"/>
        <w:spacing w:after="0" w:line="269" w:lineRule="auto"/>
        <w:rPr>
          <w:sz w:val="20"/>
          <w:szCs w:val="20"/>
          <w:color w:val="auto"/>
        </w:rPr>
      </w:pPr>
      <w:r>
        <w:rPr>
          <w:rFonts w:ascii="Arial" w:cs="Arial" w:eastAsia="Arial" w:hAnsi="Arial"/>
          <w:sz w:val="17"/>
          <w:szCs w:val="17"/>
          <w:color w:val="auto"/>
        </w:rPr>
        <w:t>If less than all of the Securities are to be redeemed at any time, and the Securities are global Securities, the Securities to be redeemed will be selected by the Trustee in accordance with applicable Depositary procedures. If the Securities to be redeemed or repurchased are not global Securities then held by the Depositary, the Trustee shall select the Securities to be redeemed (i) if the Securities are listed on any national securities exchange, in compliance with the requirements of the principal national securities exchange on which the Securities are listed, (ii) on a pro rata basis to the extent practicable or (iii) to the extent that selection on a pro rata basis is not practicable by lot or such other similar method the Trustee deems to be fair and appropriate from the Outstanding Securities of such series issued on such date with the same terms not previously called for redemption, not less than 30 nor more than 60 days prior to the redemption date; provided that such method complies with the rules of any national securities exchange or quotation system on which the Securities are listed, and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provided, however, that no such partial redemption shall reduce the portion of the principal amount of a Security not redeemed to less than the minimum authorized denomination for Securities of such series.</w:t>
      </w:r>
    </w:p>
    <w:p>
      <w:pPr>
        <w:spacing w:after="0" w:line="71" w:lineRule="exact"/>
        <w:rPr>
          <w:sz w:val="20"/>
          <w:szCs w:val="20"/>
          <w:color w:val="auto"/>
        </w:rPr>
      </w:pPr>
    </w:p>
    <w:p>
      <w:pPr>
        <w:ind w:left="440" w:right="480" w:firstLine="423"/>
        <w:spacing w:after="0" w:line="342" w:lineRule="auto"/>
        <w:rPr>
          <w:sz w:val="20"/>
          <w:szCs w:val="20"/>
          <w:color w:val="auto"/>
        </w:rPr>
      </w:pPr>
      <w:r>
        <w:rPr>
          <w:rFonts w:ascii="Arial" w:cs="Arial" w:eastAsia="Arial" w:hAnsi="Arial"/>
          <w:sz w:val="16"/>
          <w:szCs w:val="16"/>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6" w:lineRule="exact"/>
        <w:rPr>
          <w:sz w:val="20"/>
          <w:szCs w:val="20"/>
          <w:color w:val="auto"/>
        </w:rPr>
      </w:pPr>
    </w:p>
    <w:p>
      <w:pPr>
        <w:ind w:left="440" w:firstLine="423"/>
        <w:spacing w:after="0" w:line="263" w:lineRule="auto"/>
        <w:rPr>
          <w:sz w:val="20"/>
          <w:szCs w:val="20"/>
          <w:color w:val="auto"/>
        </w:rPr>
      </w:pPr>
      <w:r>
        <w:rPr>
          <w:rFonts w:ascii="Arial" w:cs="Arial" w:eastAsia="Arial" w:hAnsi="Arial"/>
          <w:sz w:val="18"/>
          <w:szCs w:val="18"/>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DEFEASANCE AND COVENANT DEFEASANCE</w:t>
      </w:r>
    </w:p>
    <w:p>
      <w:pPr>
        <w:spacing w:after="0" w:line="211"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1404 of the Base Indenture shall be amended by replacing clause (a) thereof in its entirety with the following: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139" w:name="page140"/>
    <w:bookmarkEnd w:id="139"/>
    <w:p>
      <w:pPr>
        <w:ind w:left="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The Company shall have irrevocably deposited or caused to be irrevocably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the benefit of, and dedicated solely to, the Holders of such Securities and any coupons appertaining thereto, (1) an amount (in such Currency in which such Securities and any coupons appertaining thereto are then specified as payable at Stated Maturity) or (2) Government Obligations applicable to such Securities and coupons appertaining thereto determined on the basis of the Currency in which such Securities and coupons appertaining thereto are then specified as payable at Stated Maturity) which through the scheduled payment of principal and interest in respect thereof in accordance with their terms will provide, not later than one day before the due date of any payment of principal of (and premium, if any) and interest, if any, on such Securities and any coupons appertaining thereto, money in an amount, or (3) a combination thereof in an amount, sufficient, in the opinion of a nationally recognized investment bank, appraisal firm or firm of independent public accountants expressed in a written certification thereof delivered to the Trustee, to pay and discharge, and which shall be applied by the Trustee (or other qualifying trustee) to pay and discharge, (i) the principal of (and premium, if any) and interest, if any, on such Outstanding Securities and any coupons appertaining thereto on the Stated Maturity of such principal or installment of principal or interest and (ii) any mandatory sinking fund payments or analogous payments applicable to such Outstanding Securities and any coupons appertaining thereto on the day on which such payments are due and payable in accordance with the terms of this Indenture and of such Securities and any coupons appertaining thereto.”</w:t>
      </w:r>
    </w:p>
    <w:p>
      <w:pPr>
        <w:spacing w:after="0" w:line="16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1405 of the Base Indenture shall be amended by replacing the final paragraph thereof in its entirety with the following:</w:t>
      </w:r>
    </w:p>
    <w:p>
      <w:pPr>
        <w:spacing w:after="0" w:line="76" w:lineRule="exact"/>
        <w:rPr>
          <w:sz w:val="20"/>
          <w:szCs w:val="20"/>
          <w:color w:val="auto"/>
        </w:rPr>
      </w:pPr>
    </w:p>
    <w:p>
      <w:pPr>
        <w:ind w:left="440" w:right="180"/>
        <w:spacing w:after="0" w:line="257" w:lineRule="auto"/>
        <w:rPr>
          <w:sz w:val="20"/>
          <w:szCs w:val="20"/>
          <w:color w:val="auto"/>
        </w:rPr>
      </w:pPr>
      <w:r>
        <w:rPr>
          <w:rFonts w:ascii="Arial" w:cs="Arial" w:eastAsia="Arial" w:hAnsi="Arial"/>
          <w:sz w:val="18"/>
          <w:szCs w:val="18"/>
          <w:color w:val="auto"/>
        </w:rPr>
        <w:t>“Anything in this Article to the contrary notwithstanding, the Trustee shall deliver or pay to the Company from time to time upon Company Request any money or Government Obligations (or other property and any proceeds therefrom) held by it as provided in Section 1404 which, in the opinion of a nationally recognized investment bank, appraisal firm or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320" w:firstLine="440"/>
        <w:spacing w:after="0" w:line="257" w:lineRule="auto"/>
        <w:rPr>
          <w:sz w:val="20"/>
          <w:szCs w:val="20"/>
          <w:color w:val="auto"/>
        </w:rPr>
      </w:pP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This First Supplemental Indenture and the Notes shall be governed by and construed in accordance with the laws of the State of New York, without regard to principles of conflicts of laws that would cause the application of laws of another jurisdiction. This First Supplemental Indenture is subject to the provisions of the Trust Indenture Act that are required to be part of the Indenture and shall, to the extent applicable, be governed by such provisions. If any provision of the Indenture limits, qualifies or conflicts with the duties imposed by Section 318(c) of the Trust Indenture Act, the imposed duties will control.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140" w:name="page141"/>
    <w:bookmarkEnd w:id="140"/>
    <w:p>
      <w:pPr>
        <w:ind w:right="320" w:firstLine="440"/>
        <w:spacing w:after="0" w:line="308"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11.02</w:t>
      </w:r>
      <w:r>
        <w:rPr>
          <w:rFonts w:ascii="Arial" w:cs="Arial" w:eastAsia="Arial" w:hAnsi="Arial"/>
          <w:sz w:val="17"/>
          <w:szCs w:val="17"/>
          <w:color w:val="auto"/>
        </w:rPr>
        <w:t xml:space="preserve"> In case any provision in this First Supplemental Indenture or in the Notes shall be invalid, illegal or unenforceable, the validity, legality and enforceability of the remaining provisions shall not in any way be affected or impaired thereby.</w:t>
      </w:r>
    </w:p>
    <w:p>
      <w:pPr>
        <w:spacing w:after="0" w:line="146" w:lineRule="exact"/>
        <w:rPr>
          <w:sz w:val="20"/>
          <w:szCs w:val="20"/>
          <w:color w:val="auto"/>
        </w:rPr>
      </w:pPr>
    </w:p>
    <w:p>
      <w:pPr>
        <w:ind w:right="200" w:firstLine="440"/>
        <w:spacing w:after="0" w:line="275" w:lineRule="auto"/>
        <w:rPr>
          <w:sz w:val="20"/>
          <w:szCs w:val="20"/>
          <w:color w:val="auto"/>
        </w:rPr>
      </w:pPr>
      <w:r>
        <w:rPr>
          <w:rFonts w:ascii="Arial" w:cs="Arial" w:eastAsia="Arial" w:hAnsi="Arial"/>
          <w:sz w:val="17"/>
          <w:szCs w:val="17"/>
          <w:u w:val="single" w:color="auto"/>
          <w:color w:val="auto"/>
        </w:rPr>
        <w:t>Section 11.03</w:t>
      </w:r>
      <w:r>
        <w:rPr>
          <w:rFonts w:ascii="Arial" w:cs="Arial" w:eastAsia="Arial" w:hAnsi="Arial"/>
          <w:sz w:val="17"/>
          <w:szCs w:val="17"/>
          <w:color w:val="auto"/>
        </w:rPr>
        <w:t xml:space="preserve"> This First Supplemental Indenture may be executed in any number of counterparts, each of which will be an original, but such counterparts will together constitute but one and the same First Supplemental Indenture. The exchange of copies of this First Supplemental Indenture and of signature pages by facsimile, .pdf transmission, email or other electronic means shall constitute effective execution and delivery of this First Supplemental Indenture for all purposes. Signatures of the parties hereto transmitted by facsimile, .pdf transmission, email or other electronic means shall be deemed to be their original signatures for all purposes.</w:t>
      </w:r>
    </w:p>
    <w:p>
      <w:pPr>
        <w:spacing w:after="0" w:line="176"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u w:val="single" w:color="auto"/>
          <w:color w:val="auto"/>
        </w:rPr>
        <w:t>Section 11.04</w:t>
      </w:r>
      <w:r>
        <w:rPr>
          <w:rFonts w:ascii="Arial" w:cs="Arial" w:eastAsia="Arial" w:hAnsi="Arial"/>
          <w:sz w:val="16"/>
          <w:szCs w:val="16"/>
          <w:color w:val="auto"/>
        </w:rPr>
        <w:t xml:space="preserve"> The Base Indenture, as supplemented and amended by this First Supplemental Indenture, is in all respects ratified and confirmed, and the Base Indenture and this First Supplemental Indenture shall be read, taken and construed as one and the same instrument with respect to the Notes. All provisions included in this First Supplemental Indenture supersede any conflicting provisions included in the Base Indenture with respect to the Notes, unless not permitted by law. The Trustee accepts the trusts created by the Indenture, as supplemented by this First Supplemental Indenture, and agrees to perform the same upon the terms and conditions of the Indenture, as supplemented by this First Supplemental Indenture. All of the provisions contained in the Base Indenture in respect of the rights, privileges, immunities, powers, and duties of the Trustee shall be applicable in respect of this First Supplemental Indenture as fully and with like force and effect as though fully set forth in full herein.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The provisions of this First Supplemental Indenture shall become effective as of the date hereof.</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u w:val="single" w:color="auto"/>
          <w:color w:val="auto"/>
        </w:rPr>
        <w:t>Section 11.06</w:t>
      </w:r>
      <w:r>
        <w:rPr>
          <w:rFonts w:ascii="Arial" w:cs="Arial" w:eastAsia="Arial" w:hAnsi="Arial"/>
          <w:sz w:val="18"/>
          <w:szCs w:val="18"/>
          <w:color w:val="auto"/>
        </w:rPr>
        <w:t xml:space="preserve"> No past, present or future director, officer, employee, incorporator, or stockholder of the Company shall have any liability for any obligations of the Company under the Indenture or the Notes or for any claim based on, in respect of, or by reason of, such obligations or their creation. By accepting any Note, each Holder shall have been deemed to waive and release all such liability, and such waiver and release are part of the consideration for issuance of the Notes.</w:t>
      </w:r>
    </w:p>
    <w:p>
      <w:pPr>
        <w:spacing w:after="0" w:line="1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u w:val="single" w:color="auto"/>
          <w:color w:val="auto"/>
        </w:rPr>
        <w:t>Section 11.07</w:t>
      </w:r>
      <w:r>
        <w:rPr>
          <w:rFonts w:ascii="Arial" w:cs="Arial" w:eastAsia="Arial" w:hAnsi="Arial"/>
          <w:sz w:val="18"/>
          <w:szCs w:val="18"/>
          <w:color w:val="auto"/>
        </w:rPr>
        <w:t xml:space="preserve"> Notwithstanding anything else to the contrary herein, the terms and provisions of this First Supplemental Indenture shall apply only to the Notes and shall not apply to any other series of Securities under the Indenture and this First Supplemental Indenture shall not and does not otherwise affect, modify, alter, supplement or change the terms and provisions of any other series of Securities under the Indenture, whether now or hereafter issued and Outstanding.</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440" w:top="274" w:right="519" w:bottom="1440" w:gutter="0" w:footer="0" w:header="0"/>
        </w:sectPr>
      </w:pPr>
    </w:p>
    <w:bookmarkStart w:id="141" w:name="page142"/>
    <w:bookmarkEnd w:id="141"/>
    <w:p>
      <w:pPr>
        <w:ind w:firstLine="440"/>
        <w:spacing w:after="0" w:line="296"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11.08</w:t>
      </w:r>
      <w:r>
        <w:rPr>
          <w:rFonts w:ascii="Arial" w:cs="Arial" w:eastAsia="Arial" w:hAnsi="Arial"/>
          <w:sz w:val="16"/>
          <w:szCs w:val="16"/>
          <w:color w:val="auto"/>
        </w:rPr>
        <w:t xml:space="preserve"> The recitals contained herein and in the Notes, except the Trustee’s certificate of authentication shall be taken as the statements of the Company, and the Trustee assumes no responsibility for their correctness. The Trustee makes no representations as to the validity or sufficiency of this First Supplemental Indenture, the Notes or any Additional Notes, except that the Trustee represents that it is duly authorized to execute and deliver this First Supplemental Indenture, authenticate the Notes and any Additional Notes and perform its obligations hereunder. The Trustee shall not be accountable for the use or application by the Company of the Notes or any Additional Notes or the proceeds thereof.</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60"/>
          </w:cols>
          <w:pgMar w:left="440" w:top="274" w:right="599"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First Supplemental Indenture to be duly executed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PENNANT PARK FLOATING RATE CAPITAL LTD.</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Arthur H. Penn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Arthur H. Penn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22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AMERICAN STOCK TRANSFER &amp; TRUST COMPANY,</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LLC, as Trustee</w:t>
      </w:r>
    </w:p>
    <w:p>
      <w:pPr>
        <w:spacing w:after="0" w:line="211"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Paul H. Kim</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Paul H. Kim</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Assistant General Counsel</w:t>
            </w:r>
          </w:p>
        </w:tc>
      </w:tr>
    </w:tbl>
    <w:p>
      <w:pPr>
        <w:spacing w:after="0" w:line="202" w:lineRule="exact"/>
        <w:rPr>
          <w:sz w:val="20"/>
          <w:szCs w:val="20"/>
          <w:color w:val="auto"/>
        </w:rPr>
      </w:pPr>
    </w:p>
    <w:p>
      <w:pPr>
        <w:ind w:left="3940"/>
        <w:spacing w:after="0"/>
        <w:rPr>
          <w:sz w:val="20"/>
          <w:szCs w:val="20"/>
          <w:color w:val="auto"/>
        </w:rPr>
      </w:pPr>
      <w:r>
        <w:rPr>
          <w:rFonts w:ascii="Arial" w:cs="Arial" w:eastAsia="Arial" w:hAnsi="Arial"/>
          <w:sz w:val="18"/>
          <w:szCs w:val="18"/>
          <w:i w:val="1"/>
          <w:iCs w:val="1"/>
          <w:color w:val="auto"/>
        </w:rPr>
        <w:t>[First Supplemental Indenture]</w:t>
      </w:r>
    </w:p>
    <w:p>
      <w:pPr>
        <w:sectPr>
          <w:pgSz w:w="11900" w:h="16838" w:orient="portrait"/>
          <w:cols w:equalWidth="0" w:num="1">
            <w:col w:w="10580"/>
          </w:cols>
          <w:pgMar w:left="880" w:top="274" w:right="4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 Form of Global Note</w:t>
      </w:r>
    </w:p>
    <w:p>
      <w:pPr>
        <w:spacing w:after="0" w:line="229"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THIS SECURITY IS A GLOBAL NOTE WITHIN THE MEANING OF THE INDENTURE HEREINAFTER REFERRED TO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TO THE ISSUER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ectPr>
          <w:pgSz w:w="11900" w:h="16838" w:orient="portrait"/>
          <w:cols w:equalWidth="0" w:num="1">
            <w:col w:w="11000"/>
          </w:cols>
          <w:pgMar w:left="440" w:top="270" w:right="45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No. 1</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Initially $100,000,000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CUSIP No. 70806A AA4</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ISIN No. US70806AAA43</w:t>
      </w:r>
    </w:p>
    <w:p>
      <w:pPr>
        <w:spacing w:after="0" w:line="200" w:lineRule="exact"/>
        <w:rPr>
          <w:sz w:val="20"/>
          <w:szCs w:val="20"/>
          <w:color w:val="auto"/>
        </w:rPr>
      </w:pPr>
    </w:p>
    <w:p>
      <w:pPr>
        <w:sectPr>
          <w:pgSz w:w="11900" w:h="16838" w:orient="portrait"/>
          <w:cols w:equalWidth="0" w:num="2">
            <w:col w:w="6900" w:space="720"/>
            <w:col w:w="3380"/>
          </w:cols>
          <w:pgMar w:left="440" w:top="270" w:right="459" w:bottom="1440" w:gutter="0" w:footer="0" w:header="0"/>
          <w:type w:val="continuous"/>
        </w:sectPr>
      </w:pP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4.25% Notes due 2026</w:t>
      </w:r>
    </w:p>
    <w:p>
      <w:pPr>
        <w:sectPr>
          <w:pgSz w:w="11900" w:h="16838" w:orient="portrait"/>
          <w:cols w:equalWidth="0" w:num="1">
            <w:col w:w="11000"/>
          </w:cols>
          <w:pgMar w:left="440" w:top="270" w:right="459" w:bottom="1440" w:gutter="0" w:footer="0" w:header="0"/>
          <w:type w:val="continuous"/>
        </w:sectPr>
      </w:pPr>
    </w:p>
    <w:p>
      <w:pPr>
        <w:spacing w:after="0" w:line="24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PennantPark Floating Rate Capital Ltd., a corporation duly organized and existing under the laws of Maryland (herein called the “Company”, which term includes any successor Person under the Indenture hereinafter referred to), for value received, hereby promises to pay to Cede &amp; Co., or registered assigns, the principal sum of one hundred million dollars (U.S. $100,000,000), or such other principal sum as shall be set forth in the Schedule of Increases or Decreases attached hereto, on April 1, 2026, and to pay interest thereon from March 23, 2021 or from the most recent Interest Payment Date to which interest has been paid or duly provided for, semi-annually on April 1 and October 1 in each year, commencing October 1, 2021, at the rate of 4.25% per annum, until the principal hereof is paid or made available for payment. The interest so payable, and punctually paid or duly provided for, on any Interest Payment Date will, as provided in such Indenture, be paid to the Person in whose name this Security is registered at the close of business on the Regular Record Date for such interest, which shall be April 1 and October 1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is registered at the close of business on a Special Record Date for the payment of such Defaulted Interest to be fixed by the Company,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This Security may be issued as part of a series.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Payment of the principal of (and premium, if any) and any such interest on this Security will be made at the Corporate Trust Office of the Paying Agent, which shall initially be the Trustee, in such coin or currency of the United States of America as at the time of payment is legal tender for payment of public and private debts;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at the option of the Company payment of interest may be made by check mailed to the address of the Person entitled thereto as such address shall appear in the Security Register;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so long as this Security is registered to Cede &amp; Co., such payment will be made by wire transfer in accordance with the procedures established by the Depository Trust Company and the Trustee.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00"/>
          </w:cols>
          <w:pgMar w:left="440" w:top="270" w:right="459" w:bottom="1440" w:gutter="0" w:footer="0" w:header="0"/>
          <w:type w:val="continuous"/>
        </w:sectPr>
      </w:pPr>
    </w:p>
    <w:bookmarkStart w:id="144" w:name="page145"/>
    <w:bookmarkEnd w:id="144"/>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80"/>
          </w:cols>
          <w:pgMar w:left="440" w:top="274" w:right="47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instrument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PENNANT PARK FLOATING RATE CAPITAL LTD.</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600"/>
          </w:cols>
          <w:pgMar w:left="440" w:top="274" w:right="85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is one of the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AMERICAN STOCK TRANSFER &amp; TRUST COMPANY,</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LLC, 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920"/>
          </w:cols>
          <w:pgMar w:left="440" w:top="274" w:right="539" w:bottom="1440" w:gutter="0" w:footer="0" w:header="0"/>
        </w:sectPr>
      </w:pPr>
    </w:p>
    <w:bookmarkStart w:id="147" w:name="page148"/>
    <w:bookmarkEnd w:id="147"/>
    <w:p>
      <w:pPr>
        <w:ind w:left="4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[BACK OF NOTE]</w:t>
      </w:r>
    </w:p>
    <w:p>
      <w:pPr>
        <w:spacing w:after="0" w:line="1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4.25% Notes due 2026</w:t>
      </w:r>
    </w:p>
    <w:p>
      <w:pPr>
        <w:spacing w:after="0" w:line="21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Security is one of a duly authorized issue of securities of the Company (herein called the “Securities”), issued and to be issued in one or more series under an Indenture, dated as of March 23, 2021 (herein called the “Base Indenture”, which term shall have the meaning assigned to it in such instrument), between the Company and American Stock Transfer &amp; Trust Company, LLC, as Trustee (herein called the “Trustee”, which term includes any successor trustee under the Base Indenture), and reference is hereby made to the Base Indenture for a statement of the respective rights, limitations of rights, duties and immunities thereunder of the Company, the Trustee, and the Holders of the Securities and of the terms upon which the Securities are, and are to be, authenticated and delivered, as supplemented by the First Supplemental Indenture, relating to the Securities, dated as of March 23, 2021, by and between the Company and the Trustee (herein called the “First Supplemental Indenture”; and together with the Base Indenture, the “Indenture”). In the event of any conflict between the Base Indenture and the First Supplemental Indenture, the First Supplemental Indenture shall govern and control.</w:t>
      </w:r>
    </w:p>
    <w:p>
      <w:pPr>
        <w:spacing w:after="0" w:line="19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This Security is one of the series designated on the face hereof, initially limited in aggregate principal amount to $100,000,000. Under a Board Resolution, Officers’ Certificate pursuant to Board Resolutions or an indenture supplement, the Company may from time to time, without the consent of the Holders of Securities, issue additional Securities of this series (in any such case “Additional Securities”) having the same ranking and the same interest rate, maturity, CUSIP number and other terms as the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Additional Securities must be part of the same issue as the Securities for U.S. federal income tax purposes if represented by the same CUSIP number as the Notes. Any Additional Securities and the existing Securities will constitute a single series under the Indenture and all references to the relevant Securities herein shall include the Additional Securities unless the context otherwise requires. The aggregate amount of Outstanding Securities represented hereby may from time to time be reduced or increased, as appropriate, to reflect exchanges and redemptions.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Securities of this series are subject to redemption in whole or in part at any time or from time to time, at the option of the Company, at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Redemption Price equal to the greater of the following amounts, plus, in each case, accrued and unpaid interest to, but excluding, the Redemption Date:</w:t>
      </w:r>
    </w:p>
    <w:p>
      <w:pPr>
        <w:spacing w:after="0" w:line="139" w:lineRule="exact"/>
        <w:rPr>
          <w:sz w:val="20"/>
          <w:szCs w:val="20"/>
          <w:color w:val="auto"/>
        </w:rPr>
      </w:pPr>
    </w:p>
    <w:p>
      <w:pPr>
        <w:ind w:left="960" w:hanging="532"/>
        <w:spacing w:after="0"/>
        <w:tabs>
          <w:tab w:leader="none" w:pos="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100% of the principal amount of the Securities to be redeemed, or</w:t>
      </w:r>
    </w:p>
    <w:p>
      <w:pPr>
        <w:spacing w:after="0" w:line="130" w:lineRule="exact"/>
        <w:rPr>
          <w:rFonts w:ascii="Arial" w:cs="Arial" w:eastAsia="Arial" w:hAnsi="Arial"/>
          <w:sz w:val="18"/>
          <w:szCs w:val="18"/>
          <w:color w:val="auto"/>
        </w:rPr>
      </w:pPr>
    </w:p>
    <w:p>
      <w:pPr>
        <w:ind w:left="960" w:hanging="532"/>
        <w:spacing w:after="0" w:line="296" w:lineRule="auto"/>
        <w:tabs>
          <w:tab w:leader="none" w:pos="9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the sum of the present values of the remaining scheduled payments of principal and interest (exclusive of accrued and unpaid interest to the Redemption Date) on the Securities to be redeemed, discounted to the Redemption Date on a semi-annual basis (assuming a 360-day year consisting of twelve 30-day months) using the applicable Treasury Rate plus 50 basis points;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Company redeems any Securities on or after January 1, 2026, the Redemption Price for the Securities will be equal to 100% of the principal amount of the Securities to be redeemed, plus accrued and unpaid interest, if any, to, but excluding, the Redemption Date.</w:t>
      </w:r>
    </w:p>
    <w:p>
      <w:pPr>
        <w:spacing w:after="0" w:line="16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purposes of calculating the Redemption Price in connection with the redemption of the Securities, on any Redemption Date, the following terms have the meanings set forth below:</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the Company.</w:t>
      </w:r>
    </w:p>
    <w:p>
      <w:pPr>
        <w:spacing w:after="0" w:line="187"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“Comparable Treasury Issue” means the United States Treasury security selected by the Reference Treasury Dealer as having a maturity comparable to the remaining term of the Securities to be redeemed that would be utilized, at the time of selection and in accordance with customary financing practice, in pricing new issues of corporate debt securities of comparable maturity to the remaining term of the Securities being redeemed.</w:t>
      </w:r>
    </w:p>
    <w:p>
      <w:pPr>
        <w:spacing w:after="0" w:line="14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“Comparable Treasury Price”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00"/>
          </w:cols>
          <w:pgMar w:left="440" w:top="270" w:right="45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“Quotation Agent” means a Reference Treasury Dealer selected by the Company.</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“Reference Treasury Dealer” means each of (1) Goldman Sachs &amp; Co. LLC or its affiliates which is a primary U.S. government securities dealer in the United States (a “Primary Treasury Dealer”) and its successors; provided, however, that if Goldman Sachs &amp; Co. LLC or its affiliates shall cease to be a Primary Treasury Dealer, the Company shall select another Primary Treasury Dealer, and (2) three other Primary Treasury Dealers selected by the Company.</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time on the third Business Day preceding such Redemption Date.</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All determinations made by any Reference Treasury Dealer, including the Quotation Agent, with respect to determining the Redemption Price will be final and binding absent manifest error.</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Notice of redemption shall be given in writing and mailed, first-class postage prepaid or by overnight courier guaranteeing next-day delivery, or sent electronically in accordance with Applicable Procedures with respect to Notes in global form, to each Holder of the Securities to be redeemed, not less than 30 nor more than 60 days prior to the Redemption Date, at the Holder’s address appearing in the Security Register. All notices of redemption shall contain the information set forth in Section 1104 of the Base Indenture.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Any exercise of the Company’s option to redeem the Securities will be done in compliance with the Investment Company Act, to the extent applicable.</w:t>
      </w:r>
    </w:p>
    <w:p>
      <w:pPr>
        <w:spacing w:after="0" w:line="248"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 xml:space="preserve">If the Company elects to redeem only a portion of the Securities, the particular Securities to be redeemed will be selected by the Trustee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to the extent practicable, or, if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is not practicable for any reason, by lot or in such other manner as the Trustee shall deem fair and appropriate, and in any case in accordance with the applicable procedures of the Depositary and in accordance with the Investment Company Act as directed by the Company. In the event of a redemption of this Security in part only, a new Security or Securities of this series and of like tenor for the unredeemed portion hereof will be issued in the name of the Holder hereof upon the cancellation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partial redemption shall reduce the portion of the principal amount of a Security not redeemed to less than $2,000.</w:t>
      </w:r>
    </w:p>
    <w:p>
      <w:pPr>
        <w:spacing w:after="0" w:line="16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Unless the Company defaults in payment of the Redemption Price, on and after the Redemption Date, interest will cease to accrue on the Securities called for redemption.</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Holders will have the right to require the Company to repurchase their Securities upon the occurrence of a Change of Control Repurchase Event as set forth in the Indenture.</w:t>
      </w:r>
    </w:p>
    <w:p>
      <w:pPr>
        <w:spacing w:after="0" w:line="17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4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If an Event of Default with respect to Securities of this series shall occur and be continuing (other than Events of Default related to certain events of bankruptcy, insolvency or reorganization as set forth in the Indenture), the principal of the Securities of this series may be declared due and payable in the manner and with the effect provided in the Indenture. In the case of certain events of bankruptcy, insolvency or reorganization described in the Indenture, 100% of the principal of and accrued and unpaid interest on the Securities will automatically become due and payable.</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40"/>
          </w:cols>
          <w:pgMar w:left="440" w:top="274" w:right="519" w:bottom="1440" w:gutter="0" w:footer="0" w:header="0"/>
        </w:sectPr>
      </w:pPr>
    </w:p>
    <w:bookmarkStart w:id="149" w:name="page150"/>
    <w:bookmarkEnd w:id="149"/>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6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indemnity against the costs, expenses and liabilities to be incurred in compliance with such request, and the Trustee shall not have received from the Holders of a majority in principal amount of Securities of this series at the time Outstanding a direction inconsistent with such request, and shall have failed to institute any such proceeding, for 90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8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8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6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Securities of this series are issuable only in registered form without coupons in denominations of $2,000 and any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or Trustee may require payment of a sum sufficient to cover any tax or other governmental charge payable in connection therewith.</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All terms used in this Security which are defined in the Indenture shall have the meanings assigned to them in the Indenture.</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 the extent any provision of this Security conflicts with the express provisions of the Indenture, the provisions of the Indenture shall govern and be controlling.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000"/>
          </w:cols>
          <w:pgMar w:left="440" w:top="274" w:right="459" w:bottom="1440" w:gutter="0" w:footer="0" w:header="0"/>
        </w:sectPr>
      </w:pPr>
    </w:p>
    <w:bookmarkStart w:id="150" w:name="page151"/>
    <w:bookmarkEnd w:id="15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Indenture and this Security shall be governed by and construed in accordance with the laws of the State of New York, without regard to principles of conflicts of laws.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820"/>
          </w:cols>
          <w:pgMar w:left="440" w:top="274" w:right="639" w:bottom="1440" w:gutter="0" w:footer="0" w:header="0"/>
        </w:sectPr>
      </w:pPr>
    </w:p>
    <w:bookmarkStart w:id="151" w:name="page152"/>
    <w:bookmarkEnd w:id="151"/>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Arial" w:cs="Arial" w:eastAsia="Arial" w:hAnsi="Arial"/>
          <w:sz w:val="14"/>
          <w:szCs w:val="14"/>
          <w:b w:val="1"/>
          <w:bCs w:val="1"/>
          <w:color w:val="auto"/>
        </w:rPr>
        <w:t>SSIGNMENT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ORM</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assign this Note, fill in the form below:</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14605</wp:posOffset>
            </wp:positionV>
            <wp:extent cx="503174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031740" cy="8890"/>
                    </a:xfrm>
                    <a:prstGeom prst="rect">
                      <a:avLst/>
                    </a:prstGeom>
                    <a:noFill/>
                  </pic:spPr>
                </pic:pic>
              </a:graphicData>
            </a:graphic>
          </wp:anchor>
        </w:drawing>
      </w:r>
    </w:p>
    <w:p>
      <w:pPr>
        <w:spacing w:after="0" w:line="3" w:lineRule="exact"/>
        <w:rPr>
          <w:sz w:val="20"/>
          <w:szCs w:val="20"/>
          <w:color w:val="auto"/>
        </w:rPr>
      </w:pPr>
    </w:p>
    <w:p>
      <w:pPr>
        <w:ind w:left="4104"/>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NSERT</w:t>
      </w:r>
      <w:r>
        <w:rPr>
          <w:rFonts w:ascii="Arial" w:cs="Arial" w:eastAsia="Arial" w:hAnsi="Arial"/>
          <w:sz w:val="18"/>
          <w:szCs w:val="18"/>
          <w:color w:val="auto"/>
        </w:rPr>
        <w:t xml:space="preserve"> A</w:t>
      </w:r>
      <w:r>
        <w:rPr>
          <w:rFonts w:ascii="Arial" w:cs="Arial" w:eastAsia="Arial" w:hAnsi="Arial"/>
          <w:sz w:val="14"/>
          <w:szCs w:val="14"/>
          <w:color w:val="auto"/>
        </w:rPr>
        <w:t>SSIGNEE</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L</w:t>
      </w:r>
      <w:r>
        <w:rPr>
          <w:rFonts w:ascii="Arial" w:cs="Arial" w:eastAsia="Arial" w:hAnsi="Arial"/>
          <w:sz w:val="14"/>
          <w:szCs w:val="14"/>
          <w:color w:val="auto"/>
        </w:rPr>
        <w:t>EGAL</w:t>
      </w:r>
      <w:r>
        <w:rPr>
          <w:rFonts w:ascii="Arial" w:cs="Arial" w:eastAsia="Arial" w:hAnsi="Arial"/>
          <w:sz w:val="18"/>
          <w:szCs w:val="18"/>
          <w:color w:val="auto"/>
        </w:rPr>
        <w:t xml:space="preserve"> N</w:t>
      </w:r>
      <w:r>
        <w:rPr>
          <w:rFonts w:ascii="Arial" w:cs="Arial" w:eastAsia="Arial" w:hAnsi="Arial"/>
          <w:sz w:val="14"/>
          <w:szCs w:val="14"/>
          <w:color w:val="auto"/>
        </w:rPr>
        <w:t>AME</w:t>
      </w:r>
      <w:r>
        <w:rPr>
          <w:rFonts w:ascii="Arial" w:cs="Arial" w:eastAsia="Arial" w:hAnsi="Arial"/>
          <w:sz w:val="18"/>
          <w:szCs w:val="18"/>
          <w:color w:val="auto"/>
        </w:rPr>
        <w:t>)</w:t>
      </w:r>
    </w:p>
    <w:p>
      <w:pPr>
        <w:spacing w:after="0" w:line="224" w:lineRule="exact"/>
        <w:rPr>
          <w:sz w:val="20"/>
          <w:szCs w:val="20"/>
          <w:color w:val="auto"/>
        </w:rPr>
      </w:pPr>
    </w:p>
    <w:p>
      <w:pPr>
        <w:ind w:left="4004"/>
        <w:spacing w:after="0"/>
        <w:rPr>
          <w:sz w:val="20"/>
          <w:szCs w:val="20"/>
          <w:color w:val="auto"/>
        </w:rPr>
      </w:pPr>
      <w:r>
        <w:rPr>
          <w:rFonts w:ascii="Arial" w:cs="Arial" w:eastAsia="Arial" w:hAnsi="Arial"/>
          <w:sz w:val="18"/>
          <w:szCs w:val="18"/>
          <w:color w:val="auto"/>
        </w:rPr>
        <w:t>(Insert assignee’s soc. sec. or tax I.D. no.)</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(Print or type assignee’s name, address and zip code)</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1337310</wp:posOffset>
            </wp:positionH>
            <wp:positionV relativeFrom="paragraph">
              <wp:posOffset>14605</wp:posOffset>
            </wp:positionV>
            <wp:extent cx="565785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19"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transfer this Note on the books of the Company. The agent may substitute another to act for him.</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5204"/>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14605</wp:posOffset>
            </wp:positionV>
            <wp:extent cx="28632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w:t>
      </w:r>
    </w:p>
    <w:p>
      <w:pPr>
        <w:spacing w:after="0" w:line="117" w:lineRule="exact"/>
        <w:rPr>
          <w:sz w:val="20"/>
          <w:szCs w:val="20"/>
          <w:color w:val="auto"/>
        </w:rPr>
      </w:pPr>
    </w:p>
    <w:p>
      <w:pPr>
        <w:ind w:left="5364" w:right="1900" w:hanging="5364"/>
        <w:spacing w:after="0" w:line="449" w:lineRule="auto"/>
        <w:tabs>
          <w:tab w:leader="none" w:pos="13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A-9</w:t>
      </w:r>
    </w:p>
    <w:p>
      <w:pPr>
        <w:sectPr>
          <w:pgSz w:w="11900" w:h="16838" w:orient="portrait"/>
          <w:cols w:equalWidth="0" w:num="1">
            <w:col w:w="10964"/>
          </w:cols>
          <w:pgMar w:left="436" w:top="270" w:right="499" w:bottom="1440" w:gutter="0" w:footer="0" w:header="0"/>
        </w:sectPr>
      </w:pPr>
    </w:p>
    <w:bookmarkStart w:id="152" w:name="page153"/>
    <w:bookmarkEnd w:id="152"/>
    <w:p>
      <w:pPr>
        <w:jc w:val="center"/>
        <w:ind w:right="-14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 OF HOLDER TO ELECT PURCHASE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you want to elect to have this Note purchased by the Company pursuant to Section 1301 of the Indenture, check the box below:</w:t>
      </w:r>
    </w:p>
    <w:p>
      <w:pPr>
        <w:spacing w:after="0" w:line="225" w:lineRule="exact"/>
        <w:rPr>
          <w:sz w:val="20"/>
          <w:szCs w:val="20"/>
          <w:color w:val="auto"/>
        </w:rPr>
      </w:pPr>
    </w:p>
    <w:p>
      <w:pPr>
        <w:ind w:left="204" w:hanging="204"/>
        <w:spacing w:after="0"/>
        <w:tabs>
          <w:tab w:leader="none" w:pos="204" w:val="left"/>
        </w:tabs>
        <w:numPr>
          <w:ilvl w:val="0"/>
          <w:numId w:val="146"/>
        </w:numPr>
        <w:rPr>
          <w:rFonts w:ascii="MS PGothic" w:cs="MS PGothic" w:eastAsia="MS PGothic" w:hAnsi="MS PGothic"/>
          <w:sz w:val="18"/>
          <w:szCs w:val="18"/>
          <w:color w:val="auto"/>
        </w:rPr>
      </w:pPr>
      <w:r>
        <w:rPr>
          <w:rFonts w:ascii="Arial" w:cs="Arial" w:eastAsia="Arial" w:hAnsi="Arial"/>
          <w:sz w:val="18"/>
          <w:szCs w:val="18"/>
          <w:color w:val="auto"/>
        </w:rPr>
        <w:t>Section 1301</w:t>
      </w:r>
    </w:p>
    <w:p>
      <w:pPr>
        <w:spacing w:after="0" w:line="225"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If you want to elect to have only part of the Note purchased by the Company pursuant to Section 1301 of the Indenture, state the amount you elect to have purchased:</w:t>
      </w:r>
    </w:p>
    <w:p>
      <w:pPr>
        <w:spacing w:after="0" w:line="170"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4269105</wp:posOffset>
            </wp:positionH>
            <wp:positionV relativeFrom="paragraph">
              <wp:posOffset>14605</wp:posOffset>
            </wp:positionV>
            <wp:extent cx="27260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 w:lineRule="exact"/>
        <w:rPr>
          <w:sz w:val="20"/>
          <w:szCs w:val="20"/>
          <w:color w:val="auto"/>
        </w:rPr>
      </w:pPr>
    </w:p>
    <w:p>
      <w:pPr>
        <w:jc w:val="center"/>
        <w:ind w:left="6820"/>
        <w:spacing w:after="0"/>
        <w:rPr>
          <w:sz w:val="20"/>
          <w:szCs w:val="20"/>
          <w:color w:val="auto"/>
        </w:rPr>
      </w:pPr>
      <w:r>
        <w:rPr>
          <w:rFonts w:ascii="Arial" w:cs="Arial" w:eastAsia="Arial" w:hAnsi="Arial"/>
          <w:sz w:val="16"/>
          <w:szCs w:val="16"/>
          <w:color w:val="auto"/>
        </w:rPr>
        <w:t>(Sign exactly as your name appears on the face of this</w:t>
      </w:r>
    </w:p>
    <w:p>
      <w:pPr>
        <w:spacing w:after="0" w:line="46" w:lineRule="exact"/>
        <w:rPr>
          <w:sz w:val="20"/>
          <w:szCs w:val="20"/>
          <w:color w:val="auto"/>
        </w:rPr>
      </w:pPr>
    </w:p>
    <w:p>
      <w:pPr>
        <w:jc w:val="center"/>
        <w:ind w:left="6820"/>
        <w:spacing w:after="0"/>
        <w:rPr>
          <w:sz w:val="20"/>
          <w:szCs w:val="20"/>
          <w:color w:val="auto"/>
        </w:rPr>
      </w:pPr>
      <w:r>
        <w:rPr>
          <w:rFonts w:ascii="Arial" w:cs="Arial" w:eastAsia="Arial" w:hAnsi="Arial"/>
          <w:sz w:val="18"/>
          <w:szCs w:val="18"/>
          <w:color w:val="auto"/>
        </w:rPr>
        <w:t>Note)</w:t>
      </w:r>
    </w:p>
    <w:p>
      <w:pPr>
        <w:spacing w:after="0" w:line="9"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4269105</wp:posOffset>
            </wp:positionH>
            <wp:positionV relativeFrom="paragraph">
              <wp:posOffset>5715</wp:posOffset>
            </wp:positionV>
            <wp:extent cx="27260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w:t>
      </w:r>
    </w:p>
    <w:p>
      <w:pPr>
        <w:spacing w:after="0" w:line="117" w:lineRule="exact"/>
        <w:rPr>
          <w:sz w:val="20"/>
          <w:szCs w:val="20"/>
          <w:color w:val="auto"/>
        </w:rPr>
      </w:pPr>
    </w:p>
    <w:p>
      <w:pPr>
        <w:ind w:left="5324" w:right="1800" w:hanging="5324"/>
        <w:spacing w:after="0" w:line="449" w:lineRule="auto"/>
        <w:tabs>
          <w:tab w:leader="none" w:pos="13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A-10</w:t>
      </w:r>
    </w:p>
    <w:p>
      <w:pPr>
        <w:sectPr>
          <w:pgSz w:w="11900" w:h="16838" w:orient="portrait"/>
          <w:cols w:equalWidth="0" w:num="1">
            <w:col w:w="10864"/>
          </w:cols>
          <w:pgMar w:left="436" w:top="274" w:right="59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INCREASES AND DECREASES OF GLOBAL NOTE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initial principal amount of this Global Note is $100,000,000. The following increases and decreases to this Global Note have been made: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Principal Amount at</w:t>
            </w:r>
          </w:p>
        </w:tc>
        <w:tc>
          <w:tcPr>
            <w:tcW w:w="1760" w:type="dxa"/>
            <w:vAlign w:val="bottom"/>
          </w:tcPr>
          <w:p>
            <w:pPr>
              <w:spacing w:after="0"/>
              <w:rPr>
                <w:sz w:val="14"/>
                <w:szCs w:val="14"/>
                <w:color w:val="auto"/>
              </w:rPr>
            </w:pPr>
          </w:p>
        </w:tc>
      </w:tr>
      <w:tr>
        <w:trPr>
          <w:trHeight w:val="148"/>
        </w:trPr>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Amount of Decrease in</w:t>
            </w:r>
          </w:p>
        </w:tc>
        <w:tc>
          <w:tcPr>
            <w:tcW w:w="24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3"/>
              </w:rPr>
              <w:t>Amount of Increase in</w:t>
            </w:r>
          </w:p>
        </w:tc>
        <w:tc>
          <w:tcPr>
            <w:tcW w:w="19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Maturity</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92"/>
              </w:rPr>
              <w:t>Signature of</w:t>
            </w:r>
          </w:p>
        </w:tc>
      </w:tr>
      <w:tr>
        <w:trPr>
          <w:trHeight w:val="149"/>
        </w:trPr>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Principal Amount at</w:t>
            </w:r>
          </w:p>
        </w:tc>
        <w:tc>
          <w:tcPr>
            <w:tcW w:w="24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5"/>
              </w:rPr>
              <w:t>Principal Amount at</w:t>
            </w:r>
          </w:p>
        </w:tc>
        <w:tc>
          <w:tcPr>
            <w:tcW w:w="1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of this Global Note</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95"/>
              </w:rPr>
              <w:t>Authorized Signatory</w:t>
            </w:r>
          </w:p>
        </w:tc>
      </w:tr>
      <w:tr>
        <w:trPr>
          <w:trHeight w:val="148"/>
        </w:trPr>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Date of Increase or</w:t>
            </w: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Maturity</w:t>
            </w:r>
          </w:p>
        </w:tc>
        <w:tc>
          <w:tcPr>
            <w:tcW w:w="24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rPr>
              <w:t>Maturity</w:t>
            </w:r>
          </w:p>
        </w:tc>
        <w:tc>
          <w:tcPr>
            <w:tcW w:w="1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Following such</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94"/>
              </w:rPr>
              <w:t>of Trustee or DTC</w:t>
            </w:r>
          </w:p>
        </w:tc>
      </w:tr>
      <w:tr>
        <w:trPr>
          <w:trHeight w:val="181"/>
        </w:trPr>
        <w:tc>
          <w:tcPr>
            <w:tcW w:w="2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Decrease</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of this Global Note</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of this Global Note</w:t>
            </w:r>
          </w:p>
        </w:tc>
        <w:tc>
          <w:tcPr>
            <w:tcW w:w="36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decrease (or increase)</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Custodian</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20"/>
          </w:cols>
          <w:pgMar w:left="440" w:top="274" w:right="4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One International Place, 40th Floor</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100 Oliver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1028700" cy="3517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8700" cy="351790"/>
                    </a:xfrm>
                    <a:prstGeom prst="rect">
                      <a:avLst/>
                    </a:prstGeom>
                    <a:noFill/>
                  </pic:spPr>
                </pic:pic>
              </a:graphicData>
            </a:graphic>
          </wp:anchor>
        </w:drawing>
      </w:r>
    </w:p>
    <w:p>
      <w:pPr>
        <w:ind w:left="6720"/>
        <w:spacing w:after="0"/>
        <w:rPr>
          <w:sz w:val="20"/>
          <w:szCs w:val="20"/>
          <w:color w:val="auto"/>
        </w:rPr>
      </w:pPr>
      <w:r>
        <w:rPr>
          <w:rFonts w:ascii="Arial" w:cs="Arial" w:eastAsia="Arial" w:hAnsi="Arial"/>
          <w:sz w:val="18"/>
          <w:szCs w:val="18"/>
          <w:color w:val="auto"/>
        </w:rPr>
        <w:t>Boston, MA 02110-2605</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+1 617 728 7100 Main</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+1 617 426 6567 Fax</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www.dechert.com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March 23,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38"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N-2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acted as counsel to PennantPark Floating Rate Capital Ltd., a Maryland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preparation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filing of a registration statement on Form N-2 (Registration No. 333-235532) as originally filed on December 16, 2019 with the Securities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under the Investment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 of 1940, as amended (the “</w:t>
      </w:r>
      <w:r>
        <w:rPr>
          <w:rFonts w:ascii="Arial" w:cs="Arial" w:eastAsia="Arial" w:hAnsi="Arial"/>
          <w:sz w:val="16"/>
          <w:szCs w:val="16"/>
          <w:u w:val="single" w:color="auto"/>
          <w:color w:val="auto"/>
        </w:rPr>
        <w:t>Investment Company Act</w:t>
      </w:r>
      <w:r>
        <w:rPr>
          <w:rFonts w:ascii="Arial" w:cs="Arial" w:eastAsia="Arial" w:hAnsi="Arial"/>
          <w:sz w:val="16"/>
          <w:szCs w:val="16"/>
          <w:color w:val="auto"/>
        </w:rPr>
        <w:t>”), and as subsequently amended on January 28, 2020 (the registration statement at the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when it became effective on January 29, 2020, including the prospectus and the information deemed to be part thereof at the time of effectiveness,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exhibits thereto and the documents incorporated by reference therein, being hereinafter referred to collectively as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final prospectus supplement, dated March 18, 2021 (including the base prospectus filed therewith, the “</w:t>
      </w:r>
      <w:r>
        <w:rPr>
          <w:rFonts w:ascii="Arial" w:cs="Arial" w:eastAsia="Arial" w:hAnsi="Arial"/>
          <w:sz w:val="17"/>
          <w:szCs w:val="17"/>
          <w:u w:val="single" w:color="auto"/>
          <w:color w:val="auto"/>
        </w:rPr>
        <w:t>Prospectus Supplement</w:t>
      </w:r>
      <w:r>
        <w:rPr>
          <w:rFonts w:ascii="Arial" w:cs="Arial" w:eastAsia="Arial" w:hAnsi="Arial"/>
          <w:sz w:val="17"/>
          <w:szCs w:val="17"/>
          <w:color w:val="auto"/>
        </w:rPr>
        <w:t>”), filed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Commission on March 18, 2021 pursuant to Rule 424 under the Securities Act, relating to the proposed issuance by the Company of $100,000,000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aggregate principal amount of 4.25% unsecured notes due 2026 (the “</w:t>
      </w:r>
      <w:r>
        <w:rPr>
          <w:rFonts w:ascii="Arial" w:cs="Arial" w:eastAsia="Arial" w:hAnsi="Arial"/>
          <w:sz w:val="17"/>
          <w:szCs w:val="17"/>
          <w:u w:val="single" w:color="auto"/>
          <w:color w:val="auto"/>
        </w:rPr>
        <w:t>Notes</w:t>
      </w:r>
      <w:r>
        <w:rPr>
          <w:rFonts w:ascii="Arial" w:cs="Arial" w:eastAsia="Arial" w:hAnsi="Arial"/>
          <w:sz w:val="17"/>
          <w:szCs w:val="17"/>
          <w:color w:val="auto"/>
        </w:rPr>
        <w:t>”), to be sold to underwriters pursuant to an underwriting agreement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substantially in the form filed as Exhibit 1.1 to the Company’s Current Report on Form 8-K filed with the Commission on March 23, 2021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This opinion letter is being furnished to the Company in accordance with the requirements of Item 25 of Form N-2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Investment Company Act, and we express no opinion herein as to any matter other than as to the legality of the Indenture (as defined below)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11"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The Notes are to be issued pursuant to the indenture dated as of March 23, 2021 (the “</w:t>
      </w:r>
      <w:r>
        <w:rPr>
          <w:rFonts w:ascii="Arial" w:cs="Arial" w:eastAsia="Arial" w:hAnsi="Arial"/>
          <w:sz w:val="16"/>
          <w:szCs w:val="16"/>
          <w:u w:val="single" w:color="auto"/>
          <w:color w:val="auto"/>
        </w:rPr>
        <w:t>Base Indenture</w:t>
      </w:r>
      <w:r>
        <w:rPr>
          <w:rFonts w:ascii="Arial" w:cs="Arial" w:eastAsia="Arial" w:hAnsi="Arial"/>
          <w:sz w:val="16"/>
          <w:szCs w:val="16"/>
          <w:color w:val="auto"/>
        </w:rPr>
        <w:t>”), between the Company and American Stock Transfer &amp; Trust Company, LLC,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as supplemented by the first supplemental indenture dated as of March 23, 2021 (the “</w:t>
      </w:r>
      <w:r>
        <w:rPr>
          <w:rFonts w:ascii="Arial" w:cs="Arial" w:eastAsia="Arial" w:hAnsi="Arial"/>
          <w:sz w:val="16"/>
          <w:szCs w:val="16"/>
          <w:u w:val="single" w:color="auto"/>
          <w:color w:val="auto"/>
        </w:rPr>
        <w:t>First Supplemental Indenture</w:t>
      </w:r>
      <w:r>
        <w:rPr>
          <w:rFonts w:ascii="Arial" w:cs="Arial" w:eastAsia="Arial" w:hAnsi="Arial"/>
          <w:sz w:val="16"/>
          <w:szCs w:val="16"/>
          <w:color w:val="auto"/>
        </w:rPr>
        <w:t>,” and, together with the Base Indenture, the “</w:t>
      </w:r>
      <w:r>
        <w:rPr>
          <w:rFonts w:ascii="Arial" w:cs="Arial" w:eastAsia="Arial" w:hAnsi="Arial"/>
          <w:sz w:val="16"/>
          <w:szCs w:val="16"/>
          <w:u w:val="single" w:color="auto"/>
          <w:color w:val="auto"/>
        </w:rPr>
        <w:t>Indenture</w:t>
      </w:r>
      <w:r>
        <w:rPr>
          <w:rFonts w:ascii="Arial" w:cs="Arial" w:eastAsia="Arial" w:hAnsi="Arial"/>
          <w:sz w:val="16"/>
          <w:szCs w:val="16"/>
          <w:color w:val="auto"/>
        </w:rPr>
        <w:t>”), between the Company and the Trustee.</w:t>
      </w:r>
    </w:p>
    <w:p>
      <w:pPr>
        <w:sectPr>
          <w:pgSz w:w="11900" w:h="16838" w:orient="portrait"/>
          <w:cols w:equalWidth="0" w:num="1">
            <w:col w:w="11020"/>
          </w:cols>
          <w:pgMar w:left="440" w:top="121" w:right="4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March 23, 2021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In rendering the opinions expressed below, we have examined and relied on originals or copies, certified or otherwise identified to our satisfaction, of such documents, corporate records and other instruments and such agreements, certificates and receipts of public officials, certificates of officers or other representatives of the Company and others, and such other documents as we have deemed necessary or appropriate as a basis for rendering the opinions set forth below, including the following documents:</w:t>
      </w:r>
    </w:p>
    <w:p>
      <w:pPr>
        <w:spacing w:after="0" w:line="92" w:lineRule="exact"/>
        <w:rPr>
          <w:sz w:val="20"/>
          <w:szCs w:val="20"/>
          <w:color w:val="auto"/>
        </w:rPr>
      </w:pPr>
    </w:p>
    <w:p>
      <w:pPr>
        <w:ind w:left="960" w:hanging="532"/>
        <w:spacing w:after="0"/>
        <w:tabs>
          <w:tab w:leader="none" w:pos="9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Prospectus Supplement;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Underwriting Agreement;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Indenture;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specimen copy of the form of the Notes to be issued pursuant to the Indenture;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Articles of Amendment and Restatement of the Company, as amended;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Second Amended and Restated Bylaws of the Company;</w:t>
      </w:r>
    </w:p>
    <w:p>
      <w:pPr>
        <w:spacing w:after="0" w:line="130" w:lineRule="exact"/>
        <w:rPr>
          <w:rFonts w:ascii="Arial" w:cs="Arial" w:eastAsia="Arial" w:hAnsi="Arial"/>
          <w:sz w:val="18"/>
          <w:szCs w:val="18"/>
          <w:color w:val="auto"/>
        </w:rPr>
      </w:pPr>
    </w:p>
    <w:p>
      <w:pPr>
        <w:ind w:left="960" w:right="100" w:hanging="532"/>
        <w:spacing w:after="0" w:line="277" w:lineRule="auto"/>
        <w:tabs>
          <w:tab w:leader="none" w:pos="9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certificate of good standing with respect to the Company issued by the State Department of Assessments and Taxation of Maryland as of a recent date; and</w:t>
      </w:r>
    </w:p>
    <w:p>
      <w:pPr>
        <w:spacing w:after="0" w:line="75" w:lineRule="exact"/>
        <w:rPr>
          <w:rFonts w:ascii="Arial" w:cs="Arial" w:eastAsia="Arial" w:hAnsi="Arial"/>
          <w:sz w:val="18"/>
          <w:szCs w:val="18"/>
          <w:color w:val="auto"/>
        </w:rPr>
      </w:pPr>
    </w:p>
    <w:p>
      <w:pPr>
        <w:ind w:left="960" w:right="600" w:hanging="532"/>
        <w:spacing w:after="0" w:line="277" w:lineRule="auto"/>
        <w:tabs>
          <w:tab w:leader="none" w:pos="9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resolutions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and resolutions approved by the pricing committee of the Board relating to, among other things, the authorization and issuance of the Notes.</w:t>
      </w:r>
    </w:p>
    <w:p>
      <w:pPr>
        <w:spacing w:after="0" w:line="17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to the facts upon which this opinion is based, we have relied, to the extent we deem proper, upon certificates of public officials and certificates and written statements of agents, officers, directors, employees and representatives of the Company without having independently verified such factual matters.</w:t>
      </w:r>
    </w:p>
    <w:p>
      <w:pPr>
        <w:spacing w:after="0" w:line="184"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our examination, we have assumed the genuineness of all signatures, the authenticity of all documents submitted to us as original documents and the conformity to original documents of all documents submitted to us as copies. In addition, we have assumed (i) the legal capacity of natural persons who are signatories to the documents examined by us and (ii) the legal power and authority of all persons signing on behalf of the parties to such documents (other than the Company).</w:t>
      </w:r>
    </w:p>
    <w:p>
      <w:pPr>
        <w:sectPr>
          <w:pgSz w:w="11900" w:h="16838" w:orient="portrait"/>
          <w:cols w:equalWidth="0" w:num="1">
            <w:col w:w="11020"/>
          </w:cols>
          <w:pgMar w:left="440" w:top="274" w:right="4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March 23, 2021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color w:val="auto"/>
        </w:rPr>
        <w:t>On the basis of the foregoing and subject to the assumptions and qualifications set forth in this letter, we are of the opinion that:</w:t>
      </w:r>
    </w:p>
    <w:p>
      <w:pPr>
        <w:spacing w:after="0" w:line="131" w:lineRule="exact"/>
        <w:rPr>
          <w:sz w:val="20"/>
          <w:szCs w:val="20"/>
          <w:color w:val="auto"/>
        </w:rPr>
      </w:pPr>
    </w:p>
    <w:p>
      <w:pPr>
        <w:ind w:left="964" w:right="440" w:hanging="532"/>
        <w:spacing w:after="0" w:line="277" w:lineRule="auto"/>
        <w:tabs>
          <w:tab w:leader="none" w:pos="96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When the Base Indenture is duly authorized, executed and delivered by the Company, the Base Indenture will constitute the valid and legally binding obligation of the Company, enforceable against the Company in accordance with its terms.</w:t>
      </w:r>
    </w:p>
    <w:p>
      <w:pPr>
        <w:spacing w:after="0" w:line="75" w:lineRule="exact"/>
        <w:rPr>
          <w:rFonts w:ascii="Arial" w:cs="Arial" w:eastAsia="Arial" w:hAnsi="Arial"/>
          <w:sz w:val="18"/>
          <w:szCs w:val="18"/>
          <w:color w:val="auto"/>
        </w:rPr>
      </w:pPr>
    </w:p>
    <w:p>
      <w:pPr>
        <w:ind w:left="964" w:right="120" w:hanging="532"/>
        <w:spacing w:after="0" w:line="342" w:lineRule="auto"/>
        <w:tabs>
          <w:tab w:leader="none" w:pos="964" w:val="left"/>
        </w:tabs>
        <w:numPr>
          <w:ilvl w:val="0"/>
          <w:numId w:val="149"/>
        </w:numPr>
        <w:rPr>
          <w:rFonts w:ascii="Arial" w:cs="Arial" w:eastAsia="Arial" w:hAnsi="Arial"/>
          <w:sz w:val="16"/>
          <w:szCs w:val="16"/>
          <w:color w:val="auto"/>
        </w:rPr>
      </w:pPr>
      <w:r>
        <w:rPr>
          <w:rFonts w:ascii="Arial" w:cs="Arial" w:eastAsia="Arial" w:hAnsi="Arial"/>
          <w:sz w:val="16"/>
          <w:szCs w:val="16"/>
          <w:color w:val="auto"/>
        </w:rPr>
        <w:t>When the First Supplemental Indenture is duly authorized, executed and delivered by the Company, the First Supplemental Indenture will constitute the valid and legally binding obligation of the Company, enforceable against the Company in accordance with its terms.</w:t>
      </w:r>
    </w:p>
    <w:p>
      <w:pPr>
        <w:spacing w:after="0" w:line="29" w:lineRule="exact"/>
        <w:rPr>
          <w:rFonts w:ascii="Arial" w:cs="Arial" w:eastAsia="Arial" w:hAnsi="Arial"/>
          <w:sz w:val="16"/>
          <w:szCs w:val="16"/>
          <w:color w:val="auto"/>
        </w:rPr>
      </w:pPr>
    </w:p>
    <w:p>
      <w:pPr>
        <w:ind w:left="964" w:right="60" w:hanging="532"/>
        <w:spacing w:after="0" w:line="286" w:lineRule="auto"/>
        <w:tabs>
          <w:tab w:leader="none" w:pos="964" w:val="left"/>
        </w:tabs>
        <w:numPr>
          <w:ilvl w:val="0"/>
          <w:numId w:val="149"/>
        </w:numPr>
        <w:rPr>
          <w:rFonts w:ascii="Arial" w:cs="Arial" w:eastAsia="Arial" w:hAnsi="Arial"/>
          <w:sz w:val="17"/>
          <w:szCs w:val="17"/>
          <w:color w:val="auto"/>
        </w:rPr>
      </w:pPr>
      <w:r>
        <w:rPr>
          <w:rFonts w:ascii="Arial" w:cs="Arial" w:eastAsia="Arial" w:hAnsi="Arial"/>
          <w:sz w:val="17"/>
          <w:szCs w:val="17"/>
          <w:color w:val="auto"/>
        </w:rPr>
        <w:t>When duly executed by the Company and authenticated by the Trustee in accordance with the terms of the Indenture and delivered to the underwriters against payment therefor in accordance with the terms of the Underwriting Agreement, the Notes will constitute the legal and binding obligations of the Company, enforceable against the Company in accordance with their terms.</w:t>
      </w:r>
    </w:p>
    <w:p>
      <w:pPr>
        <w:spacing w:after="0" w:line="165"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The opinions set forth herein are subject to the following assumptions, qualifications, limitations and exceptions being true and correct at or before the time of the Notes:</w:t>
      </w:r>
    </w:p>
    <w:p>
      <w:pPr>
        <w:spacing w:after="0" w:line="76" w:lineRule="exact"/>
        <w:rPr>
          <w:sz w:val="20"/>
          <w:szCs w:val="20"/>
          <w:color w:val="auto"/>
        </w:rPr>
      </w:pPr>
    </w:p>
    <w:p>
      <w:pPr>
        <w:ind w:left="964" w:hanging="532"/>
        <w:spacing w:after="0"/>
        <w:tabs>
          <w:tab w:leader="none" w:pos="96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Company is duly incorporated and validly existing in good standing under the laws of the State of Maryland;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Indenture and the Notes have been duly authorized, executed and delivered by each party thereto (other than the Company);</w:t>
      </w:r>
    </w:p>
    <w:p>
      <w:pPr>
        <w:spacing w:after="0" w:line="142" w:lineRule="exact"/>
        <w:rPr>
          <w:rFonts w:ascii="Arial" w:cs="Arial" w:eastAsia="Arial" w:hAnsi="Arial"/>
          <w:sz w:val="17"/>
          <w:szCs w:val="17"/>
          <w:color w:val="auto"/>
        </w:rPr>
      </w:pPr>
    </w:p>
    <w:p>
      <w:pPr>
        <w:ind w:left="964" w:hanging="532"/>
        <w:spacing w:after="0"/>
        <w:tabs>
          <w:tab w:leader="none" w:pos="964"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final terms of the Notes have been duly established and approved by all necessary corporate action on the part of the Company;</w:t>
      </w:r>
    </w:p>
    <w:p>
      <w:pPr>
        <w:spacing w:after="0" w:line="142" w:lineRule="exact"/>
        <w:rPr>
          <w:rFonts w:ascii="Arial" w:cs="Arial" w:eastAsia="Arial" w:hAnsi="Arial"/>
          <w:sz w:val="17"/>
          <w:szCs w:val="17"/>
          <w:color w:val="auto"/>
        </w:rPr>
      </w:pPr>
    </w:p>
    <w:p>
      <w:pPr>
        <w:ind w:left="964" w:hanging="532"/>
        <w:spacing w:after="0"/>
        <w:tabs>
          <w:tab w:leader="none" w:pos="96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terms of the Notes as established comply with the requirements of the Investment Company Act; and</w:t>
      </w:r>
    </w:p>
    <w:p>
      <w:pPr>
        <w:spacing w:after="0" w:line="130" w:lineRule="exact"/>
        <w:rPr>
          <w:rFonts w:ascii="Arial" w:cs="Arial" w:eastAsia="Arial" w:hAnsi="Arial"/>
          <w:sz w:val="18"/>
          <w:szCs w:val="18"/>
          <w:color w:val="auto"/>
        </w:rPr>
      </w:pPr>
    </w:p>
    <w:p>
      <w:pPr>
        <w:ind w:left="964" w:right="20" w:hanging="532"/>
        <w:spacing w:after="0" w:line="277" w:lineRule="auto"/>
        <w:tabs>
          <w:tab w:leader="none" w:pos="96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Notes have been duly executed by the Company and authenticated by the Trustee in accordance with the Indenture and delivered to and paid for by the purchasers thereof.</w:t>
      </w:r>
    </w:p>
    <w:p>
      <w:pPr>
        <w:spacing w:after="0" w:line="170" w:lineRule="exact"/>
        <w:rPr>
          <w:sz w:val="20"/>
          <w:szCs w:val="20"/>
          <w:color w:val="auto"/>
        </w:rPr>
      </w:pPr>
    </w:p>
    <w:p>
      <w:pPr>
        <w:ind w:left="4" w:right="60" w:firstLine="440"/>
        <w:spacing w:after="0" w:line="285" w:lineRule="auto"/>
        <w:rPr>
          <w:sz w:val="20"/>
          <w:szCs w:val="20"/>
          <w:color w:val="auto"/>
        </w:rPr>
      </w:pPr>
      <w:r>
        <w:rPr>
          <w:rFonts w:ascii="Arial" w:cs="Arial" w:eastAsia="Arial" w:hAnsi="Arial"/>
          <w:sz w:val="16"/>
          <w:szCs w:val="16"/>
          <w:color w:val="auto"/>
        </w:rPr>
        <w:t>The opinions set forth herein as to enforceability of obligations of the Company are subject to: (i) bankruptcy, insolvency, reorganization, fraudulent conveyance, moratorium or similar laws now or hereinafter in effect affecting the enforcement of creditors’ rights generally, and by general principles of equity (regardless of whether enforcement is sought in a proceeding in equity or at law) and the discretion of the court or other body before which any proceeding may be brought; (ii) the unenforceability under certain circumstances under law or court decisions of provisions providing for the indemnification of, or contribution to, a party with respect to a liability where such indemnification or contribution is contrary to public policy;</w:t>
      </w:r>
    </w:p>
    <w:p>
      <w:pPr>
        <w:spacing w:after="0" w:line="2" w:lineRule="exact"/>
        <w:rPr>
          <w:sz w:val="20"/>
          <w:szCs w:val="20"/>
          <w:color w:val="auto"/>
        </w:rPr>
      </w:pPr>
    </w:p>
    <w:p>
      <w:pPr>
        <w:ind w:left="324" w:hanging="324"/>
        <w:spacing w:after="0"/>
        <w:tabs>
          <w:tab w:leader="none" w:pos="324" w:val="left"/>
        </w:tabs>
        <w:numPr>
          <w:ilvl w:val="0"/>
          <w:numId w:val="151"/>
        </w:numPr>
        <w:rPr>
          <w:rFonts w:ascii="Arial" w:cs="Arial" w:eastAsia="Arial" w:hAnsi="Arial"/>
          <w:sz w:val="16"/>
          <w:szCs w:val="16"/>
          <w:color w:val="auto"/>
        </w:rPr>
      </w:pPr>
      <w:r>
        <w:rPr>
          <w:rFonts w:ascii="Arial" w:cs="Arial" w:eastAsia="Arial" w:hAnsi="Arial"/>
          <w:sz w:val="16"/>
          <w:szCs w:val="16"/>
          <w:color w:val="auto"/>
        </w:rPr>
        <w:t>provisions of law which may require that a judgment for money damages rendered by a court in the United States be expressed only in U.S. dollars;</w:t>
      </w:r>
    </w:p>
    <w:p>
      <w:pPr>
        <w:spacing w:after="0" w:line="32" w:lineRule="exact"/>
        <w:rPr>
          <w:rFonts w:ascii="Arial" w:cs="Arial" w:eastAsia="Arial" w:hAnsi="Arial"/>
          <w:sz w:val="16"/>
          <w:szCs w:val="16"/>
          <w:color w:val="auto"/>
        </w:rPr>
      </w:pPr>
    </w:p>
    <w:p>
      <w:pPr>
        <w:ind w:left="4" w:right="180" w:hanging="4"/>
        <w:spacing w:after="0" w:line="281" w:lineRule="auto"/>
        <w:tabs>
          <w:tab w:leader="none" w:pos="309" w:val="left"/>
        </w:tabs>
        <w:numPr>
          <w:ilvl w:val="0"/>
          <w:numId w:val="151"/>
        </w:numPr>
        <w:rPr>
          <w:rFonts w:ascii="Arial" w:cs="Arial" w:eastAsia="Arial" w:hAnsi="Arial"/>
          <w:sz w:val="16"/>
          <w:szCs w:val="16"/>
          <w:color w:val="auto"/>
        </w:rPr>
      </w:pPr>
      <w:r>
        <w:rPr>
          <w:rFonts w:ascii="Arial" w:cs="Arial" w:eastAsia="Arial" w:hAnsi="Arial"/>
          <w:sz w:val="16"/>
          <w:szCs w:val="16"/>
          <w:color w:val="auto"/>
        </w:rPr>
        <w:t>requirements that a claim with respect to any debt securities denominated other than in U.S. dollars (or a judgment denominated other than in U.S. dollars in respect of such claim) be converted into U.S. dollars at a rate of exchange prevailing on a date determined pursuant to applicable law; and</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151"/>
        </w:numPr>
        <w:rPr>
          <w:rFonts w:ascii="Arial" w:cs="Arial" w:eastAsia="Arial" w:hAnsi="Arial"/>
          <w:sz w:val="16"/>
          <w:szCs w:val="16"/>
          <w:color w:val="auto"/>
        </w:rPr>
      </w:pPr>
      <w:r>
        <w:rPr>
          <w:rFonts w:ascii="Arial" w:cs="Arial" w:eastAsia="Arial" w:hAnsi="Arial"/>
          <w:sz w:val="16"/>
          <w:szCs w:val="16"/>
          <w:color w:val="auto"/>
        </w:rPr>
        <w:t>governmental authority to limit, delay or prohibit the making of payments outside the United States or in foreign currency or composite currency.</w:t>
      </w:r>
    </w:p>
    <w:p>
      <w:pPr>
        <w:sectPr>
          <w:pgSz w:w="11900" w:h="16838" w:orient="portrait"/>
          <w:cols w:equalWidth="0" w:num="1">
            <w:col w:w="11024"/>
          </w:cols>
          <w:pgMar w:left="436" w:top="274" w:right="4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March 23, 2021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We express no opinion as to the validity, legally binding effect or enforceability of any provision in any agreement or instrument that (i) requires or relates to payment of any interest at a rate or in an amount which a court may determine in the circumstances under applicable law to be commercially unreasonable or a penalty or forfeiture or (ii) relates to governing law and submission by the parties to the jurisdiction of one or more particular courts.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opinions expressed herein are limited to the federal laws of the United States of America and the laws of the State of New York.</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This opinion letter has been prepared for your use solely in connection with the Registration Statement. We assume no obligation to advise you of any changes in the foregoing subsequent to the date of this opinion.</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We hereby consent to the filing of this opinion as an exhibit to the Company’s Current Report on Form 8-K filed with the Commission on March 23, 2021 and to the reference to this firm under the caption “Legal Matters” in the Registration Statement and the Prospectus Supplement. In giving such consent, we do not thereby admit that we are in the category of persons whose consent is required under Section 7 of the Securities Act or the rules and regulations of the Commission thereunder.</w:t>
      </w:r>
    </w:p>
    <w:p>
      <w:pPr>
        <w:spacing w:after="0" w:line="200" w:lineRule="exact"/>
        <w:rPr>
          <w:sz w:val="20"/>
          <w:szCs w:val="20"/>
          <w:color w:val="auto"/>
        </w:rPr>
      </w:pPr>
    </w:p>
    <w:p>
      <w:pPr>
        <w:spacing w:after="0" w:line="23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Dechert LLP</w:t>
      </w:r>
    </w:p>
    <w:p>
      <w:pPr>
        <w:sectPr>
          <w:pgSz w:w="11900" w:h="16838" w:orient="portrait"/>
          <w:cols w:equalWidth="0" w:num="1">
            <w:col w:w="11020"/>
          </w:cols>
          <w:pgMar w:left="440" w:top="274" w:right="4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5332095" cy="5575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33209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23,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38"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Re:</w:t>
            </w:r>
          </w:p>
        </w:tc>
        <w:tc>
          <w:tcPr>
            <w:tcW w:w="2820" w:type="dxa"/>
            <w:vAlign w:val="bottom"/>
            <w:gridSpan w:val="3"/>
          </w:tcPr>
          <w:p>
            <w:pPr>
              <w:ind w:left="140"/>
              <w:spacing w:after="0"/>
              <w:rPr>
                <w:sz w:val="20"/>
                <w:szCs w:val="20"/>
                <w:color w:val="auto"/>
              </w:rPr>
            </w:pPr>
            <w:r>
              <w:rPr>
                <w:rFonts w:ascii="Arial" w:cs="Arial" w:eastAsia="Arial" w:hAnsi="Arial"/>
                <w:sz w:val="18"/>
                <w:szCs w:val="18"/>
                <w:color w:val="auto"/>
                <w:w w:val="90"/>
              </w:rPr>
              <w:t>Registration Statement on Form N-2:</w:t>
            </w:r>
          </w:p>
        </w:tc>
      </w:tr>
      <w:tr>
        <w:trPr>
          <w:trHeight w:val="190"/>
        </w:trPr>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2"/>
          </w:tcPr>
          <w:p>
            <w:pPr>
              <w:spacing w:after="0" w:line="190" w:lineRule="exact"/>
              <w:rPr>
                <w:sz w:val="20"/>
                <w:szCs w:val="20"/>
                <w:color w:val="auto"/>
              </w:rPr>
            </w:pPr>
            <w:r>
              <w:rPr>
                <w:rFonts w:ascii="Arial" w:cs="Arial" w:eastAsia="Arial" w:hAnsi="Arial"/>
                <w:sz w:val="18"/>
                <w:szCs w:val="18"/>
                <w:color w:val="auto"/>
              </w:rPr>
              <w:t>File No.: 333-235532</w:t>
            </w:r>
          </w:p>
        </w:tc>
      </w:tr>
      <w:tr>
        <w:trPr>
          <w:trHeight w:val="20"/>
        </w:trPr>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0" w:firstLine="440"/>
        <w:spacing w:after="0" w:line="296" w:lineRule="auto"/>
        <w:rPr>
          <w:sz w:val="20"/>
          <w:szCs w:val="20"/>
          <w:color w:val="auto"/>
        </w:rPr>
      </w:pPr>
      <w:r>
        <w:rPr>
          <w:rFonts w:ascii="Arial" w:cs="Arial" w:eastAsia="Arial" w:hAnsi="Arial"/>
          <w:sz w:val="16"/>
          <w:szCs w:val="16"/>
          <w:color w:val="auto"/>
        </w:rPr>
        <w:t>We have served as Maryland counsel to PennantPark Floating Rate Capital Ltd., a Maryland corporation (the “Company”) and a business development company under the Investment Company Act of 1940, as amended (the “1940 Act”), in connection with certain matters of Maryland law arising out of the registration by the Company of up to $100,000,000 aggregate principal amount of the Company’s 4.25% Notes due 2026 (the “Notes”), covered by the above-referenced Registration Statement, and all amendments thereto (the “Registration Statement”), filed by the Company with the United States Securities and Exchange Commission (the “Commission”) under the Securities Act of 1933, as amended (the “1933 Act”).</w:t>
      </w:r>
    </w:p>
    <w:p>
      <w:pPr>
        <w:spacing w:after="0" w:line="161" w:lineRule="exact"/>
        <w:rPr>
          <w:sz w:val="20"/>
          <w:szCs w:val="20"/>
          <w:color w:val="auto"/>
        </w:rPr>
      </w:pPr>
    </w:p>
    <w:p>
      <w:pPr>
        <w:ind w:right="200" w:firstLine="440"/>
        <w:spacing w:after="0" w:line="308" w:lineRule="auto"/>
        <w:rPr>
          <w:sz w:val="20"/>
          <w:szCs w:val="20"/>
          <w:color w:val="auto"/>
        </w:rPr>
      </w:pPr>
      <w:r>
        <w:rPr>
          <w:rFonts w:ascii="Arial" w:cs="Arial" w:eastAsia="Arial" w:hAnsi="Arial"/>
          <w:sz w:val="17"/>
          <w:szCs w:val="17"/>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146" w:lineRule="exact"/>
        <w:rPr>
          <w:sz w:val="20"/>
          <w:szCs w:val="20"/>
          <w:color w:val="auto"/>
        </w:rPr>
      </w:pPr>
    </w:p>
    <w:p>
      <w:pPr>
        <w:ind w:right="420" w:firstLine="436"/>
        <w:spacing w:after="0" w:line="277" w:lineRule="auto"/>
        <w:tabs>
          <w:tab w:leader="none" w:pos="6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Registration Statement and the related form of prospectus included therein, substantially in the form in which it was transmitted to the Commission under the 1933 Act;</w:t>
      </w:r>
    </w:p>
    <w:p>
      <w:pPr>
        <w:spacing w:after="0" w:line="170" w:lineRule="exact"/>
        <w:rPr>
          <w:rFonts w:ascii="Arial" w:cs="Arial" w:eastAsia="Arial" w:hAnsi="Arial"/>
          <w:sz w:val="18"/>
          <w:szCs w:val="18"/>
          <w:color w:val="auto"/>
        </w:rPr>
      </w:pPr>
    </w:p>
    <w:p>
      <w:pPr>
        <w:ind w:right="160" w:firstLine="436"/>
        <w:spacing w:after="0" w:line="277" w:lineRule="auto"/>
        <w:tabs>
          <w:tab w:leader="none" w:pos="6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Prospectus Supplement, dated March 18, 2021, in the form filed by the Company with the Commission pursuant to Rule 424(b) under the 1933 Act;</w:t>
      </w:r>
    </w:p>
    <w:p>
      <w:pPr>
        <w:spacing w:after="0" w:line="170" w:lineRule="exact"/>
        <w:rPr>
          <w:rFonts w:ascii="Arial" w:cs="Arial" w:eastAsia="Arial" w:hAnsi="Arial"/>
          <w:sz w:val="18"/>
          <w:szCs w:val="18"/>
          <w:color w:val="auto"/>
        </w:rPr>
      </w:pPr>
    </w:p>
    <w:p>
      <w:pPr>
        <w:ind w:left="620" w:hanging="184"/>
        <w:spacing w:after="0"/>
        <w:tabs>
          <w:tab w:leader="none" w:pos="6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charter of the Company, certified by the State Department of Assessments and Taxation of Maryland (the “SDAT”);</w:t>
      </w:r>
    </w:p>
    <w:p>
      <w:pPr>
        <w:spacing w:after="0" w:line="225" w:lineRule="exact"/>
        <w:rPr>
          <w:rFonts w:ascii="Arial" w:cs="Arial" w:eastAsia="Arial" w:hAnsi="Arial"/>
          <w:sz w:val="18"/>
          <w:szCs w:val="18"/>
          <w:color w:val="auto"/>
        </w:rPr>
      </w:pPr>
    </w:p>
    <w:p>
      <w:pPr>
        <w:ind w:left="620" w:hanging="184"/>
        <w:spacing w:after="0"/>
        <w:tabs>
          <w:tab w:leader="none" w:pos="6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Bylaws of the Company, certified as of the date hereof by an officer of the Company;</w:t>
      </w:r>
    </w:p>
    <w:p>
      <w:pPr>
        <w:spacing w:after="0" w:line="225" w:lineRule="exact"/>
        <w:rPr>
          <w:rFonts w:ascii="Arial" w:cs="Arial" w:eastAsia="Arial" w:hAnsi="Arial"/>
          <w:sz w:val="18"/>
          <w:szCs w:val="18"/>
          <w:color w:val="auto"/>
        </w:rPr>
      </w:pPr>
    </w:p>
    <w:p>
      <w:pPr>
        <w:ind w:left="620" w:hanging="184"/>
        <w:spacing w:after="0"/>
        <w:tabs>
          <w:tab w:leader="none" w:pos="6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certificate of the SDAT as to the good standing of the Company, dated as of a recent date;</w:t>
      </w:r>
    </w:p>
    <w:p>
      <w:pPr>
        <w:sectPr>
          <w:pgSz w:w="11900" w:h="16838" w:orient="portrait"/>
          <w:cols w:equalWidth="0" w:num="1">
            <w:col w:w="11020"/>
          </w:cols>
          <w:pgMar w:left="440" w:top="121" w:right="4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7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677545"/>
                    </a:xfrm>
                    <a:prstGeom prst="rect">
                      <a:avLst/>
                    </a:prstGeom>
                    <a:noFill/>
                  </pic:spPr>
                </pic:pic>
              </a:graphicData>
            </a:graphic>
          </wp:anchor>
        </w:drawing>
        <w:t>PennantPark Floating Rate Capital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260" w:firstLine="436"/>
        <w:spacing w:after="0" w:line="263" w:lineRule="auto"/>
        <w:tabs>
          <w:tab w:leader="none" w:pos="6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Resolutions (the “Resolutions”) adopted by the Board of Directors of the Company, and a duly authorized committee thereof, relating to the authorization of the filing of the Registration Statement and the sale and issuance of the Notes, certified as of the date hereof by an officer of the Company;</w:t>
      </w:r>
    </w:p>
    <w:p>
      <w:pPr>
        <w:spacing w:after="0" w:line="183" w:lineRule="exact"/>
        <w:rPr>
          <w:rFonts w:ascii="Arial" w:cs="Arial" w:eastAsia="Arial" w:hAnsi="Arial"/>
          <w:sz w:val="18"/>
          <w:szCs w:val="18"/>
          <w:color w:val="auto"/>
        </w:rPr>
      </w:pPr>
    </w:p>
    <w:p>
      <w:pPr>
        <w:ind w:left="620" w:hanging="184"/>
        <w:spacing w:after="0"/>
        <w:tabs>
          <w:tab w:leader="none" w:pos="6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certificate executed by an officer of the Company, dated as of the date hereof; and</w:t>
      </w:r>
    </w:p>
    <w:p>
      <w:pPr>
        <w:spacing w:after="0" w:line="225" w:lineRule="exact"/>
        <w:rPr>
          <w:rFonts w:ascii="Arial" w:cs="Arial" w:eastAsia="Arial" w:hAnsi="Arial"/>
          <w:sz w:val="18"/>
          <w:szCs w:val="18"/>
          <w:color w:val="auto"/>
        </w:rPr>
      </w:pPr>
    </w:p>
    <w:p>
      <w:pPr>
        <w:ind w:right="820" w:firstLine="436"/>
        <w:spacing w:after="0" w:line="277" w:lineRule="auto"/>
        <w:tabs>
          <w:tab w:leader="none" w:pos="6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or appropriate to express the opinion set forth below, subject to the assumptions, limitations and qualifications stated herein.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expressing the opinion set forth below, we have assumed the following:</w:t>
      </w:r>
    </w:p>
    <w:p>
      <w:pPr>
        <w:spacing w:after="0" w:line="225" w:lineRule="exact"/>
        <w:rPr>
          <w:sz w:val="20"/>
          <w:szCs w:val="20"/>
          <w:color w:val="auto"/>
        </w:rPr>
      </w:pPr>
    </w:p>
    <w:p>
      <w:pPr>
        <w:ind w:left="620" w:hanging="184"/>
        <w:spacing w:after="0"/>
        <w:tabs>
          <w:tab w:leader="none" w:pos="62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Each individual executing any of the Documents, whether on behalf of such individual or any other person, is legally competent to do so.</w:t>
      </w:r>
    </w:p>
    <w:p>
      <w:pPr>
        <w:spacing w:after="0" w:line="236" w:lineRule="exact"/>
        <w:rPr>
          <w:rFonts w:ascii="Arial" w:cs="Arial" w:eastAsia="Arial" w:hAnsi="Arial"/>
          <w:sz w:val="17"/>
          <w:szCs w:val="17"/>
          <w:color w:val="auto"/>
        </w:rPr>
      </w:pPr>
    </w:p>
    <w:p>
      <w:pPr>
        <w:ind w:left="620" w:hanging="184"/>
        <w:spacing w:after="0"/>
        <w:tabs>
          <w:tab w:leader="none" w:pos="6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Each individual executing any of the Documents on behalf of a party (other than the Company) is duly authorized to do so.</w:t>
      </w:r>
    </w:p>
    <w:p>
      <w:pPr>
        <w:spacing w:after="0" w:line="225" w:lineRule="exact"/>
        <w:rPr>
          <w:rFonts w:ascii="Arial" w:cs="Arial" w:eastAsia="Arial" w:hAnsi="Arial"/>
          <w:sz w:val="18"/>
          <w:szCs w:val="18"/>
          <w:color w:val="auto"/>
        </w:rPr>
      </w:pPr>
    </w:p>
    <w:p>
      <w:pPr>
        <w:ind w:right="680" w:firstLine="436"/>
        <w:spacing w:after="0" w:line="263" w:lineRule="auto"/>
        <w:tabs>
          <w:tab w:leader="none" w:pos="6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183" w:lineRule="exact"/>
        <w:rPr>
          <w:rFonts w:ascii="Arial" w:cs="Arial" w:eastAsia="Arial" w:hAnsi="Arial"/>
          <w:sz w:val="18"/>
          <w:szCs w:val="18"/>
          <w:color w:val="auto"/>
        </w:rPr>
      </w:pPr>
    </w:p>
    <w:p>
      <w:pPr>
        <w:ind w:firstLine="436"/>
        <w:spacing w:after="0" w:line="273" w:lineRule="auto"/>
        <w:tabs>
          <w:tab w:leader="none" w:pos="62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such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the foregoing, and subject to the assumptions, limitations and qualifications stated herein, it is our opinion that:</w:t>
      </w:r>
    </w:p>
    <w:p>
      <w:pPr>
        <w:spacing w:after="0" w:line="225" w:lineRule="exact"/>
        <w:rPr>
          <w:sz w:val="20"/>
          <w:szCs w:val="20"/>
          <w:color w:val="auto"/>
        </w:rPr>
      </w:pPr>
    </w:p>
    <w:p>
      <w:pPr>
        <w:ind w:right="100" w:firstLine="436"/>
        <w:spacing w:after="0" w:line="277" w:lineRule="auto"/>
        <w:tabs>
          <w:tab w:leader="none" w:pos="6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Company is a corporation duly incorporated and existing under and by virtue of the laws of the State of Maryland and is in good standing with the SDAT.</w:t>
      </w:r>
    </w:p>
    <w:p>
      <w:pPr>
        <w:sectPr>
          <w:pgSz w:w="11900" w:h="16838" w:orient="portrait"/>
          <w:cols w:equalWidth="0" w:num="1">
            <w:col w:w="10940"/>
          </w:cols>
          <w:pgMar w:left="440" w:top="1192" w:right="51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7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677545"/>
                    </a:xfrm>
                    <a:prstGeom prst="rect">
                      <a:avLst/>
                    </a:prstGeom>
                    <a:noFill/>
                  </pic:spPr>
                </pic:pic>
              </a:graphicData>
            </a:graphic>
          </wp:anchor>
        </w:drawing>
        <w:t>PennantPark Floating Rate Capital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340" w:firstLine="436"/>
        <w:spacing w:after="0" w:line="277" w:lineRule="auto"/>
        <w:tabs>
          <w:tab w:leader="none" w:pos="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issuance of the Notes has been duly authorized and, when and if issued and delivered against payment therefor in accordance with the Resolutions, the Notes will be validly issued.</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foregoing opinion is limited to the laws of the State of Maryland and we do not express any opinion herein concerning any other law. We express no opinion as to compliance with the 1940 Act or other federal securities laws, or state securities laws, including the securities laws of the State of Maryland. To the extent that any matter as to which our opinion is expressed herein would be governed by the laws of any jurisdiction other than the State of Maryland, we do not express any opinion on such matter.</w:t>
      </w:r>
    </w:p>
    <w:p>
      <w:pPr>
        <w:spacing w:after="0" w:line="18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84"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This opinion is being furnished to you for submission to the Commission as an exhibit to the Company’s Current Report on Form 8-K relating to the issuance of the Notes (the “Current Report”), which is incorporated by reference in the Registration Statement. We hereby consent to the filing of this opinion as an exhibit to the Current Report and the said incorporation by reference and to the use of the name of our firm therein. In giving this consent, we do not admit that we are within the category of persons whose consent is required by Section 7 of the 1933 Act.</w:t>
      </w:r>
    </w:p>
    <w:p>
      <w:pPr>
        <w:spacing w:after="0" w:line="157"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Venable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119117/413023</w:t>
      </w:r>
    </w:p>
    <w:sectPr>
      <w:pgSz w:w="11900" w:h="16838" w:orient="portrait"/>
      <w:cols w:equalWidth="0" w:num="1">
        <w:col w:w="10920"/>
      </w:cols>
      <w:pgMar w:left="440" w:top="1192"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abstractNum>
  <w:abstractNum w:abstractNumId="1">
    <w:nsid w:val="1A32234B"/>
    <w:multiLevelType w:val="hybridMultilevel"/>
    <w:lvl w:ilvl="0">
      <w:lvlJc w:val="left"/>
      <w:lvlText w:val="%1"/>
      <w:numFmt w:val="lowerLetter"/>
      <w:start w:val="1"/>
    </w:lvl>
    <w:lvl w:ilvl="1">
      <w:lvlJc w:val="left"/>
      <w:lvlText w:val="(%2)"/>
      <w:numFmt w:val="lowerLetter"/>
      <w:start w:val="1"/>
    </w:lvl>
  </w:abstractNum>
  <w:abstractNum w:abstractNumId="2">
    <w:nsid w:val="3B0FD379"/>
    <w:multiLevelType w:val="hybridMultilevel"/>
    <w:lvl w:ilvl="0">
      <w:lvlJc w:val="left"/>
      <w:lvlText w:val="(%1)"/>
      <w:numFmt w:val="lowerLetter"/>
      <w:start w:val="9"/>
    </w:lvl>
    <w:lvl w:ilvl="1">
      <w:lvlJc w:val="left"/>
      <w:lvlText w:val="%2"/>
      <w:numFmt w:val="lowerLetter"/>
      <w:start w:val="1"/>
    </w:lvl>
  </w:abstractNum>
  <w:abstractNum w:abstractNumId="3">
    <w:nsid w:val="68EB2F63"/>
    <w:multiLevelType w:val="hybridMultilevel"/>
    <w:lvl w:ilvl="0">
      <w:lvlJc w:val="left"/>
      <w:lvlText w:val="(%1)"/>
      <w:numFmt w:val="lowerRoman"/>
      <w:start w:val="2"/>
    </w:lvl>
  </w:abstractNum>
  <w:abstractNum w:abstractNumId="4">
    <w:nsid w:val="4962813B"/>
    <w:multiLevelType w:val="hybridMultilevel"/>
    <w:lvl w:ilvl="0">
      <w:lvlJc w:val="left"/>
      <w:lvlText w:val="(%1)"/>
      <w:numFmt w:val="lowerRoman"/>
      <w:start w:val="2"/>
    </w:lvl>
  </w:abstractNum>
  <w:abstractNum w:abstractNumId="5">
    <w:nsid w:val="60B6DF70"/>
    <w:multiLevelType w:val="hybridMultilevel"/>
    <w:lvl w:ilvl="0">
      <w:lvlJc w:val="left"/>
      <w:lvlText w:val="(%1)"/>
      <w:numFmt w:val="lowerRoman"/>
      <w:start w:val="5"/>
    </w:lvl>
  </w:abstractNum>
  <w:abstractNum w:abstractNumId="6">
    <w:nsid w:val="6A5EE64"/>
    <w:multiLevelType w:val="hybridMultilevel"/>
    <w:lvl w:ilvl="0">
      <w:lvlJc w:val="left"/>
      <w:lvlText w:val="(%1)"/>
      <w:numFmt w:val="lowerRoman"/>
      <w:start w:val="3"/>
    </w:lvl>
  </w:abstractNum>
  <w:abstractNum w:abstractNumId="7">
    <w:nsid w:val="14330624"/>
    <w:multiLevelType w:val="hybridMultilevel"/>
    <w:lvl w:ilvl="0">
      <w:lvlJc w:val="left"/>
      <w:lvlText w:val="(%1)"/>
      <w:numFmt w:val="lowerRoman"/>
      <w:start w:val="5"/>
    </w:lvl>
  </w:abstractNum>
  <w:abstractNum w:abstractNumId="8">
    <w:nsid w:val="7FFFCA11"/>
    <w:multiLevelType w:val="hybridMultilevel"/>
    <w:lvl w:ilvl="0">
      <w:lvlJc w:val="left"/>
      <w:lvlText w:val="(%1)"/>
      <w:numFmt w:val="lowerRoman"/>
      <w:start w:val="3"/>
    </w:lvl>
  </w:abstractNum>
  <w:abstractNum w:abstractNumId="9">
    <w:nsid w:val="1A27709E"/>
    <w:multiLevelType w:val="hybridMultilevel"/>
    <w:lvl w:ilvl="0">
      <w:lvlJc w:val="left"/>
      <w:lvlText w:val="(%1)"/>
      <w:numFmt w:val="lowerRoman"/>
      <w:start w:val="6"/>
    </w:lvl>
  </w:abstractNum>
  <w:abstractNum w:abstractNumId="10">
    <w:nsid w:val="71EA1109"/>
    <w:multiLevelType w:val="hybridMultilevel"/>
    <w:lvl w:ilvl="0">
      <w:lvlJc w:val="left"/>
      <w:lvlText w:val="(%1)"/>
      <w:numFmt w:val="lowerRoman"/>
      <w:start w:val="10"/>
    </w:lvl>
  </w:abstractNum>
  <w:abstractNum w:abstractNumId="11">
    <w:nsid w:val="100F59DC"/>
    <w:multiLevelType w:val="hybridMultilevel"/>
    <w:lvl w:ilvl="0">
      <w:lvlJc w:val="left"/>
      <w:lvlText w:val="(%1)"/>
      <w:numFmt w:val="lowerRoman"/>
      <w:start w:val="13"/>
    </w:lvl>
    <w:lvl w:ilvl="1">
      <w:lvlJc w:val="left"/>
      <w:lvlText w:val="(%2)"/>
      <w:numFmt w:val="lowerLetter"/>
      <w:start w:val="1"/>
    </w:lvl>
  </w:abstractNum>
  <w:abstractNum w:abstractNumId="12">
    <w:nsid w:val="7FB7E0AA"/>
    <w:multiLevelType w:val="hybridMultilevel"/>
    <w:lvl w:ilvl="0">
      <w:lvlJc w:val="left"/>
      <w:lvlText w:val="(%1)"/>
      <w:numFmt w:val="lowerRoman"/>
      <w:start w:val="15"/>
    </w:lvl>
  </w:abstractNum>
  <w:abstractNum w:abstractNumId="13">
    <w:nsid w:val="6EB5BD4"/>
    <w:multiLevelType w:val="hybridMultilevel"/>
    <w:lvl w:ilvl="0">
      <w:lvlJc w:val="left"/>
      <w:lvlText w:val="(%1)"/>
      <w:numFmt w:val="lowerRoman"/>
      <w:start w:val="19"/>
    </w:lvl>
  </w:abstractNum>
  <w:abstractNum w:abstractNumId="14">
    <w:nsid w:val="6F6DD9AC"/>
    <w:multiLevelType w:val="hybridMultilevel"/>
    <w:lvl w:ilvl="0">
      <w:lvlJc w:val="left"/>
      <w:lvlText w:val="(%1)"/>
      <w:numFmt w:val="lowerRoman"/>
      <w:start w:val="23"/>
    </w:lvl>
  </w:abstractNum>
  <w:abstractNum w:abstractNumId="15">
    <w:nsid w:val="94211F2"/>
    <w:multiLevelType w:val="hybridMultilevel"/>
    <w:lvl w:ilvl="0">
      <w:lvlJc w:val="left"/>
      <w:lvlText w:val="(%1)"/>
      <w:numFmt w:val="lowerRoman"/>
      <w:start w:val="26"/>
    </w:lvl>
  </w:abstractNum>
  <w:abstractNum w:abstractNumId="16">
    <w:nsid w:val="885E1B"/>
    <w:multiLevelType w:val="hybridMultilevel"/>
    <w:lvl w:ilvl="0">
      <w:lvlJc w:val="left"/>
      <w:lvlText w:val="(%1)"/>
      <w:numFmt w:val="lowerRoman"/>
      <w:start w:val="30"/>
    </w:lvl>
  </w:abstractNum>
  <w:abstractNum w:abstractNumId="17">
    <w:nsid w:val="76272110"/>
    <w:multiLevelType w:val="hybridMultilevel"/>
    <w:lvl w:ilvl="0">
      <w:lvlJc w:val="left"/>
      <w:lvlText w:val="(%1)"/>
      <w:numFmt w:val="lowerRoman"/>
      <w:start w:val="1"/>
    </w:lvl>
  </w:abstractNum>
  <w:abstractNum w:abstractNumId="18">
    <w:nsid w:val="4C04A8AF"/>
    <w:multiLevelType w:val="hybridMultilevel"/>
    <w:lvl w:ilvl="0">
      <w:lvlJc w:val="left"/>
      <w:lvlText w:val="(%1)"/>
      <w:numFmt w:val="lowerRoman"/>
      <w:start w:val="33"/>
    </w:lvl>
  </w:abstractNum>
  <w:abstractNum w:abstractNumId="19">
    <w:nsid w:val="1716703B"/>
    <w:multiLevelType w:val="hybridMultilevel"/>
    <w:lvl w:ilvl="0">
      <w:lvlJc w:val="left"/>
      <w:lvlText w:val="(%1)"/>
      <w:numFmt w:val="lowerRoman"/>
      <w:start w:val="36"/>
    </w:lvl>
  </w:abstractNum>
  <w:abstractNum w:abstractNumId="20">
    <w:nsid w:val="14E17E33"/>
    <w:multiLevelType w:val="hybridMultilevel"/>
    <w:lvl w:ilvl="0">
      <w:lvlJc w:val="left"/>
      <w:lvlText w:val="(%1)"/>
      <w:numFmt w:val="lowerLetter"/>
      <w:start w:val="2"/>
    </w:lvl>
  </w:abstractNum>
  <w:abstractNum w:abstractNumId="21">
    <w:nsid w:val="3222E7CD"/>
    <w:multiLevelType w:val="hybridMultilevel"/>
    <w:lvl w:ilvl="0">
      <w:lvlJc w:val="left"/>
      <w:lvlText w:val="(%1)"/>
      <w:numFmt w:val="lowerRoman"/>
      <w:start w:val="1"/>
    </w:lvl>
  </w:abstractNum>
  <w:abstractNum w:abstractNumId="22">
    <w:nsid w:val="74DE0EE3"/>
    <w:multiLevelType w:val="hybridMultilevel"/>
    <w:lvl w:ilvl="0">
      <w:lvlJc w:val="left"/>
      <w:lvlText w:val="(%1)"/>
      <w:numFmt w:val="lowerRoman"/>
      <w:start w:val="4"/>
    </w:lvl>
  </w:abstractNum>
  <w:abstractNum w:abstractNumId="23">
    <w:nsid w:val="68EBC550"/>
    <w:multiLevelType w:val="hybridMultilevel"/>
    <w:lvl w:ilvl="0">
      <w:lvlJc w:val="left"/>
      <w:lvlText w:val="(%1)"/>
      <w:numFmt w:val="lowerRoman"/>
      <w:start w:val="7"/>
    </w:lvl>
  </w:abstractNum>
  <w:abstractNum w:abstractNumId="24">
    <w:nsid w:val="2DF6D648"/>
    <w:multiLevelType w:val="hybridMultilevel"/>
    <w:lvl w:ilvl="0">
      <w:lvlJc w:val="left"/>
      <w:lvlText w:val="(%1)"/>
      <w:numFmt w:val="lowerRoman"/>
      <w:start w:val="12"/>
    </w:lvl>
  </w:abstractNum>
  <w:abstractNum w:abstractNumId="25">
    <w:nsid w:val="46B7D447"/>
    <w:multiLevelType w:val="hybridMultilevel"/>
    <w:lvl w:ilvl="0">
      <w:lvlJc w:val="left"/>
      <w:lvlText w:val="(%1)"/>
      <w:numFmt w:val="lowerRoman"/>
      <w:start w:val="2"/>
    </w:lvl>
  </w:abstractNum>
  <w:abstractNum w:abstractNumId="26">
    <w:nsid w:val="4A2AC315"/>
    <w:multiLevelType w:val="hybridMultilevel"/>
    <w:lvl w:ilvl="0">
      <w:lvlJc w:val="left"/>
      <w:lvlText w:val="(%1)"/>
      <w:numFmt w:val="lowerRoman"/>
      <w:start w:val="16"/>
    </w:lvl>
  </w:abstractNum>
  <w:abstractNum w:abstractNumId="27">
    <w:nsid w:val="39EE015C"/>
    <w:multiLevelType w:val="hybridMultilevel"/>
    <w:lvl w:ilvl="0">
      <w:lvlJc w:val="left"/>
      <w:lvlText w:val="(%1)"/>
      <w:numFmt w:val="lowerRoman"/>
      <w:start w:val="17"/>
    </w:lvl>
  </w:abstractNum>
  <w:abstractNum w:abstractNumId="28">
    <w:nsid w:val="57FC4FBB"/>
    <w:multiLevelType w:val="hybridMultilevel"/>
    <w:lvl w:ilvl="0">
      <w:lvlJc w:val="left"/>
      <w:lvlText w:val="(%1)"/>
      <w:numFmt w:val="upperLetter"/>
      <w:start w:val="1"/>
    </w:lvl>
  </w:abstractNum>
  <w:abstractNum w:abstractNumId="29">
    <w:nsid w:val="CC1016F"/>
    <w:multiLevelType w:val="hybridMultilevel"/>
    <w:lvl w:ilvl="0">
      <w:lvlJc w:val="left"/>
      <w:lvlText w:val="(%1)"/>
      <w:numFmt w:val="lowerRoman"/>
      <w:start w:val="19"/>
    </w:lvl>
  </w:abstractNum>
  <w:abstractNum w:abstractNumId="30">
    <w:nsid w:val="43F18422"/>
    <w:multiLevelType w:val="hybridMultilevel"/>
    <w:lvl w:ilvl="0">
      <w:lvlJc w:val="left"/>
      <w:lvlText w:val="(%1)"/>
      <w:numFmt w:val="lowerLetter"/>
      <w:start w:val="3"/>
    </w:lvl>
  </w:abstractNum>
  <w:abstractNum w:abstractNumId="31">
    <w:nsid w:val="60EF0119"/>
    <w:multiLevelType w:val="hybridMultilevel"/>
    <w:lvl w:ilvl="0">
      <w:lvlJc w:val="left"/>
      <w:lvlText w:val="(%1)"/>
      <w:numFmt w:val="lowerLetter"/>
      <w:start w:val="1"/>
    </w:lvl>
  </w:abstractNum>
  <w:abstractNum w:abstractNumId="32">
    <w:nsid w:val="26F324BA"/>
    <w:multiLevelType w:val="hybridMultilevel"/>
    <w:lvl w:ilvl="0">
      <w:lvlJc w:val="left"/>
      <w:lvlText w:val="(%1)"/>
      <w:numFmt w:val="lowerLetter"/>
      <w:start w:val="3"/>
    </w:lvl>
  </w:abstractNum>
  <w:abstractNum w:abstractNumId="33">
    <w:nsid w:val="7F01579B"/>
    <w:multiLevelType w:val="hybridMultilevel"/>
    <w:lvl w:ilvl="0">
      <w:lvlJc w:val="left"/>
      <w:lvlText w:val="(%1)"/>
      <w:numFmt w:val="lowerLetter"/>
      <w:start w:val="1"/>
    </w:lvl>
  </w:abstractNum>
  <w:abstractNum w:abstractNumId="34">
    <w:nsid w:val="49DA307D"/>
    <w:multiLevelType w:val="hybridMultilevel"/>
    <w:lvl w:ilvl="0">
      <w:lvlJc w:val="left"/>
      <w:lvlText w:val="(%1)"/>
      <w:numFmt w:val="lowerLetter"/>
      <w:start w:val="35"/>
    </w:lvl>
  </w:abstractNum>
  <w:abstractNum w:abstractNumId="35">
    <w:nsid w:val="7055A5F5"/>
    <w:multiLevelType w:val="hybridMultilevel"/>
    <w:lvl w:ilvl="0">
      <w:lvlJc w:val="left"/>
      <w:lvlText w:val="(%1)"/>
      <w:numFmt w:val="lowerLetter"/>
      <w:start w:val="2"/>
    </w:lvl>
  </w:abstractNum>
  <w:abstractNum w:abstractNumId="36">
    <w:nsid w:val="5FB8370B"/>
    <w:multiLevelType w:val="hybridMultilevel"/>
    <w:lvl w:ilvl="0">
      <w:lvlJc w:val="left"/>
      <w:lvlText w:val="(%1)"/>
      <w:numFmt w:val="upperLetter"/>
      <w:start w:val="3"/>
    </w:lvl>
  </w:abstractNum>
  <w:abstractNum w:abstractNumId="37">
    <w:nsid w:val="50801EE1"/>
    <w:multiLevelType w:val="hybridMultilevel"/>
    <w:lvl w:ilvl="0">
      <w:lvlJc w:val="left"/>
      <w:lvlText w:val="(%1)"/>
      <w:numFmt w:val="lowerLetter"/>
      <w:start w:val="3"/>
    </w:lvl>
  </w:abstractNum>
  <w:abstractNum w:abstractNumId="38">
    <w:nsid w:val="488AC1A"/>
    <w:multiLevelType w:val="hybridMultilevel"/>
    <w:lvl w:ilvl="0">
      <w:lvlJc w:val="left"/>
      <w:lvlText w:val="(%1)"/>
      <w:numFmt w:val="lowerLetter"/>
      <w:start w:val="6"/>
    </w:lvl>
    <w:lvl w:ilvl="1">
      <w:lvlJc w:val="left"/>
      <w:lvlText w:val="(%2)"/>
      <w:numFmt w:val="lowerLetter"/>
      <w:start w:val="9"/>
    </w:lvl>
  </w:abstractNum>
  <w:abstractNum w:abstractNumId="39">
    <w:nsid w:val="5FB8011C"/>
    <w:multiLevelType w:val="hybridMultilevel"/>
    <w:lvl w:ilvl="0">
      <w:lvlJc w:val="left"/>
      <w:lvlText w:val="(%1)"/>
      <w:numFmt w:val="lowerLetter"/>
      <w:start w:val="10"/>
    </w:lvl>
  </w:abstractNum>
  <w:abstractNum w:abstractNumId="40">
    <w:nsid w:val="6AA78F7F"/>
    <w:multiLevelType w:val="hybridMultilevel"/>
    <w:lvl w:ilvl="0">
      <w:lvlJc w:val="left"/>
      <w:lvlText w:val="(%1)"/>
      <w:numFmt w:val="lowerLetter"/>
      <w:start w:val="11"/>
    </w:lvl>
  </w:abstractNum>
  <w:abstractNum w:abstractNumId="41">
    <w:nsid w:val="7672BD23"/>
    <w:multiLevelType w:val="hybridMultilevel"/>
    <w:lvl w:ilvl="0">
      <w:lvlJc w:val="left"/>
      <w:lvlText w:val="(%1)"/>
      <w:numFmt w:val="lowerLetter"/>
      <w:start w:val="17"/>
    </w:lvl>
  </w:abstractNum>
  <w:abstractNum w:abstractNumId="42">
    <w:nsid w:val="6FC75AF8"/>
    <w:multiLevelType w:val="hybridMultilevel"/>
    <w:lvl w:ilvl="0">
      <w:lvlJc w:val="left"/>
      <w:lvlText w:val="(%1)"/>
      <w:numFmt w:val="lowerRoman"/>
      <w:start w:val="1"/>
    </w:lvl>
  </w:abstractNum>
  <w:abstractNum w:abstractNumId="43">
    <w:nsid w:val="6A5F7029"/>
    <w:multiLevelType w:val="hybridMultilevel"/>
    <w:lvl w:ilvl="0">
      <w:lvlJc w:val="left"/>
      <w:lvlText w:val="(%1)"/>
      <w:numFmt w:val="lowerLetter"/>
      <w:start w:val="2"/>
    </w:lvl>
  </w:abstractNum>
  <w:abstractNum w:abstractNumId="44">
    <w:nsid w:val="7D5E18F8"/>
    <w:multiLevelType w:val="hybridMultilevel"/>
    <w:lvl w:ilvl="0">
      <w:lvlJc w:val="left"/>
      <w:lvlText w:val="(%1)"/>
      <w:numFmt w:val="lowerLetter"/>
      <w:start w:val="61"/>
    </w:lvl>
  </w:abstractNum>
  <w:abstractNum w:abstractNumId="45">
    <w:nsid w:val="5F3534A4"/>
    <w:multiLevelType w:val="hybridMultilevel"/>
    <w:lvl w:ilvl="0">
      <w:lvlJc w:val="left"/>
      <w:lvlText w:val="(%1)"/>
      <w:numFmt w:val="lowerLetter"/>
      <w:start w:val="1"/>
    </w:lvl>
  </w:abstractNum>
  <w:abstractNum w:abstractNumId="46">
    <w:nsid w:val="73A1821B"/>
    <w:multiLevelType w:val="hybridMultilevel"/>
    <w:lvl w:ilvl="0">
      <w:lvlJc w:val="left"/>
      <w:lvlText w:val="(%1)"/>
      <w:numFmt w:val="lowerRoman"/>
      <w:start w:val="1"/>
    </w:lvl>
  </w:abstractNum>
  <w:abstractNum w:abstractNumId="47">
    <w:nsid w:val="7DE67713"/>
    <w:multiLevelType w:val="hybridMultilevel"/>
    <w:lvl w:ilvl="0">
      <w:lvlJc w:val="left"/>
      <w:lvlText w:val="(%1)"/>
      <w:numFmt w:val="upperLetter"/>
      <w:start w:val="4"/>
    </w:lvl>
  </w:abstractNum>
  <w:abstractNum w:abstractNumId="48">
    <w:nsid w:val="555C55B5"/>
    <w:multiLevelType w:val="hybridMultilevel"/>
    <w:lvl w:ilvl="0">
      <w:lvlJc w:val="left"/>
      <w:lvlText w:val="(%1)"/>
      <w:numFmt w:val="lowerRoman"/>
      <w:start w:val="2"/>
    </w:lvl>
  </w:abstractNum>
  <w:abstractNum w:abstractNumId="49">
    <w:nsid w:val="3FA62ACA"/>
    <w:multiLevelType w:val="hybridMultilevel"/>
    <w:lvl w:ilvl="0">
      <w:lvlJc w:val="left"/>
      <w:lvlText w:val="(%1)"/>
      <w:numFmt w:val="lowerLetter"/>
      <w:start w:val="5"/>
    </w:lvl>
  </w:abstractNum>
  <w:abstractNum w:abstractNumId="50">
    <w:nsid w:val="14FCE74E"/>
    <w:multiLevelType w:val="hybridMultilevel"/>
    <w:lvl w:ilvl="0">
      <w:lvlJc w:val="left"/>
      <w:lvlText w:val="(%1)"/>
      <w:numFmt w:val="lowerLetter"/>
      <w:start w:val="10"/>
    </w:lvl>
  </w:abstractNum>
  <w:abstractNum w:abstractNumId="51">
    <w:nsid w:val="6A3DD3E8"/>
    <w:multiLevelType w:val="hybridMultilevel"/>
    <w:lvl w:ilvl="0">
      <w:lvlJc w:val="left"/>
      <w:lvlText w:val="(%1)"/>
      <w:numFmt w:val="lowerLetter"/>
      <w:start w:val="1"/>
    </w:lvl>
  </w:abstractNum>
  <w:abstractNum w:abstractNumId="52">
    <w:nsid w:val="71C91298"/>
    <w:multiLevelType w:val="hybridMultilevel"/>
    <w:lvl w:ilvl="0">
      <w:lvlJc w:val="left"/>
      <w:lvlText w:val="(%1)"/>
      <w:numFmt w:val="lowerRoman"/>
      <w:start w:val="1"/>
    </w:lvl>
  </w:abstractNum>
  <w:abstractNum w:abstractNumId="53">
    <w:nsid w:val="9DAF632"/>
    <w:multiLevelType w:val="hybridMultilevel"/>
    <w:lvl w:ilvl="0">
      <w:lvlJc w:val="left"/>
      <w:lvlText w:val="(%1)"/>
      <w:numFmt w:val="lowerLetter"/>
      <w:start w:val="2"/>
    </w:lvl>
  </w:abstractNum>
  <w:abstractNum w:abstractNumId="54">
    <w:nsid w:val="53299938"/>
    <w:multiLevelType w:val="hybridMultilevel"/>
    <w:lvl w:ilvl="0">
      <w:lvlJc w:val="left"/>
      <w:lvlText w:val="(%1)"/>
      <w:numFmt w:val="lowerLetter"/>
      <w:start w:val="4"/>
    </w:lvl>
  </w:abstractNum>
  <w:abstractNum w:abstractNumId="55">
    <w:nsid w:val="1FBFE8E0"/>
    <w:multiLevelType w:val="hybridMultilevel"/>
    <w:lvl w:ilvl="0">
      <w:lvlJc w:val="left"/>
      <w:lvlText w:val="(%1)"/>
      <w:numFmt w:val="lowerLetter"/>
      <w:start w:val="1"/>
    </w:lvl>
  </w:abstractNum>
  <w:abstractNum w:abstractNumId="56">
    <w:nsid w:val="5092CA79"/>
    <w:multiLevelType w:val="hybridMultilevel"/>
    <w:lvl w:ilvl="0">
      <w:lvlJc w:val="left"/>
      <w:lvlText w:val="(%1)"/>
      <w:numFmt w:val="lowerRoman"/>
      <w:start w:val="3"/>
    </w:lvl>
  </w:abstractNum>
  <w:abstractNum w:abstractNumId="57">
    <w:nsid w:val="1D545C4D"/>
    <w:multiLevelType w:val="hybridMultilevel"/>
    <w:lvl w:ilvl="0">
      <w:lvlJc w:val="left"/>
      <w:lvlText w:val="(%1)"/>
      <w:numFmt w:val="lowerLetter"/>
      <w:start w:val="2"/>
    </w:lvl>
  </w:abstractNum>
  <w:abstractNum w:abstractNumId="58">
    <w:nsid w:val="59ADEA3D"/>
    <w:multiLevelType w:val="hybridMultilevel"/>
    <w:lvl w:ilvl="0">
      <w:lvlJc w:val="left"/>
      <w:lvlText w:val="(%1)"/>
      <w:numFmt w:val="lowerLetter"/>
      <w:start w:val="4"/>
    </w:lvl>
  </w:abstractNum>
  <w:abstractNum w:abstractNumId="59">
    <w:nsid w:val="288F1A34"/>
    <w:multiLevelType w:val="hybridMultilevel"/>
    <w:lvl w:ilvl="0">
      <w:lvlJc w:val="left"/>
      <w:lvlText w:val="(%1)"/>
      <w:numFmt w:val="lowerLetter"/>
      <w:start w:val="1"/>
    </w:lvl>
  </w:abstractNum>
  <w:abstractNum w:abstractNumId="60">
    <w:nsid w:val="2A155DBC"/>
    <w:multiLevelType w:val="hybridMultilevel"/>
    <w:lvl w:ilvl="0">
      <w:lvlJc w:val="left"/>
      <w:lvlText w:val="%1"/>
      <w:numFmt w:val="lowerLetter"/>
      <w:start w:val="1"/>
    </w:lvl>
    <w:lvl w:ilvl="1">
      <w:lvlJc w:val="left"/>
      <w:lvlText w:val="(%2)"/>
      <w:numFmt w:val="lowerLetter"/>
      <w:start w:val="2"/>
    </w:lvl>
  </w:abstractNum>
  <w:abstractNum w:abstractNumId="61">
    <w:nsid w:val="1D9F6E5F"/>
    <w:multiLevelType w:val="hybridMultilevel"/>
    <w:lvl w:ilvl="0">
      <w:lvlJc w:val="left"/>
      <w:lvlText w:val="(%1)"/>
      <w:numFmt w:val="lowerLetter"/>
      <w:start w:val="9"/>
    </w:lvl>
    <w:lvl w:ilvl="1">
      <w:lvlJc w:val="left"/>
      <w:lvlText w:val="%2"/>
      <w:numFmt w:val="lowerLetter"/>
      <w:start w:val="1"/>
    </w:lvl>
  </w:abstractNum>
  <w:abstractNum w:abstractNumId="62">
    <w:nsid w:val="97E1B4E"/>
    <w:multiLevelType w:val="hybridMultilevel"/>
    <w:lvl w:ilvl="0">
      <w:lvlJc w:val="left"/>
      <w:lvlText w:val="%1."/>
      <w:numFmt w:val="decimal"/>
      <w:start w:val="1"/>
    </w:lvl>
  </w:abstractNum>
  <w:abstractNum w:abstractNumId="63">
    <w:nsid w:val="51088277"/>
    <w:multiLevelType w:val="hybridMultilevel"/>
    <w:lvl w:ilvl="0">
      <w:lvlJc w:val="left"/>
      <w:lvlText w:val="(%1)"/>
      <w:numFmt w:val="decimal"/>
      <w:start w:val="1"/>
    </w:lvl>
  </w:abstractNum>
  <w:abstractNum w:abstractNumId="64">
    <w:nsid w:val="1CA0C5FA"/>
    <w:multiLevelType w:val="hybridMultilevel"/>
    <w:lvl w:ilvl="0">
      <w:lvlJc w:val="left"/>
      <w:lvlText w:val="(%1)"/>
      <w:numFmt w:val="lowerRoman"/>
      <w:start w:val="2"/>
    </w:lvl>
  </w:abstractNum>
  <w:abstractNum w:abstractNumId="65">
    <w:nsid w:val="53584BCB"/>
    <w:multiLevelType w:val="hybridMultilevel"/>
    <w:lvl w:ilvl="0">
      <w:lvlJc w:val="left"/>
      <w:lvlText w:val="(%1)"/>
      <w:numFmt w:val="lowerLetter"/>
      <w:start w:val="3"/>
    </w:lvl>
  </w:abstractNum>
  <w:abstractNum w:abstractNumId="66">
    <w:nsid w:val="415E286C"/>
    <w:multiLevelType w:val="hybridMultilevel"/>
    <w:lvl w:ilvl="0">
      <w:lvlJc w:val="left"/>
      <w:lvlText w:val="(%1)"/>
      <w:numFmt w:val="lowerRoman"/>
      <w:start w:val="1"/>
    </w:lvl>
  </w:abstractNum>
  <w:abstractNum w:abstractNumId="67">
    <w:nsid w:val="7C58FD05"/>
    <w:multiLevelType w:val="hybridMultilevel"/>
    <w:lvl w:ilvl="0">
      <w:lvlJc w:val="left"/>
      <w:lvlText w:val="(%1)"/>
      <w:numFmt w:val="decimal"/>
      <w:start w:val="1"/>
    </w:lvl>
  </w:abstractNum>
  <w:abstractNum w:abstractNumId="68">
    <w:nsid w:val="23D86AAC"/>
    <w:multiLevelType w:val="hybridMultilevel"/>
    <w:lvl w:ilvl="0">
      <w:lvlJc w:val="left"/>
      <w:lvlText w:val="(%1)"/>
      <w:numFmt w:val="lowerLetter"/>
      <w:start w:val="1"/>
    </w:lvl>
  </w:abstractNum>
  <w:abstractNum w:abstractNumId="69">
    <w:nsid w:val="45E6D486"/>
    <w:multiLevelType w:val="hybridMultilevel"/>
    <w:lvl w:ilvl="0">
      <w:lvlJc w:val="left"/>
      <w:lvlText w:val="(%1)"/>
      <w:numFmt w:val="lowerLetter"/>
      <w:start w:val="5"/>
    </w:lvl>
  </w:abstractNum>
  <w:abstractNum w:abstractNumId="70">
    <w:nsid w:val="5C10FE21"/>
    <w:multiLevelType w:val="hybridMultilevel"/>
    <w:lvl w:ilvl="0">
      <w:lvlJc w:val="left"/>
      <w:lvlText w:val="(%1)"/>
      <w:numFmt w:val="decimal"/>
      <w:start w:val="1"/>
    </w:lvl>
  </w:abstractNum>
  <w:abstractNum w:abstractNumId="71">
    <w:nsid w:val="E7FFA2B"/>
    <w:multiLevelType w:val="hybridMultilevel"/>
    <w:lvl w:ilvl="0">
      <w:lvlJc w:val="left"/>
      <w:lvlText w:val="(%1)"/>
      <w:numFmt w:val="decimal"/>
      <w:start w:val="1"/>
    </w:lvl>
  </w:abstractNum>
  <w:abstractNum w:abstractNumId="72">
    <w:nsid w:val="3C5991AA"/>
    <w:multiLevelType w:val="hybridMultilevel"/>
    <w:lvl w:ilvl="0">
      <w:lvlJc w:val="left"/>
      <w:lvlText w:val="(%1)"/>
      <w:numFmt w:val="decimal"/>
      <w:start w:val="3"/>
    </w:lvl>
  </w:abstractNum>
  <w:abstractNum w:abstractNumId="73">
    <w:nsid w:val="4BD8591A"/>
    <w:multiLevelType w:val="hybridMultilevel"/>
    <w:lvl w:ilvl="0">
      <w:lvlJc w:val="left"/>
      <w:lvlText w:val="(%1)"/>
      <w:numFmt w:val="decimal"/>
      <w:start w:val="14"/>
    </w:lvl>
  </w:abstractNum>
  <w:abstractNum w:abstractNumId="74">
    <w:nsid w:val="78DF6A55"/>
    <w:multiLevelType w:val="hybridMultilevel"/>
    <w:lvl w:ilvl="0">
      <w:lvlJc w:val="left"/>
      <w:lvlText w:val="(%1)"/>
      <w:numFmt w:val="decimal"/>
      <w:start w:val="25"/>
    </w:lvl>
  </w:abstractNum>
  <w:abstractNum w:abstractNumId="75">
    <w:nsid w:val="39B7AAA2"/>
    <w:multiLevelType w:val="hybridMultilevel"/>
    <w:lvl w:ilvl="0">
      <w:lvlJc w:val="left"/>
      <w:lvlText w:val="(%1)"/>
      <w:numFmt w:val="lowerLetter"/>
      <w:start w:val="9"/>
    </w:lvl>
    <w:lvl w:ilvl="1">
      <w:lvlJc w:val="left"/>
      <w:lvlText w:val="(%2)"/>
      <w:numFmt w:val="lowerLetter"/>
      <w:start w:val="1"/>
    </w:lvl>
  </w:abstractNum>
  <w:abstractNum w:abstractNumId="76">
    <w:nsid w:val="2B0D8DBE"/>
    <w:multiLevelType w:val="hybridMultilevel"/>
    <w:lvl w:ilvl="0">
      <w:lvlJc w:val="left"/>
      <w:lvlText w:val="(%1)"/>
      <w:numFmt w:val="lowerRoman"/>
      <w:start w:val="2"/>
    </w:lvl>
  </w:abstractNum>
  <w:abstractNum w:abstractNumId="77">
    <w:nsid w:val="6C80EC70"/>
    <w:multiLevelType w:val="hybridMultilevel"/>
    <w:lvl w:ilvl="0">
      <w:lvlJc w:val="left"/>
      <w:lvlText w:val="(%1)"/>
      <w:numFmt w:val="lowerLetter"/>
      <w:start w:val="1"/>
    </w:lvl>
  </w:abstractNum>
  <w:abstractNum w:abstractNumId="78">
    <w:nsid w:val="379E21B5"/>
    <w:multiLevelType w:val="hybridMultilevel"/>
    <w:lvl w:ilvl="0">
      <w:lvlJc w:val="left"/>
      <w:lvlText w:val="(%1)"/>
      <w:numFmt w:val="lowerLetter"/>
      <w:start w:val="2"/>
    </w:lvl>
  </w:abstractNum>
  <w:abstractNum w:abstractNumId="79">
    <w:nsid w:val="69E373"/>
    <w:multiLevelType w:val="hybridMultilevel"/>
    <w:lvl w:ilvl="0">
      <w:lvlJc w:val="left"/>
      <w:lvlText w:val="(%1)"/>
      <w:numFmt w:val="lowerLetter"/>
      <w:start w:val="1"/>
    </w:lvl>
  </w:abstractNum>
  <w:abstractNum w:abstractNumId="80">
    <w:nsid w:val="2C27173B"/>
    <w:multiLevelType w:val="hybridMultilevel"/>
    <w:lvl w:ilvl="0">
      <w:lvlJc w:val="left"/>
      <w:lvlText w:val="(%1)"/>
      <w:numFmt w:val="decimal"/>
      <w:start w:val="1"/>
    </w:lvl>
  </w:abstractNum>
  <w:abstractNum w:abstractNumId="81">
    <w:nsid w:val="4C9B0904"/>
    <w:multiLevelType w:val="hybridMultilevel"/>
    <w:lvl w:ilvl="0">
      <w:lvlJc w:val="left"/>
      <w:lvlText w:val="(%1)"/>
      <w:numFmt w:val="lowerLetter"/>
      <w:start w:val="2"/>
    </w:lvl>
  </w:abstractNum>
  <w:abstractNum w:abstractNumId="82">
    <w:nsid w:val="6AA7B75C"/>
    <w:multiLevelType w:val="hybridMultilevel"/>
    <w:lvl w:ilvl="0">
      <w:lvlJc w:val="left"/>
      <w:lvlText w:val="(%1)"/>
      <w:numFmt w:val="lowerLetter"/>
      <w:start w:val="1"/>
    </w:lvl>
  </w:abstractNum>
  <w:abstractNum w:abstractNumId="83">
    <w:nsid w:val="1DF029D3"/>
    <w:multiLevelType w:val="hybridMultilevel"/>
    <w:lvl w:ilvl="0">
      <w:lvlJc w:val="left"/>
      <w:lvlText w:val="(%1)"/>
      <w:numFmt w:val="lowerLetter"/>
      <w:start w:val="2"/>
    </w:lvl>
  </w:abstractNum>
  <w:abstractNum w:abstractNumId="84">
    <w:nsid w:val="5675FF36"/>
    <w:multiLevelType w:val="hybridMultilevel"/>
    <w:lvl w:ilvl="0">
      <w:lvlJc w:val="left"/>
      <w:lvlText w:val="(%1)"/>
      <w:numFmt w:val="lowerLetter"/>
      <w:start w:val="2"/>
    </w:lvl>
    <w:lvl w:ilvl="1">
      <w:lvlJc w:val="left"/>
      <w:lvlText w:val="(%2)"/>
      <w:numFmt w:val="lowerLetter"/>
      <w:start w:val="4"/>
    </w:lvl>
  </w:abstractNum>
  <w:abstractNum w:abstractNumId="85">
    <w:nsid w:val="3DD15094"/>
    <w:multiLevelType w:val="hybridMultilevel"/>
    <w:lvl w:ilvl="0">
      <w:lvlJc w:val="left"/>
      <w:lvlText w:val="%1"/>
      <w:numFmt w:val="lowerLetter"/>
      <w:start w:val="1"/>
    </w:lvl>
    <w:lvl w:ilvl="1">
      <w:lvlJc w:val="left"/>
      <w:lvlText w:val="(%2)"/>
      <w:numFmt w:val="lowerLetter"/>
      <w:start w:val="5"/>
    </w:lvl>
  </w:abstractNum>
  <w:abstractNum w:abstractNumId="86">
    <w:nsid w:val="3DB012B3"/>
    <w:multiLevelType w:val="hybridMultilevel"/>
    <w:lvl w:ilvl="0">
      <w:lvlJc w:val="left"/>
      <w:lvlText w:val="(%1)"/>
      <w:numFmt w:val="lowerLetter"/>
      <w:start w:val="8"/>
    </w:lvl>
    <w:lvl w:ilvl="1">
      <w:lvlJc w:val="left"/>
      <w:lvlText w:val="(%2)"/>
      <w:numFmt w:val="lowerLetter"/>
      <w:start w:val="8"/>
    </w:lvl>
  </w:abstractNum>
  <w:abstractNum w:abstractNumId="87">
    <w:nsid w:val="2708C9AF"/>
    <w:multiLevelType w:val="hybridMultilevel"/>
    <w:lvl w:ilvl="0">
      <w:lvlJc w:val="left"/>
      <w:lvlText w:val="%1"/>
      <w:numFmt w:val="lowerLetter"/>
      <w:start w:val="1"/>
    </w:lvl>
    <w:lvl w:ilvl="1">
      <w:lvlJc w:val="left"/>
      <w:lvlText w:val="(%2)"/>
      <w:numFmt w:val="lowerLetter"/>
      <w:start w:val="1"/>
    </w:lvl>
  </w:abstractNum>
  <w:abstractNum w:abstractNumId="88">
    <w:nsid w:val="5B25ACE2"/>
    <w:multiLevelType w:val="hybridMultilevel"/>
    <w:lvl w:ilvl="0">
      <w:lvlJc w:val="left"/>
      <w:lvlText w:val="(%1)"/>
      <w:numFmt w:val="lowerLetter"/>
      <w:start w:val="35"/>
    </w:lvl>
    <w:lvl w:ilvl="1">
      <w:lvlJc w:val="left"/>
      <w:lvlText w:val="(%2)"/>
      <w:numFmt w:val="lowerLetter"/>
      <w:start w:val="2"/>
    </w:lvl>
  </w:abstractNum>
  <w:abstractNum w:abstractNumId="89">
    <w:nsid w:val="175DFCF0"/>
    <w:multiLevelType w:val="hybridMultilevel"/>
    <w:lvl w:ilvl="0">
      <w:lvlJc w:val="left"/>
      <w:lvlText w:val="(%1)"/>
      <w:numFmt w:val="decimal"/>
      <w:start w:val="1"/>
    </w:lvl>
    <w:lvl w:ilvl="1">
      <w:lvlJc w:val="left"/>
      <w:lvlText w:val="(%2)"/>
      <w:numFmt w:val="upperLetter"/>
      <w:start w:val="1"/>
    </w:lvl>
  </w:abstractNum>
  <w:abstractNum w:abstractNumId="90">
    <w:nsid w:val="4F97E3E4"/>
    <w:multiLevelType w:val="hybridMultilevel"/>
    <w:lvl w:ilvl="0">
      <w:lvlJc w:val="left"/>
      <w:lvlText w:val="(%1)"/>
      <w:numFmt w:val="decimal"/>
      <w:start w:val="2"/>
    </w:lvl>
  </w:abstractNum>
  <w:abstractNum w:abstractNumId="91">
    <w:nsid w:val="53B0A9E"/>
    <w:multiLevelType w:val="hybridMultilevel"/>
    <w:lvl w:ilvl="0">
      <w:lvlJc w:val="left"/>
      <w:lvlText w:val="(%1)"/>
      <w:numFmt w:val="decimal"/>
      <w:start w:val="1"/>
    </w:lvl>
    <w:lvl w:ilvl="1">
      <w:lvlJc w:val="left"/>
      <w:lvlText w:val="(%2)"/>
      <w:numFmt w:val="upperLetter"/>
      <w:start w:val="1"/>
    </w:lvl>
  </w:abstractNum>
  <w:abstractNum w:abstractNumId="92">
    <w:nsid w:val="34FD6B4F"/>
    <w:multiLevelType w:val="hybridMultilevel"/>
    <w:lvl w:ilvl="0">
      <w:lvlJc w:val="left"/>
      <w:lvlText w:val="(%1)"/>
      <w:numFmt w:val="decimal"/>
      <w:start w:val="1"/>
    </w:lvl>
    <w:lvl w:ilvl="1">
      <w:lvlJc w:val="left"/>
      <w:lvlText w:val="(%2)"/>
      <w:numFmt w:val="upperLetter"/>
      <w:start w:val="1"/>
    </w:lvl>
  </w:abstractNum>
  <w:abstractNum w:abstractNumId="93">
    <w:nsid w:val="5915FF32"/>
    <w:multiLevelType w:val="hybridMultilevel"/>
    <w:lvl w:ilvl="0">
      <w:lvlJc w:val="left"/>
      <w:lvlText w:val="(%1)"/>
      <w:numFmt w:val="decimal"/>
      <w:start w:val="1"/>
    </w:lvl>
  </w:abstractNum>
  <w:abstractNum w:abstractNumId="94">
    <w:nsid w:val="56438D15"/>
    <w:multiLevelType w:val="hybridMultilevel"/>
    <w:lvl w:ilvl="0">
      <w:lvlJc w:val="left"/>
      <w:lvlText w:val="(%1)"/>
      <w:numFmt w:val="lowerRoman"/>
      <w:start w:val="1"/>
    </w:lvl>
  </w:abstractNum>
  <w:abstractNum w:abstractNumId="95">
    <w:nsid w:val="519E3149"/>
    <w:multiLevelType w:val="hybridMultilevel"/>
    <w:lvl w:ilvl="0">
      <w:lvlJc w:val="left"/>
      <w:lvlText w:val="(%1)"/>
      <w:numFmt w:val="decimal"/>
      <w:start w:val="1"/>
    </w:lvl>
  </w:abstractNum>
  <w:abstractNum w:abstractNumId="96">
    <w:nsid w:val="2C6E4AFD"/>
    <w:multiLevelType w:val="hybridMultilevel"/>
    <w:lvl w:ilvl="0">
      <w:lvlJc w:val="left"/>
      <w:lvlText w:val="(%1)"/>
      <w:numFmt w:val="decimal"/>
      <w:start w:val="1"/>
    </w:lvl>
  </w:abstractNum>
  <w:abstractNum w:abstractNumId="97">
    <w:nsid w:val="17A1B582"/>
    <w:multiLevelType w:val="hybridMultilevel"/>
    <w:lvl w:ilvl="0">
      <w:lvlJc w:val="left"/>
      <w:lvlText w:val="(%1)"/>
      <w:numFmt w:val="decimal"/>
      <w:start w:val="1"/>
    </w:lvl>
  </w:abstractNum>
  <w:abstractNum w:abstractNumId="98">
    <w:nsid w:val="4DF72E4E"/>
    <w:multiLevelType w:val="hybridMultilevel"/>
    <w:lvl w:ilvl="0">
      <w:lvlJc w:val="left"/>
      <w:lvlText w:val="(%1)"/>
      <w:numFmt w:val="decimal"/>
      <w:start w:val="1"/>
    </w:lvl>
  </w:abstractNum>
  <w:abstractNum w:abstractNumId="99">
    <w:nsid w:val="5046B5A9"/>
    <w:multiLevelType w:val="hybridMultilevel"/>
    <w:lvl w:ilvl="0">
      <w:lvlJc w:val="left"/>
      <w:lvlText w:val="(%1)"/>
      <w:numFmt w:val="decimal"/>
      <w:start w:val="6"/>
    </w:lvl>
  </w:abstractNum>
  <w:abstractNum w:abstractNumId="100">
    <w:nsid w:val="5D888A08"/>
    <w:multiLevelType w:val="hybridMultilevel"/>
    <w:lvl w:ilvl="0">
      <w:lvlJc w:val="left"/>
      <w:lvlText w:val="(%1)"/>
      <w:numFmt w:val="decimal"/>
      <w:start w:val="1"/>
    </w:lvl>
  </w:abstractNum>
  <w:abstractNum w:abstractNumId="101">
    <w:nsid w:val="2A082C70"/>
    <w:multiLevelType w:val="hybridMultilevel"/>
    <w:lvl w:ilvl="0">
      <w:lvlJc w:val="left"/>
      <w:lvlText w:val="(%1)"/>
      <w:numFmt w:val="lowerLetter"/>
      <w:start w:val="1"/>
    </w:lvl>
  </w:abstractNum>
  <w:abstractNum w:abstractNumId="102">
    <w:nsid w:val="5EC6AFD4"/>
    <w:multiLevelType w:val="hybridMultilevel"/>
    <w:lvl w:ilvl="0">
      <w:lvlJc w:val="left"/>
      <w:lvlText w:val="(%1)"/>
      <w:numFmt w:val="lowerLetter"/>
      <w:start w:val="3"/>
    </w:lvl>
    <w:lvl w:ilvl="1">
      <w:lvlJc w:val="left"/>
      <w:lvlText w:val="(%2)"/>
      <w:numFmt w:val="decimal"/>
      <w:start w:val="1"/>
    </w:lvl>
  </w:abstractNum>
  <w:abstractNum w:abstractNumId="103">
    <w:nsid w:val="19E21BB2"/>
    <w:multiLevelType w:val="hybridMultilevel"/>
    <w:lvl w:ilvl="0">
      <w:lvlJc w:val="left"/>
      <w:lvlText w:val="(%1)"/>
      <w:numFmt w:val="lowerLetter"/>
      <w:start w:val="5"/>
    </w:lvl>
  </w:abstractNum>
  <w:abstractNum w:abstractNumId="104">
    <w:nsid w:val="75E0858A"/>
    <w:multiLevelType w:val="hybridMultilevel"/>
    <w:lvl w:ilvl="0">
      <w:lvlJc w:val="left"/>
      <w:lvlText w:val="%1"/>
      <w:numFmt w:val="decimal"/>
      <w:start w:val="1"/>
    </w:lvl>
    <w:lvl w:ilvl="1">
      <w:lvlJc w:val="left"/>
      <w:lvlText w:val="(%2)"/>
      <w:numFmt w:val="lowerLetter"/>
      <w:start w:val="1"/>
    </w:lvl>
  </w:abstractNum>
  <w:abstractNum w:abstractNumId="105">
    <w:nsid w:val="57A61A29"/>
    <w:multiLevelType w:val="hybridMultilevel"/>
    <w:lvl w:ilvl="0">
      <w:lvlJc w:val="left"/>
      <w:lvlText w:val="(%1)"/>
      <w:numFmt w:val="decimal"/>
      <w:start w:val="3"/>
    </w:lvl>
    <w:lvl w:ilvl="1">
      <w:lvlJc w:val="left"/>
      <w:lvlText w:val="(%2)"/>
      <w:numFmt w:val="lowerLetter"/>
      <w:start w:val="3"/>
    </w:lvl>
  </w:abstractNum>
  <w:abstractNum w:abstractNumId="106">
    <w:nsid w:val="5399C654"/>
    <w:multiLevelType w:val="hybridMultilevel"/>
    <w:lvl w:ilvl="0">
      <w:lvlJc w:val="left"/>
      <w:lvlText w:val="(%1)"/>
      <w:numFmt w:val="lowerLetter"/>
      <w:start w:val="1"/>
    </w:lvl>
  </w:abstractNum>
  <w:abstractNum w:abstractNumId="107">
    <w:nsid w:val="20EE1348"/>
    <w:multiLevelType w:val="hybridMultilevel"/>
    <w:lvl w:ilvl="0">
      <w:lvlJc w:val="left"/>
      <w:lvlText w:val="(%1)"/>
      <w:numFmt w:val="decimal"/>
      <w:start w:val="1"/>
    </w:lvl>
  </w:abstractNum>
  <w:abstractNum w:abstractNumId="108">
    <w:nsid w:val="4427069A"/>
    <w:multiLevelType w:val="hybridMultilevel"/>
    <w:lvl w:ilvl="0">
      <w:lvlJc w:val="left"/>
      <w:lvlText w:val="(%1)"/>
      <w:numFmt w:val="decimal"/>
      <w:start w:val="1"/>
    </w:lvl>
  </w:abstractNum>
  <w:abstractNum w:abstractNumId="109">
    <w:nsid w:val="B37E80A"/>
    <w:multiLevelType w:val="hybridMultilevel"/>
    <w:lvl w:ilvl="0">
      <w:lvlJc w:val="left"/>
      <w:lvlText w:val="(%1)"/>
      <w:numFmt w:val="decimal"/>
      <w:start w:val="4"/>
    </w:lvl>
  </w:abstractNum>
  <w:abstractNum w:abstractNumId="110">
    <w:nsid w:val="2157F6BC"/>
    <w:multiLevelType w:val="hybridMultilevel"/>
    <w:lvl w:ilvl="0">
      <w:lvlJc w:val="left"/>
      <w:lvlText w:val="(%1)"/>
      <w:numFmt w:val="decimal"/>
      <w:start w:val="1"/>
    </w:lvl>
  </w:abstractNum>
  <w:abstractNum w:abstractNumId="111">
    <w:nsid w:val="704E1DD5"/>
    <w:multiLevelType w:val="hybridMultilevel"/>
    <w:lvl w:ilvl="0">
      <w:lvlJc w:val="left"/>
      <w:lvlText w:val="(%1)"/>
      <w:numFmt w:val="decimal"/>
      <w:start w:val="7"/>
    </w:lvl>
  </w:abstractNum>
  <w:abstractNum w:abstractNumId="112">
    <w:nsid w:val="57D2F10E"/>
    <w:multiLevelType w:val="hybridMultilevel"/>
    <w:lvl w:ilvl="0">
      <w:lvlJc w:val="left"/>
      <w:lvlText w:val="(%1)"/>
      <w:numFmt w:val="decimal"/>
      <w:start w:val="1"/>
    </w:lvl>
  </w:abstractNum>
  <w:abstractNum w:abstractNumId="113">
    <w:nsid w:val="BFFAE18"/>
    <w:multiLevelType w:val="hybridMultilevel"/>
    <w:lvl w:ilvl="0">
      <w:lvlJc w:val="left"/>
      <w:lvlText w:val="(%1)"/>
      <w:numFmt w:val="lowerLetter"/>
      <w:start w:val="1"/>
    </w:lvl>
  </w:abstractNum>
  <w:abstractNum w:abstractNumId="114">
    <w:nsid w:val="E3E47A8"/>
    <w:multiLevelType w:val="hybridMultilevel"/>
    <w:lvl w:ilvl="0">
      <w:lvlJc w:val="left"/>
      <w:lvlText w:val="(%1)"/>
      <w:numFmt w:val="lowerLetter"/>
      <w:start w:val="1"/>
    </w:lvl>
  </w:abstractNum>
  <w:abstractNum w:abstractNumId="115">
    <w:nsid w:val="2E48F044"/>
    <w:multiLevelType w:val="hybridMultilevel"/>
    <w:lvl w:ilvl="0">
      <w:lvlJc w:val="left"/>
      <w:lvlText w:val="%1."/>
      <w:numFmt w:val="decimal"/>
      <w:start w:val="1"/>
    </w:lvl>
  </w:abstractNum>
  <w:abstractNum w:abstractNumId="116">
    <w:nsid w:val="49D0FEAC"/>
    <w:multiLevelType w:val="hybridMultilevel"/>
    <w:lvl w:ilvl="0">
      <w:lvlJc w:val="left"/>
      <w:lvlText w:val="%1."/>
      <w:numFmt w:val="decimal"/>
      <w:start w:val="9"/>
    </w:lvl>
  </w:abstractNum>
  <w:abstractNum w:abstractNumId="117">
    <w:nsid w:val="4BEE5A5B"/>
    <w:multiLevelType w:val="hybridMultilevel"/>
    <w:lvl w:ilvl="0">
      <w:lvlJc w:val="left"/>
      <w:lvlText w:val="%1."/>
      <w:numFmt w:val="decimal"/>
      <w:start w:val="12"/>
    </w:lvl>
  </w:abstractNum>
  <w:abstractNum w:abstractNumId="118">
    <w:nsid w:val="5551B9F3"/>
    <w:multiLevelType w:val="hybridMultilevel"/>
    <w:lvl w:ilvl="0">
      <w:lvlJc w:val="left"/>
      <w:lvlText w:val="(%1)"/>
      <w:numFmt w:val="decimal"/>
      <w:start w:val="1"/>
    </w:lvl>
  </w:abstractNum>
  <w:abstractNum w:abstractNumId="119">
    <w:nsid w:val="24F6AB8E"/>
    <w:multiLevelType w:val="hybridMultilevel"/>
    <w:lvl w:ilvl="0">
      <w:lvlJc w:val="left"/>
      <w:lvlText w:val="(%1)"/>
      <w:numFmt w:val="decimal"/>
      <w:start w:val="7"/>
    </w:lvl>
  </w:abstractNum>
  <w:abstractNum w:abstractNumId="120">
    <w:nsid w:val="634C574C"/>
    <w:multiLevelType w:val="hybridMultilevel"/>
    <w:lvl w:ilvl="0">
      <w:lvlJc w:val="left"/>
      <w:lvlText w:val="(%1)"/>
      <w:numFmt w:val="upperLetter"/>
      <w:start w:val="1"/>
    </w:lvl>
  </w:abstractNum>
  <w:abstractNum w:abstractNumId="121">
    <w:nsid w:val="24E99DD7"/>
    <w:multiLevelType w:val="hybridMultilevel"/>
    <w:lvl w:ilvl="0">
      <w:lvlJc w:val="left"/>
      <w:lvlText w:val="(%1)"/>
      <w:numFmt w:val="lowerLetter"/>
      <w:start w:val="1"/>
    </w:lvl>
  </w:abstractNum>
  <w:abstractNum w:abstractNumId="122">
    <w:nsid w:val="2A31B62D"/>
    <w:multiLevelType w:val="hybridMultilevel"/>
    <w:lvl w:ilvl="0">
      <w:lvlJc w:val="left"/>
      <w:lvlText w:val="(%1)"/>
      <w:numFmt w:val="lowerLetter"/>
      <w:start w:val="35"/>
    </w:lvl>
    <w:lvl w:ilvl="1">
      <w:lvlJc w:val="left"/>
      <w:lvlText w:val="(%2)"/>
      <w:numFmt w:val="lowerLetter"/>
      <w:start w:val="2"/>
    </w:lvl>
  </w:abstractNum>
  <w:abstractNum w:abstractNumId="123">
    <w:nsid w:val="1849C29B"/>
    <w:multiLevelType w:val="hybridMultilevel"/>
    <w:lvl w:ilvl="0">
      <w:lvlJc w:val="left"/>
      <w:lvlText w:val="(%1)"/>
      <w:numFmt w:val="lowerLetter"/>
      <w:start w:val="1"/>
    </w:lvl>
  </w:abstractNum>
  <w:abstractNum w:abstractNumId="124">
    <w:nsid w:val="7DFF9D09"/>
    <w:multiLevelType w:val="hybridMultilevel"/>
    <w:lvl w:ilvl="0">
      <w:lvlJc w:val="left"/>
      <w:lvlText w:val="(%1)"/>
      <w:numFmt w:val="lowerRoman"/>
      <w:start w:val="1"/>
    </w:lvl>
  </w:abstractNum>
  <w:abstractNum w:abstractNumId="125">
    <w:nsid w:val="754342"/>
    <w:multiLevelType w:val="hybridMultilevel"/>
    <w:lvl w:ilvl="0">
      <w:lvlJc w:val="left"/>
      <w:lvlText w:val="(%1)"/>
      <w:numFmt w:val="lowerLetter"/>
      <w:start w:val="1"/>
    </w:lvl>
  </w:abstractNum>
  <w:abstractNum w:abstractNumId="126">
    <w:nsid w:val="69E7F3E5"/>
    <w:multiLevelType w:val="hybridMultilevel"/>
    <w:lvl w:ilvl="0">
      <w:lvlJc w:val="left"/>
      <w:lvlText w:val="(%1)"/>
      <w:numFmt w:val="lowerLetter"/>
      <w:start w:val="1"/>
    </w:lvl>
  </w:abstractNum>
  <w:abstractNum w:abstractNumId="127">
    <w:nsid w:val="2A6DE806"/>
    <w:multiLevelType w:val="hybridMultilevel"/>
    <w:lvl w:ilvl="0">
      <w:lvlJc w:val="left"/>
      <w:lvlText w:val="(%1)"/>
      <w:numFmt w:val="lowerRoman"/>
      <w:start w:val="3"/>
    </w:lvl>
  </w:abstractNum>
  <w:abstractNum w:abstractNumId="128">
    <w:nsid w:val="1816F8C4"/>
    <w:multiLevelType w:val="hybridMultilevel"/>
    <w:lvl w:ilvl="0">
      <w:lvlJc w:val="left"/>
      <w:lvlText w:val="(%1)"/>
      <w:numFmt w:val="lowerRoman"/>
      <w:start w:val="3"/>
    </w:lvl>
  </w:abstractNum>
  <w:abstractNum w:abstractNumId="129">
    <w:nsid w:val="37DF2233"/>
    <w:multiLevelType w:val="hybridMultilevel"/>
    <w:lvl w:ilvl="0">
      <w:lvlJc w:val="left"/>
      <w:lvlText w:val="(%1)"/>
      <w:numFmt w:val="lowerLetter"/>
      <w:start w:val="1"/>
    </w:lvl>
  </w:abstractNum>
  <w:abstractNum w:abstractNumId="130">
    <w:nsid w:val="7AB49DAF"/>
    <w:multiLevelType w:val="hybridMultilevel"/>
    <w:lvl w:ilvl="0">
      <w:lvlJc w:val="left"/>
      <w:lvlText w:val="(%1)"/>
      <w:numFmt w:val="lowerLetter"/>
      <w:start w:val="5"/>
    </w:lvl>
  </w:abstractNum>
  <w:abstractNum w:abstractNumId="131">
    <w:nsid w:val="759F82CD"/>
    <w:multiLevelType w:val="hybridMultilevel"/>
    <w:lvl w:ilvl="0">
      <w:lvlJc w:val="left"/>
      <w:lvlText w:val="(%1)"/>
      <w:numFmt w:val="lowerRoman"/>
      <w:start w:val="1"/>
    </w:lvl>
  </w:abstractNum>
  <w:abstractNum w:abstractNumId="132">
    <w:nsid w:val="61E74EA3"/>
    <w:multiLevelType w:val="hybridMultilevel"/>
    <w:lvl w:ilvl="0">
      <w:lvlJc w:val="left"/>
      <w:lvlText w:val="(%1)"/>
      <w:numFmt w:val="lowerRoman"/>
      <w:start w:val="2"/>
    </w:lvl>
  </w:abstractNum>
  <w:abstractNum w:abstractNumId="133">
    <w:nsid w:val="597B4D84"/>
    <w:multiLevelType w:val="hybridMultilevel"/>
    <w:lvl w:ilvl="0">
      <w:lvlJc w:val="left"/>
      <w:lvlText w:val="%1"/>
      <w:numFmt w:val="lowerLetter"/>
      <w:start w:val="1"/>
    </w:lvl>
    <w:lvl w:ilvl="1">
      <w:lvlJc w:val="left"/>
      <w:lvlText w:val="(%2)"/>
      <w:numFmt w:val="lowerRoman"/>
      <w:start w:val="3"/>
    </w:lvl>
  </w:abstractNum>
  <w:abstractNum w:abstractNumId="134">
    <w:nsid w:val="F819E7F"/>
    <w:multiLevelType w:val="hybridMultilevel"/>
    <w:lvl w:ilvl="0">
      <w:lvlJc w:val="left"/>
      <w:lvlText w:val="(%1)"/>
      <w:numFmt w:val="lowerLetter"/>
      <w:start w:val="9"/>
    </w:lvl>
    <w:lvl w:ilvl="1">
      <w:lvlJc w:val="left"/>
      <w:lvlText w:val="%2"/>
      <w:numFmt w:val="lowerRoman"/>
      <w:start w:val="1"/>
    </w:lvl>
  </w:abstractNum>
  <w:abstractNum w:abstractNumId="135">
    <w:nsid w:val="57C7D42D"/>
    <w:multiLevelType w:val="hybridMultilevel"/>
    <w:lvl w:ilvl="0">
      <w:lvlJc w:val="left"/>
      <w:lvlText w:val="(%1)"/>
      <w:numFmt w:val="decimal"/>
      <w:start w:val="1"/>
    </w:lvl>
  </w:abstractNum>
  <w:abstractNum w:abstractNumId="136">
    <w:nsid w:val="312167AD"/>
    <w:multiLevelType w:val="hybridMultilevel"/>
    <w:lvl w:ilvl="0">
      <w:lvlJc w:val="left"/>
      <w:lvlText w:val="(%1)"/>
      <w:numFmt w:val="decimal"/>
      <w:start w:val="1"/>
    </w:lvl>
  </w:abstractNum>
  <w:abstractNum w:abstractNumId="137">
    <w:nsid w:val="631B64D4"/>
    <w:multiLevelType w:val="hybridMultilevel"/>
    <w:lvl w:ilvl="0">
      <w:lvlJc w:val="left"/>
      <w:lvlText w:val="(%1)"/>
      <w:numFmt w:val="upperLetter"/>
      <w:start w:val="1"/>
    </w:lvl>
  </w:abstractNum>
  <w:abstractNum w:abstractNumId="138">
    <w:nsid w:val="78B5E776"/>
    <w:multiLevelType w:val="hybridMultilevel"/>
    <w:lvl w:ilvl="0">
      <w:lvlJc w:val="left"/>
      <w:lvlText w:val="(%1)"/>
      <w:numFmt w:val="decimal"/>
      <w:start w:val="8"/>
    </w:lvl>
  </w:abstractNum>
  <w:abstractNum w:abstractNumId="139">
    <w:nsid w:val="75486E47"/>
    <w:multiLevelType w:val="hybridMultilevel"/>
    <w:lvl w:ilvl="0">
      <w:lvlJc w:val="left"/>
      <w:lvlText w:val="(%1)"/>
      <w:numFmt w:val="decimal"/>
      <w:start w:val="1"/>
    </w:lvl>
  </w:abstractNum>
  <w:abstractNum w:abstractNumId="140">
    <w:nsid w:val="6E534CDE"/>
    <w:multiLevelType w:val="hybridMultilevel"/>
    <w:lvl w:ilvl="0">
      <w:lvlJc w:val="left"/>
      <w:lvlText w:val="(%1)"/>
      <w:numFmt w:val="decimal"/>
      <w:start w:val="3"/>
    </w:lvl>
  </w:abstractNum>
  <w:abstractNum w:abstractNumId="141">
    <w:nsid w:val="1A0DDE32"/>
    <w:multiLevelType w:val="hybridMultilevel"/>
    <w:lvl w:ilvl="0">
      <w:lvlJc w:val="left"/>
      <w:lvlText w:val="(%1)"/>
      <w:numFmt w:val="decimal"/>
      <w:start w:val="1"/>
    </w:lvl>
  </w:abstractNum>
  <w:abstractNum w:abstractNumId="142">
    <w:nsid w:val="65968C1C"/>
    <w:multiLevelType w:val="hybridMultilevel"/>
    <w:lvl w:ilvl="0">
      <w:lvlJc w:val="left"/>
      <w:lvlText w:val="(%1)"/>
      <w:numFmt w:val="decimal"/>
      <w:start w:val="2"/>
    </w:lvl>
  </w:abstractNum>
  <w:abstractNum w:abstractNumId="143">
    <w:nsid w:val="46263DEC"/>
    <w:multiLevelType w:val="hybridMultilevel"/>
    <w:lvl w:ilvl="0">
      <w:lvlJc w:val="left"/>
      <w:lvlText w:val="(%1)"/>
      <w:numFmt w:val="lowerLetter"/>
      <w:start w:val="1"/>
    </w:lvl>
  </w:abstractNum>
  <w:abstractNum w:abstractNumId="144">
    <w:nsid w:val="260D8C4A"/>
    <w:multiLevelType w:val="hybridMultilevel"/>
    <w:lvl w:ilvl="0">
      <w:lvlJc w:val="left"/>
      <w:lvlText w:val="*"/>
      <w:numFmt w:val="bullet"/>
      <w:start w:val="1"/>
    </w:lvl>
  </w:abstractNum>
  <w:abstractNum w:abstractNumId="145">
    <w:nsid w:val="73D4D3C4"/>
    <w:multiLevelType w:val="hybridMultilevel"/>
    <w:lvl w:ilvl="0">
      <w:lvlJc w:val="left"/>
      <w:lvlText w:val="☐"/>
      <w:numFmt w:val="bullet"/>
      <w:start w:val="1"/>
    </w:lvl>
  </w:abstractNum>
  <w:abstractNum w:abstractNumId="146">
    <w:nsid w:val="746F2E30"/>
    <w:multiLevelType w:val="hybridMultilevel"/>
    <w:lvl w:ilvl="0">
      <w:lvlJc w:val="left"/>
      <w:lvlText w:val="*"/>
      <w:numFmt w:val="bullet"/>
      <w:start w:val="1"/>
    </w:lvl>
  </w:abstractNum>
  <w:abstractNum w:abstractNumId="147">
    <w:nsid w:val="6FDE8AF6"/>
    <w:multiLevelType w:val="hybridMultilevel"/>
    <w:lvl w:ilvl="0">
      <w:lvlJc w:val="left"/>
      <w:lvlText w:val="(%1)"/>
      <w:numFmt w:val="lowerRoman"/>
      <w:start w:val="1"/>
    </w:lvl>
  </w:abstractNum>
  <w:abstractNum w:abstractNumId="148">
    <w:nsid w:val="3FC32E20"/>
    <w:multiLevelType w:val="hybridMultilevel"/>
    <w:lvl w:ilvl="0">
      <w:lvlJc w:val="left"/>
      <w:lvlText w:val="%1."/>
      <w:numFmt w:val="decimal"/>
      <w:start w:val="1"/>
    </w:lvl>
  </w:abstractNum>
  <w:abstractNum w:abstractNumId="149">
    <w:nsid w:val="49C0E823"/>
    <w:multiLevelType w:val="hybridMultilevel"/>
    <w:lvl w:ilvl="0">
      <w:lvlJc w:val="left"/>
      <w:lvlText w:val="(%1)"/>
      <w:numFmt w:val="lowerRoman"/>
      <w:start w:val="1"/>
    </w:lvl>
  </w:abstractNum>
  <w:abstractNum w:abstractNumId="150">
    <w:nsid w:val="14D53685"/>
    <w:multiLevelType w:val="hybridMultilevel"/>
    <w:lvl w:ilvl="0">
      <w:lvlJc w:val="left"/>
      <w:lvlText w:val="(%1)"/>
      <w:numFmt w:val="lowerRoman"/>
      <w:start w:val="3"/>
    </w:lvl>
  </w:abstractNum>
  <w:abstractNum w:abstractNumId="151">
    <w:nsid w:val="230F856C"/>
    <w:multiLevelType w:val="hybridMultilevel"/>
    <w:lvl w:ilvl="0">
      <w:lvlJc w:val="left"/>
      <w:lvlText w:val="%1."/>
      <w:numFmt w:val="decimal"/>
      <w:start w:val="1"/>
    </w:lvl>
  </w:abstractNum>
  <w:abstractNum w:abstractNumId="152">
    <w:nsid w:val="6EAA85FB"/>
    <w:multiLevelType w:val="hybridMultilevel"/>
    <w:lvl w:ilvl="0">
      <w:lvlJc w:val="left"/>
      <w:lvlText w:val="%1."/>
      <w:numFmt w:val="decimal"/>
      <w:start w:val="6"/>
    </w:lvl>
  </w:abstractNum>
  <w:abstractNum w:abstractNumId="153">
    <w:nsid w:val="3F06ECB2"/>
    <w:multiLevelType w:val="hybridMultilevel"/>
    <w:lvl w:ilvl="0">
      <w:lvlJc w:val="left"/>
      <w:lvlText w:val="%1."/>
      <w:numFmt w:val="decimal"/>
      <w:start w:val="1"/>
    </w:lvl>
  </w:abstractNum>
  <w:abstractNum w:abstractNumId="154">
    <w:nsid w:val="3B594807"/>
    <w:multiLevelType w:val="hybridMultilevel"/>
    <w:lvl w:ilvl="0">
      <w:lvlJc w:val="left"/>
      <w:lvlText w:val="%1."/>
      <w:numFmt w:val="decimal"/>
      <w:start w:val="1"/>
    </w:lvl>
  </w:abstractNum>
  <w:abstractNum w:abstractNumId="155">
    <w:nsid w:val="6CAA230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2021-03-25T17:42:11Z</dcterms:created>
  <dcterms:modified xsi:type="dcterms:W3CDTF">2021-03-25T17:42:11Z</dcterms:modified>
</cp:coreProperties>
</file>