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333-268813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PennantPark Floating Rate Capital Ltd.</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4,250,000 Shares of Common Stock</w:t>
      </w:r>
    </w:p>
    <w:p>
      <w:pPr>
        <w:sectPr>
          <w:pgSz w:w="11900" w:h="16838" w:orient="portrait"/>
          <w:cols w:equalWidth="0" w:num="1">
            <w:col w:w="11020"/>
          </w:cols>
          <w:pgMar w:left="440" w:top="233" w:right="43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PennantPark Floating Rate Capital Ltd.</w:t>
      </w:r>
    </w:p>
    <w:p>
      <w:pPr>
        <w:spacing w:after="0" w:line="140"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rPr>
          <w:sz w:val="20"/>
          <w:szCs w:val="20"/>
          <w:color w:val="auto"/>
        </w:rPr>
      </w:pPr>
      <w:r>
        <w:rPr>
          <w:rFonts w:ascii="Arial" w:cs="Arial" w:eastAsia="Arial" w:hAnsi="Arial"/>
          <w:sz w:val="17"/>
          <w:szCs w:val="17"/>
          <w:color w:val="auto"/>
        </w:rPr>
        <w:t>Symbol / Listing: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PFLT (NYSE)</w:t>
      </w:r>
    </w:p>
    <w:p>
      <w:pPr>
        <w:spacing w:after="0" w:line="129"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rPr>
          <w:sz w:val="20"/>
          <w:szCs w:val="20"/>
          <w:color w:val="auto"/>
        </w:rPr>
      </w:pPr>
      <w:r>
        <w:rPr>
          <w:rFonts w:ascii="Arial" w:cs="Arial" w:eastAsia="Arial" w:hAnsi="Arial"/>
          <w:sz w:val="15"/>
          <w:szCs w:val="15"/>
          <w:color w:val="auto"/>
        </w:rPr>
        <w:t>Base shares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4,250,000 shares of common stock (100% primary)</w:t>
      </w:r>
    </w:p>
    <w:p>
      <w:pPr>
        <w:spacing w:after="0" w:line="140"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rPr>
          <w:sz w:val="20"/>
          <w:szCs w:val="20"/>
          <w:color w:val="auto"/>
        </w:rPr>
      </w:pPr>
      <w:r>
        <w:rPr>
          <w:rFonts w:ascii="Arial" w:cs="Arial" w:eastAsia="Arial" w:hAnsi="Arial"/>
          <w:sz w:val="15"/>
          <w:szCs w:val="15"/>
          <w:color w:val="auto"/>
        </w:rPr>
        <w:t>Greenshoe: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15% (100% Primary)</w:t>
      </w:r>
    </w:p>
    <w:p>
      <w:pPr>
        <w:spacing w:after="0" w:line="140"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Price Per Share to the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$11.10</w:t>
      </w:r>
    </w:p>
    <w:p>
      <w:pPr>
        <w:spacing w:after="0" w:line="151"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January 23, 2023</w:t>
      </w:r>
    </w:p>
    <w:p>
      <w:pPr>
        <w:spacing w:after="0" w:line="152"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Closing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January 26, 2023</w:t>
      </w:r>
    </w:p>
    <w:p>
      <w:pPr>
        <w:spacing w:after="0" w:line="151"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CUSIP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70806A106</w:t>
      </w:r>
    </w:p>
    <w:p>
      <w:pPr>
        <w:spacing w:after="0" w:line="140"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Keefe, Bruyette &amp; Woods, Inc.</w:t>
      </w:r>
    </w:p>
    <w:p>
      <w:pPr>
        <w:spacing w:after="0" w:line="139"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JMP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Maxim Group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Ladenburg Thalmann &amp; Co. Inc.</w:t>
      </w:r>
    </w:p>
    <w:p>
      <w:pPr>
        <w:spacing w:after="0" w:line="200" w:lineRule="exact"/>
        <w:rPr>
          <w:sz w:val="24"/>
          <w:szCs w:val="24"/>
          <w:color w:val="auto"/>
        </w:rPr>
      </w:pPr>
    </w:p>
    <w:p>
      <w:pPr>
        <w:sectPr>
          <w:pgSz w:w="11900" w:h="16838" w:orient="portrait"/>
          <w:cols w:equalWidth="0" w:num="2">
            <w:col w:w="2480" w:space="720"/>
            <w:col w:w="7820"/>
          </w:cols>
          <w:pgMar w:left="440" w:top="233" w:right="439" w:bottom="1440" w:gutter="0" w:footer="0" w:header="0"/>
          <w:type w:val="continuous"/>
        </w:sectPr>
      </w:pPr>
    </w:p>
    <w:p>
      <w:pPr>
        <w:spacing w:after="0" w:line="47" w:lineRule="exact"/>
        <w:rPr>
          <w:sz w:val="24"/>
          <w:szCs w:val="24"/>
          <w:color w:val="auto"/>
        </w:rPr>
      </w:pPr>
    </w:p>
    <w:p>
      <w:pPr>
        <w:ind w:right="20"/>
        <w:spacing w:after="0" w:line="291" w:lineRule="auto"/>
        <w:rPr>
          <w:sz w:val="20"/>
          <w:szCs w:val="20"/>
          <w:color w:val="auto"/>
        </w:rPr>
      </w:pPr>
      <w:r>
        <w:rPr>
          <w:rFonts w:ascii="Arial" w:cs="Arial" w:eastAsia="Arial" w:hAnsi="Arial"/>
          <w:sz w:val="16"/>
          <w:szCs w:val="16"/>
          <w:color w:val="auto"/>
        </w:rPr>
        <w:t>PennantPark Floating Rate Capital Ltd. filed a registration statement (including a preliminary prospectus) with the Securities and Exchange Commission for the offering to which this communication relates, which has been declared effective. Before you invest, you should read the preliminary prospectus supplement, dated January 23, 2023, for this offering or, when available, the final prospectus supplement, together in each case with the base prospectus in that registration statement, dated January 9, 2023, and other documents the issuer has filed with the SEC for more complete information about the issuer and this offering. You may get these documents for free by visiting EDGAR on the SEC Web site at www.sec.gov. This communication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66"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Copies of the preliminary and, when available, the final prospectus supplement relating to the shares of common stock offered in this offering, along with the accompanying prospectus, may be obtained by contacting Morgan Stanley &amp; Co. LLC, Prospectus Department, 180 Varick Street, New York, NY 10014.</w:t>
      </w:r>
    </w:p>
    <w:sectPr>
      <w:pgSz w:w="11900" w:h="16838" w:orient="portrait"/>
      <w:cols w:equalWidth="0" w:num="1">
        <w:col w:w="11020"/>
      </w:cols>
      <w:pgMar w:left="440" w:top="233"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2023-01-24T05:18:43Z</dcterms:created>
  <dcterms:modified xsi:type="dcterms:W3CDTF">2023-01-24T05:18:43Z</dcterms:modified>
</cp:coreProperties>
</file>