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February 24, 2015</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2000"/>
          </w:cols>
          <w:pgMar w:left="320" w:top="368" w:right="57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4"/>
          <w:szCs w:val="14"/>
          <w:b w:val="1"/>
          <w:bCs w:val="1"/>
          <w:color w:val="auto"/>
        </w:rPr>
        <w:t>(IRS Employer</w:t>
      </w:r>
    </w:p>
    <w:p>
      <w:pPr>
        <w:jc w:val="center"/>
        <w:ind w:right="10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2120"/>
          </w:cols>
          <w:pgMar w:left="320" w:top="368" w:right="579" w:bottom="1440" w:gutter="0" w:footer="0" w:header="0"/>
          <w:type w:val="continuous"/>
        </w:sectPr>
      </w:pP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720"/>
          </w:cols>
          <w:pgMar w:left="320" w:top="368" w:right="57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820"/>
          </w:cols>
          <w:pgMar w:left="320" w:top="368" w:right="5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24, 2015, PennantPark Floating Rate Capital Ltd. (the “Company”) held a reconvened special meeting of stockholders (the “Special Meeting”) and submitted one matter to the vote of the stockholders. The proposal is described in detail in the Company’s definitive joint proxy statement filed with the Securities and Exchange Commission on November 26, 2014. As of December 1, 2014, the record date, 14,898,056 shares of common stock were eligible to vote. A summary of the matter voted upon by the stockholders is set forth below.</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did not approve a proposal to authorize flexibility for the Company, with the approval of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to sell shares of its common stock during the next 12 months, at a price below its then-current net asset value per share, subject to certain limitations as described in the joint proxy statement.</w:t>
      </w:r>
    </w:p>
    <w:p>
      <w:pPr>
        <w:sectPr>
          <w:pgSz w:w="11900" w:h="16838" w:orient="portrait"/>
          <w:cols w:equalWidth="0" w:num="1">
            <w:col w:w="11140"/>
          </w:cols>
          <w:pgMar w:left="320" w:top="83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Dated: February 27, 2015</w:t>
            </w:r>
          </w:p>
        </w:tc>
        <w:tc>
          <w:tcPr>
            <w:tcW w:w="5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6"/>
              </w:rPr>
              <w:t>/s/ AVIV EFRAT</w:t>
            </w:r>
          </w:p>
        </w:tc>
      </w:tr>
      <w:tr>
        <w:trPr>
          <w:trHeight w:val="195"/>
        </w:trPr>
        <w:tc>
          <w:tcPr>
            <w:tcW w:w="5860" w:type="dxa"/>
            <w:vAlign w:val="bottom"/>
          </w:tcPr>
          <w:p>
            <w:pPr>
              <w:spacing w:after="0"/>
              <w:rPr>
                <w:sz w:val="16"/>
                <w:szCs w:val="16"/>
                <w:color w:val="auto"/>
              </w:rPr>
            </w:pPr>
          </w:p>
        </w:tc>
        <w:tc>
          <w:tcPr>
            <w:tcW w:w="53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8"/>
              </w:rPr>
              <w:t>Aviv Efrat</w:t>
            </w:r>
          </w:p>
        </w:tc>
      </w:tr>
      <w:tr>
        <w:trPr>
          <w:trHeight w:val="230"/>
        </w:trPr>
        <w:tc>
          <w:tcPr>
            <w:tcW w:w="5860" w:type="dxa"/>
            <w:vAlign w:val="bottom"/>
          </w:tcPr>
          <w:p>
            <w:pPr>
              <w:spacing w:after="0"/>
              <w:rPr>
                <w:sz w:val="20"/>
                <w:szCs w:val="20"/>
                <w:color w:val="auto"/>
              </w:rPr>
            </w:pPr>
          </w:p>
        </w:tc>
        <w:tc>
          <w:tcPr>
            <w:tcW w:w="5380" w:type="dxa"/>
            <w:vAlign w:val="bottom"/>
          </w:tcPr>
          <w:p>
            <w:pPr>
              <w:jc w:val="center"/>
              <w:ind w:left="10"/>
              <w:spacing w:after="0"/>
              <w:rPr>
                <w:sz w:val="20"/>
                <w:szCs w:val="20"/>
                <w:color w:val="auto"/>
              </w:rPr>
            </w:pPr>
            <w:r>
              <w:rPr>
                <w:rFonts w:ascii="Arial" w:cs="Arial" w:eastAsia="Arial" w:hAnsi="Arial"/>
                <w:sz w:val="18"/>
                <w:szCs w:val="18"/>
                <w:color w:val="auto"/>
                <w:w w:val="93"/>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2020-05-05T12:10:22Z</dcterms:created>
  <dcterms:modified xsi:type="dcterms:W3CDTF">2020-05-05T12:10:22Z</dcterms:modified>
</cp:coreProperties>
</file>