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jc w:val="center"/>
              <w:ind w:left="1551"/>
              <w:spacing w:after="0"/>
              <w:rPr>
                <w:sz w:val="20"/>
                <w:szCs w:val="20"/>
                <w:color w:val="auto"/>
              </w:rPr>
            </w:pPr>
            <w:r>
              <w:rPr>
                <w:rFonts w:ascii="Arial" w:cs="Arial" w:eastAsia="Arial" w:hAnsi="Arial"/>
                <w:sz w:val="14"/>
                <w:szCs w:val="14"/>
                <w:b w:val="1"/>
                <w:bCs w:val="1"/>
                <w:color w:val="auto"/>
              </w:rPr>
              <w:t>MARYLAND</w:t>
            </w:r>
          </w:p>
        </w:tc>
        <w:tc>
          <w:tcPr>
            <w:tcW w:w="3300" w:type="dxa"/>
            <w:vAlign w:val="bottom"/>
          </w:tcPr>
          <w:p>
            <w:pPr>
              <w:spacing w:after="0"/>
              <w:rPr>
                <w:sz w:val="16"/>
                <w:szCs w:val="16"/>
                <w:color w:val="auto"/>
              </w:rPr>
            </w:pPr>
          </w:p>
        </w:tc>
        <w:tc>
          <w:tcPr>
            <w:tcW w:w="3920" w:type="dxa"/>
            <w:vAlign w:val="bottom"/>
          </w:tcPr>
          <w:p>
            <w:pPr>
              <w:jc w:val="right"/>
              <w:ind w:right="2273"/>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320" w:type="dxa"/>
            <w:vAlign w:val="bottom"/>
            <w:gridSpan w:val="2"/>
          </w:tcPr>
          <w:p>
            <w:pPr>
              <w:jc w:val="center"/>
              <w:ind w:right="159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920" w:type="dxa"/>
            <w:vAlign w:val="bottom"/>
          </w:tcPr>
          <w:p>
            <w:pPr>
              <w:jc w:val="center"/>
              <w:ind w:right="1393"/>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4020" w:type="dxa"/>
            <w:vAlign w:val="bottom"/>
          </w:tcPr>
          <w:p>
            <w:pPr>
              <w:jc w:val="center"/>
              <w:ind w:left="155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jc w:val="center"/>
              <w:ind w:left="1551"/>
              <w:spacing w:after="0"/>
              <w:rPr>
                <w:sz w:val="20"/>
                <w:szCs w:val="20"/>
                <w:color w:val="auto"/>
              </w:rPr>
            </w:pPr>
            <w:r>
              <w:rPr>
                <w:rFonts w:ascii="Arial" w:cs="Arial" w:eastAsia="Arial" w:hAnsi="Arial"/>
                <w:sz w:val="14"/>
                <w:szCs w:val="14"/>
                <w:b w:val="1"/>
                <w:bCs w:val="1"/>
                <w:color w:val="auto"/>
                <w:w w:val="97"/>
              </w:rPr>
              <w:t>New York, N.Y.</w:t>
            </w:r>
          </w:p>
        </w:tc>
        <w:tc>
          <w:tcPr>
            <w:tcW w:w="3300" w:type="dxa"/>
            <w:vAlign w:val="bottom"/>
          </w:tcPr>
          <w:p>
            <w:pPr>
              <w:spacing w:after="0"/>
              <w:rPr>
                <w:sz w:val="16"/>
                <w:szCs w:val="16"/>
                <w:color w:val="auto"/>
              </w:rPr>
            </w:pPr>
          </w:p>
        </w:tc>
        <w:tc>
          <w:tcPr>
            <w:tcW w:w="3920" w:type="dxa"/>
            <w:vAlign w:val="bottom"/>
            <w:vMerge w:val="restart"/>
          </w:tcPr>
          <w:p>
            <w:pPr>
              <w:jc w:val="right"/>
              <w:ind w:right="2453"/>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40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20" w:type="dxa"/>
            <w:vAlign w:val="bottom"/>
          </w:tcPr>
          <w:p>
            <w:pPr>
              <w:jc w:val="center"/>
              <w:ind w:left="155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300" w:type="dxa"/>
            <w:vAlign w:val="bottom"/>
          </w:tcPr>
          <w:p>
            <w:pPr>
              <w:spacing w:after="0"/>
              <w:rPr>
                <w:sz w:val="13"/>
                <w:szCs w:val="13"/>
                <w:color w:val="auto"/>
              </w:rPr>
            </w:pPr>
          </w:p>
        </w:tc>
        <w:tc>
          <w:tcPr>
            <w:tcW w:w="3920" w:type="dxa"/>
            <w:vAlign w:val="bottom"/>
          </w:tcPr>
          <w:p>
            <w:pPr>
              <w:jc w:val="center"/>
              <w:ind w:right="1393"/>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4020" w:type="dxa"/>
            <w:vAlign w:val="bottom"/>
          </w:tcPr>
          <w:p>
            <w:pPr>
              <w:spacing w:after="0"/>
              <w:rPr>
                <w:sz w:val="24"/>
                <w:szCs w:val="24"/>
                <w:color w:val="auto"/>
              </w:rPr>
            </w:pPr>
          </w:p>
        </w:tc>
        <w:tc>
          <w:tcPr>
            <w:tcW w:w="3300" w:type="dxa"/>
            <w:vAlign w:val="bottom"/>
          </w:tcPr>
          <w:p>
            <w:pPr>
              <w:jc w:val="right"/>
              <w:ind w:right="1171"/>
              <w:spacing w:after="0"/>
              <w:rPr>
                <w:sz w:val="20"/>
                <w:szCs w:val="20"/>
                <w:color w:val="auto"/>
              </w:rPr>
            </w:pPr>
            <w:r>
              <w:rPr>
                <w:rFonts w:ascii="Arial" w:cs="Arial" w:eastAsia="Arial" w:hAnsi="Arial"/>
                <w:sz w:val="14"/>
                <w:szCs w:val="14"/>
                <w:b w:val="1"/>
                <w:bCs w:val="1"/>
                <w:color w:val="auto"/>
              </w:rPr>
              <w:t>(212) 905-1000</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3300" w:type="dxa"/>
            <w:vAlign w:val="bottom"/>
          </w:tcPr>
          <w:p>
            <w:pPr>
              <w:jc w:val="center"/>
              <w:ind w:right="3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40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20" w:type="dxa"/>
            <w:vAlign w:val="bottom"/>
          </w:tcPr>
          <w:p>
            <w:pPr>
              <w:jc w:val="center"/>
              <w:ind w:right="211"/>
              <w:spacing w:after="0"/>
              <w:rPr>
                <w:sz w:val="20"/>
                <w:szCs w:val="20"/>
                <w:color w:val="auto"/>
              </w:rPr>
            </w:pPr>
            <w:r>
              <w:rPr>
                <w:rFonts w:ascii="Arial" w:cs="Arial" w:eastAsia="Arial" w:hAnsi="Arial"/>
                <w:sz w:val="14"/>
                <w:szCs w:val="14"/>
                <w:b w:val="1"/>
                <w:bCs w:val="1"/>
                <w:color w:val="auto"/>
                <w:w w:val="91"/>
              </w:rPr>
              <w:t>Title of Each Class</w:t>
            </w:r>
          </w:p>
        </w:tc>
        <w:tc>
          <w:tcPr>
            <w:tcW w:w="3300" w:type="dxa"/>
            <w:vAlign w:val="bottom"/>
          </w:tcPr>
          <w:p>
            <w:pPr>
              <w:jc w:val="center"/>
              <w:ind w:right="51"/>
              <w:spacing w:after="0"/>
              <w:rPr>
                <w:sz w:val="20"/>
                <w:szCs w:val="20"/>
                <w:color w:val="auto"/>
              </w:rPr>
            </w:pPr>
            <w:r>
              <w:rPr>
                <w:rFonts w:ascii="Arial" w:cs="Arial" w:eastAsia="Arial" w:hAnsi="Arial"/>
                <w:sz w:val="14"/>
                <w:szCs w:val="14"/>
                <w:b w:val="1"/>
                <w:bCs w:val="1"/>
                <w:color w:val="auto"/>
                <w:w w:val="92"/>
              </w:rPr>
              <w:t>Trading Symbol(s)</w:t>
            </w:r>
          </w:p>
        </w:tc>
        <w:tc>
          <w:tcPr>
            <w:tcW w:w="3920" w:type="dxa"/>
            <w:vAlign w:val="bottom"/>
          </w:tcPr>
          <w:p>
            <w:pPr>
              <w:jc w:val="center"/>
              <w:ind w:left="73"/>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4020" w:type="dxa"/>
            <w:vAlign w:val="bottom"/>
          </w:tcPr>
          <w:p>
            <w:pPr>
              <w:jc w:val="center"/>
              <w:ind w:right="211"/>
              <w:spacing w:after="0"/>
              <w:rPr>
                <w:sz w:val="20"/>
                <w:szCs w:val="20"/>
                <w:color w:val="auto"/>
              </w:rPr>
            </w:pPr>
            <w:r>
              <w:rPr>
                <w:rFonts w:ascii="Arial" w:cs="Arial" w:eastAsia="Arial" w:hAnsi="Arial"/>
                <w:sz w:val="14"/>
                <w:szCs w:val="14"/>
                <w:color w:val="auto"/>
                <w:w w:val="92"/>
              </w:rPr>
              <w:t>Common Stock, par value $0.001 per share</w:t>
            </w:r>
          </w:p>
        </w:tc>
        <w:tc>
          <w:tcPr>
            <w:tcW w:w="3300" w:type="dxa"/>
            <w:vAlign w:val="bottom"/>
          </w:tcPr>
          <w:p>
            <w:pPr>
              <w:jc w:val="center"/>
              <w:ind w:right="71"/>
              <w:spacing w:after="0"/>
              <w:rPr>
                <w:sz w:val="20"/>
                <w:szCs w:val="20"/>
                <w:color w:val="auto"/>
              </w:rPr>
            </w:pPr>
            <w:r>
              <w:rPr>
                <w:rFonts w:ascii="Arial" w:cs="Arial" w:eastAsia="Arial" w:hAnsi="Arial"/>
                <w:sz w:val="14"/>
                <w:szCs w:val="14"/>
                <w:color w:val="auto"/>
                <w:w w:val="93"/>
              </w:rPr>
              <w:t>PFLT</w:t>
            </w:r>
          </w:p>
        </w:tc>
        <w:tc>
          <w:tcPr>
            <w:tcW w:w="3920" w:type="dxa"/>
            <w:vAlign w:val="bottom"/>
          </w:tcPr>
          <w:p>
            <w:pPr>
              <w:jc w:val="center"/>
              <w:ind w:left="73"/>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1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200"/>
        <w:spacing w:after="0" w:line="2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May 8, 2019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MARCH 31, 2019</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20" w:type="dxa"/>
            <w:vAlign w:val="bottom"/>
          </w:tcPr>
          <w:p>
            <w:pPr>
              <w:spacing w:after="0"/>
              <w:rPr>
                <w:sz w:val="16"/>
                <w:szCs w:val="16"/>
                <w:color w:val="auto"/>
              </w:rPr>
            </w:pPr>
          </w:p>
        </w:tc>
      </w:tr>
      <w:tr>
        <w:trPr>
          <w:trHeight w:val="297"/>
        </w:trPr>
        <w:tc>
          <w:tcPr>
            <w:tcW w:w="93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20" w:type="dxa"/>
            <w:vAlign w:val="bottom"/>
          </w:tcPr>
          <w:p>
            <w:pPr>
              <w:spacing w:after="0"/>
              <w:rPr>
                <w:sz w:val="24"/>
                <w:szCs w:val="24"/>
                <w:color w:val="auto"/>
              </w:rPr>
            </w:pP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2019 (unaudited) and September 30, 2018</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2019 and 2018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six months ended March 31, 2019 and 2018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2019 and 2018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2019 (unaudited) and September 30, 2018</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97"/>
        </w:trPr>
        <w:tc>
          <w:tcPr>
            <w:tcW w:w="9320" w:type="dxa"/>
            <w:vAlign w:val="bottom"/>
          </w:tcPr>
          <w:p>
            <w:pPr>
              <w:ind w:left="380"/>
              <w:spacing w:after="0"/>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31">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3. Quantitative and Qualitative Disclosures About Market Risk</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4. Controls and Procedures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320" w:type="dxa"/>
            <w:vAlign w:val="bottom"/>
          </w:tcPr>
          <w:p>
            <w:pPr>
              <w:ind w:left="43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PART II. OTHER INFORMATION</w:t>
              </w:r>
            </w:hyperlink>
          </w:p>
        </w:tc>
        <w:tc>
          <w:tcPr>
            <w:tcW w:w="1920" w:type="dxa"/>
            <w:vAlign w:val="bottom"/>
          </w:tcPr>
          <w:p>
            <w:pPr>
              <w:spacing w:after="0"/>
              <w:rPr>
                <w:sz w:val="24"/>
                <w:szCs w:val="24"/>
                <w:color w:val="auto"/>
              </w:rPr>
            </w:pP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1. Legal Proceedings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Item 1A. Risk Factors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2. 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3. Defaults Upon Senior Securities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4. Mine Safety Disclosures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5. Other Information</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6. Exhibits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32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SIGNATURES</w:t>
              </w:r>
            </w:hyperlink>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(cost—$814,383,877 and $856,893,017, respectively)</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788,954,496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854,753,064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(cost—$172,812,500 and $144,375,000, respectively)</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172,507,113</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145,860,229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(cost—$987,196,377 and $1,001,268,017, respectively)</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961,461,609</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1,000,613,293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(cost—$33,800,646 and $72,231,801,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33,742,035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2,818,212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2,813,808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13,945,000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106,097</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792,069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1,012,072,953</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0" w:type="dxa"/>
            <w:vAlign w:val="bottom"/>
            <w:shd w:val="clear" w:color="auto" w:fill="CCECFF"/>
          </w:tcPr>
          <w:p>
            <w:pPr>
              <w:spacing w:after="0"/>
              <w:rPr>
                <w:sz w:val="14"/>
                <w:szCs w:val="14"/>
                <w:color w:val="auto"/>
              </w:rPr>
            </w:pPr>
          </w:p>
        </w:tc>
        <w:tc>
          <w:tcPr>
            <w:tcW w:w="164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59,587,222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(cost—$352,307,500 and $333,727,520, respectively) (See Notes 5 and 10)</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348,939,801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332,128,815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2023 Notes payable (cost—$138,579,858) (See Notes 5 and 10)</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137,360,355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2,961,963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2,638,504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2,418,706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2,419,629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2,514,047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3,298,404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929,778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1,342,479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498,807,997</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540,601,785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shares issued and outstanding</w:t>
            </w:r>
          </w:p>
        </w:tc>
        <w:tc>
          <w:tcPr>
            <w:tcW w:w="20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Accumulated distributable net loss</w:t>
            </w:r>
          </w:p>
        </w:tc>
        <w:tc>
          <w:tcPr>
            <w:tcW w:w="200" w:type="dxa"/>
            <w:vAlign w:val="bottom"/>
            <w:shd w:val="clear" w:color="auto" w:fill="CCECFF"/>
          </w:tcPr>
          <w:p>
            <w:pPr>
              <w:spacing w:after="0"/>
              <w:rPr>
                <w:sz w:val="14"/>
                <w:szCs w:val="14"/>
                <w:color w:val="auto"/>
              </w:rPr>
            </w:pPr>
          </w:p>
        </w:tc>
        <w:tc>
          <w:tcPr>
            <w:tcW w:w="16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(26,236,152)</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(3,659,540)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513,264,956</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535,841,568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1,012,072,953</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13.24</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5"/>
        </w:trPr>
        <w:tc>
          <w:tcPr>
            <w:tcW w:w="5900" w:type="dxa"/>
            <w:vAlign w:val="bottom"/>
            <w:tcBorders>
              <w:bottom w:val="single" w:sz="8" w:color="CCECFF"/>
            </w:tcBorders>
          </w:tcPr>
          <w:p>
            <w:pPr>
              <w:spacing w:after="0"/>
              <w:rPr>
                <w:sz w:val="13"/>
                <w:szCs w:val="13"/>
                <w:color w:val="auto"/>
              </w:rPr>
            </w:pPr>
          </w:p>
        </w:tc>
        <w:tc>
          <w:tcPr>
            <w:tcW w:w="46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CFF"/>
            </w:tcBorders>
          </w:tcPr>
          <w:p>
            <w:pPr>
              <w:spacing w:after="0"/>
              <w:rPr>
                <w:sz w:val="13"/>
                <w:szCs w:val="13"/>
                <w:color w:val="auto"/>
              </w:rPr>
            </w:pPr>
          </w:p>
        </w:tc>
        <w:tc>
          <w:tcPr>
            <w:tcW w:w="8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16,825,167</w:t>
            </w:r>
          </w:p>
        </w:tc>
        <w:tc>
          <w:tcPr>
            <w:tcW w:w="16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14,639,839</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34,995,165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28,507,259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1,390,690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262,878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2,011,879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696,058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3,214,482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898,103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6,032,527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1,433,863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4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1,575,000</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6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23,005,339</w:t>
            </w:r>
          </w:p>
        </w:tc>
        <w:tc>
          <w:tcPr>
            <w:tcW w:w="16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16,500,820</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46,189,571</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31,337,180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2,418,706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1,929,703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4,917,472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3,751,766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2,514,047</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375,101</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1,321,638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523,111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5,316,180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3,477,374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10,621,658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6,095,682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850,000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46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616,077</w:t>
            </w:r>
          </w:p>
        </w:tc>
        <w:tc>
          <w:tcPr>
            <w:tcW w:w="16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618,750</w:t>
            </w:r>
          </w:p>
        </w:tc>
        <w:tc>
          <w:tcPr>
            <w:tcW w:w="1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1,232,152</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1,237,501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11,215,010</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6,900,928</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18,942,920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12,608,060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4,517,292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10,869,098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46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11,220,023</w:t>
            </w:r>
          </w:p>
        </w:tc>
        <w:tc>
          <w:tcPr>
            <w:tcW w:w="16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7,100,928</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23,460,212</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23,877,158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6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11,785,316</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9,399,892</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22,729,359</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7,460,022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0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1,079,348</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1,463,057</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2,002,814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(1,323,494)</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(13,288,572)</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(1,013,160)</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(23,330,111)</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2,184,996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573,851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435,258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(1,790,617)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753,700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4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(5,621,668)</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5,304,713</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(87,975)</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8,433,318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46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(18,336,389)</w:t>
            </w:r>
          </w:p>
        </w:tc>
        <w:tc>
          <w:tcPr>
            <w:tcW w:w="16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4,726,811</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(25,208,703)</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11,372,014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46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(17,257,041)</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6,189,868</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(23,205,889)</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10,048,520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9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46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(5,471,725)</w:t>
            </w:r>
          </w:p>
        </w:tc>
        <w:tc>
          <w:tcPr>
            <w:tcW w:w="16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15,589,760</w:t>
            </w:r>
          </w:p>
        </w:tc>
        <w:tc>
          <w:tcPr>
            <w:tcW w:w="1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(476,530)</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17,508,542</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w w:val="99"/>
              </w:rPr>
              <w:t>Net (decrease) increase in net assets resulting from operations per common share (See Note 7)</w:t>
            </w:r>
          </w:p>
        </w:tc>
        <w:tc>
          <w:tcPr>
            <w:tcW w:w="4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(0.14)</w:t>
            </w:r>
          </w:p>
        </w:tc>
        <w:tc>
          <w:tcPr>
            <w:tcW w:w="16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0.40</w:t>
            </w:r>
          </w:p>
        </w:tc>
        <w:tc>
          <w:tcPr>
            <w:tcW w:w="16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(0.01)</w:t>
            </w:r>
          </w:p>
        </w:tc>
        <w:tc>
          <w:tcPr>
            <w:tcW w:w="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0.46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22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11,785,316</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9,399,892</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22,729,359</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7,460,022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1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1,079,348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1,463,057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2,002,814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(1,323,494)</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(12,714,721)</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(577,902)</w:t>
            </w: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(25,120,728)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2,938,696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(5,621,668)</w:t>
            </w: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5,304,713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(87,975)</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8,433,318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(5,471,725)</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15,589,760</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(476,530)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17,508,542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(22,100,082)</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(21,474,602)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1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(16,521,766)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4,539,719</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(22,576,612)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84,053,696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529,786,722</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537,420,251</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513,264,956</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541,959,970</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513,264,956</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541,959,970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issued from public offering</w:t>
            </w: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6,292,000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(decrease)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(476,530)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17,508,542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(decrease)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25,120,728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(2,938,696)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appreciation (depreciation)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87,975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(8,433,318)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(2,002,814)</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1,323,494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(760,733)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(793,775)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(316,812,305)</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(315,338,526)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(524,049)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(327,152)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333,519,118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195,684,288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(4,404)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(206,481)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receivable for investments sold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(13,945,000)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13,123,508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685,972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511,463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(59,587,222)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(11,904,336)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323,459</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1,916,695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base management fee payable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(923)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144,897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(784,357)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(2,113,655)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accrued other expenses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(412,701)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125,473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(35,573,786)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(111,717,579)</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(1,012,044)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(22,100,082)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(20,876,862)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190,700,000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(172,120,020)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(125,095,000)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(3,520,102)</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142,112,762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(39,093,888)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30,395,183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611,740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(898,043)</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72,224,183</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33,742,035</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48,407,896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10,298,199</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15,048,085</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273,941</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377,618</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18,032,254</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53,200,000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2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60" w:type="dxa"/>
            <w:vAlign w:val="bottom"/>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Companies—153.7% </w:t>
            </w:r>
            <w:r>
              <w:rPr>
                <w:rFonts w:ascii="Arial" w:cs="Arial" w:eastAsia="Arial" w:hAnsi="Arial"/>
                <w:sz w:val="9"/>
                <w:szCs w:val="9"/>
                <w:b w:val="1"/>
                <w:bCs w:val="1"/>
                <w:color w:val="auto"/>
                <w:w w:val="90"/>
              </w:rPr>
              <w:t>(3), (4)</w:t>
            </w:r>
          </w:p>
        </w:tc>
        <w:tc>
          <w:tcPr>
            <w:tcW w:w="238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b w:val="1"/>
                <w:bCs w:val="1"/>
                <w:color w:val="auto"/>
              </w:rPr>
              <w:t>First Lien Secured Debt—142.1%</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01/02/2024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7.73%</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5,842,972</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5,767,681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5,784,543</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12/21/2023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92"/>
              </w:rPr>
              <w:t>Building Products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7.98%</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15,000,000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14,717,734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12/21/2023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2"/>
              </w:rPr>
              <w:t>Building Products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649,351</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(12,987)</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American Scaffold</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03/31/2022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4,375,000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4,337,135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4,331,250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12/08/2021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9,817,759</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9,718,823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7,166,964</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04/22/2024</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4,844,390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4,789,552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4,771,724</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(19,685)</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8.11%</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11,790,000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11,702,224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11,672,100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8,048,666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7,853,653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8,048,666</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9.74%</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L+725</w:t>
            </w:r>
          </w:p>
        </w:tc>
        <w:tc>
          <w:tcPr>
            <w:tcW w:w="660" w:type="dxa"/>
            <w:vAlign w:val="bottom"/>
          </w:tcPr>
          <w:p>
            <w:pPr>
              <w:jc w:val="right"/>
              <w:spacing w:after="0"/>
              <w:rPr>
                <w:sz w:val="20"/>
                <w:szCs w:val="20"/>
                <w:color w:val="auto"/>
              </w:rPr>
            </w:pPr>
            <w:r>
              <w:rPr>
                <w:rFonts w:ascii="Arial" w:cs="Arial" w:eastAsia="Arial" w:hAnsi="Arial"/>
                <w:sz w:val="12"/>
                <w:szCs w:val="12"/>
                <w:color w:val="auto"/>
              </w:rPr>
              <w:t>554,828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554,828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554,828</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1,756,956</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Cadence Aerospace,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11/14/2023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2,882,702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2,860,586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2,859,356</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12/23/2021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8.74%</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1,123,791</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1,114,009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1,123,791</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Cardenas Markets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11/29/2023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3,854,600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3,861,036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3,758,235</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07/21/2023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8.56%</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16,078,670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15,805,789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15,797,294</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04/10/2025</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6,114,509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6,086,790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6,076,293</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04/10/2025</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(8,371)</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08/31/2023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8.23%</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rPr>
                <w:sz w:val="20"/>
                <w:szCs w:val="20"/>
                <w:color w:val="auto"/>
              </w:rPr>
            </w:pPr>
            <w:r>
              <w:rPr>
                <w:rFonts w:ascii="Arial" w:cs="Arial" w:eastAsia="Arial" w:hAnsi="Arial"/>
                <w:sz w:val="12"/>
                <w:szCs w:val="12"/>
                <w:color w:val="auto"/>
              </w:rPr>
              <w:t>569,158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569,158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563,466</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08/31/2023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142,289</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(1,423)</w:t>
            </w:r>
          </w:p>
        </w:tc>
      </w:tr>
      <w:tr>
        <w:trPr>
          <w:trHeight w:val="148"/>
        </w:trPr>
        <w:tc>
          <w:tcPr>
            <w:tcW w:w="31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2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9.50%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P+400</w:t>
            </w:r>
          </w:p>
        </w:tc>
        <w:tc>
          <w:tcPr>
            <w:tcW w:w="660" w:type="dxa"/>
            <w:vAlign w:val="bottom"/>
          </w:tcPr>
          <w:p>
            <w:pPr>
              <w:jc w:val="right"/>
              <w:spacing w:after="0"/>
              <w:rPr>
                <w:sz w:val="20"/>
                <w:szCs w:val="20"/>
                <w:color w:val="auto"/>
              </w:rPr>
            </w:pPr>
            <w:r>
              <w:rPr>
                <w:rFonts w:ascii="Arial" w:cs="Arial" w:eastAsia="Arial" w:hAnsi="Arial"/>
                <w:sz w:val="12"/>
                <w:szCs w:val="12"/>
                <w:color w:val="auto"/>
              </w:rPr>
              <w:t>17,713,095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17,681,757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11,630,461</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Country Fresh Holdings, LLC, First Out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05/07/2019</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594,875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585,876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594,875</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Country Fresh Holdings, LLC, First Out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05/07/2019</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148,719</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8.75%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949,709</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934,365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949,709</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12/29/2023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11,293,750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11,210,044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11,209,047</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14,413,235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14,207,165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14,269,103</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1,317,353</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1,317,353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1,304,179</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w:t>
            </w:r>
          </w:p>
        </w:tc>
        <w:tc>
          <w:tcPr>
            <w:tcW w:w="112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1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3,073,824</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(30,738)</w:t>
            </w:r>
          </w:p>
        </w:tc>
      </w:tr>
      <w:tr>
        <w:trPr>
          <w:trHeight w:val="141"/>
        </w:trPr>
        <w:tc>
          <w:tcPr>
            <w:tcW w:w="31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Douglas Sewer Intermediate, LLC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10/19/2022</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9,866,166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9,796,462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9,767,504</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10.60%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19,240,505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19,103,997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19,048,100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10/05/2023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Banking, Finance, Insurance &amp; Real Estate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24,688,125</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(8),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10/05/2023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Banking, Finance, Insurance &amp;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9.63%</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10,335,302</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10,312,372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10,283,626</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9.64%</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2,173,913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2,173,913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2,163,043</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2,105,285</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(42,106)</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06/15/2022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9.35%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7,374,113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7,338,624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7,337,242</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9.99%</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5,300,412</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5,178,471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5,300,412</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11.00%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P+550</w:t>
            </w:r>
          </w:p>
        </w:tc>
        <w:tc>
          <w:tcPr>
            <w:tcW w:w="660" w:type="dxa"/>
            <w:vAlign w:val="bottom"/>
          </w:tcPr>
          <w:p>
            <w:pPr>
              <w:jc w:val="right"/>
              <w:spacing w:after="0"/>
              <w:rPr>
                <w:sz w:val="20"/>
                <w:szCs w:val="20"/>
                <w:color w:val="auto"/>
              </w:rPr>
            </w:pPr>
            <w:r>
              <w:rPr>
                <w:rFonts w:ascii="Arial" w:cs="Arial" w:eastAsia="Arial" w:hAnsi="Arial"/>
                <w:sz w:val="12"/>
                <w:szCs w:val="12"/>
                <w:color w:val="auto"/>
              </w:rPr>
              <w:t>1,333,333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1,333,333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1,333,333</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11/14/2022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1,333,333</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Good2Grow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11/18/2024</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6.85%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tcPr>
          <w:p>
            <w:pPr>
              <w:jc w:val="right"/>
              <w:spacing w:after="0"/>
              <w:rPr>
                <w:sz w:val="20"/>
                <w:szCs w:val="20"/>
                <w:color w:val="auto"/>
              </w:rPr>
            </w:pPr>
            <w:r>
              <w:rPr>
                <w:rFonts w:ascii="Arial" w:cs="Arial" w:eastAsia="Arial" w:hAnsi="Arial"/>
                <w:sz w:val="12"/>
                <w:szCs w:val="12"/>
                <w:color w:val="auto"/>
              </w:rPr>
              <w:t>7,481,250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7,410,052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7,406,438</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Good2Grow LLC (Revolver)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11/16/2023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6.83%</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941,100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941,100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931,689</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Good2Grow LLC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11/16/2023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3"/>
              </w:rPr>
              <w:t>Beverages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2,195,900</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2"/>
                <w:szCs w:val="12"/>
                <w:color w:val="auto"/>
              </w:rPr>
              <w:t>(21,959)</w:t>
            </w: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14,446,405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14,379,476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14,374,173</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06/03/2024</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7.10%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1,425,297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1,425,297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1,418,170</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5,701,187</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(28,506)</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(6)</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10,952,132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10,785,997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9,418,834</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12/10/2024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7,529,516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7,457,185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7,454,223</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HW Holdco, LLC (Revolver)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12/10/2024</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8.85%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499,355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499,355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494,362</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HW Holdco,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12/10/2024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952,258</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(9,522)</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05/01/2019</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4,736,879</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4,735,486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4,725,037</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IMIA Holdings, Inc.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10/28/2024</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06/27/2023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9.12%</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12,875,093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12,803,154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12,810,717</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3,322,636</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3,285,083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3,289,410</w:t>
            </w:r>
          </w:p>
        </w:tc>
        <w:tc>
          <w:tcPr>
            <w:tcW w:w="100" w:type="dxa"/>
            <w:vAlign w:val="bottom"/>
            <w:shd w:val="clear" w:color="auto" w:fill="CCECFF"/>
          </w:tcPr>
          <w:p>
            <w:pPr>
              <w:spacing w:after="0"/>
              <w:rPr>
                <w:sz w:val="12"/>
                <w:szCs w:val="12"/>
                <w:color w:val="auto"/>
              </w:rPr>
            </w:pP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04/13/2023</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10.50%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P+500</w:t>
            </w:r>
          </w:p>
        </w:tc>
        <w:tc>
          <w:tcPr>
            <w:tcW w:w="660" w:type="dxa"/>
            <w:vAlign w:val="bottom"/>
          </w:tcPr>
          <w:p>
            <w:pPr>
              <w:jc w:val="right"/>
              <w:spacing w:after="0"/>
              <w:rPr>
                <w:sz w:val="20"/>
                <w:szCs w:val="20"/>
                <w:color w:val="auto"/>
              </w:rPr>
            </w:pPr>
            <w:r>
              <w:rPr>
                <w:rFonts w:ascii="Arial" w:cs="Arial" w:eastAsia="Arial" w:hAnsi="Arial"/>
                <w:sz w:val="12"/>
                <w:szCs w:val="12"/>
                <w:color w:val="auto"/>
              </w:rPr>
              <w:t>88,496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88,496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88,496</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442,478</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Integrative Nutrition,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09/29/2023</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7.55%</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35,910,000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35,580,974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35,550,900</w:t>
            </w: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09/29/2023</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(50,000)</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Inventus Power,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9.00%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rPr>
                <w:sz w:val="20"/>
                <w:szCs w:val="20"/>
                <w:color w:val="auto"/>
              </w:rPr>
            </w:pPr>
            <w:r>
              <w:rPr>
                <w:rFonts w:ascii="Arial" w:cs="Arial" w:eastAsia="Arial" w:hAnsi="Arial"/>
                <w:sz w:val="12"/>
                <w:szCs w:val="12"/>
                <w:color w:val="auto"/>
              </w:rPr>
              <w:t>4,205,023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4,195,745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3,784,521</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12/20/2023</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1,428,571</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(17,740)</w:t>
            </w:r>
          </w:p>
        </w:tc>
      </w:tr>
      <w:tr>
        <w:trPr>
          <w:trHeight w:val="155"/>
        </w:trPr>
        <w:tc>
          <w:tcPr>
            <w:tcW w:w="3100" w:type="dxa"/>
            <w:vAlign w:val="bottom"/>
          </w:tcPr>
          <w:p>
            <w:pPr>
              <w:spacing w:after="0"/>
              <w:rPr>
                <w:sz w:val="20"/>
                <w:szCs w:val="20"/>
                <w:color w:val="auto"/>
              </w:rPr>
            </w:pPr>
            <w:r>
              <w:rPr>
                <w:rFonts w:ascii="Arial" w:cs="Arial" w:eastAsia="Arial" w:hAnsi="Arial"/>
                <w:sz w:val="12"/>
                <w:szCs w:val="12"/>
                <w:color w:val="auto"/>
              </w:rPr>
              <w:t>Kentucky Downs, LLC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03/07/2025</w:t>
            </w:r>
          </w:p>
        </w:tc>
        <w:tc>
          <w:tcPr>
            <w:tcW w:w="252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Hotels, Restaurants and Leisure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12.10%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tcPr>
          <w:p>
            <w:pPr>
              <w:jc w:val="right"/>
              <w:spacing w:after="0"/>
              <w:rPr>
                <w:sz w:val="20"/>
                <w:szCs w:val="20"/>
                <w:color w:val="auto"/>
              </w:rPr>
            </w:pPr>
            <w:r>
              <w:rPr>
                <w:rFonts w:ascii="Arial" w:cs="Arial" w:eastAsia="Arial" w:hAnsi="Arial"/>
                <w:sz w:val="12"/>
                <w:szCs w:val="12"/>
                <w:color w:val="auto"/>
              </w:rPr>
              <w:t>5,388,724</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5,281,558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5,280,950</w:t>
            </w:r>
          </w:p>
        </w:tc>
        <w:tc>
          <w:tcPr>
            <w:tcW w:w="100" w:type="dxa"/>
            <w:vAlign w:val="bottom"/>
          </w:tcPr>
          <w:p>
            <w:pPr>
              <w:spacing w:after="0"/>
              <w:rPr>
                <w:sz w:val="13"/>
                <w:szCs w:val="13"/>
                <w:color w:val="auto"/>
              </w:rPr>
            </w:pPr>
          </w:p>
        </w:tc>
      </w:tr>
      <w:tr>
        <w:trPr>
          <w:trHeight w:val="142"/>
        </w:trPr>
        <w:tc>
          <w:tcPr>
            <w:tcW w:w="3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Kentucky Downs, LLC </w:t>
            </w:r>
            <w:r>
              <w:rPr>
                <w:rFonts w:ascii="Arial" w:cs="Arial" w:eastAsia="Arial" w:hAnsi="Arial"/>
                <w:sz w:val="9"/>
                <w:szCs w:val="9"/>
                <w:color w:val="auto"/>
              </w:rPr>
              <w:t>(7), (8)</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03/07/2025</w:t>
            </w:r>
          </w:p>
        </w:tc>
        <w:tc>
          <w:tcPr>
            <w:tcW w:w="252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Hotels, Restaurants and Leisure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1,120,690</w:t>
            </w: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00" w:type="dxa"/>
            <w:vAlign w:val="bottom"/>
          </w:tcPr>
          <w:p>
            <w:pPr>
              <w:spacing w:after="0"/>
              <w:rPr>
                <w:sz w:val="20"/>
                <w:szCs w:val="20"/>
                <w:color w:val="auto"/>
              </w:rPr>
            </w:pPr>
            <w:r>
              <w:rPr>
                <w:rFonts w:ascii="Arial" w:cs="Arial" w:eastAsia="Arial" w:hAnsi="Arial"/>
                <w:sz w:val="12"/>
                <w:szCs w:val="12"/>
                <w:color w:val="auto"/>
              </w:rPr>
              <w:t>KHC Holdings, Inc.</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8.60%</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12,093,750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11,972,132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12,093,750</w:t>
            </w:r>
          </w:p>
        </w:tc>
        <w:tc>
          <w:tcPr>
            <w:tcW w:w="100" w:type="dxa"/>
            <w:vAlign w:val="bottom"/>
          </w:tcPr>
          <w:p>
            <w:pPr>
              <w:spacing w:after="0"/>
              <w:rPr>
                <w:sz w:val="12"/>
                <w:szCs w:val="12"/>
                <w:color w:val="auto"/>
              </w:rPr>
            </w:pP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6.75%</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76,613</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76,613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76,613</w:t>
            </w:r>
          </w:p>
        </w:tc>
        <w:tc>
          <w:tcPr>
            <w:tcW w:w="100" w:type="dxa"/>
            <w:vAlign w:val="bottom"/>
            <w:shd w:val="clear" w:color="auto" w:fill="CCECFF"/>
          </w:tcPr>
          <w:p>
            <w:pPr>
              <w:spacing w:after="0"/>
              <w:rPr>
                <w:sz w:val="12"/>
                <w:szCs w:val="12"/>
                <w:color w:val="auto"/>
              </w:rPr>
            </w:pPr>
          </w:p>
        </w:tc>
      </w:tr>
      <w:tr>
        <w:trPr>
          <w:trHeight w:val="149"/>
        </w:trPr>
        <w:tc>
          <w:tcPr>
            <w:tcW w:w="310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12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2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1,133,065</w:t>
            </w: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0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2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03/07/2022</w:t>
            </w:r>
          </w:p>
        </w:tc>
        <w:tc>
          <w:tcPr>
            <w:tcW w:w="252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12.10%</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10,047,000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9,932,086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9,984,206</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1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2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LAV Gear Holdings, Inc.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10/31/2024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8.10%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5,383,333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5,333,751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5,287,394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LAV Gear Holdings, Inc.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10/31/2024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3,015,873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(53,746)</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LAV Gear Holdings,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10/31/2024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8.10%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476,190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476,190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467,703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LAV Gear Holdings, Inc.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10/31/2024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1,111,111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(19,803)</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4,667,648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4,599,788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933,529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Lombart Brothers,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04/13/2023</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8.85%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12,035,486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11,895,188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11,915,131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04/13/2023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10.50%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655,908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655,908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655,908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04/13/2023</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583,030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09/07/2023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7.25%</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6,022,368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5,967,119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5,965,571</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09/07/2023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3,947,368</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(37,228)</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7.50%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9,950,000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9,873,431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9.50%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615,000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615,000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602,700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08/19/2022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2,385,000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(47,700)</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05/01/2023</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Retail</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8.48%</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13,865,625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13,761,383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12,825,703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12/08/2023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8.49%</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7,418,542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7,351,478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7,189,629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12/08/2023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1,007,500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(31,088)</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7.75%</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3,326,277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3,302,523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3,309,646</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7.22%</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16,386,709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11,553,750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12,265,960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1,703,163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(8,516)</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09/28/2021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7.50%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353,357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353,357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352,358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971,731</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(2,746)</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10.88%</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27,327,904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27,560,841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23,866,278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17,095,886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16,826,155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17,010,407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0"/>
                <w:szCs w:val="10"/>
                <w:color w:val="auto"/>
                <w:w w:val="81"/>
              </w:rPr>
              <w:t>(6)</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7,057,310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6,988,207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282,292</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Olde Thompson,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05/14/2024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1,843,214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1,824,782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1,843,214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05/14/2024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02/27/2023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8.75%</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12,907,623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12,827,041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12,907,623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12.75%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02/27/2023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305,555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Peninsula Pacific Entertainment LLC</w:t>
            </w:r>
          </w:p>
        </w:tc>
        <w:tc>
          <w:tcPr>
            <w:tcW w:w="74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11/13/2024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9.85%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L+725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11,250,000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11,195,629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11,179,688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 (8)</w:t>
            </w:r>
          </w:p>
        </w:tc>
        <w:tc>
          <w:tcPr>
            <w:tcW w:w="74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11/13/2024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(7,813)</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Perforce Software,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12/27/2024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Software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26,595,170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26,463,128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26,495,439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Perforce Software, Inc.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12/27/2024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Software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337,500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(4,033)</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8.05%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14,962,500</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14,824,874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14,892,608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Plant Health Intermediate, Inc.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10/19/2022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2,124,352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2,094,037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2,103,109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PRA Events,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08/08/2022</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9.61%</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2,611,893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2,563,790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2,611,893</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Questex,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09/09/2024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8.86%</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7,462,500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7,326,500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7,313,250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1,196,809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(23,936)</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9,375,000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9,286,696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3,949,219</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8.74%</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5,610,051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5,523,504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5,497,850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1,702,703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(34,054)</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8.75%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945,946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945,946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927,027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 Sampling</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12/20/2024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8.00%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23,623,960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24,502,344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Salient CRGT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02/28/2022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1,796,854</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1,773,514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1,760,917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8.93%</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6,793,285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6,740,982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6,793,285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2,034,952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7.38%</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1,127,368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1,127,368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1,116,094</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Smile Brands Inc.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3,378,557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(33,786)</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P+350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592,625</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592,625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581,839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Smile Brands Inc.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1,023,625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(18,630)</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8.49%</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483,333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483,333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410,834</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(27,500)</w:t>
            </w: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04/22/2019</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Solutionreach, Inc.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01/17/2024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8.23%</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13,320,000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13,067,202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13,024,738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Solutionreach, Inc.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01/17/2024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Healthcare Technology</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1,665,000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2"/>
                <w:szCs w:val="12"/>
                <w:color w:val="auto"/>
              </w:rPr>
              <w:t>(36,908)</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7.50%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7,775,385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7,683,765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7,697,631</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Tensar Corporation</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7.35%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22,620,696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22,498,974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22,312,373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7.95%</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6,133,891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6,099,010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6,072,552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7.58%</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7,663,681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7,607,544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7,663,681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7.08%</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5,458,862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5,422,103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5,458,862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226,957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226,957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226,957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1,191,527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15.75%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3M L+1,325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7,892,576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7,827,473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7,813,651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TVC Enterprises,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7.99%</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16,023,857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15,713,929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16,023,857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1,955,719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TVC Enterprises, LLC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8.00%</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162,734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162,734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162,734</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TVC Enterprises, LLC (Revolver) </w:t>
            </w:r>
            <w:r>
              <w:rPr>
                <w:rFonts w:ascii="Arial" w:cs="Arial" w:eastAsia="Arial" w:hAnsi="Arial"/>
                <w:sz w:val="9"/>
                <w:szCs w:val="9"/>
                <w:color w:val="auto"/>
              </w:rPr>
              <w:t>(7), (8)</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1,141,079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Tyto Athene, LLC</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8.25%</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18,090,932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17,838,347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17,696,110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Tyto Athene, LLC (Revolver) </w:t>
            </w:r>
            <w:r>
              <w:rPr>
                <w:rFonts w:ascii="Arial" w:cs="Arial" w:eastAsia="Arial" w:hAnsi="Arial"/>
                <w:sz w:val="9"/>
                <w:szCs w:val="9"/>
                <w:color w:val="auto"/>
              </w:rPr>
              <w:t>(7)</w:t>
            </w:r>
          </w:p>
        </w:tc>
        <w:tc>
          <w:tcPr>
            <w:tcW w:w="7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08/27/2024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8.25%</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3,556,818</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3,556,818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3,479,193</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Tyto Athene, LLC (Revolver) </w:t>
            </w:r>
            <w:r>
              <w:rPr>
                <w:rFonts w:ascii="Arial" w:cs="Arial" w:eastAsia="Arial" w:hAnsi="Arial"/>
                <w:sz w:val="9"/>
                <w:szCs w:val="9"/>
                <w:color w:val="auto"/>
              </w:rPr>
              <w:t>(7), (8)</w:t>
            </w:r>
          </w:p>
        </w:tc>
        <w:tc>
          <w:tcPr>
            <w:tcW w:w="74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3,261,364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(71,177)</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20" w:type="dxa"/>
            <w:vAlign w:val="bottom"/>
            <w:tcBorders>
              <w:bottom w:val="single" w:sz="8" w:color="CCECFF"/>
            </w:tcBorders>
          </w:tcPr>
          <w:p>
            <w:pPr>
              <w:spacing w:after="0"/>
              <w:rPr>
                <w:sz w:val="12"/>
                <w:szCs w:val="12"/>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7.03%</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13,164,298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13,062,847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13,032,655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1,099,618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(10,996)</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7.14%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2,159,960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04/03/2024</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733,333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(13,347)</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08/20/2024</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8.10%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10,447,500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10,246,245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10,343,025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US Dominion,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07/15/2024</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9.25%</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80" w:type="dxa"/>
            <w:vAlign w:val="bottom"/>
          </w:tcPr>
          <w:p>
            <w:pPr>
              <w:jc w:val="right"/>
              <w:spacing w:after="0"/>
              <w:rPr>
                <w:sz w:val="20"/>
                <w:szCs w:val="20"/>
                <w:color w:val="auto"/>
              </w:rPr>
            </w:pPr>
            <w:r>
              <w:rPr>
                <w:rFonts w:ascii="Arial" w:cs="Arial" w:eastAsia="Arial" w:hAnsi="Arial"/>
                <w:sz w:val="12"/>
                <w:szCs w:val="12"/>
                <w:color w:val="auto"/>
              </w:rPr>
              <w:t>967,563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952,194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967,563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07/15/2024</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07/15/2024</w:t>
            </w:r>
          </w:p>
        </w:tc>
        <w:tc>
          <w:tcPr>
            <w:tcW w:w="2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1,250,000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08/13/2021</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3,011,719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3,011,719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2,921,367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8.37%</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16,980,505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16,936,719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16,980,505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430,680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8.91%</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403,333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403,333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403,333</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07/15/2021</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476,667</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758,800,335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729,151,403</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Debt—5.3%</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04/25/2025</w:t>
            </w:r>
          </w:p>
        </w:tc>
        <w:tc>
          <w:tcPr>
            <w:tcW w:w="2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11.49%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80" w:type="dxa"/>
            <w:vAlign w:val="bottom"/>
          </w:tcPr>
          <w:p>
            <w:pPr>
              <w:jc w:val="right"/>
              <w:spacing w:after="0"/>
              <w:rPr>
                <w:sz w:val="20"/>
                <w:szCs w:val="20"/>
                <w:color w:val="auto"/>
              </w:rPr>
            </w:pPr>
            <w:r>
              <w:rPr>
                <w:rFonts w:ascii="Arial" w:cs="Arial" w:eastAsia="Arial" w:hAnsi="Arial"/>
                <w:sz w:val="12"/>
                <w:szCs w:val="12"/>
                <w:color w:val="auto"/>
              </w:rPr>
              <w:t>1,655,172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1,626,591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1,655,172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 Term Loan B</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02/01/2026</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10,639,343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10,639,343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10,639,343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8.00%)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DBI Holdings, LLC, Term Loan 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03/26/2021</w:t>
            </w:r>
          </w:p>
        </w:tc>
        <w:tc>
          <w:tcPr>
            <w:tcW w:w="220" w:type="dxa"/>
            <w:vAlign w:val="bottom"/>
          </w:tcPr>
          <w:p>
            <w:pPr>
              <w:spacing w:after="0"/>
              <w:rPr>
                <w:sz w:val="13"/>
                <w:szCs w:val="13"/>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21,276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21,276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21,276</w:t>
            </w: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8.00%)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03/31/2025</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10.85%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8,080,426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7,991,414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8,080,426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10/23/2024</w:t>
            </w:r>
          </w:p>
        </w:tc>
        <w:tc>
          <w:tcPr>
            <w:tcW w:w="2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80" w:type="dxa"/>
            <w:vAlign w:val="bottom"/>
          </w:tcPr>
          <w:p>
            <w:pPr>
              <w:jc w:val="right"/>
              <w:spacing w:after="0"/>
              <w:rPr>
                <w:sz w:val="20"/>
                <w:szCs w:val="20"/>
                <w:color w:val="auto"/>
              </w:rPr>
            </w:pPr>
            <w:r>
              <w:rPr>
                <w:rFonts w:ascii="Arial" w:cs="Arial" w:eastAsia="Arial" w:hAnsi="Arial"/>
                <w:sz w:val="12"/>
                <w:szCs w:val="12"/>
                <w:color w:val="auto"/>
              </w:rPr>
              <w:t>2,871,025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2,819,153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2,813,604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gridSpan w:val="2"/>
            <w:shd w:val="clear" w:color="auto" w:fill="CCECFF"/>
          </w:tcPr>
          <w:p>
            <w:pPr>
              <w:jc w:val="center"/>
              <w:ind w:left="42"/>
              <w:spacing w:after="0"/>
              <w:rPr>
                <w:sz w:val="20"/>
                <w:szCs w:val="20"/>
                <w:color w:val="auto"/>
              </w:rPr>
            </w:pPr>
            <w:r>
              <w:rPr>
                <w:rFonts w:ascii="Arial" w:cs="Arial" w:eastAsia="Arial" w:hAnsi="Arial"/>
                <w:sz w:val="12"/>
                <w:szCs w:val="12"/>
                <w:color w:val="auto"/>
                <w:w w:val="86"/>
              </w:rPr>
              <w:t>09/29/2025</w:t>
            </w:r>
          </w:p>
        </w:tc>
        <w:tc>
          <w:tcPr>
            <w:tcW w:w="2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2,291,667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2,259,840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2,305,417</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gridSpan w:val="2"/>
          </w:tcPr>
          <w:p>
            <w:pPr>
              <w:jc w:val="center"/>
              <w:ind w:left="42"/>
              <w:spacing w:after="0"/>
              <w:rPr>
                <w:sz w:val="20"/>
                <w:szCs w:val="20"/>
                <w:color w:val="auto"/>
              </w:rPr>
            </w:pPr>
            <w:r>
              <w:rPr>
                <w:rFonts w:ascii="Arial" w:cs="Arial" w:eastAsia="Arial" w:hAnsi="Arial"/>
                <w:sz w:val="12"/>
                <w:szCs w:val="12"/>
                <w:color w:val="auto"/>
                <w:w w:val="86"/>
              </w:rPr>
              <w:t>04/12/2023</w:t>
            </w:r>
          </w:p>
        </w:tc>
        <w:tc>
          <w:tcPr>
            <w:tcW w:w="2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12.43%</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80" w:type="dxa"/>
            <w:vAlign w:val="bottom"/>
          </w:tcPr>
          <w:p>
            <w:pPr>
              <w:jc w:val="right"/>
              <w:spacing w:after="0"/>
              <w:rPr>
                <w:sz w:val="20"/>
                <w:szCs w:val="20"/>
                <w:color w:val="auto"/>
              </w:rPr>
            </w:pPr>
            <w:r>
              <w:rPr>
                <w:rFonts w:ascii="Arial" w:cs="Arial" w:eastAsia="Arial" w:hAnsi="Arial"/>
                <w:sz w:val="12"/>
                <w:szCs w:val="12"/>
                <w:color w:val="auto"/>
              </w:rPr>
              <w:t>1,727,340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1,701,486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1,663,429</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12.43%)</w:t>
            </w: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27,059,103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27,178,667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21,870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(7), (9)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10,173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11,664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(7), (9)</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77,827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89,233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DBI Holding, LLC, Series A-1 </w:t>
            </w:r>
            <w:r>
              <w:rPr>
                <w:rFonts w:ascii="Arial" w:cs="Arial" w:eastAsia="Arial" w:hAnsi="Arial"/>
                <w:sz w:val="9"/>
                <w:szCs w:val="9"/>
                <w:color w:val="auto"/>
              </w:rPr>
              <w:t>(9)</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7,041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7,040,844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7,040,844</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13.00%)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NXOF Holdings, Inc. (Tyto Athene, LLC)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446,400</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20.00%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343,861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343,861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388,679</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Super Senior Preferred Equity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18.00%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626,919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Senior Preferred Equity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13.50%</w:t>
            </w:r>
          </w:p>
        </w:tc>
        <w:tc>
          <w:tcPr>
            <w:tcW w:w="9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1,138,070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9,103,709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9,742,615</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Common Equity/Warrants—4.4% </w:t>
            </w:r>
            <w:r>
              <w:rPr>
                <w:rFonts w:ascii="Arial" w:cs="Arial" w:eastAsia="Arial" w:hAnsi="Arial"/>
                <w:sz w:val="9"/>
                <w:szCs w:val="9"/>
                <w:b w:val="1"/>
                <w:bCs w:val="1"/>
                <w:color w:val="auto"/>
              </w:rPr>
              <w:t>(6)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3,514,572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244,998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Affinion Group Holdings, Inc., Series C and Series D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4,298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1,186,649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350,000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6,350,833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(7), (8),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1,243,217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1,287,059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(PRA Events, Inc.)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13,333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 (11)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47,893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579,845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DBI Holding, LLC, Series B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1,489,508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330,791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330,791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Holdings Inc.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2,611,919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(7), (9)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Banking, Finance, Insurance &amp;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251,156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279,784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Faraday Holdings, LLC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339,434</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824,569</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(The Infosoft Group, LLC)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TVC Coinvest,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391,144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(TVC Enterprises, LLC)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94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Par /</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CECFF"/>
            </w:tcBorders>
          </w:tcPr>
          <w:p>
            <w:pPr>
              <w:spacing w:after="0"/>
              <w:rPr>
                <w:sz w:val="12"/>
                <w:szCs w:val="12"/>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1,738,854</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(7), (8), (11)</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Go Dawgs Capital III,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Building Products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324,675</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Consumer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1,183,836</w:t>
            </w:r>
          </w:p>
        </w:tc>
        <w:tc>
          <w:tcPr>
            <w:tcW w:w="100" w:type="dxa"/>
            <w:vAlign w:val="bottom"/>
          </w:tcPr>
          <w:p>
            <w:pPr>
              <w:spacing w:after="0"/>
              <w:rPr>
                <w:sz w:val="13"/>
                <w:szCs w:val="13"/>
                <w:color w:val="auto"/>
              </w:rPr>
            </w:pPr>
          </w:p>
        </w:tc>
      </w:tr>
      <w:tr>
        <w:trPr>
          <w:trHeight w:val="142"/>
        </w:trPr>
        <w:tc>
          <w:tcPr>
            <w:tcW w:w="2920" w:type="dxa"/>
            <w:vAlign w:val="bottom"/>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(7), (11)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(11)</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19,112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382,230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372,531</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(7), (8), (11)</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2,417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(1,227)</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JWC/UMA Holdings, L.P.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1,116,736</w:t>
            </w:r>
          </w:p>
        </w:tc>
        <w:tc>
          <w:tcPr>
            <w:tcW w:w="100" w:type="dxa"/>
            <w:vAlign w:val="bottom"/>
            <w:shd w:val="clear" w:color="auto" w:fill="CCECFF"/>
          </w:tcPr>
          <w:p>
            <w:pPr>
              <w:spacing w:after="0"/>
              <w:rPr>
                <w:sz w:val="12"/>
                <w:szCs w:val="12"/>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JWC-WE Holdings, L.P.</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1,381,741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2,239,720</w:t>
            </w:r>
          </w:p>
        </w:tc>
        <w:tc>
          <w:tcPr>
            <w:tcW w:w="100" w:type="dxa"/>
            <w:vAlign w:val="bottom"/>
          </w:tcPr>
          <w:p>
            <w:pPr>
              <w:spacing w:after="0"/>
              <w:rPr>
                <w:sz w:val="13"/>
                <w:szCs w:val="13"/>
                <w:color w:val="auto"/>
              </w:rPr>
            </w:pPr>
          </w:p>
        </w:tc>
      </w:tr>
      <w:tr>
        <w:trPr>
          <w:trHeight w:val="142"/>
        </w:trPr>
        <w:tc>
          <w:tcPr>
            <w:tcW w:w="2920" w:type="dxa"/>
            <w:vAlign w:val="bottom"/>
          </w:tcPr>
          <w:p>
            <w:pPr>
              <w:ind w:left="140"/>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NXOF Holdings, Inc. (Tyto Athene, LLC)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r>
      <w:tr>
        <w:trPr>
          <w:trHeight w:val="141"/>
        </w:trPr>
        <w:tc>
          <w:tcPr>
            <w:tcW w:w="2920" w:type="dxa"/>
            <w:vAlign w:val="bottom"/>
          </w:tcPr>
          <w:p>
            <w:pPr>
              <w:ind w:left="140"/>
              <w:spacing w:after="0"/>
              <w:rPr>
                <w:sz w:val="20"/>
                <w:szCs w:val="20"/>
                <w:color w:val="auto"/>
              </w:rPr>
            </w:pPr>
            <w:r>
              <w:rPr>
                <w:rFonts w:ascii="Arial" w:cs="Arial" w:eastAsia="Arial" w:hAnsi="Arial"/>
                <w:sz w:val="12"/>
                <w:szCs w:val="12"/>
                <w:color w:val="auto"/>
              </w:rPr>
              <w:t xml:space="preserve">Class A (US Dominion, Inc.)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56,773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(7), (11)</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748,706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748,706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1,129,494</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(7), (8), (11)</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251,294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(Warrants) </w:t>
            </w:r>
            <w:r>
              <w:rPr>
                <w:rFonts w:ascii="Arial" w:cs="Arial" w:eastAsia="Arial" w:hAnsi="Arial"/>
                <w:sz w:val="9"/>
                <w:szCs w:val="9"/>
                <w:color w:val="auto"/>
              </w:rPr>
              <w:t>(7)</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(7), (11)</w:t>
            </w:r>
          </w:p>
        </w:tc>
        <w:tc>
          <w:tcPr>
            <w:tcW w:w="12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330,000</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19,420,730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22,881,811</w:t>
            </w:r>
          </w:p>
        </w:tc>
        <w:tc>
          <w:tcPr>
            <w:tcW w:w="100" w:type="dxa"/>
            <w:vAlign w:val="bottom"/>
            <w:shd w:val="clear" w:color="auto" w:fill="CCECFF"/>
          </w:tcPr>
          <w:p>
            <w:pPr>
              <w:spacing w:after="0"/>
              <w:rPr>
                <w:sz w:val="12"/>
                <w:szCs w:val="12"/>
                <w:color w:val="auto"/>
              </w:rPr>
            </w:pPr>
          </w:p>
        </w:tc>
      </w:tr>
      <w:tr>
        <w:trPr>
          <w:trHeight w:val="142"/>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814,383,877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788,954,496</w:t>
            </w:r>
          </w:p>
        </w:tc>
        <w:tc>
          <w:tcPr>
            <w:tcW w:w="100" w:type="dxa"/>
            <w:vAlign w:val="bottom"/>
            <w:tcBorders>
              <w:bottom w:val="single" w:sz="8" w:color="CCECFF"/>
            </w:tcBorders>
          </w:tcPr>
          <w:p>
            <w:pPr>
              <w:spacing w:after="0"/>
              <w:rPr>
                <w:sz w:val="12"/>
                <w:szCs w:val="12"/>
                <w:color w:val="auto"/>
              </w:rPr>
            </w:pPr>
          </w:p>
        </w:tc>
      </w:tr>
      <w:tr>
        <w:trPr>
          <w:trHeight w:val="142"/>
        </w:trPr>
        <w:tc>
          <w:tcPr>
            <w:tcW w:w="38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4"/>
              </w:rPr>
              <w:t xml:space="preserve">Investments in Controlled, Affiliated Portfolio Companies—33.6% </w:t>
            </w:r>
            <w:r>
              <w:rPr>
                <w:rFonts w:ascii="Arial" w:cs="Arial" w:eastAsia="Arial" w:hAnsi="Arial"/>
                <w:sz w:val="9"/>
                <w:szCs w:val="9"/>
                <w:b w:val="1"/>
                <w:bCs w:val="1"/>
                <w:color w:val="auto"/>
                <w:w w:val="94"/>
              </w:rPr>
              <w:t>(3), (4)</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b w:val="1"/>
                <w:bCs w:val="1"/>
                <w:color w:val="auto"/>
              </w:rPr>
              <w:t>First Lien Secured Debt—23.6%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05/06/2024</w:t>
            </w:r>
          </w:p>
        </w:tc>
        <w:tc>
          <w:tcPr>
            <w:tcW w:w="240" w:type="dxa"/>
            <w:vAlign w:val="bottom"/>
            <w:shd w:val="clear" w:color="auto" w:fill="CCECFF"/>
          </w:tcPr>
          <w:p>
            <w:pPr>
              <w:spacing w:after="0"/>
              <w:rPr>
                <w:sz w:val="12"/>
                <w:szCs w:val="12"/>
                <w:color w:val="auto"/>
              </w:rPr>
            </w:pP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10.60%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120,968,750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120,968,750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120,968,750</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Equity Interests—10.0%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51,843,750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51,538,363</w:t>
            </w:r>
          </w:p>
        </w:tc>
        <w:tc>
          <w:tcPr>
            <w:tcW w:w="100" w:type="dxa"/>
            <w:vAlign w:val="bottom"/>
            <w:shd w:val="clear" w:color="auto" w:fill="CCECFF"/>
          </w:tcPr>
          <w:p>
            <w:pPr>
              <w:spacing w:after="0"/>
              <w:rPr>
                <w:sz w:val="12"/>
                <w:szCs w:val="12"/>
                <w:color w:val="auto"/>
              </w:rPr>
            </w:pPr>
          </w:p>
        </w:tc>
      </w:tr>
      <w:tr>
        <w:trPr>
          <w:trHeight w:val="142"/>
        </w:trPr>
        <w:tc>
          <w:tcPr>
            <w:tcW w:w="382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172,812,500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172,507,113</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Investments—187.3%</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987,196,377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961,461,609</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Cash and Cash Equivalents—6.6%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30,037,097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30,037,097</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3,763,549</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3,704,938</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33,800,646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33,742,035</w:t>
            </w:r>
          </w:p>
        </w:tc>
        <w:tc>
          <w:tcPr>
            <w:tcW w:w="100" w:type="dxa"/>
            <w:vAlign w:val="bottom"/>
            <w:shd w:val="clear" w:color="auto" w:fill="CCECFF"/>
          </w:tcPr>
          <w:p>
            <w:pPr>
              <w:spacing w:after="0"/>
              <w:rPr>
                <w:sz w:val="12"/>
                <w:szCs w:val="12"/>
                <w:color w:val="auto"/>
              </w:rPr>
            </w:pPr>
          </w:p>
        </w:tc>
      </w:tr>
      <w:tr>
        <w:trPr>
          <w:trHeight w:val="182"/>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Equivalents—193.9%</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58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260" w:type="dxa"/>
            <w:vAlign w:val="bottom"/>
            <w:tcBorders>
              <w:bottom w:val="single" w:sz="8" w:color="CCECFF"/>
            </w:tcBorders>
          </w:tcPr>
          <w:p>
            <w:pPr>
              <w:spacing w:after="0"/>
              <w:rPr>
                <w:sz w:val="15"/>
                <w:szCs w:val="15"/>
                <w:color w:val="auto"/>
              </w:rPr>
            </w:pPr>
          </w:p>
        </w:tc>
        <w:tc>
          <w:tcPr>
            <w:tcW w:w="74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72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1,020,997,023</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995,203,644</w:t>
            </w:r>
          </w:p>
        </w:tc>
        <w:tc>
          <w:tcPr>
            <w:tcW w:w="100" w:type="dxa"/>
            <w:vAlign w:val="bottom"/>
            <w:tcBorders>
              <w:bottom w:val="single" w:sz="8" w:color="CCECFF"/>
            </w:tcBorders>
          </w:tcPr>
          <w:p>
            <w:pPr>
              <w:spacing w:after="0"/>
              <w:rPr>
                <w:sz w:val="15"/>
                <w:szCs w:val="15"/>
                <w:color w:val="auto"/>
              </w:rPr>
            </w:pPr>
          </w:p>
        </w:tc>
      </w:tr>
      <w:tr>
        <w:trPr>
          <w:trHeight w:val="129"/>
        </w:trPr>
        <w:tc>
          <w:tcPr>
            <w:tcW w:w="292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Assets—(93.9)%</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(481,938,688)</w:t>
            </w: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5"/>
              </w:rPr>
              <w:t>513,264,956</w:t>
            </w:r>
          </w:p>
        </w:tc>
        <w:tc>
          <w:tcPr>
            <w:tcW w:w="100" w:type="dxa"/>
            <w:vAlign w:val="bottom"/>
          </w:tcPr>
          <w:p>
            <w:pPr>
              <w:spacing w:after="0"/>
              <w:rPr>
                <w:sz w:val="12"/>
                <w:szCs w:val="12"/>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68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11" w:lineRule="exact"/>
        <w:rPr>
          <w:sz w:val="20"/>
          <w:szCs w:val="20"/>
          <w:color w:val="auto"/>
        </w:rPr>
      </w:pPr>
    </w:p>
    <w:p>
      <w:pPr>
        <w:jc w:val="both"/>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2019, qualifying assets represent 76% of our total assets and non-qualifying assets represent 24%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1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00" w:type="dxa"/>
            <w:vAlign w:val="bottom"/>
          </w:tcPr>
          <w:p>
            <w:pPr>
              <w:jc w:val="center"/>
              <w:ind w:right="162"/>
              <w:spacing w:after="0"/>
              <w:rPr>
                <w:sz w:val="20"/>
                <w:szCs w:val="20"/>
                <w:color w:val="auto"/>
              </w:rPr>
            </w:pPr>
            <w:r>
              <w:rPr>
                <w:rFonts w:ascii="Arial" w:cs="Arial" w:eastAsia="Arial" w:hAnsi="Arial"/>
                <w:sz w:val="12"/>
                <w:szCs w:val="12"/>
                <w:b w:val="1"/>
                <w:bCs w:val="1"/>
                <w:color w:val="auto"/>
                <w:w w:val="94"/>
              </w:rPr>
              <w:t>Maturity</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Investments in Non-Controlled, Non-Affiliated Portfolio Companies—159.5% </w:t>
            </w:r>
            <w:r>
              <w:rPr>
                <w:rFonts w:ascii="Arial" w:cs="Arial" w:eastAsia="Arial" w:hAnsi="Arial"/>
                <w:sz w:val="9"/>
                <w:szCs w:val="9"/>
                <w:b w:val="1"/>
                <w:bCs w:val="1"/>
                <w:color w:val="auto"/>
                <w:w w:val="91"/>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b w:val="1"/>
                <w:bCs w:val="1"/>
                <w:color w:val="auto"/>
              </w:rPr>
              <w:t>First Lien Secured Debt—151.6%</w:t>
            </w: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Alera Group Intermediate Holdings,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08/01/2025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9,950,063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10,099,688</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Allied America,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08/08/2022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9.39%</w:t>
            </w:r>
          </w:p>
        </w:tc>
        <w:tc>
          <w:tcPr>
            <w:tcW w:w="66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1,688,823</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5,857,878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5,800,066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5,770,010</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American Scaffold</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8.89%</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4,455,413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4,455,000</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12/08/2021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10,107,368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9,986,139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9,715,708</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4,987,500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4,927,669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4,937,625</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04/22/2024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(9,843)</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04/06/2023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33,047,995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32,717,900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32,882,753</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04/28/2023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11,752,654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11,731,500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9.57%</w:t>
            </w:r>
          </w:p>
        </w:tc>
        <w:tc>
          <w:tcPr>
            <w:tcW w:w="660" w:type="dxa"/>
            <w:vAlign w:val="bottom"/>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15,157,019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15,454,395</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05/16/2022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Cadence Aerospace,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8.82%</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10,917,500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10,824,456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10,937,086</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2,418,750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2,406,335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2,322,000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3,874,317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3,881,627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3,874,317</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CD&amp;R TZ Purchaser,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07/21/2023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16,161,170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15,861,453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15,837,947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04/10/2025</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6.89%</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6,145,313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6,115,613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6,176,039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422,599</w:t>
            </w:r>
          </w:p>
        </w:tc>
        <w:tc>
          <w:tcPr>
            <w:tcW w:w="100" w:type="dxa"/>
            <w:vAlign w:val="bottom"/>
          </w:tcPr>
          <w:p>
            <w:pPr>
              <w:spacing w:after="0"/>
              <w:rPr>
                <w:sz w:val="12"/>
                <w:szCs w:val="12"/>
                <w:color w:val="auto"/>
              </w:rPr>
            </w:pPr>
          </w:p>
        </w:tc>
      </w:tr>
      <w:tr>
        <w:trPr>
          <w:trHeight w:val="156"/>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08/31/2023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284,579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3"/>
                <w:szCs w:val="13"/>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(2,846)</w:t>
            </w:r>
          </w:p>
        </w:tc>
      </w:tr>
      <w:tr>
        <w:trPr>
          <w:trHeight w:val="142"/>
        </w:trPr>
        <w:tc>
          <w:tcPr>
            <w:tcW w:w="31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Inc. (Revolver) </w:t>
            </w:r>
            <w:r>
              <w:rPr>
                <w:rFonts w:ascii="Arial" w:cs="Arial" w:eastAsia="Arial" w:hAnsi="Arial"/>
                <w:sz w:val="9"/>
                <w:szCs w:val="9"/>
                <w:color w:val="auto"/>
              </w:rPr>
              <w:t>(7), (8)</w:t>
            </w: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01/08/2019</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4,539,286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4,535,666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3,994,572</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03/31/2023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17,727,205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17,691,760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17,195,389</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Credit Infonet,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03/13/2023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8.52%</w:t>
            </w:r>
          </w:p>
        </w:tc>
        <w:tc>
          <w:tcPr>
            <w:tcW w:w="660" w:type="dxa"/>
            <w:vAlign w:val="bottom"/>
          </w:tcPr>
          <w:p>
            <w:pPr>
              <w:jc w:val="right"/>
              <w:spacing w:after="0"/>
              <w:rPr>
                <w:sz w:val="20"/>
                <w:szCs w:val="20"/>
                <w:color w:val="auto"/>
              </w:rPr>
            </w:pPr>
            <w:r>
              <w:rPr>
                <w:rFonts w:ascii="Arial" w:cs="Arial" w:eastAsia="Arial" w:hAnsi="Arial"/>
                <w:sz w:val="12"/>
                <w:szCs w:val="12"/>
                <w:color w:val="auto"/>
              </w:rPr>
              <w:t>6M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26,713,426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26,527,311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26,713,426</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03/13/2023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DBI Holding,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08/02/2021</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7.51%</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17,395,068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17,297,351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17,395,068</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10/31/2023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7,214,912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12/29/2023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16,376,250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16,227,058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16,192,017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8.14%</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14,486,029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14,260,279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14,341,169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03/29/2022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2,941,176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(29,412)</w:t>
            </w:r>
          </w:p>
        </w:tc>
      </w:tr>
      <w:tr>
        <w:trPr>
          <w:trHeight w:val="149"/>
        </w:trPr>
        <w:tc>
          <w:tcPr>
            <w:tcW w:w="31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6.92%</w:t>
            </w:r>
          </w:p>
        </w:tc>
        <w:tc>
          <w:tcPr>
            <w:tcW w:w="660" w:type="dxa"/>
            <w:vAlign w:val="bottom"/>
          </w:tcPr>
          <w:p>
            <w:pPr>
              <w:jc w:val="right"/>
              <w:spacing w:after="0"/>
              <w:rPr>
                <w:sz w:val="20"/>
                <w:szCs w:val="20"/>
                <w:color w:val="auto"/>
              </w:rPr>
            </w:pPr>
            <w:r>
              <w:rPr>
                <w:rFonts w:ascii="Arial" w:cs="Arial" w:eastAsia="Arial" w:hAnsi="Arial"/>
                <w:sz w:val="12"/>
                <w:szCs w:val="12"/>
                <w:color w:val="auto"/>
              </w:rPr>
              <w:t>2M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10,062,733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10,085,149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19,923,750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19,762,133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20,172,797</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20,742,489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20,646,931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20,742,489</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660" w:type="dxa"/>
            <w:vAlign w:val="bottom"/>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1,304,348</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869,565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06/15/2022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9,331,620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9,268,771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9,284,961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05/30/2025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(1,571)</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2,666,667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6.86%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5,097,491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5,072,239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5,072,003</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6.87%</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1,181,811</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06/03/2024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3,563,250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(17,817)</w:t>
            </w: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06/09/2023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6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10,770,250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10,842,611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05/01/2019</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5,445,988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5,434,106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5,432,373</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8.64%</w:t>
            </w:r>
          </w:p>
        </w:tc>
        <w:tc>
          <w:tcPr>
            <w:tcW w:w="66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12,482,923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12,364,105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12,420,509</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06/27/2023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12,491,009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(62,455)</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3,339,631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3,303,281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3,322,933</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176,106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353,982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(1,770)</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09/29/2023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36,000,000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35,640,000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09/29/2023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Intralinks, Inc.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11/14/2024</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14,451,316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14,384,410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14,478,484</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Inventus Power,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8.74%</w:t>
            </w:r>
          </w:p>
        </w:tc>
        <w:tc>
          <w:tcPr>
            <w:tcW w:w="660" w:type="dxa"/>
            <w:vAlign w:val="bottom"/>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4,230,023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4,216,353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3,933,921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02/19/2021</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3,865,568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KHC Holdings,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11,972,865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12,109,261</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10/30/2020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947,581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03/07/2022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10,098,000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9,966,385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9,694,080</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09/12/2022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rPr>
              <w:t>9,925,000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7,688,759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7,181,254</w:t>
            </w:r>
          </w:p>
        </w:tc>
        <w:tc>
          <w:tcPr>
            <w:tcW w:w="100" w:type="dxa"/>
            <w:vAlign w:val="bottom"/>
          </w:tcPr>
          <w:p>
            <w:pPr>
              <w:spacing w:after="0"/>
              <w:rPr>
                <w:sz w:val="12"/>
                <w:szCs w:val="12"/>
                <w:color w:val="auto"/>
              </w:rPr>
            </w:pP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4,596,389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4,528,529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2,987,653</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6.00%)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Lombart Brothers, Inc.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6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9,251,830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9,147,743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9,205,570</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616,372</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04/13/2022</w:t>
            </w:r>
          </w:p>
        </w:tc>
        <w:tc>
          <w:tcPr>
            <w:tcW w:w="254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619,469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(3,098)</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09/11/2023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6,052,632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5,992,433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5,976,091</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09/11/2023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3,947,368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(49,918)</w:t>
            </w:r>
          </w:p>
        </w:tc>
      </w:tr>
      <w:tr>
        <w:trPr>
          <w:trHeight w:val="148"/>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9,914,849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08/19/2022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(60,000)</w:t>
            </w: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05/01/2023</w:t>
            </w:r>
          </w:p>
        </w:tc>
        <w:tc>
          <w:tcPr>
            <w:tcW w:w="2540" w:type="dxa"/>
            <w:vAlign w:val="bottom"/>
            <w:gridSpan w:val="2"/>
            <w:shd w:val="clear" w:color="auto" w:fill="CCECFF"/>
          </w:tcPr>
          <w:p>
            <w:pPr>
              <w:jc w:val="center"/>
              <w:ind w:right="34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14,046,875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13,932,255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13,537,676</w:t>
            </w:r>
          </w:p>
        </w:tc>
        <w:tc>
          <w:tcPr>
            <w:tcW w:w="100" w:type="dxa"/>
            <w:vAlign w:val="bottom"/>
            <w:shd w:val="clear" w:color="auto" w:fill="CCECFF"/>
          </w:tcPr>
          <w:p>
            <w:pPr>
              <w:spacing w:after="0"/>
              <w:rPr>
                <w:sz w:val="12"/>
                <w:szCs w:val="12"/>
                <w:color w:val="auto"/>
              </w:rPr>
            </w:pPr>
          </w:p>
        </w:tc>
      </w:tr>
      <w:tr>
        <w:trPr>
          <w:trHeight w:val="148"/>
        </w:trPr>
        <w:tc>
          <w:tcPr>
            <w:tcW w:w="316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8.17%</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6,909,661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6,930,659</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12/08/2023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(7,412)</w:t>
            </w:r>
          </w:p>
        </w:tc>
      </w:tr>
      <w:tr>
        <w:trPr>
          <w:trHeight w:val="149"/>
        </w:trPr>
        <w:tc>
          <w:tcPr>
            <w:tcW w:w="316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00" w:type="dxa"/>
            <w:vAlign w:val="bottom"/>
          </w:tcPr>
          <w:p>
            <w:pPr>
              <w:jc w:val="center"/>
              <w:ind w:right="16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7.64%</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3,343,309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3,313,221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3,343,309</w:t>
            </w:r>
          </w:p>
        </w:tc>
        <w:tc>
          <w:tcPr>
            <w:tcW w:w="100" w:type="dxa"/>
            <w:vAlign w:val="bottom"/>
          </w:tcPr>
          <w:p>
            <w:pPr>
              <w:spacing w:after="0"/>
              <w:rPr>
                <w:sz w:val="12"/>
                <w:szCs w:val="12"/>
                <w:color w:val="auto"/>
              </w:rPr>
            </w:pPr>
          </w:p>
        </w:tc>
      </w:tr>
      <w:tr>
        <w:trPr>
          <w:trHeight w:val="149"/>
        </w:trPr>
        <w:tc>
          <w:tcPr>
            <w:tcW w:w="31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11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6"/>
              </w:rPr>
              <w:t>01/27/2021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C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16,473,429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11,599,021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12,744,421</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CECFF"/>
            </w:tcBorders>
          </w:tcPr>
          <w:p>
            <w:pPr>
              <w:spacing w:after="0"/>
              <w:rPr>
                <w:sz w:val="12"/>
                <w:szCs w:val="12"/>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P+275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425,791</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1,277,372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09/28/2021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(2,122)</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01/24/2023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26,163,397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26,518,501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23,350,832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02/10/2023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20,644,462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20,276,981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20,541,240</w:t>
            </w: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08/01/2022</w:t>
            </w:r>
          </w:p>
        </w:tc>
        <w:tc>
          <w:tcPr>
            <w:tcW w:w="240" w:type="dxa"/>
            <w:vAlign w:val="bottom"/>
          </w:tcPr>
          <w:p>
            <w:pPr>
              <w:spacing w:after="0"/>
              <w:rPr>
                <w:sz w:val="13"/>
                <w:szCs w:val="13"/>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7,068,161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6,998,756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5,654,528</w:t>
            </w:r>
          </w:p>
        </w:tc>
        <w:tc>
          <w:tcPr>
            <w:tcW w:w="100" w:type="dxa"/>
            <w:vAlign w:val="bottom"/>
          </w:tcPr>
          <w:p>
            <w:pPr>
              <w:spacing w:after="0"/>
              <w:rPr>
                <w:sz w:val="13"/>
                <w:szCs w:val="13"/>
                <w:color w:val="auto"/>
              </w:rPr>
            </w:pPr>
          </w:p>
        </w:tc>
      </w:tr>
      <w:tr>
        <w:trPr>
          <w:trHeight w:val="142"/>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NextiraOne Federal,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18,181,818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17,911,938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17,906,255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2,607,599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4,170,455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(63,207)</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Olde Thompson,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6.66%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1,852,500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1,833,975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1,852,500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Ox Two,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13,034,722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12,946,045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13,034,722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01/31/2023</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tcPr>
          <w:p>
            <w:pPr>
              <w:jc w:val="right"/>
              <w:spacing w:after="0"/>
              <w:rPr>
                <w:sz w:val="20"/>
                <w:szCs w:val="20"/>
                <w:color w:val="auto"/>
              </w:rPr>
            </w:pPr>
            <w:r>
              <w:rPr>
                <w:rFonts w:ascii="Arial" w:cs="Arial" w:eastAsia="Arial" w:hAnsi="Arial"/>
                <w:sz w:val="12"/>
                <w:szCs w:val="12"/>
                <w:color w:val="auto"/>
              </w:rPr>
              <w:t>10,075,023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9,997,462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10,075,023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01/31/2022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Questex,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7,351,373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8.57%</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195,479</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(19,947)</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08/23/2021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7.06%</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9,288,885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7,921,875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Research Horizons,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5,150,977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5,145,000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(42,568)</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8.36%</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407,892</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(10,595)</w:t>
            </w: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Research Now Group, Inc. and Survey Sampling</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12/20/2024</w:t>
            </w:r>
          </w:p>
        </w:tc>
        <w:tc>
          <w:tcPr>
            <w:tcW w:w="240" w:type="dxa"/>
            <w:vAlign w:val="bottom"/>
          </w:tcPr>
          <w:p>
            <w:pPr>
              <w:spacing w:after="0"/>
              <w:rPr>
                <w:sz w:val="13"/>
                <w:szCs w:val="13"/>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24,812,500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23,676,196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24,882,223</w:t>
            </w:r>
          </w:p>
        </w:tc>
        <w:tc>
          <w:tcPr>
            <w:tcW w:w="100" w:type="dxa"/>
            <w:vAlign w:val="bottom"/>
          </w:tcPr>
          <w:p>
            <w:pPr>
              <w:spacing w:after="0"/>
              <w:rPr>
                <w:sz w:val="13"/>
                <w:szCs w:val="13"/>
                <w:color w:val="auto"/>
              </w:rPr>
            </w:pPr>
          </w:p>
        </w:tc>
      </w:tr>
      <w:tr>
        <w:trPr>
          <w:trHeight w:val="142"/>
        </w:trPr>
        <w:tc>
          <w:tcPr>
            <w:tcW w:w="2960" w:type="dxa"/>
            <w:vAlign w:val="bottom"/>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02/28/2022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7.99%</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18,136,905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17,867,722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18,318,274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5,898,822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8.10%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418,084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(24,750)</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02/22/2019</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(667)</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Softvision,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tcPr>
          <w:p>
            <w:pPr>
              <w:jc w:val="right"/>
              <w:spacing w:after="0"/>
              <w:rPr>
                <w:sz w:val="20"/>
                <w:szCs w:val="20"/>
                <w:color w:val="auto"/>
              </w:rPr>
            </w:pPr>
            <w:r>
              <w:rPr>
                <w:rFonts w:ascii="Arial" w:cs="Arial" w:eastAsia="Arial" w:hAnsi="Arial"/>
                <w:sz w:val="12"/>
                <w:szCs w:val="12"/>
                <w:color w:val="auto"/>
              </w:rPr>
              <w:t>10,201,863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10,146,148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10,201,863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07/25/2023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7.24%</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7,818,453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7,939,800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07/09/2021</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22,474,697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22,281,386</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12/02/2021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7.56%</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6,689,308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6,644,404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6,622,415</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7.20%</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60" w:type="dxa"/>
            <w:vAlign w:val="bottom"/>
          </w:tcPr>
          <w:p>
            <w:pPr>
              <w:jc w:val="right"/>
              <w:spacing w:after="0"/>
              <w:rPr>
                <w:sz w:val="20"/>
                <w:szCs w:val="20"/>
                <w:color w:val="auto"/>
              </w:rPr>
            </w:pPr>
            <w:r>
              <w:rPr>
                <w:rFonts w:ascii="Arial" w:cs="Arial" w:eastAsia="Arial" w:hAnsi="Arial"/>
                <w:sz w:val="12"/>
                <w:szCs w:val="12"/>
                <w:color w:val="auto"/>
              </w:rPr>
              <w:t>7,721,739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7,658,431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7,721,739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2M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5,459,582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5,500,217</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15.49%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8,470,850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8,383,257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8,216,724</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6.60%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1,976,435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6.88%</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6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1,026,667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tcPr>
          <w:p>
            <w:pPr>
              <w:jc w:val="right"/>
              <w:spacing w:after="0"/>
              <w:rPr>
                <w:sz w:val="20"/>
                <w:szCs w:val="20"/>
                <w:color w:val="auto"/>
              </w:rPr>
            </w:pPr>
            <w:r>
              <w:rPr>
                <w:rFonts w:ascii="Arial" w:cs="Arial" w:eastAsia="Arial" w:hAnsi="Arial"/>
                <w:sz w:val="12"/>
                <w:szCs w:val="12"/>
                <w:color w:val="auto"/>
              </w:rPr>
              <w:t>8,750,000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8,533,866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8,662,500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(17,500)</w:t>
            </w: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US Dominion,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5,883,015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11.39%</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2,875,976</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7.75%</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15,398,203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15,324,732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15,475,194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2,094,671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10,473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03/01/2023</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6,937,500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6,910,133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6,954,844</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09/26/2024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8.88%</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16,307,500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15,981,904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15,981,350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4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8.74%</w:t>
            </w:r>
          </w:p>
        </w:tc>
        <w:tc>
          <w:tcPr>
            <w:tcW w:w="11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11,724,183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11,675,472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11,724,182</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817,243,688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812,235,476</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Second Lien Secured Debt—4.0%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04/25/2025</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11.09%</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1,963,478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03/31/2025</w:t>
            </w:r>
          </w:p>
        </w:tc>
        <w:tc>
          <w:tcPr>
            <w:tcW w:w="24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10.64%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tcPr>
          <w:p>
            <w:pPr>
              <w:jc w:val="right"/>
              <w:spacing w:after="0"/>
              <w:rPr>
                <w:sz w:val="20"/>
                <w:szCs w:val="20"/>
                <w:color w:val="auto"/>
              </w:rPr>
            </w:pPr>
            <w:r>
              <w:rPr>
                <w:rFonts w:ascii="Arial" w:cs="Arial" w:eastAsia="Arial" w:hAnsi="Arial"/>
                <w:sz w:val="12"/>
                <w:szCs w:val="12"/>
                <w:color w:val="auto"/>
              </w:rPr>
              <w:t>11,341,463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11,136,261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11,341,463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10/23/2024</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3,702,622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09/29/2025</w:t>
            </w:r>
          </w:p>
        </w:tc>
        <w:tc>
          <w:tcPr>
            <w:tcW w:w="24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10.74%</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2,464,229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2,543,750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04/12/2023</w:t>
            </w:r>
          </w:p>
        </w:tc>
        <w:tc>
          <w:tcPr>
            <w:tcW w:w="240" w:type="dxa"/>
            <w:vAlign w:val="bottom"/>
            <w:shd w:val="clear" w:color="auto" w:fill="CCECFF"/>
          </w:tcPr>
          <w:p>
            <w:pPr>
              <w:spacing w:after="0"/>
              <w:rPr>
                <w:sz w:val="12"/>
                <w:szCs w:val="12"/>
                <w:color w:val="auto"/>
              </w:rPr>
            </w:pP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12.34%</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1,666,667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1,638,368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4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20,904,958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21,234,713</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Equity—0.6% </w:t>
            </w:r>
            <w:r>
              <w:rPr>
                <w:rFonts w:ascii="Arial" w:cs="Arial" w:eastAsia="Arial" w:hAnsi="Arial"/>
                <w:sz w:val="9"/>
                <w:szCs w:val="9"/>
                <w:b w:val="1"/>
                <w:bCs w:val="1"/>
                <w:color w:val="auto"/>
              </w:rPr>
              <w:t>(6), (7)</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1,458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21,870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22,614</w:t>
            </w:r>
          </w:p>
        </w:tc>
        <w:tc>
          <w:tcPr>
            <w:tcW w:w="100" w:type="dxa"/>
            <w:vAlign w:val="bottom"/>
          </w:tcPr>
          <w:p>
            <w:pPr>
              <w:spacing w:after="0"/>
              <w:rPr>
                <w:sz w:val="13"/>
                <w:szCs w:val="13"/>
                <w:color w:val="auto"/>
              </w:rPr>
            </w:pPr>
          </w:p>
        </w:tc>
      </w:tr>
      <w:tr>
        <w:trPr>
          <w:trHeight w:val="141"/>
        </w:trPr>
        <w:tc>
          <w:tcPr>
            <w:tcW w:w="296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shd w:val="clear" w:color="auto" w:fill="CCECFF"/>
          </w:tcPr>
          <w:p>
            <w:pPr>
              <w:spacing w:after="0"/>
              <w:rPr>
                <w:sz w:val="12"/>
                <w:szCs w:val="1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120" w:type="dxa"/>
            <w:vAlign w:val="bottom"/>
          </w:tcPr>
          <w:p>
            <w:pPr>
              <w:spacing w:after="0"/>
              <w:rPr>
                <w:sz w:val="13"/>
                <w:szCs w:val="13"/>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490,000</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453,077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940" w:type="dxa"/>
            <w:vAlign w:val="bottom"/>
          </w:tcPr>
          <w:p>
            <w:pPr>
              <w:ind w:left="140"/>
              <w:spacing w:after="0"/>
              <w:rPr>
                <w:sz w:val="20"/>
                <w:szCs w:val="20"/>
                <w:color w:val="auto"/>
              </w:rPr>
            </w:pPr>
            <w:r>
              <w:rPr>
                <w:rFonts w:ascii="Arial" w:cs="Arial" w:eastAsia="Arial" w:hAnsi="Arial"/>
                <w:sz w:val="12"/>
                <w:szCs w:val="12"/>
                <w:color w:val="auto"/>
              </w:rPr>
              <w:t>Super Senior Preferred Equity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570,762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1,726,920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2,062,865</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3,213,125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Equity/Warrants—3.3% </w:t>
            </w:r>
            <w:r>
              <w:rPr>
                <w:rFonts w:ascii="Arial" w:cs="Arial" w:eastAsia="Arial" w:hAnsi="Arial"/>
                <w:sz w:val="9"/>
                <w:szCs w:val="9"/>
                <w:b w:val="1"/>
                <w:bCs w:val="1"/>
                <w:color w:val="auto"/>
              </w:rPr>
              <w:t>(6), (7)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3,514,571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2,089,710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1,186,649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4,426,169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596,660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1,632,744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58,044</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305,907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1,281,433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1,132,039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(83,773)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Consumer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(Integrative Nutrition,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JWC/UMA Holdings,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JWC-WE Holdings, L.P.</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Wholesale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1,381,741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A (US Dominion, Inc.)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940" w:type="dxa"/>
            <w:vAlign w:val="bottom"/>
          </w:tcPr>
          <w:p>
            <w:pPr>
              <w:ind w:left="140"/>
              <w:spacing w:after="0"/>
              <w:rPr>
                <w:sz w:val="20"/>
                <w:szCs w:val="20"/>
                <w:color w:val="auto"/>
              </w:rPr>
            </w:pPr>
            <w:r>
              <w:rPr>
                <w:rFonts w:ascii="Arial" w:cs="Arial" w:eastAsia="Arial" w:hAnsi="Arial"/>
                <w:sz w:val="12"/>
                <w:szCs w:val="12"/>
                <w:color w:val="auto"/>
              </w:rPr>
              <w:t>Class B (US Dominion,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1,024,002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257,308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524,411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268,571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16,681,506</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856,893,017</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854,753,064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tcPr>
          <w:p>
            <w:pPr>
              <w:spacing w:after="0"/>
              <w:rPr>
                <w:sz w:val="20"/>
                <w:szCs w:val="20"/>
                <w:color w:val="auto"/>
              </w:rPr>
            </w:pPr>
            <w:r>
              <w:rPr>
                <w:rFonts w:ascii="Arial" w:cs="Arial" w:eastAsia="Arial" w:hAnsi="Arial"/>
                <w:sz w:val="12"/>
                <w:szCs w:val="12"/>
                <w:b w:val="1"/>
                <w:bCs w:val="1"/>
                <w:color w:val="auto"/>
                <w:w w:val="94"/>
              </w:rPr>
              <w:t xml:space="preserve">Investments in Controlled, Affiliated Portfolio Companies—27.2% </w:t>
            </w:r>
            <w:r>
              <w:rPr>
                <w:rFonts w:ascii="Arial" w:cs="Arial" w:eastAsia="Arial" w:hAnsi="Arial"/>
                <w:sz w:val="9"/>
                <w:szCs w:val="9"/>
                <w:b w:val="1"/>
                <w:bCs w:val="1"/>
                <w:color w:val="auto"/>
                <w:w w:val="94"/>
              </w:rPr>
              <w:t>(3), (4)</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Debt—18.9%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tcBorders>
              <w:bottom w:val="single" w:sz="8" w:color="CCECFF"/>
            </w:tcBorders>
          </w:tcPr>
          <w:p>
            <w:pPr>
              <w:spacing w:after="0"/>
              <w:rPr>
                <w:sz w:val="12"/>
                <w:szCs w:val="12"/>
                <w:color w:val="auto"/>
              </w:rPr>
            </w:pPr>
          </w:p>
        </w:tc>
        <w:tc>
          <w:tcPr>
            <w:tcW w:w="272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10.39%</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101,062,500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Interests—8.3%</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2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43,312,500</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44,797,729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144,375,000</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145,860,229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Investments—186.7%</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1,001,268,017</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1,000,613,293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Equivalents—13.5%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69,502,018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69,502,018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2,729,783</w:t>
            </w:r>
          </w:p>
        </w:tc>
        <w:tc>
          <w:tcPr>
            <w:tcW w:w="300" w:type="dxa"/>
            <w:vAlign w:val="bottom"/>
            <w:tcBorders>
              <w:right w:val="single" w:sz="8" w:color="CCECFF"/>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2,722,165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72,231,801</w:t>
            </w:r>
          </w:p>
        </w:tc>
        <w:tc>
          <w:tcPr>
            <w:tcW w:w="30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Equivalents—200.2%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1,073,499,818</w:t>
            </w: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1"/>
              </w:rPr>
              <w:t>1,072,837,476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Assets—(100.2)%</w:t>
            </w: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6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(536,995,908)</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7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300" w:type="dxa"/>
            <w:vAlign w:val="bottom"/>
            <w:tcBorders>
              <w:right w:val="single" w:sz="8" w:color="auto"/>
            </w:tcBorders>
            <w:shd w:val="clear" w:color="auto" w:fill="CCEC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vMerge w:val="continue"/>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535,841,568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5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6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63" w:lineRule="exact"/>
        <w:rPr>
          <w:sz w:val="20"/>
          <w:szCs w:val="20"/>
          <w:color w:val="auto"/>
        </w:rPr>
      </w:pPr>
    </w:p>
    <w:p>
      <w:pPr>
        <w:ind w:left="380" w:right="40" w:hanging="372"/>
        <w:spacing w:after="0" w:line="27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as of March 31, 2019 at LIBOR plus 200 basis points during the revolving period. The Credit Facility is secured by all of the assets held by Funding I. See Note 10.</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the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28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900" w:right="60" w:hanging="447"/>
        <w:spacing w:after="0" w:line="264" w:lineRule="auto"/>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00" w:hanging="447"/>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6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0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00" w:firstLine="434"/>
        <w:spacing w:after="0" w:line="228"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both the three and six months ended March 31, 2019, we did not record a provision for taxes. For the three and six months ended March 31, 2018, we recorded a provision for taxes of $0.2 million and $0.4 million, respectively, pertaining to U.S. federal excise tax.</w:t>
      </w:r>
    </w:p>
    <w:p>
      <w:pPr>
        <w:spacing w:after="0" w:line="117"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March 31,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among capital accounts in the Consolidated Financial Statements to reflect their tax character. Temporary differences arise when certain items of income, expense, gain or loss are recognized at some time in the future.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64" w:lineRule="auto"/>
        <w:rPr>
          <w:sz w:val="20"/>
          <w:szCs w:val="20"/>
          <w:color w:val="auto"/>
        </w:rPr>
      </w:pPr>
      <w:r>
        <w:rPr>
          <w:rFonts w:ascii="Arial" w:cs="Arial" w:eastAsia="Arial" w:hAnsi="Arial"/>
          <w:sz w:val="13"/>
          <w:szCs w:val="13"/>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non-controlling interest in PSSL. See further description of our investment in PSSL in Note 4.</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our creditors or any of our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In August 2018, the FASB issued Accounting Standards Update, or ASU, 2018-13, Fair Value Measurement (Topic 820): Disclosure Framework - Changes to the Disclosure Requirements for Fair Value Measurement, or ASU 2018-13, which changed the fair value measurement disclosure requirements of ASC Topic 820, Fair Value Measurements and Disclosures, or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6"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these are reflected in the Company’s consolidated financial statements and related disclosures. Certain prior year information has been adjusted to conform to these amendments.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2019, the Investment Adviser earned a base management fee of $2.4 million and $4.9 million,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respectively, from us. For the three and six months ended March 31, 2018, the Investment Adviser earned a base management fee of $1.9 million and $3.8 million, respectively, from us.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w:t>
      </w:r>
    </w:p>
    <w:p>
      <w:pPr>
        <w:spacing w:after="0" w:line="3" w:lineRule="exact"/>
        <w:rPr>
          <w:sz w:val="20"/>
          <w:szCs w:val="20"/>
          <w:color w:val="auto"/>
        </w:rPr>
      </w:pPr>
    </w:p>
    <w:p>
      <w:pPr>
        <w:ind w:right="140"/>
        <w:spacing w:after="0" w:line="221" w:lineRule="auto"/>
        <w:rPr>
          <w:sz w:val="20"/>
          <w:szCs w:val="20"/>
          <w:color w:val="auto"/>
        </w:rPr>
      </w:pPr>
      <w:r>
        <w:rPr>
          <w:rFonts w:ascii="Arial" w:cs="Arial" w:eastAsia="Arial" w:hAnsi="Arial"/>
          <w:sz w:val="14"/>
          <w:szCs w:val="14"/>
          <w:color w:val="auto"/>
        </w:rPr>
        <w:t>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2019, the Investment Adviser earned $2.5 million and $2.7 million, respectively, in incentive fees on net investment income from us. For both the three and six months ended March 31, 2018, the Investment Adviser earned $0.2 million in incentive fees on net investment income from us.</w:t>
      </w:r>
    </w:p>
    <w:p>
      <w:pPr>
        <w:spacing w:after="0" w:line="110"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six months ended March 31, 2019, the Investment Adviser did not accrue an incentive fee on capital gains, as calculated under the Investment Management Agreement (as described above). For the three and six months ended March 31, 2018, the Investment Adviser accrued an incentive fee on capital gains of zero and reversed a prior accrual of $(0.1) million, respectively, as calculated under the Investment Management Agreement (as described above).</w:t>
      </w:r>
    </w:p>
    <w:p>
      <w:pPr>
        <w:spacing w:after="0" w:line="118"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six months ended March 31, 2019 was zero and $(1.4) million, respectively. The incentive fee accrued for, but not payable, under GAAP on our unrealized and realized capital gains for the three and six months ended March 31, 2018 was $0.2 million and $0.4 million, respectively.</w:t>
      </w:r>
    </w:p>
    <w:p>
      <w:pPr>
        <w:spacing w:after="0" w:line="121"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2019.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2019, we reimbursed the Investment Adviser approximately $0.8 million and $1.1 million, respectively, including expenses the Investment Adviser incurred on behalf of the Administrator, for services described above. For the three and six months ended March 31, 2018, we reimbursed the Investment Adviser approximately $0.6 million and $0.9 million, respectively, including expenses the Investment Adviser incurred on behalf of the Administrator, for services described above.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and six months ended March 31, 2019 and 2018.</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For the three and six months ended March 31, 2019, we sold $19.7 million and $57.7 million in investments, respectively, to PSSL at fair value and recognized less than $0.1 million and $0.2 million of net realized gains for the same periods, respectively. For the three and six months ended March 31, 2018, we sold $6.2 million and $33.4 million in investments, respectively, to PSSL at fair value and recognized less than $0.1 million of net realized gains for both periods.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six months ended March 31, 2019 totaled $136.5 million and $317.3 million, respectively. For the same periods in the prior year, purchases of investments, including PIK interest, totaled $138.6 million and $315.7 million, respectively. Sales and repayments of investments for the three and six months ended March 31, 2019 totaled $143.2 million and $333.5 million, respectively. For the same periods in the prior year, sales and repayments of investments totaled $46.6 million and $195.7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8"/>
              </w:rPr>
              <w:t>Investments,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758,800,335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729,151,403</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817,243,688</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812,235,476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120,968,750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120,968,750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27,059,103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27,178,667</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20,904,958</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21,234,713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28,524,439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32,624,426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18,744,371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21,282,875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51,843,750</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51,538,363</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43,312,500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987,196,377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961,461,609</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1,001,268,017</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33,800,646</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33,742,035</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72,231,801</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1,020,997,023</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995,203,644</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1,073,499,818</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 xml:space="preserve">March 31, 2019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Hotel, Gaming and Leisure</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8%</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Business Services</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Healthcare and Pharmaceuticals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Consumer Services</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High Tech Industries</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Banking, Finance, Insurance &amp; Real Estate</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Software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Building Products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Healthcare Technology</w:t>
            </w: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Professional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40" w:type="dxa"/>
            <w:vAlign w:val="bottom"/>
            <w:shd w:val="clear" w:color="auto" w:fill="CCECFF"/>
          </w:tcPr>
          <w:p>
            <w:pPr>
              <w:spacing w:after="0"/>
              <w:rPr>
                <w:sz w:val="14"/>
                <w:szCs w:val="14"/>
                <w:color w:val="auto"/>
              </w:rPr>
            </w:pPr>
          </w:p>
        </w:tc>
        <w:tc>
          <w:tcPr>
            <w:tcW w:w="25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3020" w:type="dxa"/>
            <w:vAlign w:val="bottom"/>
            <w:gridSpan w:val="2"/>
            <w:vMerge w:val="restart"/>
          </w:tcPr>
          <w:p>
            <w:pPr>
              <w:spacing w:after="0"/>
              <w:rPr>
                <w:sz w:val="12"/>
                <w:szCs w:val="12"/>
                <w:color w:val="auto"/>
              </w:rPr>
            </w:pPr>
          </w:p>
        </w:tc>
        <w:tc>
          <w:tcPr>
            <w:tcW w:w="2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2019, PSSL had total assets of $515.0 million. As of the same date, we and Kemper had remaining commitments to fund first lien secured debt and equity interests in PSSL in an aggregate amount of $12.5 million. PSSL invests in portfolio companies in the same industries in which we may directly invest.</w:t>
      </w:r>
    </w:p>
    <w:p>
      <w:pPr>
        <w:spacing w:after="0" w:line="10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2019, we and Kemper owned 87.5% and 12.5%, respectively, of each of the outstanding first lien secured debt and equity interests. As of the same date, our investment in PSSL consisted of first lien secured debt of $121.0 million and equity interests of $51.8 million. As of the same date, we had commitments to fund first lien secured debt to PSSL of $128.6 million, of which $7.6 million was unfunded. As of March 31, 2019, we had commitments to fund equity interests in PSSL of $55.1 million, of which $3.3 million was unfunded.</w:t>
      </w:r>
    </w:p>
    <w:p>
      <w:pPr>
        <w:spacing w:after="0" w:line="117"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March 31, 2019 allowed PSSL Subsidiary to borrow up to $420.0 million at any one time outstanding, subject to leverage and borrowing base restrictions.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0" w:type="dxa"/>
            <w:vAlign w:val="bottom"/>
          </w:tcPr>
          <w:p>
            <w:pPr>
              <w:ind w:left="440"/>
              <w:spacing w:after="0"/>
              <w:rPr>
                <w:sz w:val="20"/>
                <w:szCs w:val="20"/>
                <w:color w:val="auto"/>
              </w:rPr>
            </w:pPr>
            <w:r>
              <w:rPr>
                <w:rFonts w:ascii="Arial" w:cs="Arial" w:eastAsia="Arial" w:hAnsi="Arial"/>
                <w:sz w:val="14"/>
                <w:szCs w:val="14"/>
                <w:color w:val="auto"/>
              </w:rPr>
              <w:t>Below is a summary of PSSL’s portfolio at fair value:</w:t>
            </w: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63"/>
        </w:trPr>
        <w:tc>
          <w:tcPr>
            <w:tcW w:w="5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r>
      <w:tr>
        <w:trPr>
          <w:trHeight w:val="155"/>
        </w:trPr>
        <w:tc>
          <w:tcPr>
            <w:tcW w:w="54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7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502,099,589</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1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0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22,193,015</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r>
      <w:tr>
        <w:trPr>
          <w:trHeight w:val="162"/>
        </w:trPr>
        <w:tc>
          <w:tcPr>
            <w:tcW w:w="540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02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103,589,946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March 31, 2019:</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Companies—852.4%</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b w:val="1"/>
                <w:bCs w:val="1"/>
                <w:color w:val="auto"/>
              </w:rPr>
              <w:t>First Lien Secured Debt—830.6%</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01/02/2024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Transportation: Consumer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7,808,783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7,733,777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7,730,696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API Technologies Corp.</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19,377,559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19,158,207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19,086,898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10,685,318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10,490,094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10,685,318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Cadence Aerospace, LLC</w:t>
            </w:r>
          </w:p>
        </w:tc>
        <w:tc>
          <w:tcPr>
            <w:tcW w:w="1200" w:type="dxa"/>
            <w:vAlign w:val="bottom"/>
          </w:tcPr>
          <w:p>
            <w:pPr>
              <w:jc w:val="center"/>
              <w:ind w:right="22"/>
              <w:spacing w:after="0"/>
              <w:rPr>
                <w:sz w:val="20"/>
                <w:szCs w:val="20"/>
                <w:color w:val="auto"/>
              </w:rPr>
            </w:pPr>
            <w:r>
              <w:rPr>
                <w:rFonts w:ascii="Arial" w:cs="Arial" w:eastAsia="Arial" w:hAnsi="Arial"/>
                <w:sz w:val="12"/>
                <w:szCs w:val="12"/>
                <w:color w:val="auto"/>
                <w:w w:val="86"/>
              </w:rPr>
              <w:t>11/14/2023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11,794,792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11,694,405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11,699,268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200" w:type="dxa"/>
            <w:vAlign w:val="bottom"/>
            <w:shd w:val="clear" w:color="auto" w:fill="CCECFF"/>
          </w:tcPr>
          <w:p>
            <w:pPr>
              <w:jc w:val="center"/>
              <w:ind w:right="22"/>
              <w:spacing w:after="0"/>
              <w:rPr>
                <w:sz w:val="20"/>
                <w:szCs w:val="20"/>
                <w:color w:val="auto"/>
              </w:rPr>
            </w:pPr>
            <w:r>
              <w:rPr>
                <w:rFonts w:ascii="Arial" w:cs="Arial" w:eastAsia="Arial" w:hAnsi="Arial"/>
                <w:sz w:val="12"/>
                <w:szCs w:val="12"/>
                <w:color w:val="auto"/>
                <w:w w:val="86"/>
              </w:rPr>
              <w:t>11/29/2023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7,386,650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7,346,274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7,201,984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Challenger Performance Optimization,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8.23%</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10,322,206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10,226,068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10,218,984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 First Out</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05/07/2019</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145,922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143,715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145,922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Country Fresh Holdings, LLC, First Out </w:t>
            </w:r>
            <w:r>
              <w:rPr>
                <w:rFonts w:ascii="Arial" w:cs="Arial" w:eastAsia="Arial" w:hAnsi="Arial"/>
                <w:sz w:val="9"/>
                <w:szCs w:val="9"/>
                <w:color w:val="auto"/>
              </w:rPr>
              <w:t>(5)</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05/07/2019</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36,481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4,345,004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4,345,004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2,852,940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Deva Holdings,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8.75%</w:t>
            </w:r>
          </w:p>
        </w:tc>
        <w:tc>
          <w:tcPr>
            <w:tcW w:w="660" w:type="dxa"/>
            <w:vAlign w:val="bottom"/>
          </w:tcPr>
          <w:p>
            <w:pPr>
              <w:jc w:val="right"/>
              <w:spacing w:after="0"/>
              <w:rPr>
                <w:sz w:val="20"/>
                <w:szCs w:val="20"/>
                <w:color w:val="auto"/>
              </w:rPr>
            </w:pPr>
            <w:r>
              <w:rPr>
                <w:rFonts w:ascii="Arial" w:cs="Arial" w:eastAsia="Arial" w:hAnsi="Arial"/>
                <w:sz w:val="12"/>
                <w:szCs w:val="12"/>
                <w:color w:val="auto"/>
              </w:rPr>
              <w:t>3M L+625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19,849,246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19,849,246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19,849,246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16,497,427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16,348,625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16,373,696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12,375,000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12,198,089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Douglas Sewer Intermediate,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8,207,736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8,149,748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8,125,658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7.17%</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7,363,211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6,890,376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1200" w:type="dxa"/>
            <w:vAlign w:val="bottom"/>
            <w:shd w:val="clear" w:color="auto" w:fill="CCECFF"/>
          </w:tcPr>
          <w:p>
            <w:pPr>
              <w:jc w:val="center"/>
              <w:ind w:right="22"/>
              <w:spacing w:after="0"/>
              <w:rPr>
                <w:sz w:val="20"/>
                <w:szCs w:val="20"/>
                <w:color w:val="auto"/>
              </w:rPr>
            </w:pPr>
            <w:r>
              <w:rPr>
                <w:rFonts w:ascii="Arial" w:cs="Arial" w:eastAsia="Arial" w:hAnsi="Arial"/>
                <w:sz w:val="12"/>
                <w:szCs w:val="12"/>
                <w:color w:val="auto"/>
                <w:w w:val="86"/>
              </w:rPr>
              <w:t>11/14/2022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9.99%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17,845,267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17,704,581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17,845,267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Good2Grow LLC</w:t>
            </w:r>
          </w:p>
        </w:tc>
        <w:tc>
          <w:tcPr>
            <w:tcW w:w="1200" w:type="dxa"/>
            <w:vAlign w:val="bottom"/>
          </w:tcPr>
          <w:p>
            <w:pPr>
              <w:jc w:val="center"/>
              <w:ind w:right="22"/>
              <w:spacing w:after="0"/>
              <w:rPr>
                <w:sz w:val="20"/>
                <w:szCs w:val="20"/>
                <w:color w:val="auto"/>
              </w:rPr>
            </w:pPr>
            <w:r>
              <w:rPr>
                <w:rFonts w:ascii="Arial" w:cs="Arial" w:eastAsia="Arial" w:hAnsi="Arial"/>
                <w:sz w:val="12"/>
                <w:szCs w:val="12"/>
                <w:color w:val="auto"/>
                <w:w w:val="86"/>
              </w:rPr>
              <w:t>11/18/2024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Beverages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6.85%</w:t>
            </w:r>
          </w:p>
        </w:tc>
        <w:tc>
          <w:tcPr>
            <w:tcW w:w="660" w:type="dxa"/>
            <w:vAlign w:val="bottom"/>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12,350,087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12,344,062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6.93%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14,614,688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14,483,367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14,131,653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GSM Holdings,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7.10%</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19,768,385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19,611,437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19,669,543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IMIA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10/28/2024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7.10%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12,409,195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Impact Group,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660" w:type="dxa"/>
            <w:vAlign w:val="bottom"/>
          </w:tcPr>
          <w:p>
            <w:pPr>
              <w:jc w:val="right"/>
              <w:spacing w:after="0"/>
              <w:rPr>
                <w:sz w:val="20"/>
                <w:szCs w:val="20"/>
                <w:color w:val="auto"/>
              </w:rPr>
            </w:pPr>
            <w:r>
              <w:rPr>
                <w:rFonts w:ascii="Arial" w:cs="Arial" w:eastAsia="Arial" w:hAnsi="Arial"/>
                <w:sz w:val="12"/>
                <w:szCs w:val="12"/>
                <w:color w:val="auto"/>
              </w:rPr>
              <w:t>1M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9,440,185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9,338,670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9,392,984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6.14%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4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10,958,665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10,423,074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12/20/2023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7.75%</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19,713,293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19,751,642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8.10%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9,880,342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9,797,230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(3), (4)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09/12/2022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7.67%</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14,868,247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10,558,663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10,561,629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17,910,000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17,760,080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17,730,900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8.48%</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7,171,875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7,219,380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6,633,984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6,912,500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6,824,970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6,699,202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7.22%</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5,790,254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4,473,726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4,334,185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7.60%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6,032,695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5,995,982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6,015,648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Morphe,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16,904,114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16,794,135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16,819,593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14,792,920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14,738,438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Olde Thompson,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13,895,000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13,756,050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13,895,000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7,923,419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7,953,028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7,883,802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Pestell Minerals and Ingredients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8.05%</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9,880,564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9,928,405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PH Beauty Holdings III,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09/29/2025</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10,945,000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10,840,855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10,835,550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1,767,264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1,742,045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1,749,592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Smile Brands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10/14/2024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11,343,821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11,236,528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11,230,383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Snak Club,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8.49%</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4,031,246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15,302,316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15,305,398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15,302,316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6M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9,642,895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9,599,176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9,546,465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6.98%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22,417,187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22,213,822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22,193,015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8,457,500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8,319,115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8,457,500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3,907,191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09/26/2024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9.30%</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16,205,578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15,903,212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16,205,578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4,887,500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4,813,222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200" w:type="dxa"/>
            <w:vAlign w:val="bottom"/>
            <w:tcBorders>
              <w:bottom w:val="single" w:sz="8" w:color="CCECFF"/>
            </w:tcBorders>
          </w:tcPr>
          <w:p>
            <w:pPr>
              <w:jc w:val="center"/>
              <w:ind w:right="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8.10%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6,715,812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6,690,365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6,682,233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492,764,022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489,206,261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Arial" w:cs="Arial" w:eastAsia="Arial" w:hAnsi="Arial"/>
                <w:sz w:val="12"/>
                <w:szCs w:val="12"/>
                <w:b w:val="1"/>
                <w:bCs w:val="1"/>
                <w:color w:val="auto"/>
              </w:rPr>
              <w:t>Second Lien Secured Debt—12.9%</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Term Loan B</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7,607,291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7,607,291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7,607,291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rPr>
                <w:sz w:val="20"/>
                <w:szCs w:val="20"/>
                <w:color w:val="auto"/>
              </w:rPr>
            </w:pPr>
            <w:r>
              <w:rPr>
                <w:rFonts w:ascii="Arial" w:cs="Arial" w:eastAsia="Arial" w:hAnsi="Arial"/>
                <w:sz w:val="12"/>
                <w:szCs w:val="12"/>
                <w:color w:val="auto"/>
              </w:rPr>
              <w:t>DBI Holding, LLC, Term Loan 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02/03/2020</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15,206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15,206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0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ind w:left="140"/>
              <w:spacing w:after="0"/>
              <w:rPr>
                <w:sz w:val="20"/>
                <w:szCs w:val="20"/>
                <w:color w:val="auto"/>
              </w:rPr>
            </w:pPr>
            <w:r>
              <w:rPr>
                <w:rFonts w:ascii="Arial" w:cs="Arial" w:eastAsia="Arial" w:hAnsi="Arial"/>
                <w:sz w:val="12"/>
                <w:szCs w:val="12"/>
                <w:color w:val="auto"/>
              </w:rPr>
              <w:t>(PIK 15.00%)</w:t>
            </w: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7,622,497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7,622,497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Arial" w:cs="Arial" w:eastAsia="Arial" w:hAnsi="Arial"/>
                <w:sz w:val="12"/>
                <w:szCs w:val="12"/>
                <w:b w:val="1"/>
                <w:bCs w:val="1"/>
                <w:color w:val="auto"/>
              </w:rPr>
              <w:t>Equity Securities—8.9%</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Series A-1</w:t>
            </w:r>
          </w:p>
        </w:tc>
        <w:tc>
          <w:tcPr>
            <w:tcW w:w="1200" w:type="dxa"/>
            <w:vAlign w:val="bottom"/>
            <w:shd w:val="clear" w:color="auto" w:fill="CCECFF"/>
          </w:tcPr>
          <w:p>
            <w:pPr>
              <w:ind w:left="56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5,034,310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5,034,310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DBI Holding, LLC, Series B</w:t>
            </w:r>
          </w:p>
        </w:tc>
        <w:tc>
          <w:tcPr>
            <w:tcW w:w="1200" w:type="dxa"/>
            <w:vAlign w:val="bottom"/>
            <w:tcBorders>
              <w:bottom w:val="single" w:sz="8" w:color="CCECFF"/>
            </w:tcBorders>
          </w:tcPr>
          <w:p>
            <w:pPr>
              <w:ind w:left="560"/>
              <w:spacing w:after="0"/>
              <w:rPr>
                <w:sz w:val="20"/>
                <w:szCs w:val="20"/>
                <w:color w:val="auto"/>
              </w:rPr>
            </w:pPr>
            <w:r>
              <w:rPr>
                <w:rFonts w:ascii="Arial" w:cs="Arial" w:eastAsia="Arial" w:hAnsi="Arial"/>
                <w:sz w:val="12"/>
                <w:szCs w:val="12"/>
                <w:color w:val="auto"/>
              </w:rPr>
              <w:t>—</w:t>
            </w:r>
          </w:p>
        </w:tc>
        <w:tc>
          <w:tcPr>
            <w:tcW w:w="260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1,065,021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Equity Securities</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5,270,831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5,270,831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505,657,350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502,099,589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Equivalents—15.2%</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6,855,729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6,855,729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2,073,291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2,068,751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8,929,020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8,924,480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8"/>
              </w:rPr>
              <w:t>Total Investments and Cash Equivalents—867.6%</w:t>
            </w:r>
          </w:p>
        </w:tc>
        <w:tc>
          <w:tcPr>
            <w:tcW w:w="120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514,586,370</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511,024,069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Assets—(767.6)%</w:t>
            </w:r>
          </w:p>
        </w:tc>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(452,123,083)</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20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8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58,900,986</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868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1868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33" w:lineRule="exact"/>
        <w:rPr>
          <w:sz w:val="20"/>
          <w:szCs w:val="20"/>
          <w:color w:val="auto"/>
        </w:rPr>
      </w:pPr>
    </w:p>
    <w:p>
      <w:pPr>
        <w:ind w:left="380" w:right="60" w:hanging="372"/>
        <w:spacing w:after="0" w:line="276" w:lineRule="auto"/>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ind w:left="2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Coupon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82"/>
              <w:spacing w:after="0"/>
              <w:rPr>
                <w:sz w:val="20"/>
                <w:szCs w:val="20"/>
                <w:color w:val="auto"/>
              </w:rPr>
            </w:pPr>
            <w:r>
              <w:rPr>
                <w:rFonts w:ascii="Arial" w:cs="Arial" w:eastAsia="Arial" w:hAnsi="Arial"/>
                <w:sz w:val="12"/>
                <w:szCs w:val="12"/>
                <w:b w:val="1"/>
                <w:bCs w:val="1"/>
                <w:color w:val="auto"/>
              </w:rPr>
              <w:t>Par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04/04/2022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11/30/2021</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Transportation: Consumer</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4,910,720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4,875,378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08/01/2024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04/06/2023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800" w:type="dxa"/>
            <w:vAlign w:val="bottom"/>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ind w:left="2"/>
              <w:spacing w:after="0"/>
              <w:rPr>
                <w:sz w:val="20"/>
                <w:szCs w:val="20"/>
                <w:color w:val="auto"/>
              </w:rPr>
            </w:pPr>
            <w:r>
              <w:rPr>
                <w:rFonts w:ascii="Arial" w:cs="Arial" w:eastAsia="Arial" w:hAnsi="Arial"/>
                <w:sz w:val="12"/>
                <w:szCs w:val="12"/>
                <w:color w:val="auto"/>
                <w:w w:val="86"/>
              </w:rPr>
              <w:t>11/14/2023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11/29/2023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80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7,381,442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7,424,433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80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4,348,465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4,218,011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800" w:type="dxa"/>
            <w:vAlign w:val="bottom"/>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1"/>
              </w:rPr>
              <w:t>Media: Advertising, Printing and Publishing</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03/29/2022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800" w:type="dxa"/>
            <w:vAlign w:val="bottom"/>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09/30/2022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05/30/2025</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Transportation: Cargo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Banking, Finance, Insurance and Real Estate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ind w:left="2"/>
              <w:spacing w:after="0"/>
              <w:rPr>
                <w:sz w:val="20"/>
                <w:szCs w:val="20"/>
                <w:color w:val="auto"/>
              </w:rPr>
            </w:pPr>
            <w:r>
              <w:rPr>
                <w:rFonts w:ascii="Arial" w:cs="Arial" w:eastAsia="Arial" w:hAnsi="Arial"/>
                <w:sz w:val="12"/>
                <w:szCs w:val="12"/>
                <w:color w:val="auto"/>
                <w:w w:val="86"/>
              </w:rPr>
              <w:t>11/14/2022</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800" w:type="dxa"/>
            <w:vAlign w:val="bottom"/>
          </w:tcPr>
          <w:p>
            <w:pPr>
              <w:jc w:val="right"/>
              <w:spacing w:after="0"/>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80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Wholesale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80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7,319,871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7,002,246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Media: Diversified and Production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80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4,486,587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4,502,752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12/27/2023</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09/30/2024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7,359,161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7,482,024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80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80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4,687,495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4,054,683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80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80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8,352,305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8,351,250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ind w:left="22"/>
              <w:spacing w:after="0"/>
              <w:rPr>
                <w:sz w:val="20"/>
                <w:szCs w:val="20"/>
                <w:color w:val="auto"/>
              </w:rPr>
            </w:pPr>
            <w:r>
              <w:rPr>
                <w:rFonts w:ascii="Arial" w:cs="Arial" w:eastAsia="Arial" w:hAnsi="Arial"/>
                <w:sz w:val="12"/>
                <w:szCs w:val="12"/>
                <w:color w:val="auto"/>
                <w:w w:val="89"/>
              </w:rPr>
              <w:t>03/01/2023</w:t>
            </w:r>
          </w:p>
        </w:tc>
        <w:tc>
          <w:tcPr>
            <w:tcW w:w="260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80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4,678,730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4,636,563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ind w:left="2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8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80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425,420,881</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2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2"/>
              </w:rPr>
              <w:t>438,941,641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Borders>
              <w:top w:val="single" w:sz="8" w:color="CCECFF"/>
            </w:tcBorders>
          </w:tcPr>
          <w:p>
            <w:pPr>
              <w:spacing w:after="0" w:line="20" w:lineRule="exact"/>
              <w:rPr>
                <w:sz w:val="1"/>
                <w:szCs w:val="1"/>
                <w:color w:val="auto"/>
              </w:rPr>
            </w:pPr>
          </w:p>
        </w:tc>
        <w:tc>
          <w:tcPr>
            <w:tcW w:w="24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5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w w:val="90"/>
              </w:rPr>
              <w:t>(387,744,237)</w:t>
            </w:r>
          </w:p>
        </w:tc>
        <w:tc>
          <w:tcPr>
            <w:tcW w:w="0" w:type="dxa"/>
            <w:vAlign w:val="bottom"/>
          </w:tcPr>
          <w:p>
            <w:pPr>
              <w:spacing w:after="0"/>
              <w:rPr>
                <w:sz w:val="1"/>
                <w:szCs w:val="1"/>
                <w:color w:val="auto"/>
              </w:rPr>
            </w:pPr>
          </w:p>
        </w:tc>
      </w:tr>
      <w:tr>
        <w:trPr>
          <w:trHeight w:val="142"/>
        </w:trPr>
        <w:tc>
          <w:tcPr>
            <w:tcW w:w="28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4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868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1868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33" w:lineRule="exact"/>
        <w:rPr>
          <w:sz w:val="20"/>
          <w:szCs w:val="20"/>
          <w:color w:val="auto"/>
        </w:rPr>
      </w:pPr>
    </w:p>
    <w:p>
      <w:pPr>
        <w:ind w:left="380" w:right="60" w:hanging="372"/>
        <w:spacing w:after="0" w:line="276"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6"/>
        </w:trPr>
        <w:tc>
          <w:tcPr>
            <w:tcW w:w="2960" w:type="dxa"/>
            <w:vAlign w:val="bottom"/>
          </w:tcPr>
          <w:p>
            <w:pPr>
              <w:spacing w:after="0"/>
              <w:rPr>
                <w:sz w:val="24"/>
                <w:szCs w:val="24"/>
                <w:color w:val="auto"/>
              </w:rPr>
            </w:pPr>
          </w:p>
        </w:tc>
        <w:tc>
          <w:tcPr>
            <w:tcW w:w="476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2960" w:type="dxa"/>
            <w:vAlign w:val="bottom"/>
          </w:tcPr>
          <w:p>
            <w:pPr>
              <w:spacing w:after="0"/>
              <w:rPr>
                <w:sz w:val="16"/>
                <w:szCs w:val="16"/>
                <w:color w:val="auto"/>
              </w:rPr>
            </w:pPr>
          </w:p>
        </w:tc>
        <w:tc>
          <w:tcPr>
            <w:tcW w:w="47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0"/>
        </w:trPr>
        <w:tc>
          <w:tcPr>
            <w:tcW w:w="29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r>
      <w:tr>
        <w:trPr>
          <w:trHeight w:val="171"/>
        </w:trPr>
        <w:tc>
          <w:tcPr>
            <w:tcW w:w="2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(cost—$505,657,350 and $425,336,210, respectively)</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502,099,589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Cash and cash equivalents (cost—$8,929,020 and $13,520,127,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8,924,480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2,084,271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1,850,332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tcBorders>
              <w:bottom w:val="single" w:sz="8" w:color="CCECFF"/>
            </w:tcBorders>
          </w:tcPr>
          <w:p>
            <w:pPr>
              <w:spacing w:after="0"/>
              <w:rPr>
                <w:sz w:val="14"/>
                <w:szCs w:val="14"/>
                <w:color w:val="auto"/>
              </w:rPr>
            </w:pPr>
          </w:p>
        </w:tc>
      </w:tr>
      <w:tr>
        <w:trPr>
          <w:trHeight w:val="155"/>
        </w:trPr>
        <w:tc>
          <w:tcPr>
            <w:tcW w:w="772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514,958,672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316,192,002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Notes payable to members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138,250,000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1,357,004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notes to members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122,132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136,548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456,057,686</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58,900,986</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tcBorders>
              <w:bottom w:val="single" w:sz="8" w:color="CCECFF"/>
            </w:tcBorders>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514,958,672</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6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4"/>
          <w:szCs w:val="14"/>
          <w:color w:val="auto"/>
        </w:rPr>
        <w:t>As of March 31, 2019 and September 30, 2018, PSSL had unfunded commitments to fund investments of less than $0.1 million and zero, respectively.</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2960" w:type="dxa"/>
            <w:vAlign w:val="bottom"/>
            <w:tcBorders>
              <w:bottom w:val="single" w:sz="8" w:color="CCECFF"/>
            </w:tcBorders>
          </w:tcPr>
          <w:p>
            <w:pPr>
              <w:spacing w:after="0"/>
              <w:rPr>
                <w:sz w:val="13"/>
                <w:szCs w:val="13"/>
                <w:color w:val="auto"/>
              </w:rPr>
            </w:pPr>
          </w:p>
        </w:tc>
        <w:tc>
          <w:tcPr>
            <w:tcW w:w="256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55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10,379,484</w:t>
            </w:r>
          </w:p>
        </w:tc>
        <w:tc>
          <w:tcPr>
            <w:tcW w:w="12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3,123,487</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19,921,051</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5,097,142</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141,030</w:t>
            </w: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2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298,943</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120" w:type="dxa"/>
            <w:vAlign w:val="bottom"/>
            <w:tcBorders>
              <w:bottom w:val="single" w:sz="8" w:color="CCECFF"/>
            </w:tcBorders>
          </w:tcPr>
          <w:p>
            <w:pPr>
              <w:spacing w:after="0"/>
              <w:rPr>
                <w:sz w:val="14"/>
                <w:szCs w:val="14"/>
                <w:color w:val="auto"/>
              </w:rPr>
            </w:pPr>
          </w:p>
        </w:tc>
      </w:tr>
      <w:tr>
        <w:trPr>
          <w:trHeight w:val="155"/>
        </w:trPr>
        <w:tc>
          <w:tcPr>
            <w:tcW w:w="5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10,520,514</w:t>
            </w: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3,135,706</w:t>
            </w:r>
          </w:p>
        </w:tc>
        <w:tc>
          <w:tcPr>
            <w:tcW w:w="24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20,219,994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5,109,361</w:t>
            </w:r>
          </w:p>
        </w:tc>
        <w:tc>
          <w:tcPr>
            <w:tcW w:w="120" w:type="dxa"/>
            <w:vAlign w:val="bottom"/>
            <w:shd w:val="clear" w:color="auto" w:fill="CCECFF"/>
          </w:tcPr>
          <w:p>
            <w:pPr>
              <w:spacing w:after="0"/>
              <w:rPr>
                <w:sz w:val="13"/>
                <w:szCs w:val="13"/>
                <w:color w:val="auto"/>
              </w:rPr>
            </w:pPr>
          </w:p>
        </w:tc>
      </w:tr>
      <w:tr>
        <w:trPr>
          <w:trHeight w:val="155"/>
        </w:trPr>
        <w:tc>
          <w:tcPr>
            <w:tcW w:w="5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4,336,173</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1,306,299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8,423,649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1,957,836</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gridSpan w:val="2"/>
          </w:tcPr>
          <w:p>
            <w:pPr>
              <w:ind w:left="260"/>
              <w:spacing w:after="0"/>
              <w:rPr>
                <w:sz w:val="20"/>
                <w:szCs w:val="20"/>
                <w:color w:val="auto"/>
              </w:rPr>
            </w:pPr>
            <w:r>
              <w:rPr>
                <w:rFonts w:ascii="Arial" w:cs="Arial" w:eastAsia="Arial" w:hAnsi="Arial"/>
                <w:sz w:val="14"/>
                <w:szCs w:val="14"/>
                <w:color w:val="auto"/>
              </w:rPr>
              <w:t>Interest expense on notes to members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3,673,693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1,026,403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6,894,316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1,638,700</w:t>
            </w:r>
          </w:p>
        </w:tc>
        <w:tc>
          <w:tcPr>
            <w:tcW w:w="120" w:type="dxa"/>
            <w:vAlign w:val="bottom"/>
          </w:tcPr>
          <w:p>
            <w:pPr>
              <w:spacing w:after="0"/>
              <w:rPr>
                <w:sz w:val="14"/>
                <w:szCs w:val="14"/>
                <w:color w:val="auto"/>
              </w:rPr>
            </w:pPr>
          </w:p>
        </w:tc>
      </w:tr>
      <w:tr>
        <w:trPr>
          <w:trHeight w:val="162"/>
        </w:trPr>
        <w:tc>
          <w:tcPr>
            <w:tcW w:w="5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227,300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465,436</w:t>
            </w:r>
          </w:p>
        </w:tc>
        <w:tc>
          <w:tcPr>
            <w:tcW w:w="120" w:type="dxa"/>
            <w:vAlign w:val="bottom"/>
            <w:tcBorders>
              <w:bottom w:val="single" w:sz="8" w:color="CCECFF"/>
            </w:tcBorders>
          </w:tcPr>
          <w:p>
            <w:pPr>
              <w:spacing w:after="0"/>
              <w:rPr>
                <w:sz w:val="14"/>
                <w:szCs w:val="14"/>
                <w:color w:val="auto"/>
              </w:rPr>
            </w:pPr>
          </w:p>
        </w:tc>
      </w:tr>
      <w:tr>
        <w:trPr>
          <w:trHeight w:val="156"/>
        </w:trPr>
        <w:tc>
          <w:tcPr>
            <w:tcW w:w="5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8,423,516</w:t>
            </w: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2,521,352</w:t>
            </w:r>
          </w:p>
        </w:tc>
        <w:tc>
          <w:tcPr>
            <w:tcW w:w="24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16,095,265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4,211,972</w:t>
            </w:r>
          </w:p>
        </w:tc>
        <w:tc>
          <w:tcPr>
            <w:tcW w:w="120" w:type="dxa"/>
            <w:vAlign w:val="bottom"/>
            <w:shd w:val="clear" w:color="auto" w:fill="CCECFF"/>
          </w:tcPr>
          <w:p>
            <w:pPr>
              <w:spacing w:after="0"/>
              <w:rPr>
                <w:sz w:val="13"/>
                <w:szCs w:val="13"/>
                <w:color w:val="auto"/>
              </w:rPr>
            </w:pPr>
          </w:p>
        </w:tc>
      </w:tr>
      <w:tr>
        <w:trPr>
          <w:trHeight w:val="155"/>
        </w:trPr>
        <w:tc>
          <w:tcPr>
            <w:tcW w:w="55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2,096,998</w:t>
            </w: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614,354</w:t>
            </w:r>
          </w:p>
        </w:tc>
        <w:tc>
          <w:tcPr>
            <w:tcW w:w="24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4,124,729</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897,389</w:t>
            </w:r>
          </w:p>
        </w:tc>
        <w:tc>
          <w:tcPr>
            <w:tcW w:w="120" w:type="dxa"/>
            <w:vAlign w:val="bottom"/>
            <w:tcBorders>
              <w:bottom w:val="single" w:sz="8" w:color="CCECFF"/>
            </w:tcBorders>
          </w:tcPr>
          <w:p>
            <w:pPr>
              <w:spacing w:after="0"/>
              <w:rPr>
                <w:sz w:val="13"/>
                <w:szCs w:val="13"/>
                <w:color w:val="auto"/>
              </w:rPr>
            </w:pPr>
          </w:p>
        </w:tc>
      </w:tr>
      <w:tr>
        <w:trPr>
          <w:trHeight w:val="133"/>
        </w:trPr>
        <w:tc>
          <w:tcPr>
            <w:tcW w:w="5520" w:type="dxa"/>
            <w:vAlign w:val="bottom"/>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w w:val="96"/>
              </w:rPr>
              <w:t>Realized and unrealized gain (loss) on investments and credit facility foreign currency</w:t>
            </w:r>
          </w:p>
        </w:tc>
        <w:tc>
          <w:tcPr>
            <w:tcW w:w="20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71"/>
        </w:trPr>
        <w:tc>
          <w:tcPr>
            <w:tcW w:w="552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translations: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4"/>
                <w:szCs w:val="14"/>
                <w:color w:val="auto"/>
              </w:rPr>
              <w:t>Net realized gain on investments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320,818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65,122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579,051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15,946</w:t>
            </w:r>
          </w:p>
        </w:tc>
        <w:tc>
          <w:tcPr>
            <w:tcW w:w="120" w:type="dxa"/>
            <w:vAlign w:val="bottom"/>
          </w:tcPr>
          <w:p>
            <w:pPr>
              <w:spacing w:after="0"/>
              <w:rPr>
                <w:sz w:val="14"/>
                <w:szCs w:val="14"/>
                <w:color w:val="auto"/>
              </w:rPr>
            </w:pPr>
          </w:p>
        </w:tc>
      </w:tr>
      <w:tr>
        <w:trPr>
          <w:trHeight w:val="162"/>
        </w:trPr>
        <w:tc>
          <w:tcPr>
            <w:tcW w:w="5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520" w:type="dxa"/>
            <w:vAlign w:val="bottom"/>
            <w:gridSpan w:val="2"/>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388,105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545,340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(3,647,605)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999,702</w:t>
            </w:r>
          </w:p>
        </w:tc>
        <w:tc>
          <w:tcPr>
            <w:tcW w:w="120" w:type="dxa"/>
            <w:vAlign w:val="bottom"/>
          </w:tcPr>
          <w:p>
            <w:pPr>
              <w:spacing w:after="0"/>
              <w:rPr>
                <w:sz w:val="14"/>
                <w:szCs w:val="14"/>
                <w:color w:val="auto"/>
              </w:rPr>
            </w:pPr>
          </w:p>
        </w:tc>
      </w:tr>
      <w:tr>
        <w:trPr>
          <w:trHeight w:val="162"/>
        </w:trPr>
        <w:tc>
          <w:tcPr>
            <w:tcW w:w="5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Credit facility (appreciation) depreciation on foreign currency translations</w:t>
            </w:r>
          </w:p>
        </w:tc>
        <w:tc>
          <w:tcPr>
            <w:tcW w:w="2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(350,091)</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72,620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497,407</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(251,668)</w:t>
            </w:r>
          </w:p>
        </w:tc>
      </w:tr>
      <w:tr>
        <w:trPr>
          <w:trHeight w:val="133"/>
        </w:trPr>
        <w:tc>
          <w:tcPr>
            <w:tcW w:w="55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w w:val="99"/>
              </w:rPr>
              <w:t>Net change in unrealized appreciation (depreciation) on investments and credit</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5520" w:type="dxa"/>
            <w:vAlign w:val="bottom"/>
            <w:gridSpan w:val="2"/>
          </w:tcPr>
          <w:p>
            <w:pPr>
              <w:ind w:left="260"/>
              <w:spacing w:after="0"/>
              <w:rPr>
                <w:sz w:val="20"/>
                <w:szCs w:val="20"/>
                <w:color w:val="auto"/>
              </w:rPr>
            </w:pPr>
            <w:r>
              <w:rPr>
                <w:rFonts w:ascii="Arial" w:cs="Arial" w:eastAsia="Arial" w:hAnsi="Arial"/>
                <w:sz w:val="14"/>
                <w:szCs w:val="14"/>
                <w:b w:val="1"/>
                <w:bCs w:val="1"/>
                <w:color w:val="auto"/>
              </w:rPr>
              <w:t>facility foreign currency translations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617,960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(3,150,198)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748,034</w:t>
            </w:r>
          </w:p>
        </w:tc>
        <w:tc>
          <w:tcPr>
            <w:tcW w:w="120" w:type="dxa"/>
            <w:vAlign w:val="bottom"/>
          </w:tcPr>
          <w:p>
            <w:pPr>
              <w:spacing w:after="0"/>
              <w:rPr>
                <w:sz w:val="14"/>
                <w:szCs w:val="14"/>
                <w:color w:val="auto"/>
              </w:rPr>
            </w:pPr>
          </w:p>
        </w:tc>
      </w:tr>
      <w:tr>
        <w:trPr>
          <w:trHeight w:val="133"/>
        </w:trPr>
        <w:tc>
          <w:tcPr>
            <w:tcW w:w="552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gain (loss) from investments and credit facility foreign</w:t>
            </w:r>
          </w:p>
        </w:tc>
        <w:tc>
          <w:tcPr>
            <w:tcW w:w="20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71"/>
        </w:trPr>
        <w:tc>
          <w:tcPr>
            <w:tcW w:w="5520" w:type="dxa"/>
            <w:vAlign w:val="bottom"/>
            <w:gridSpan w:val="2"/>
            <w:shd w:val="clear" w:color="auto" w:fill="CCECFF"/>
          </w:tcPr>
          <w:p>
            <w:pPr>
              <w:spacing w:after="0"/>
              <w:rPr>
                <w:sz w:val="20"/>
                <w:szCs w:val="20"/>
                <w:color w:val="auto"/>
              </w:rPr>
            </w:pPr>
            <w:r>
              <w:rPr>
                <w:rFonts w:ascii="Arial" w:cs="Arial" w:eastAsia="Arial" w:hAnsi="Arial"/>
                <w:sz w:val="14"/>
                <w:szCs w:val="14"/>
                <w:b w:val="1"/>
                <w:bCs w:val="1"/>
                <w:color w:val="auto"/>
              </w:rPr>
              <w:t>currency translations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358,832</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683,082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(2,571,147)</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763,980</w:t>
            </w:r>
          </w:p>
        </w:tc>
        <w:tc>
          <w:tcPr>
            <w:tcW w:w="120" w:type="dxa"/>
            <w:vAlign w:val="bottom"/>
            <w:shd w:val="clear" w:color="auto" w:fill="CCECFF"/>
          </w:tcPr>
          <w:p>
            <w:pPr>
              <w:spacing w:after="0"/>
              <w:rPr>
                <w:sz w:val="14"/>
                <w:szCs w:val="14"/>
                <w:color w:val="auto"/>
              </w:rPr>
            </w:pPr>
          </w:p>
        </w:tc>
      </w:tr>
      <w:tr>
        <w:trPr>
          <w:trHeight w:val="156"/>
        </w:trPr>
        <w:tc>
          <w:tcPr>
            <w:tcW w:w="5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2,455,830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1,297,436</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1,553,582</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1,661,369</w:t>
            </w:r>
          </w:p>
        </w:tc>
        <w:tc>
          <w:tcPr>
            <w:tcW w:w="120" w:type="dxa"/>
            <w:vAlign w:val="bottom"/>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62" w:lineRule="exact"/>
        <w:rPr>
          <w:sz w:val="20"/>
          <w:szCs w:val="20"/>
          <w:color w:val="auto"/>
        </w:rPr>
      </w:pPr>
    </w:p>
    <w:p>
      <w:pPr>
        <w:ind w:left="5560" w:right="1580" w:hanging="5552"/>
        <w:spacing w:after="0" w:line="575"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charged, they would have separately disclosed in the Statement of Operations.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six months ended March 31, 2019 and 2018, our ability to observe valuation inputs resulted in no reclassifications.</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8"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244,923,583</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2,305,417</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605,196,570</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6.5% – 22.9% (9.4%)</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24,873,250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9.9% – 13.5% (10.9%)</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32,624,426</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6.0x – 11.2x (9.5x)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909,923,246</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348,939,801</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8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303,786,401</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center"/>
              <w:ind w:right="52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2,543,750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600" w:type="dxa"/>
            <w:vAlign w:val="bottom"/>
          </w:tcPr>
          <w:p>
            <w:pPr>
              <w:spacing w:after="0"/>
              <w:rPr>
                <w:sz w:val="14"/>
                <w:szCs w:val="14"/>
                <w:color w:val="auto"/>
              </w:rPr>
            </w:pPr>
          </w:p>
        </w:tc>
        <w:tc>
          <w:tcPr>
            <w:tcW w:w="1200" w:type="dxa"/>
            <w:vAlign w:val="bottom"/>
          </w:tcPr>
          <w:p>
            <w:pPr>
              <w:jc w:val="center"/>
              <w:ind w:right="5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609,511,575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1200" w:type="dxa"/>
            <w:vAlign w:val="bottom"/>
            <w:shd w:val="clear" w:color="auto" w:fill="CCECFF"/>
          </w:tcPr>
          <w:p>
            <w:pPr>
              <w:spacing w:after="0"/>
              <w:rPr>
                <w:sz w:val="20"/>
                <w:szCs w:val="20"/>
                <w:color w:val="auto"/>
              </w:rPr>
            </w:pPr>
            <w:r>
              <w:rPr>
                <w:rFonts w:ascii="Arial" w:cs="Arial" w:eastAsia="Arial" w:hAnsi="Arial"/>
                <w:sz w:val="14"/>
                <w:szCs w:val="14"/>
                <w:color w:val="auto"/>
              </w:rPr>
              <w:t>– 17.5% (9.7%)</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18,690,963</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600" w:type="dxa"/>
            <w:vAlign w:val="bottom"/>
          </w:tcPr>
          <w:p>
            <w:pPr>
              <w:jc w:val="right"/>
              <w:spacing w:after="0"/>
              <w:rPr>
                <w:sz w:val="20"/>
                <w:szCs w:val="20"/>
                <w:color w:val="auto"/>
              </w:rPr>
            </w:pPr>
            <w:r>
              <w:rPr>
                <w:rFonts w:ascii="Arial" w:cs="Arial" w:eastAsia="Arial" w:hAnsi="Arial"/>
                <w:sz w:val="14"/>
                <w:szCs w:val="14"/>
                <w:color w:val="auto"/>
              </w:rPr>
              <w:t>10.7%</w:t>
            </w:r>
          </w:p>
        </w:tc>
        <w:tc>
          <w:tcPr>
            <w:tcW w:w="1200" w:type="dxa"/>
            <w:vAlign w:val="bottom"/>
          </w:tcPr>
          <w:p>
            <w:pPr>
              <w:ind w:left="20"/>
              <w:spacing w:after="0"/>
              <w:rPr>
                <w:sz w:val="20"/>
                <w:szCs w:val="20"/>
                <w:color w:val="auto"/>
              </w:rPr>
            </w:pPr>
            <w:r>
              <w:rPr>
                <w:rFonts w:ascii="Arial" w:cs="Arial" w:eastAsia="Arial" w:hAnsi="Arial"/>
                <w:sz w:val="14"/>
                <w:szCs w:val="14"/>
                <w:color w:val="auto"/>
              </w:rPr>
              <w:t>– 14.1% (11.7%)</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6.2x – 12.0x (9.2x)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600" w:type="dxa"/>
            <w:vAlign w:val="bottom"/>
            <w:tcBorders>
              <w:bottom w:val="single" w:sz="8" w:color="CCECFF"/>
            </w:tcBorders>
          </w:tcPr>
          <w:p>
            <w:pPr>
              <w:spacing w:after="0"/>
              <w:rPr>
                <w:sz w:val="17"/>
                <w:szCs w:val="17"/>
                <w:color w:val="auto"/>
              </w:rPr>
            </w:pPr>
          </w:p>
        </w:tc>
        <w:tc>
          <w:tcPr>
            <w:tcW w:w="12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600" w:type="dxa"/>
            <w:vAlign w:val="bottom"/>
            <w:tcBorders>
              <w:bottom w:val="single" w:sz="8" w:color="CCECFF"/>
            </w:tcBorders>
            <w:shd w:val="clear" w:color="auto" w:fill="CCECFF"/>
          </w:tcPr>
          <w:p>
            <w:pPr>
              <w:spacing w:after="0"/>
              <w:rPr>
                <w:sz w:val="12"/>
                <w:szCs w:val="12"/>
                <w:color w:val="auto"/>
              </w:rPr>
            </w:pPr>
          </w:p>
        </w:tc>
        <w:tc>
          <w:tcPr>
            <w:tcW w:w="1200" w:type="dxa"/>
            <w:vAlign w:val="bottom"/>
            <w:tcBorders>
              <w:bottom w:val="single" w:sz="8" w:color="CCECFF"/>
            </w:tcBorders>
            <w:shd w:val="clear" w:color="auto" w:fill="CCECFF"/>
          </w:tcPr>
          <w:p>
            <w:pPr>
              <w:jc w:val="right"/>
              <w:ind w:right="688"/>
              <w:spacing w:after="0" w:line="143"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Fair Value at March 31, 2019</w:t>
            </w: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850,120,153</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850,120,153</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27,178,667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27,178,667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84,162,789</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32,624,426</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51,538,363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961,461,609</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909,923,246</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51,538,363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33,742,035</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33,742,035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995,203,644</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33,742,035</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909,923,246</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51,538,363</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348,939,801</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348,939,801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137,360,355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137,360,355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486,300,156</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137,360,355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348,939,801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20" w:hanging="372"/>
        <w:spacing w:after="0" w:line="253"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66,080,604</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467,632,200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135,503,385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9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330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6"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6"/>
              </w:rPr>
              <w:t>The tables below show a reconciliation of the beginning and ending balances for fair valued investments measured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5"/>
              </w:rPr>
              <w:t>Six Months Ended March 31, 2019</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1,284,454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65,936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1,350,390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(24,640,721)</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1,351,293</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(23,289,428)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288,897,752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20,668,086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309,565,838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(328,719,308)</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(4,799,810)</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(333,519,118)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850,120,153</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59,803,093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909,923,246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(depreciation) appreciation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(24,868,883)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1,351,293</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(23,517,590)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5"/>
              </w:rPr>
              <w:t>Six Months Ended March 31, 2018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100,814,208</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710,482,762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(1,788,577)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1,285,506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(503,071)</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1,950,250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1,081,922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3,032,172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328,005,097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41,654,355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369,659,452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(179,331,854)</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(69,552,434)</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(248,884,288)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758,503,470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75,283,557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833,787,027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5"/>
              </w:rPr>
              <w:t>Net change in unrealized appreciation reported within the net change in unrealized appreciation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5"/>
              </w:rPr>
              <w:t>on investments in our Consolidated Statements of Operations attributable to our Level 3 assets still held at the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1,574,094</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1,539,966</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3,114,060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$333,727,520 and $253,783,301,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(1,768,994)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(1,726,053)</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190,700,000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61,485,010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(172,120,020)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(125,095,000)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$352,307,500 and $190,173,311,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348,939,801</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191,522,414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March 31, 2019, we had outstanding non-U.S. dollar borrowings on the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83"/>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6"/>
              </w:rPr>
              <w:t>Change in Fair Value</w:t>
            </w:r>
          </w:p>
        </w:tc>
      </w:tr>
      <w:tr>
        <w:trPr>
          <w:trHeight w:val="156"/>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17,500,000</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12,407,500</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13,099,293</w:t>
            </w:r>
          </w:p>
        </w:tc>
        <w:tc>
          <w:tcPr>
            <w:tcW w:w="16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April 1, 2019</w:t>
            </w:r>
          </w:p>
        </w:tc>
        <w:tc>
          <w:tcPr>
            <w:tcW w:w="160" w:type="dxa"/>
            <w:vAlign w:val="bottom"/>
            <w:tcBorders>
              <w:top w:val="single" w:sz="8" w:color="CCECFF"/>
            </w:tcBorders>
            <w:shd w:val="clear" w:color="auto" w:fill="CCECFF"/>
          </w:tcPr>
          <w:p>
            <w:pPr>
              <w:spacing w:after="0"/>
              <w:rPr>
                <w:sz w:val="13"/>
                <w:szCs w:val="13"/>
                <w:color w:val="auto"/>
              </w:rPr>
            </w:pPr>
          </w:p>
        </w:tc>
        <w:tc>
          <w:tcPr>
            <w:tcW w:w="520" w:type="dxa"/>
            <w:vAlign w:val="bottom"/>
            <w:tcBorders>
              <w:top w:val="single" w:sz="8" w:color="auto"/>
            </w:tcBorders>
            <w:shd w:val="clear" w:color="auto" w:fill="CCECFF"/>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691,793</w:t>
            </w:r>
          </w:p>
        </w:tc>
      </w:tr>
    </w:tbl>
    <w:p>
      <w:pPr>
        <w:spacing w:after="0" w:line="130" w:lineRule="exact"/>
        <w:rPr>
          <w:sz w:val="20"/>
          <w:szCs w:val="20"/>
          <w:color w:val="auto"/>
        </w:rPr>
      </w:pPr>
    </w:p>
    <w:p>
      <w:pPr>
        <w:jc w:val="both"/>
        <w:ind w:right="14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280" w:type="dxa"/>
            <w:vAlign w:val="bottom"/>
            <w:tcBorders>
              <w:top w:val="single" w:sz="8" w:color="CCECFF"/>
            </w:tcBorders>
            <w:shd w:val="clear" w:color="auto" w:fill="CCECFF"/>
          </w:tcPr>
          <w:p>
            <w:pPr>
              <w:ind w:left="160"/>
              <w:spacing w:after="0" w:line="155" w:lineRule="exact"/>
              <w:rPr>
                <w:sz w:val="20"/>
                <w:szCs w:val="20"/>
                <w:color w:val="auto"/>
              </w:rPr>
            </w:pPr>
            <w:r>
              <w:rPr>
                <w:rFonts w:ascii="Arial" w:cs="Arial" w:eastAsia="Arial" w:hAnsi="Arial"/>
                <w:sz w:val="14"/>
                <w:szCs w:val="14"/>
                <w:color w:val="auto"/>
              </w:rPr>
              <w:t>A</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7,720,020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7,163,165</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(556,855)</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5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Canadian Dollar</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C$</w:t>
            </w:r>
          </w:p>
        </w:tc>
        <w:tc>
          <w:tcPr>
            <w:tcW w:w="130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17,500,000</w:t>
            </w:r>
          </w:p>
        </w:tc>
        <w:tc>
          <w:tcPr>
            <w:tcW w:w="26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12,407,500</w:t>
            </w:r>
          </w:p>
        </w:tc>
        <w:tc>
          <w:tcPr>
            <w:tcW w:w="2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13,538,612</w:t>
            </w:r>
          </w:p>
        </w:tc>
        <w:tc>
          <w:tcPr>
            <w:tcW w:w="280" w:type="dxa"/>
            <w:vAlign w:val="bottom"/>
            <w:tcBorders>
              <w:bottom w:val="single" w:sz="8" w:color="CCECFF"/>
            </w:tcBorders>
          </w:tcPr>
          <w:p>
            <w:pPr>
              <w:spacing w:after="0"/>
              <w:rPr>
                <w:sz w:val="14"/>
                <w:szCs w:val="14"/>
                <w:color w:val="auto"/>
              </w:rPr>
            </w:pPr>
          </w:p>
        </w:tc>
        <w:tc>
          <w:tcPr>
            <w:tcW w:w="16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1, 2018</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1,131,112</w:t>
            </w:r>
          </w:p>
        </w:tc>
        <w:tc>
          <w:tcPr>
            <w:tcW w:w="12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5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20,127,520</w:t>
            </w:r>
          </w:p>
        </w:tc>
        <w:tc>
          <w:tcPr>
            <w:tcW w:w="2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20,701,777</w:t>
            </w:r>
          </w:p>
        </w:tc>
        <w:tc>
          <w:tcPr>
            <w:tcW w:w="280" w:type="dxa"/>
            <w:vAlign w:val="bottom"/>
            <w:tcBorders>
              <w:bottom w:val="single" w:sz="8" w:color="CCECFF"/>
            </w:tcBorders>
            <w:shd w:val="clear" w:color="auto" w:fill="CCECFF"/>
          </w:tcPr>
          <w:p>
            <w:pPr>
              <w:spacing w:after="0"/>
              <w:rPr>
                <w:sz w:val="13"/>
                <w:szCs w:val="13"/>
                <w:color w:val="auto"/>
              </w:rPr>
            </w:pPr>
          </w:p>
        </w:tc>
        <w:tc>
          <w:tcPr>
            <w:tcW w:w="15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574,257</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256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2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150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5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less than $0.1 million and $4.5 million, respectively, relating to amendment costs on the Credit Facility during the three and six months ended March 31, 2019. Due to that election and in accordance with GAAP, we incurred expenses of zero and $10.9 million, respectively, relating to amendment costs on the Credit Facility and debt issuance costs on the 2023 Notes during the three and six months ended March 31, 2018.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six months ended March 31, 2019, the Credit Facility and the 2023 Notes had a net change in unrealized appreciation of $5.6 million and $0.1 million, respectively. For the three and six months ended March 31, 2018, the Credit Facility and the 2023 Notes had a net change in unrealized depreciation of $5.3 million and $8.4 million, respectively. As of March 31, 2019 and September 30, 2018, the net unrealized depreciation on the Credit Facility and the 2023 Notes totaled $4.6 million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Purchases of /</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Sale of /</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Net Change</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Dividend</w:t>
            </w:r>
          </w:p>
        </w:tc>
        <w:tc>
          <w:tcPr>
            <w:tcW w:w="1040" w:type="dxa"/>
            <w:vAlign w:val="bottom"/>
            <w:gridSpan w:val="4"/>
            <w:vMerge w:val="continue"/>
          </w:tcPr>
          <w:p>
            <w:pPr>
              <w:spacing w:after="0"/>
              <w:rPr>
                <w:sz w:val="12"/>
                <w:szCs w:val="12"/>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Fair Value at March</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92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in</w:t>
            </w:r>
          </w:p>
        </w:tc>
        <w:tc>
          <w:tcPr>
            <w:tcW w:w="16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Affiliates</w:t>
            </w: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from Affiliates</w:t>
            </w: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2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line="157" w:lineRule="exact"/>
              <w:rPr>
                <w:sz w:val="20"/>
                <w:szCs w:val="20"/>
                <w:color w:val="auto"/>
              </w:rPr>
            </w:pPr>
            <w:r>
              <w:rPr>
                <w:rFonts w:ascii="Arial" w:cs="Arial" w:eastAsia="Arial" w:hAnsi="Arial"/>
                <w:sz w:val="14"/>
                <w:szCs w:val="14"/>
                <w:color w:val="auto"/>
              </w:rPr>
              <w:t>PennantPark Senior Secured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Loan Fund I LLC *</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145,860,229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28,437,500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$ 6,032,527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$ 3,150,000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(1,790,616)</w:t>
            </w:r>
          </w:p>
        </w:tc>
        <w:tc>
          <w:tcPr>
            <w:tcW w:w="10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172,507,113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145,860,229</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28,437,500</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ind w:left="74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700" w:type="dxa"/>
            <w:vAlign w:val="bottom"/>
            <w:tcBorders>
              <w:top w:val="single" w:sz="8" w:color="auto"/>
              <w:bottom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$ 6,032,527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700" w:type="dxa"/>
            <w:vAlign w:val="bottom"/>
            <w:tcBorders>
              <w:top w:val="single" w:sz="8" w:color="auto"/>
              <w:bottom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$ 3,150,000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(1,790,616</w:t>
            </w:r>
          </w:p>
        </w:tc>
        <w:tc>
          <w:tcPr>
            <w:tcW w:w="120" w:type="dxa"/>
            <w:vAlign w:val="bottom"/>
            <w:tcBorders>
              <w:top w:val="single" w:sz="8" w:color="CCECFF"/>
              <w:bottom w:val="single" w:sz="8" w:color="CCECFF"/>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172,507,113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CFF"/>
          </w:tcPr>
          <w:p>
            <w:pPr>
              <w:ind w:left="42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20" w:hanging="372"/>
        <w:spacing w:after="0" w:line="233"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54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(decrease) increase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(5,471,725)</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15,589,760</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(476,530)</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17,508,542</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37,823,481</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w w:val="97"/>
              </w:rPr>
              <w:t>Basic and diluted net (decrease) increase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(0.14)</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0.40</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(0.01)</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2019 and September 30, 2018, cash and cash equivalents consisted of money market funds in the amounts of $33.7 million and $72.2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70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CFF"/>
            </w:tcBorders>
          </w:tcPr>
          <w:p>
            <w:pPr>
              <w:spacing w:after="0"/>
              <w:rPr>
                <w:sz w:val="13"/>
                <w:szCs w:val="13"/>
                <w:color w:val="auto"/>
              </w:rPr>
            </w:pPr>
          </w:p>
        </w:tc>
        <w:tc>
          <w:tcPr>
            <w:tcW w:w="194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9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2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13.82</w:t>
            </w:r>
          </w:p>
        </w:tc>
        <w:tc>
          <w:tcPr>
            <w:tcW w:w="22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9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0.20</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(decrease) increase in net assets resulting from operations </w:t>
            </w:r>
            <w:r>
              <w:rPr>
                <w:rFonts w:ascii="Arial" w:cs="Arial" w:eastAsia="Arial" w:hAnsi="Arial"/>
                <w:sz w:val="12"/>
                <w:szCs w:val="12"/>
                <w:color w:val="auto"/>
              </w:rPr>
              <w:t>(1)</w:t>
            </w:r>
          </w:p>
        </w:tc>
        <w:tc>
          <w:tcPr>
            <w:tcW w:w="194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(0.01)</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0.46</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19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94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13.24</w:t>
            </w:r>
          </w:p>
        </w:tc>
        <w:tc>
          <w:tcPr>
            <w:tcW w:w="2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13.98</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94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12.81</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13.09</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62"/>
        </w:trPr>
        <w:tc>
          <w:tcPr>
            <w:tcW w:w="57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94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1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9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94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vMerge w:val="continue"/>
            <w:shd w:val="clear" w:color="auto" w:fill="CCECFF"/>
          </w:tcPr>
          <w:p>
            <w:pPr>
              <w:spacing w:after="0"/>
              <w:rPr>
                <w:sz w:val="13"/>
                <w:szCs w:val="13"/>
                <w:color w:val="auto"/>
              </w:rPr>
            </w:pPr>
          </w:p>
        </w:tc>
        <w:tc>
          <w:tcPr>
            <w:tcW w:w="194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line="155" w:lineRule="exact"/>
              <w:rPr>
                <w:sz w:val="20"/>
                <w:szCs w:val="20"/>
                <w:color w:val="auto"/>
              </w:rPr>
            </w:pPr>
            <w:r>
              <w:rPr>
                <w:rFonts w:ascii="Arial" w:cs="Arial" w:eastAsia="Arial" w:hAnsi="Arial"/>
                <w:sz w:val="14"/>
                <w:szCs w:val="14"/>
                <w:color w:val="auto"/>
              </w:rPr>
              <w:t>8.05%</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40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28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513,264,956</w:t>
            </w:r>
          </w:p>
        </w:tc>
        <w:tc>
          <w:tcPr>
            <w:tcW w:w="22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541,959,970</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194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418,424,913</w:t>
            </w:r>
          </w:p>
        </w:tc>
        <w:tc>
          <w:tcPr>
            <w:tcW w:w="2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311,499,862</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94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10.79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8.24</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2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2,044</w:t>
            </w:r>
          </w:p>
        </w:tc>
        <w:tc>
          <w:tcPr>
            <w:tcW w:w="22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2,636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9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65.73%</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52.08%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240" w:firstLine="8"/>
        <w:spacing w:after="0" w:line="248" w:lineRule="auto"/>
        <w:tabs>
          <w:tab w:leader="none" w:pos="364"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right="38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 which was terminated on November 22, 2017.</w:t>
      </w:r>
    </w:p>
    <w:p>
      <w:pPr>
        <w:ind w:left="36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60" w:hanging="352"/>
        <w:spacing w:after="0" w:line="221" w:lineRule="auto"/>
        <w:tabs>
          <w:tab w:leader="none" w:pos="3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32"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40" w:firstLine="456"/>
        <w:spacing w:after="0" w:line="238" w:lineRule="auto"/>
        <w:rPr>
          <w:sz w:val="20"/>
          <w:szCs w:val="20"/>
          <w:color w:val="auto"/>
        </w:rPr>
      </w:pPr>
      <w:r>
        <w:rPr>
          <w:rFonts w:ascii="Arial" w:cs="Arial" w:eastAsia="Arial" w:hAnsi="Arial"/>
          <w:sz w:val="14"/>
          <w:szCs w:val="14"/>
          <w:color w:val="auto"/>
        </w:rPr>
        <w:t>The annualized weighted average cost of debt for the six months ended March 31, 2019 and 2018, inclusive of the fee on the undrawn commitment of 0.375% on the Credit Facility, amendment costs and debt issuance costs, was 6.16% and 7.40%, respectively. As of March 31, 2019, in accordance with the 1940 Act, with certain limited exceptions, we are only allowed to borrow amounts such that we are in compliance with a 200% asset coverage ratio requirement after such borrowing.</w:t>
      </w:r>
    </w:p>
    <w:p>
      <w:pPr>
        <w:spacing w:after="0" w:line="115"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2019 and September 30 2018, our asset coverage ratio, as computed in accordance with the 1940 Act, was 204% and 213%,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$520 million as of March 31, 2019, subject to satisfaction of certain conditions and regulatory restrictions that the 1940 Act imposes on us as a BDC, has an interest rate spread above LIBOR of 200 basis points, a maturity date of October 2023 and a revolving period that ends in October 2021. As of March 31, 2019 and September 30, 2018, Funding I had $352.3 million and $333.7 million of outstanding borrowings under the Credit Facility, respectively. The Credit Facility had a weighted average interest rate of 4.47% and 4.25%, exclusive of the fee on undrawn commitments as of March 31, 2019 and September 30, 2018, respectively.</w:t>
      </w:r>
    </w:p>
    <w:p>
      <w:pPr>
        <w:spacing w:after="0" w:line="10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800" w:firstLine="438"/>
        <w:spacing w:after="0" w:line="29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73"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in Funding I and income ratio as well as restrictions on certain payments and issuance of debt. The Credit Facility compliance reporting is prepared on a basis of accounting other than GAAP. As of March 31, 2019, we were in compliance with the covenants relating to the Credit Facility.</w:t>
      </w:r>
    </w:p>
    <w:p>
      <w:pPr>
        <w:spacing w:after="0" w:line="10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jc w:val="both"/>
        <w:ind w:right="20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6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2019 and September 30, 2018, we had $84.1 million and $79.4 million, respectively, in commitments to fund investments. Additionally, as described in Note 4, the Company had unfunded commitments of up to $10.9 million and $39.4 million, respectively, to PSSL as of March 31, 2019 and September 30, 2018,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March 31, 2019, the related consolidated statements of operations and the related consolidated statements of changes in net assets for the three-month and six-month periods ended March 31, 2019 and 2018, and cash flows for the six-month periods ended March 31, 2019 and 2018,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14, 2018, we expressed an unqualified opinion on those financial statements. In our opinion, the information set forth in the accompanying consolidated statement of assets and liabilities as of September 30, 2018,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8,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1" w:name="page32"/>
    <w:bookmarkEnd w:id="31"/>
    <w:p>
      <w:pPr>
        <w:ind w:right="240"/>
        <w:spacing w:after="0" w:line="253" w:lineRule="auto"/>
        <w:rPr>
          <w:sz w:val="20"/>
          <w:szCs w:val="20"/>
          <w:color w:val="auto"/>
        </w:rPr>
      </w:pPr>
      <w:r>
        <w:rPr>
          <w:rFonts w:ascii="Arial" w:cs="Arial" w:eastAsia="Arial" w:hAnsi="Arial"/>
          <w:sz w:val="14"/>
          <w:szCs w:val="14"/>
          <w:color w:val="auto"/>
        </w:rPr>
        <w:t>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of March 31, 2019, our portfolio totaled $961.5 million and consisted of $850.1 million of first lien secured debt (including $121.0 million in PSSL), $27.2 million of second lien secured debt and $84.2 million of preferred and common equity (including $51.5 million in PSSL). Our debt portfolio consisted of 99% variable-rate investments and 1% fixed-rate investments. As of March 31, 2019, we had four portfolio companies on non-accrual, representing 3.2% and 1.5% of our overall portfolio on a cost and fair value basis, respectively. Overall, the portfolio had net unrealized depreciation of $26.0 million. Our overall portfolio consisted of 88 companies with an average investment size of $10.9 million, had a weighted average yield on debt investments of 9.1%, and was invested 88% in first lien secured debt (including 13% in PSSL), 3% in second lien secured debt and 9% in preferred and common equity (including 5% in PSSL). As of March 31, 2019, 97% of the investments held by PSSL were first lien secured debt.</w:t>
      </w:r>
    </w:p>
    <w:p>
      <w:pPr>
        <w:spacing w:after="0" w:line="104"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September 30, 2018, our portfolio totaled $1,000.6 million and consisted of $913.3 million of first lien secured debt (including $101.1 million in PSSL), $21.2 million of second lien secured debt and $66.1 million of preferred and common equity (including $44.8 million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 PSSL), 2% in second lien secured debt and 7% in preferred and common equity (including 4% in PSSL). As of September 30, 2018, all of the investments held by PSSL were first lien secured debt.</w:t>
      </w:r>
    </w:p>
    <w:p>
      <w:pPr>
        <w:spacing w:after="0" w:line="109"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2019, we invested $136.1 million in five new and 22 existing portfolio companies with a weighted average yield on debt investments of 8.7%. Sales and repayments of investments for the three months ended March 31, 2019 totaled $143.2 million. For the six months ended March 31, 2019, we invested $316.8 million in 14 new and 46 existing portfolio companies with a weighted average yield on debt investments of 8.6%. Sales and repayments of investments for the six months ended March 31, 2019 totaled $333.5 million.</w:t>
      </w:r>
    </w:p>
    <w:p>
      <w:pPr>
        <w:spacing w:after="0" w:line="101"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2018, we invested $138.5 million in six new and 17 existing portfolio companies with a weighted average yield on debt investments of 7.8%. Sales and repayments of investments for the three months ended March 31, 2018 totaled $46.6 million. For the six months ended March 31, 2018, we invested $315.3 million in 17 new and 28 existing portfolio companies with a weighted average yield on debt investments of 7.9%. Sales and repayments of investments for the six months ended March 31, 2018 totaled $195.7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As of March 31, 2019, PSSL’s portfolio totaled $502.1 million, consisted of 43 companies with an average investment size of $11.7 million and had a weighted average yield on debt investments of 8.1%. As of September 30, 2018, PSSL’s portfolio totaled $425.4 million, consisted of 42 companies with an average investment size of $10.1 million and had a weighted average yield on debt investments of 7.8%.</w:t>
      </w:r>
    </w:p>
    <w:p>
      <w:pPr>
        <w:spacing w:after="0" w:line="11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For the three months ended March 31, 2019, we invested $25.2 million (including $19.7 million purchased from the Company) in one new and three existing portfolio companies with a weighted average yield on debt investments of 8.0%. Sales and repayments of investments for the three months ended March 31, 2019 totaled $17.8 million. For the six months ended March 31, 2019, we invested $167.6 million in 10 new and 10 existing portfolio companies with a weighted average yield on debt investments of 8.1%. Sales and repayments of investments for the six months ended March 31, 2019 totaled $88.5 million.</w:t>
      </w:r>
    </w:p>
    <w:p>
      <w:pPr>
        <w:spacing w:after="0" w:line="117"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March 31, 2018, we invested $79.9 million in six new and three existing portfolio companies with a weighted average yield on debt investments of 7.4%. Sales and repayments of investments for the three months ended March 31, 2018 totaled $6.7 million. For the six months ended March 31, 2018, we invested $127.7 million in 13 new and three existing portfolio companies with a weighted average yield on debt investments of 7.4%. Sales and repayments of investments for the six months ended March 31, 2018 totaled $7.7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jc w:val="both"/>
        <w:ind w:left="900" w:right="100" w:hanging="447"/>
        <w:spacing w:after="0" w:line="264"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expenses of less than $0.1 million and $4.5 million, respectively, relating to amendment costs on the Credit Facility during the three and six months ended March 31, 2019. Due to that election and in accordance with GAAP, we incurred expenses of zero and $10.9 million, respectively, relating to amendment costs on the Credit Facility and debt issuance costs on the 2023 Notes during the three and six months ended March 31, 2018.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six months ended March 31, 2019, the Credit Facility and the 2023 Notes had a net change in unrealized appreciation of $5.6 million and $0.1 million, respectively. For the three and six months ended March 31, 2018, the Credit Facility and the 2023 Notes had a net change in unrealized depreciation of $5.3 million and $8.4 million, respectively. As of March 31, 2019 and September 30, 2018, the net unrealized depreciation on the Credit Facility and the 2023 Notes totaled $4.6 million and $4.7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right="100"/>
        <w:spacing w:after="0" w:line="253" w:lineRule="auto"/>
        <w:rPr>
          <w:sz w:val="20"/>
          <w:szCs w:val="20"/>
          <w:color w:val="auto"/>
        </w:rPr>
      </w:pPr>
      <w:r>
        <w:rPr>
          <w:rFonts w:ascii="Arial" w:cs="Arial" w:eastAsia="Arial" w:hAnsi="Arial"/>
          <w:sz w:val="14"/>
          <w:szCs w:val="14"/>
          <w:color w:val="auto"/>
        </w:rPr>
        <w:t>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six months ended March 31,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Investment income for the three and six months ended March 31, 2019 was $23.0 million and $46.2 million, respectively, and was attributable to $21.0 million and $42.1 million from first lien secured debt and $2.0 million and $4.1 million from second lien secured debt and preferred equity, respectively. This compares to investment income for the three and six months ended March 31, 2018, which was $16.5 million and $31.3 million, respectively, and was attributable to $13.2 million and $26.8 million from first lien secured debt and $3.3 million and $4.5 million from second lien secured debt, subordinated debt and preferred and common equity, respectively. The increase in investment income compared to the same periods in the prior year was primarily due to the growth of our portfolio.</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160" w:firstLine="434"/>
        <w:spacing w:after="0" w:line="243" w:lineRule="auto"/>
        <w:rPr>
          <w:sz w:val="20"/>
          <w:szCs w:val="20"/>
          <w:color w:val="auto"/>
        </w:rPr>
      </w:pPr>
      <w:r>
        <w:rPr>
          <w:rFonts w:ascii="Arial" w:cs="Arial" w:eastAsia="Arial" w:hAnsi="Arial"/>
          <w:sz w:val="13"/>
          <w:szCs w:val="13"/>
          <w:color w:val="auto"/>
        </w:rPr>
        <w:t>Expenses for the three and six months ended March 31, 2019 totaled $11.2 million and $23.5 million, respectively. Base management fee for the same periods totaled $2.4 million and $4.9 million, incentive fee totaled $2.5 million (including $2.5 million on net investment income and zero accrued but not payable on realized gains) and $1.3 million (including $2.7 million on net investment income and $(1.4) million accrued but not payable on realized gains), debt related interest and expenses totaled $5.3 million (including less than $0.1 million in Credit Facility amendment costs) and $15.1 million (including $4.5 million in Credit Facility amendment costs) and general and administrative expenses totaled $1.0 million and $2.2 million, respectively. This compares to expenses for the three and six months ended March 31, 2018, which totaled $7.1 million and $23.9 million, respectively. Base management fee for the same periods totaled $1.9 million and $3.8 million, incentive fee totaled $0.4 million (including $0.2 million on unrealized gains accrued but not payable) and $0.5 million (including $0.4 million on unrealized gains accrued but not payable), debt related interest and expenses totaled $3.5 million and $17.0 million (including $10.9 million in Credit Facility amendment and debt issuance costs on the 2023 Notes), general and administrative expenses totaled $1.1 million and $2.2 million and provision for taxes totaled $0.2 million and $0.4 million, respectively. The increase in expenses for the three months ended March 31, 2019 compared to the same period in the prior year was primarily due to increase in management and incentive fees and debt related interest and expenses due to the growth of our portfolio in the current period. The decrease in expenses for the six months ended March 31, 2019 compared to the same period in the prior year was primarily due to the expenses incurred in connection with the debt issuance costs on the 2023 Notes in the prior period.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Net investment income totaled $11.8 million and $22.7 million, or $0.30 and $0.59 per share, for the three and six months ended March 31, 2019, respectively. Net investment income totaled $9.4 million and $7.5 million, or $0.24 and $0.20 per share, for the three and six months ended March 31, 2018, respectively. The increase in net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investment income compared to the same periods in the prior year was primarily due to the growth of our portfolio.</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00" w:firstLine="434"/>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2019 totaled $143.2 million and $333.5 million, respectively, and net realized gains totaled $1.1 million and $2.0 million, respectively. Sales and repayments of investments for the three and six months ended March 31, 2018 totaled $46.6 million and $195.7 million, respectively, and net realized gains (losses) totaled $1.5 million and $(1.3)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20" w:firstLine="456"/>
        <w:spacing w:after="0" w:line="231" w:lineRule="auto"/>
        <w:rPr>
          <w:sz w:val="20"/>
          <w:szCs w:val="20"/>
          <w:color w:val="auto"/>
        </w:rPr>
      </w:pPr>
      <w:r>
        <w:rPr>
          <w:rFonts w:ascii="Arial" w:cs="Arial" w:eastAsia="Arial" w:hAnsi="Arial"/>
          <w:sz w:val="14"/>
          <w:szCs w:val="14"/>
          <w:color w:val="auto"/>
        </w:rPr>
        <w:t>For the three and six months ended March 31, 2019, we reported net change in unrealized depreciation on investments of $12.7 million and $25.1 million, respectively. For the three and six months ended March 31, 2018, we reported net change in unrealized (depreciation) appreciation on investments of $(0.6) million and $2.9 million, respectively. As of March 31, 2019 and September 30, 2018, our net unrealized depreciation on investments totaled $26.0 million and $0.9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16"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For the three and six months ended March 31, 2019, the Credit Facility and the 2023 Notes had a net change in unrealized appreciation of $5.6 million and $0.1 million, respectively. For the three and six months ended March 31, 2018, the Credit Facility and the 2023 Notes had a net change in unrealized depreciation of $5.3 million and $8.4 million, respectively. As of March 31, 2019 and September 30, 2018, the net unrealized depreciation on the Credit Facility and the 2023 Notes totaled $4.6 million and $4.7 million, respectively. The net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22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$(5.5) million and $(0.5) million, or $(0.14) and $(0.01) per share, respectively, for the three and six months ended March 31, 2019. This compares to a net change in net assets resulting from operations of $15.6 million and $17.5 million, or $0.40 and $0.46 per share, respectively, for the three and six months ended March 31, 2018. The decrease in the net change in net assets from operations compared to the same periods in the prior year was primarily due to depreciation of the portfolio in the current period.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2019, in accordance with the 1940 Act, with certain limited exceptions, we are only allowed to borrow amounts such that we are in compliance with a 200% asset coverage ratio requirement after such borrowing.</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2019 and September 30, 2018, our asset coverage ratio, as computed in accordance with the 1940 Act, was 204% and 213%, respectively.</w:t>
      </w:r>
    </w:p>
    <w:p>
      <w:pPr>
        <w:spacing w:after="0" w:line="107"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$520 million as of March 31, 2019, subject to satisfaction of certain conditions and regulatory restrictions that the 1940 Act imposes on us as a BDC, has an interest rate spread above LIBOR of 200 basis points, a maturity date of October 2023 and a revolving period that ends in October 2021. As of March 31, 2019 and September 30, 2018, Funding I had $352.3 million and $333.7 million of outstanding borrowings under the Credit Facility, respectively. The Credit Facility had a weighted average interest rate of 4.47% and 4.25%, exclusive of the fee on undrawn commitments as of March 31, 2019 and September 30, 2018, respectively.</w:t>
      </w:r>
    </w:p>
    <w:p>
      <w:pPr>
        <w:spacing w:after="0" w:line="107" w:lineRule="exact"/>
        <w:rPr>
          <w:sz w:val="20"/>
          <w:szCs w:val="20"/>
          <w:color w:val="auto"/>
        </w:rPr>
      </w:pPr>
    </w:p>
    <w:p>
      <w:pPr>
        <w:ind w:right="240" w:firstLine="438"/>
        <w:spacing w:after="0" w:line="264" w:lineRule="auto"/>
        <w:rPr>
          <w:sz w:val="20"/>
          <w:szCs w:val="20"/>
          <w:color w:val="auto"/>
        </w:rPr>
      </w:pPr>
      <w:r>
        <w:rPr>
          <w:rFonts w:ascii="Arial" w:cs="Arial" w:eastAsia="Arial" w:hAnsi="Arial"/>
          <w:sz w:val="13"/>
          <w:szCs w:val="13"/>
          <w:color w:val="auto"/>
        </w:rPr>
        <w:t>The annualized weighted average cost of debt for the six months ended March 31, 2019 and 2018, inclusive of the fee on the undrawn commitment of 0.375% on the Credit Facility, amendment costs and debt issuance costs, was 6.16% and 7.40%, respectively (excluding amendment and debt issuance costs, amounts were 5.08% and 3.91%, respectively). As of March 31, 2019 and September 30, 2018, we had $167.7 million and $71.3 million of unused borrowing capacity under the Credit Facility, respectively, subject to the regulatory restrictions.</w:t>
      </w:r>
    </w:p>
    <w:p>
      <w:pPr>
        <w:spacing w:after="0" w:line="10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2019,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jc w:val="both"/>
        <w:ind w:right="16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six months ended March 31, 2019 and 2018, we issued zero and 6.3 million shares, respectively. As a result, we raised approximately zero and $88.0 million in net proceeds from our issuances of our equity capital, respectively.</w:t>
      </w:r>
    </w:p>
    <w:p>
      <w:pPr>
        <w:spacing w:after="0" w:line="116"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As of March 31, 2019 and September 30, 2018, we had cash equivalents of $33.7 million and $72.2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Our operating activities used cash of $35.6 million for the six months ended March 31, 2019, and our financing activities used cash of $3.5 million for the same period. Our operating activities used cash primarily for our investment activities and our financing activities used cash primarily for distributions paid to stockholders.</w:t>
      </w:r>
    </w:p>
    <w:p>
      <w:pPr>
        <w:spacing w:after="0" w:line="106" w:lineRule="exact"/>
        <w:rPr>
          <w:sz w:val="20"/>
          <w:szCs w:val="20"/>
          <w:color w:val="auto"/>
        </w:rPr>
      </w:pPr>
    </w:p>
    <w:p>
      <w:pPr>
        <w:ind w:right="340" w:firstLine="438"/>
        <w:spacing w:after="0" w:line="238" w:lineRule="auto"/>
        <w:rPr>
          <w:sz w:val="20"/>
          <w:szCs w:val="20"/>
          <w:color w:val="auto"/>
        </w:rPr>
      </w:pPr>
      <w:r>
        <w:rPr>
          <w:rFonts w:ascii="Arial" w:cs="Arial" w:eastAsia="Arial" w:hAnsi="Arial"/>
          <w:sz w:val="14"/>
          <w:szCs w:val="14"/>
          <w:color w:val="auto"/>
        </w:rPr>
        <w:t>Our operating activities used cash of $111.7 million for the six months ended March 31, 2018, and our financing activities provided cash of $142.1 million for the same period. Our operating activities used cash primarily for our investment activities and our financing activities provided cash primarily from a follow-on equity offering and the issuance of the 2023 Notes, partially offset by net repayments under the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2019, PSSL had total assets of $515.0 million. As of the same date, we and Kemper had remaining commitments to fund first lien secured debt and equity interests in PSSL in an aggregate amount of $12.5 million. PSSL invests in portfolio companies in the same industries in which we may directly invest.</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March 31, 2019, we and Kemper owned 87.5% and 12.5%, respectively, of each of the outstanding first lien secured debt and equity interests. As of the same date, our investment in PSSL consisted of first lien secured debt of $121.0 million and equity interests of $51.8 million. As of the same date, we had commitments to fund first lien secured debt to PSSL of $128.6 million, of which $7.6 million was unfunded. As of March 31, 2019, we had commitments to fund equity interests in PSSL of $55.1 million, of which $3.3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March 31, 2019 allowed PSSL Subsidiary to borrow up to $420.0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502,099,589</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8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22,193,015</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84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103,589,946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380"/>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580" w:type="dxa"/>
            <w:vAlign w:val="bottom"/>
            <w:tcBorders>
              <w:bottom w:val="single" w:sz="8" w:color="9A9A9A"/>
            </w:tcBorders>
          </w:tcPr>
          <w:p>
            <w:pPr>
              <w:spacing w:after="0"/>
              <w:rPr>
                <w:sz w:val="21"/>
                <w:szCs w:val="21"/>
                <w:color w:val="auto"/>
              </w:rPr>
            </w:pPr>
          </w:p>
        </w:tc>
        <w:tc>
          <w:tcPr>
            <w:tcW w:w="260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156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6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7" w:name="page38"/>
    <w:bookmarkEnd w:id="37"/>
    <w:p>
      <w:pPr>
        <w:ind w:left="440"/>
        <w:spacing w:after="0"/>
        <w:rPr>
          <w:sz w:val="20"/>
          <w:szCs w:val="20"/>
          <w:color w:val="auto"/>
        </w:rPr>
      </w:pPr>
      <w:r>
        <w:rPr>
          <w:rFonts w:ascii="Arial" w:cs="Arial" w:eastAsia="Arial" w:hAnsi="Arial"/>
          <w:sz w:val="14"/>
          <w:szCs w:val="14"/>
          <w:color w:val="auto"/>
        </w:rPr>
        <w:t>Below is a listing of PSSL’s individual investments as of March 31, 2019:</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2019</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Maturity</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Companies—852.4%</w:t>
            </w: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b w:val="1"/>
                <w:bCs w:val="1"/>
                <w:color w:val="auto"/>
              </w:rPr>
              <w:t>First Lien Secured Debt—830.6%</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01/02/2024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Transportation: Consumer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7,808,783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7,733,777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7,730,696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API Technologies Corp.</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04/22/2024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19,377,559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19,158,207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19,086,898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05/16/2022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10,685,318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10,490,094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10,685,318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Cadence Aerospace, LLC</w:t>
            </w:r>
          </w:p>
        </w:tc>
        <w:tc>
          <w:tcPr>
            <w:tcW w:w="1200" w:type="dxa"/>
            <w:vAlign w:val="bottom"/>
          </w:tcPr>
          <w:p>
            <w:pPr>
              <w:jc w:val="center"/>
              <w:ind w:right="22"/>
              <w:spacing w:after="0"/>
              <w:rPr>
                <w:sz w:val="20"/>
                <w:szCs w:val="20"/>
                <w:color w:val="auto"/>
              </w:rPr>
            </w:pPr>
            <w:r>
              <w:rPr>
                <w:rFonts w:ascii="Arial" w:cs="Arial" w:eastAsia="Arial" w:hAnsi="Arial"/>
                <w:sz w:val="12"/>
                <w:szCs w:val="12"/>
                <w:color w:val="auto"/>
                <w:w w:val="86"/>
              </w:rPr>
              <w:t>11/14/2023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11,794,792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11,694,405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11,699,268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200" w:type="dxa"/>
            <w:vAlign w:val="bottom"/>
            <w:shd w:val="clear" w:color="auto" w:fill="CCECFF"/>
          </w:tcPr>
          <w:p>
            <w:pPr>
              <w:jc w:val="center"/>
              <w:ind w:right="22"/>
              <w:spacing w:after="0"/>
              <w:rPr>
                <w:sz w:val="20"/>
                <w:szCs w:val="20"/>
                <w:color w:val="auto"/>
              </w:rPr>
            </w:pPr>
            <w:r>
              <w:rPr>
                <w:rFonts w:ascii="Arial" w:cs="Arial" w:eastAsia="Arial" w:hAnsi="Arial"/>
                <w:sz w:val="12"/>
                <w:szCs w:val="12"/>
                <w:color w:val="auto"/>
                <w:w w:val="86"/>
              </w:rPr>
              <w:t>11/29/2023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7,386,650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7,346,274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7,201,984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Challenger Performance Optimization,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08/31/2023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8.23%</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10,322,206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10,226,068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10,218,984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 First Out</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05/07/2019</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145,922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143,715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145,922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Country Fresh Holdings, LLC, First Out </w:t>
            </w:r>
            <w:r>
              <w:rPr>
                <w:rFonts w:ascii="Arial" w:cs="Arial" w:eastAsia="Arial" w:hAnsi="Arial"/>
                <w:sz w:val="9"/>
                <w:szCs w:val="9"/>
                <w:color w:val="auto"/>
              </w:rPr>
              <w:t>(5)</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05/07/2019</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36,481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03/31/2023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4,345,004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4,345,004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2,852,940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Deva Holdings,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10/31/2023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8.75%</w:t>
            </w:r>
          </w:p>
        </w:tc>
        <w:tc>
          <w:tcPr>
            <w:tcW w:w="660" w:type="dxa"/>
            <w:vAlign w:val="bottom"/>
          </w:tcPr>
          <w:p>
            <w:pPr>
              <w:jc w:val="right"/>
              <w:spacing w:after="0"/>
              <w:rPr>
                <w:sz w:val="20"/>
                <w:szCs w:val="20"/>
                <w:color w:val="auto"/>
              </w:rPr>
            </w:pPr>
            <w:r>
              <w:rPr>
                <w:rFonts w:ascii="Arial" w:cs="Arial" w:eastAsia="Arial" w:hAnsi="Arial"/>
                <w:sz w:val="12"/>
                <w:szCs w:val="12"/>
                <w:color w:val="auto"/>
              </w:rPr>
              <w:t>3M L+625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19,849,246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19,849,246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19,849,246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12/29/2023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16,497,427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16,348,625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16,373,696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12,375,000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12,198,089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Douglas Sewer Intermediate,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8,207,736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8,149,748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8,125,658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05/31/2024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7.17%</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7,363,211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6,890,376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1200" w:type="dxa"/>
            <w:vAlign w:val="bottom"/>
            <w:shd w:val="clear" w:color="auto" w:fill="CCECFF"/>
          </w:tcPr>
          <w:p>
            <w:pPr>
              <w:jc w:val="center"/>
              <w:ind w:right="22"/>
              <w:spacing w:after="0"/>
              <w:rPr>
                <w:sz w:val="20"/>
                <w:szCs w:val="20"/>
                <w:color w:val="auto"/>
              </w:rPr>
            </w:pPr>
            <w:r>
              <w:rPr>
                <w:rFonts w:ascii="Arial" w:cs="Arial" w:eastAsia="Arial" w:hAnsi="Arial"/>
                <w:sz w:val="12"/>
                <w:szCs w:val="12"/>
                <w:color w:val="auto"/>
                <w:w w:val="86"/>
              </w:rPr>
              <w:t>11/14/2022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9.99%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17,845,267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17,704,581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17,845,267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Good2Grow LLC</w:t>
            </w:r>
          </w:p>
        </w:tc>
        <w:tc>
          <w:tcPr>
            <w:tcW w:w="1200" w:type="dxa"/>
            <w:vAlign w:val="bottom"/>
          </w:tcPr>
          <w:p>
            <w:pPr>
              <w:jc w:val="center"/>
              <w:ind w:right="22"/>
              <w:spacing w:after="0"/>
              <w:rPr>
                <w:sz w:val="20"/>
                <w:szCs w:val="20"/>
                <w:color w:val="auto"/>
              </w:rPr>
            </w:pPr>
            <w:r>
              <w:rPr>
                <w:rFonts w:ascii="Arial" w:cs="Arial" w:eastAsia="Arial" w:hAnsi="Arial"/>
                <w:sz w:val="12"/>
                <w:szCs w:val="12"/>
                <w:color w:val="auto"/>
                <w:w w:val="86"/>
              </w:rPr>
              <w:t>11/18/2024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Beverages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6.85%</w:t>
            </w:r>
          </w:p>
        </w:tc>
        <w:tc>
          <w:tcPr>
            <w:tcW w:w="660" w:type="dxa"/>
            <w:vAlign w:val="bottom"/>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12,350,087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12,344,062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06/29/2023</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6.93%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14,614,688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14,483,367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14,131,653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GSM Holdings,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7.10%</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19,768,385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19,611,437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19,669,543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IMIA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10/28/2024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7.10%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12,409,195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12,406,406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Impact Group,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06/27/2023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9.10%</w:t>
            </w:r>
          </w:p>
        </w:tc>
        <w:tc>
          <w:tcPr>
            <w:tcW w:w="660" w:type="dxa"/>
            <w:vAlign w:val="bottom"/>
          </w:tcPr>
          <w:p>
            <w:pPr>
              <w:jc w:val="right"/>
              <w:spacing w:after="0"/>
              <w:rPr>
                <w:sz w:val="20"/>
                <w:szCs w:val="20"/>
                <w:color w:val="auto"/>
              </w:rPr>
            </w:pPr>
            <w:r>
              <w:rPr>
                <w:rFonts w:ascii="Arial" w:cs="Arial" w:eastAsia="Arial" w:hAnsi="Arial"/>
                <w:sz w:val="12"/>
                <w:szCs w:val="12"/>
                <w:color w:val="auto"/>
              </w:rPr>
              <w:t>1M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9,440,185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9,338,670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9,392,984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12/12/2023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6.14%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4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10,958,665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10,423,074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12/20/2023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7.75%</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19,713,293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19,751,642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LAV Gear Holdings,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8.10%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9,880,342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9,797,230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(3), (4)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09/12/2022</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7.67%</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14,868,247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10,558,663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10,561,629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08/19/2022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7.49%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17,910,000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17,760,080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17,730,900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8.48%</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7,171,875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7,219,380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6,633,984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12/08/2023</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6,912,500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6,824,970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6,699,202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01/27/2021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7.22%</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5,790,254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4,473,726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4,334,185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09/28/2022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7.60%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6,032,695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5,995,982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6,015,648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Morphe,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02/10/2023</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16,904,114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16,794,135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16,819,593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06/06/2024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14,792,920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14,738,438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Olde Thompson,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05/14/2024</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13,895,000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13,756,050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13,895,000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03/27/2024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7,923,419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7,953,028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7,883,802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Pestell Minerals and Ingredients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06/01/2023</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8.05%</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9,880,564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9,928,405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PH Beauty Holdings III,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09/29/2025</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10,945,000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10,840,855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10,835,550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Plant Health Intermediate, Inc.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8.50%</w:t>
            </w:r>
          </w:p>
        </w:tc>
        <w:tc>
          <w:tcPr>
            <w:tcW w:w="660" w:type="dxa"/>
            <w:vAlign w:val="bottom"/>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1,767,264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1,742,045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1,749,592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Smile Brands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10/14/2024</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7.31%</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11,343,821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11,236,528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11,230,383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Snak Club,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07/19/2021</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8.49%</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4,031,246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12/01/2022</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15,302,316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15,305,398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15,302,316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12/02/2021</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7.99%</w:t>
            </w:r>
          </w:p>
        </w:tc>
        <w:tc>
          <w:tcPr>
            <w:tcW w:w="660" w:type="dxa"/>
            <w:vAlign w:val="bottom"/>
          </w:tcPr>
          <w:p>
            <w:pPr>
              <w:jc w:val="right"/>
              <w:spacing w:after="0"/>
              <w:rPr>
                <w:sz w:val="20"/>
                <w:szCs w:val="20"/>
                <w:color w:val="auto"/>
              </w:rPr>
            </w:pPr>
            <w:r>
              <w:rPr>
                <w:rFonts w:ascii="Arial" w:cs="Arial" w:eastAsia="Arial" w:hAnsi="Arial"/>
                <w:sz w:val="12"/>
                <w:szCs w:val="12"/>
                <w:color w:val="auto"/>
              </w:rPr>
              <w:t>6M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9,642,895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9,599,176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9,546,465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04/03/2024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6.98%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22,417,187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22,213,822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22,193,015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08/30/2024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8,457,500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8,319,115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8,457,500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07/15/2024</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3,970,000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3,907,191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09/26/2024</w:t>
            </w:r>
          </w:p>
        </w:tc>
        <w:tc>
          <w:tcPr>
            <w:tcW w:w="260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9.30%</w:t>
            </w:r>
          </w:p>
        </w:tc>
        <w:tc>
          <w:tcPr>
            <w:tcW w:w="660" w:type="dxa"/>
            <w:vAlign w:val="bottom"/>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16,205,578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15,903,212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16,205,578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10/18/2022</w:t>
            </w:r>
          </w:p>
        </w:tc>
        <w:tc>
          <w:tcPr>
            <w:tcW w:w="260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4,887,500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4,813,222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200" w:type="dxa"/>
            <w:vAlign w:val="bottom"/>
            <w:tcBorders>
              <w:bottom w:val="single" w:sz="8" w:color="CCECFF"/>
            </w:tcBorders>
          </w:tcPr>
          <w:p>
            <w:pPr>
              <w:jc w:val="center"/>
              <w:ind w:right="2"/>
              <w:spacing w:after="0"/>
              <w:rPr>
                <w:sz w:val="20"/>
                <w:szCs w:val="20"/>
                <w:color w:val="auto"/>
              </w:rPr>
            </w:pPr>
            <w:r>
              <w:rPr>
                <w:rFonts w:ascii="Arial" w:cs="Arial" w:eastAsia="Arial" w:hAnsi="Arial"/>
                <w:sz w:val="12"/>
                <w:szCs w:val="12"/>
                <w:color w:val="auto"/>
                <w:w w:val="89"/>
              </w:rPr>
              <w:t>02/12/2024</w:t>
            </w:r>
          </w:p>
        </w:tc>
        <w:tc>
          <w:tcPr>
            <w:tcW w:w="26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8.10%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6,715,812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6,690,365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6,682,233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492,764,022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489,206,261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Arial" w:cs="Arial" w:eastAsia="Arial" w:hAnsi="Arial"/>
                <w:sz w:val="12"/>
                <w:szCs w:val="12"/>
                <w:b w:val="1"/>
                <w:bCs w:val="1"/>
                <w:color w:val="auto"/>
              </w:rPr>
              <w:t>Second Lien Secured Debt—12.9%</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Term Loan B</w:t>
            </w:r>
          </w:p>
        </w:tc>
        <w:tc>
          <w:tcPr>
            <w:tcW w:w="120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08/02/2021</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7,607,291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7,607,291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7,607,291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00" w:type="dxa"/>
            <w:vAlign w:val="bottom"/>
          </w:tcPr>
          <w:p>
            <w:pPr>
              <w:spacing w:after="0"/>
              <w:rPr>
                <w:sz w:val="20"/>
                <w:szCs w:val="20"/>
                <w:color w:val="auto"/>
              </w:rPr>
            </w:pPr>
            <w:r>
              <w:rPr>
                <w:rFonts w:ascii="Arial" w:cs="Arial" w:eastAsia="Arial" w:hAnsi="Arial"/>
                <w:sz w:val="12"/>
                <w:szCs w:val="12"/>
                <w:color w:val="auto"/>
              </w:rPr>
              <w:t>DBI Holding, LLC, Term Loan C</w:t>
            </w:r>
          </w:p>
        </w:tc>
        <w:tc>
          <w:tcPr>
            <w:tcW w:w="1200" w:type="dxa"/>
            <w:vAlign w:val="bottom"/>
          </w:tcPr>
          <w:p>
            <w:pPr>
              <w:jc w:val="center"/>
              <w:ind w:right="2"/>
              <w:spacing w:after="0"/>
              <w:rPr>
                <w:sz w:val="20"/>
                <w:szCs w:val="20"/>
                <w:color w:val="auto"/>
              </w:rPr>
            </w:pPr>
            <w:r>
              <w:rPr>
                <w:rFonts w:ascii="Arial" w:cs="Arial" w:eastAsia="Arial" w:hAnsi="Arial"/>
                <w:sz w:val="12"/>
                <w:szCs w:val="12"/>
                <w:color w:val="auto"/>
                <w:w w:val="89"/>
              </w:rPr>
              <w:t>02/03/2020</w:t>
            </w:r>
          </w:p>
        </w:tc>
        <w:tc>
          <w:tcPr>
            <w:tcW w:w="260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15,206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15,206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ind w:left="140"/>
              <w:spacing w:after="0"/>
              <w:rPr>
                <w:sz w:val="20"/>
                <w:szCs w:val="20"/>
                <w:color w:val="auto"/>
              </w:rPr>
            </w:pPr>
            <w:r>
              <w:rPr>
                <w:rFonts w:ascii="Arial" w:cs="Arial" w:eastAsia="Arial" w:hAnsi="Arial"/>
                <w:sz w:val="12"/>
                <w:szCs w:val="12"/>
                <w:color w:val="auto"/>
              </w:rPr>
              <w:t>(PIK 15.00%)</w:t>
            </w: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7,622,497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7,622,497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Arial" w:cs="Arial" w:eastAsia="Arial" w:hAnsi="Arial"/>
                <w:sz w:val="12"/>
                <w:szCs w:val="12"/>
                <w:b w:val="1"/>
                <w:bCs w:val="1"/>
                <w:color w:val="auto"/>
              </w:rPr>
              <w:t>Equity Securities—8.9%</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 Series A-1</w:t>
            </w:r>
          </w:p>
        </w:tc>
        <w:tc>
          <w:tcPr>
            <w:tcW w:w="1200" w:type="dxa"/>
            <w:vAlign w:val="bottom"/>
            <w:shd w:val="clear" w:color="auto" w:fill="CCECFF"/>
          </w:tcPr>
          <w:p>
            <w:pPr>
              <w:ind w:left="56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5,034,310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5,034,310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DBI Holding, LLC, Series B</w:t>
            </w:r>
          </w:p>
        </w:tc>
        <w:tc>
          <w:tcPr>
            <w:tcW w:w="1200" w:type="dxa"/>
            <w:vAlign w:val="bottom"/>
            <w:tcBorders>
              <w:bottom w:val="single" w:sz="8" w:color="CCECFF"/>
            </w:tcBorders>
          </w:tcPr>
          <w:p>
            <w:pPr>
              <w:ind w:left="560"/>
              <w:spacing w:after="0"/>
              <w:rPr>
                <w:sz w:val="20"/>
                <w:szCs w:val="20"/>
                <w:color w:val="auto"/>
              </w:rPr>
            </w:pPr>
            <w:r>
              <w:rPr>
                <w:rFonts w:ascii="Arial" w:cs="Arial" w:eastAsia="Arial" w:hAnsi="Arial"/>
                <w:sz w:val="12"/>
                <w:szCs w:val="12"/>
                <w:color w:val="auto"/>
              </w:rPr>
              <w:t>—</w:t>
            </w:r>
          </w:p>
        </w:tc>
        <w:tc>
          <w:tcPr>
            <w:tcW w:w="2600" w:type="dxa"/>
            <w:vAlign w:val="bottom"/>
            <w:tcBorders>
              <w:bottom w:val="single" w:sz="8" w:color="CCECFF"/>
            </w:tcBorders>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60" w:type="dxa"/>
            <w:vAlign w:val="bottom"/>
            <w:tcBorders>
              <w:bottom w:val="single" w:sz="8" w:color="CCEC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1,065,021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Equity Securities</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5,270,831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5,270,831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505,657,350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502,099,589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Equivalents—15.2%</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6,855,729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6,855,729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20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2,073,291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2,068,751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8,929,020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8,924,480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8"/>
              </w:rPr>
              <w:t>Total Investments and Cash Equivalents—867.6%</w:t>
            </w:r>
          </w:p>
        </w:tc>
        <w:tc>
          <w:tcPr>
            <w:tcW w:w="120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514,586,370</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511,024,069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Assets—(767.6)%</w:t>
            </w:r>
          </w:p>
        </w:tc>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(452,123,083)</w:t>
            </w:r>
          </w:p>
        </w:tc>
        <w:tc>
          <w:tcPr>
            <w:tcW w:w="0" w:type="dxa"/>
            <w:vAlign w:val="bottom"/>
          </w:tcPr>
          <w:p>
            <w:pPr>
              <w:spacing w:after="0"/>
              <w:rPr>
                <w:sz w:val="1"/>
                <w:szCs w:val="1"/>
                <w:color w:val="auto"/>
              </w:rPr>
            </w:pPr>
          </w:p>
        </w:tc>
      </w:tr>
      <w:tr>
        <w:trPr>
          <w:trHeight w:val="142"/>
        </w:trPr>
        <w:tc>
          <w:tcPr>
            <w:tcW w:w="28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200" w:type="dxa"/>
            <w:vAlign w:val="bottom"/>
            <w:tcBorders>
              <w:top w:val="single" w:sz="8" w:color="CCECFF"/>
              <w:bottom w:val="single" w:sz="8" w:color="CCECFF"/>
            </w:tcBorders>
            <w:shd w:val="clear" w:color="auto" w:fill="CCECFF"/>
          </w:tcPr>
          <w:p>
            <w:pPr>
              <w:spacing w:after="0"/>
              <w:rPr>
                <w:sz w:val="12"/>
                <w:szCs w:val="12"/>
                <w:color w:val="auto"/>
              </w:rPr>
            </w:pPr>
          </w:p>
        </w:tc>
        <w:tc>
          <w:tcPr>
            <w:tcW w:w="248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80" w:type="dxa"/>
            <w:vAlign w:val="bottom"/>
            <w:tcBorders>
              <w:top w:val="single" w:sz="8" w:color="CCECFF"/>
              <w:bottom w:val="single" w:sz="8" w:color="CCECFF"/>
            </w:tcBorders>
            <w:shd w:val="clear" w:color="auto" w:fill="CCECFF"/>
          </w:tcPr>
          <w:p>
            <w:pPr>
              <w:spacing w:after="0"/>
              <w:rPr>
                <w:sz w:val="12"/>
                <w:szCs w:val="12"/>
                <w:color w:val="auto"/>
              </w:rPr>
            </w:pPr>
          </w:p>
        </w:tc>
        <w:tc>
          <w:tcPr>
            <w:tcW w:w="28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3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58,900,986</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ind w:left="380" w:right="60" w:hanging="372"/>
        <w:spacing w:after="0" w:line="276"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18599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9915" cy="8255"/>
                    </a:xfrm>
                    <a:prstGeom prst="rect">
                      <a:avLst/>
                    </a:prstGeom>
                    <a:noFill/>
                  </pic:spPr>
                </pic:pic>
              </a:graphicData>
            </a:graphic>
          </wp:anchor>
        </w:drawing>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5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04/04/2022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11/30/2021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04/06/2023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780" w:type="dxa"/>
            <w:vAlign w:val="bottom"/>
          </w:tcPr>
          <w:p>
            <w:pPr>
              <w:jc w:val="right"/>
              <w:spacing w:after="0"/>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7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03/31/2023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780" w:type="dxa"/>
            <w:vAlign w:val="bottom"/>
          </w:tcPr>
          <w:p>
            <w:pPr>
              <w:jc w:val="right"/>
              <w:spacing w:after="0"/>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08/02/2021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10/31/2023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780" w:type="dxa"/>
            <w:vAlign w:val="bottom"/>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780" w:type="dxa"/>
            <w:vAlign w:val="bottom"/>
          </w:tcPr>
          <w:p>
            <w:pPr>
              <w:jc w:val="right"/>
              <w:spacing w:after="0"/>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05/30/2025</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780" w:type="dxa"/>
            <w:vAlign w:val="bottom"/>
          </w:tcPr>
          <w:p>
            <w:pPr>
              <w:jc w:val="right"/>
              <w:spacing w:after="0"/>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05/31/2024</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L+525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780" w:type="dxa"/>
            <w:vAlign w:val="bottom"/>
          </w:tcPr>
          <w:p>
            <w:pPr>
              <w:jc w:val="right"/>
              <w:spacing w:after="0"/>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06/29/2023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7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12/12/2023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78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05/01/2023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780" w:type="dxa"/>
            <w:vAlign w:val="bottom"/>
          </w:tcPr>
          <w:p>
            <w:pPr>
              <w:jc w:val="right"/>
              <w:spacing w:after="0"/>
              <w:rPr>
                <w:sz w:val="20"/>
                <w:szCs w:val="20"/>
                <w:color w:val="auto"/>
              </w:rPr>
            </w:pPr>
            <w:r>
              <w:rPr>
                <w:rFonts w:ascii="Arial" w:cs="Arial" w:eastAsia="Arial" w:hAnsi="Arial"/>
                <w:sz w:val="12"/>
                <w:szCs w:val="12"/>
                <w:color w:val="auto"/>
              </w:rPr>
              <w:t>P+275</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12/27/2023</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09/30/2024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09/28/2022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02/10/2023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7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06/06/2024</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05/14/2024</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780" w:type="dxa"/>
            <w:vAlign w:val="bottom"/>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03/27/2024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12/01/2022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Media: Broadcasting and Subscription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7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04/03/2024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08/30/2024</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780" w:type="dxa"/>
            <w:vAlign w:val="bottom"/>
          </w:tcPr>
          <w:p>
            <w:pPr>
              <w:jc w:val="right"/>
              <w:spacing w:after="0"/>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07/15/2024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03/01/2023</w:t>
            </w:r>
          </w:p>
        </w:tc>
        <w:tc>
          <w:tcPr>
            <w:tcW w:w="26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7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10/18/2022</w:t>
            </w:r>
          </w:p>
        </w:tc>
        <w:tc>
          <w:tcPr>
            <w:tcW w:w="26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7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6"/>
              </w:rPr>
              <w:t>02/12/2024</w:t>
            </w:r>
          </w:p>
        </w:tc>
        <w:tc>
          <w:tcPr>
            <w:tcW w:w="262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7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3M L+550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w w:val="99"/>
              </w:rPr>
              <w:t>Total Investments and Cash Equivalents—857.3%</w:t>
            </w:r>
          </w:p>
        </w:tc>
        <w:tc>
          <w:tcPr>
            <w:tcW w:w="1180" w:type="dxa"/>
            <w:vAlign w:val="bottom"/>
            <w:tcBorders>
              <w:bottom w:val="single" w:sz="8" w:color="CCECFF"/>
            </w:tcBorders>
            <w:shd w:val="clear" w:color="auto" w:fill="CCECFF"/>
          </w:tcPr>
          <w:p>
            <w:pPr>
              <w:spacing w:after="0"/>
              <w:rPr>
                <w:sz w:val="12"/>
                <w:szCs w:val="12"/>
                <w:color w:val="auto"/>
              </w:rPr>
            </w:pPr>
          </w:p>
        </w:tc>
        <w:tc>
          <w:tcPr>
            <w:tcW w:w="25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2"/>
        </w:trPr>
        <w:tc>
          <w:tcPr>
            <w:tcW w:w="28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top w:val="single" w:sz="8" w:color="CCECFF"/>
              <w:bottom w:val="single" w:sz="8" w:color="CCECFF"/>
            </w:tcBorders>
            <w:shd w:val="clear" w:color="auto" w:fill="CCECFF"/>
          </w:tcPr>
          <w:p>
            <w:pPr>
              <w:spacing w:after="0"/>
              <w:rPr>
                <w:sz w:val="12"/>
                <w:szCs w:val="12"/>
                <w:color w:val="auto"/>
              </w:rPr>
            </w:pPr>
          </w:p>
        </w:tc>
        <w:tc>
          <w:tcPr>
            <w:tcW w:w="2500" w:type="dxa"/>
            <w:vAlign w:val="bottom"/>
            <w:tcBorders>
              <w:top w:val="single" w:sz="8" w:color="CCECFF"/>
              <w:bottom w:val="single" w:sz="8" w:color="CCECFF"/>
            </w:tcBorders>
            <w:shd w:val="clear" w:color="auto" w:fill="CCECFF"/>
          </w:tcPr>
          <w:p>
            <w:pPr>
              <w:spacing w:after="0"/>
              <w:rPr>
                <w:sz w:val="12"/>
                <w:szCs w:val="12"/>
                <w:color w:val="auto"/>
              </w:rPr>
            </w:pPr>
          </w:p>
        </w:tc>
        <w:tc>
          <w:tcPr>
            <w:tcW w:w="120" w:type="dxa"/>
            <w:vAlign w:val="bottom"/>
            <w:tcBorders>
              <w:top w:val="single" w:sz="8" w:color="CCECFF"/>
              <w:bottom w:val="single" w:sz="8" w:color="CCECFF"/>
            </w:tcBorders>
            <w:shd w:val="clear" w:color="auto" w:fill="CCECFF"/>
          </w:tcPr>
          <w:p>
            <w:pPr>
              <w:spacing w:after="0"/>
              <w:rPr>
                <w:sz w:val="12"/>
                <w:szCs w:val="12"/>
                <w:color w:val="auto"/>
              </w:rPr>
            </w:pPr>
          </w:p>
        </w:tc>
        <w:tc>
          <w:tcPr>
            <w:tcW w:w="6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780" w:type="dxa"/>
            <w:vAlign w:val="bottom"/>
            <w:tcBorders>
              <w:top w:val="single" w:sz="8" w:color="CCECFF"/>
              <w:bottom w:val="single" w:sz="8" w:color="CCECFF"/>
            </w:tcBorders>
            <w:shd w:val="clear" w:color="auto" w:fill="CCECFF"/>
          </w:tcPr>
          <w:p>
            <w:pPr>
              <w:spacing w:after="0"/>
              <w:rPr>
                <w:sz w:val="12"/>
                <w:szCs w:val="12"/>
                <w:color w:val="auto"/>
              </w:rPr>
            </w:pPr>
          </w:p>
        </w:tc>
        <w:tc>
          <w:tcPr>
            <w:tcW w:w="220" w:type="dxa"/>
            <w:vAlign w:val="bottom"/>
            <w:tcBorders>
              <w:top w:val="single" w:sz="8" w:color="CCECFF"/>
              <w:bottom w:val="single" w:sz="8" w:color="CCECFF"/>
            </w:tcBorders>
            <w:shd w:val="clear" w:color="auto" w:fill="CCECFF"/>
          </w:tcPr>
          <w:p>
            <w:pPr>
              <w:spacing w:after="0"/>
              <w:rPr>
                <w:sz w:val="12"/>
                <w:szCs w:val="12"/>
                <w:color w:val="auto"/>
              </w:rPr>
            </w:pP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56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CCECFF"/>
              <w:bottom w:val="single" w:sz="8" w:color="CCECFF"/>
            </w:tcBorders>
            <w:shd w:val="clear" w:color="auto" w:fill="CCECFF"/>
          </w:tcPr>
          <w:p>
            <w:pPr>
              <w:spacing w:after="0"/>
              <w:rPr>
                <w:sz w:val="12"/>
                <w:szCs w:val="12"/>
                <w:color w:val="auto"/>
              </w:rPr>
            </w:pPr>
          </w:p>
        </w:tc>
        <w:tc>
          <w:tcPr>
            <w:tcW w:w="620" w:type="dxa"/>
            <w:vAlign w:val="bottom"/>
            <w:tcBorders>
              <w:top w:val="single" w:sz="8" w:color="CCECFF"/>
              <w:bottom w:val="single" w:sz="8" w:color="CCECFF"/>
            </w:tcBorders>
            <w:shd w:val="clear" w:color="auto" w:fill="CCECFF"/>
          </w:tcPr>
          <w:p>
            <w:pPr>
              <w:spacing w:after="0"/>
              <w:rPr>
                <w:sz w:val="12"/>
                <w:szCs w:val="12"/>
                <w:color w:val="auto"/>
              </w:rPr>
            </w:pPr>
          </w:p>
        </w:tc>
        <w:tc>
          <w:tcPr>
            <w:tcW w:w="240" w:type="dxa"/>
            <w:vAlign w:val="bottom"/>
            <w:tcBorders>
              <w:top w:val="single" w:sz="8" w:color="CCECFF"/>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top w:val="single" w:sz="8" w:color="CCECFF"/>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688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60" w:hanging="372"/>
        <w:spacing w:after="0" w:line="276" w:lineRule="auto"/>
        <w:tabs>
          <w:tab w:leader="none" w:pos="3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2"/>
        </w:trPr>
        <w:tc>
          <w:tcPr>
            <w:tcW w:w="7720" w:type="dxa"/>
            <w:vAlign w:val="bottom"/>
          </w:tcPr>
          <w:p>
            <w:pPr>
              <w:ind w:left="380"/>
              <w:spacing w:after="0"/>
              <w:rPr>
                <w:sz w:val="20"/>
                <w:szCs w:val="20"/>
                <w:color w:val="auto"/>
              </w:rPr>
            </w:pPr>
            <w:r>
              <w:rPr>
                <w:rFonts w:ascii="Arial" w:cs="Arial" w:eastAsia="Arial" w:hAnsi="Arial"/>
                <w:sz w:val="14"/>
                <w:szCs w:val="14"/>
                <w:color w:val="auto"/>
              </w:rPr>
              <w:t>Below is the financial information for PSSL:</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6"/>
        </w:trPr>
        <w:tc>
          <w:tcPr>
            <w:tcW w:w="7720" w:type="dxa"/>
            <w:vAlign w:val="bottom"/>
          </w:tcPr>
          <w:p>
            <w:pPr>
              <w:ind w:left="4100"/>
              <w:spacing w:after="0"/>
              <w:rPr>
                <w:sz w:val="20"/>
                <w:szCs w:val="20"/>
                <w:color w:val="auto"/>
              </w:rPr>
            </w:pPr>
            <w:r>
              <w:rPr>
                <w:rFonts w:ascii="Arial" w:cs="Arial" w:eastAsia="Arial" w:hAnsi="Arial"/>
                <w:sz w:val="14"/>
                <w:szCs w:val="14"/>
                <w:b w:val="1"/>
                <w:bCs w:val="1"/>
                <w:color w:val="auto"/>
              </w:rPr>
              <w:t>PennantPark Senior Secured Loan Fund I LLC</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7720" w:type="dxa"/>
            <w:vAlign w:val="bottom"/>
          </w:tcPr>
          <w:p>
            <w:pPr>
              <w:ind w:left="4460"/>
              <w:spacing w:after="0"/>
              <w:rPr>
                <w:sz w:val="20"/>
                <w:szCs w:val="20"/>
                <w:color w:val="auto"/>
              </w:rPr>
            </w:pPr>
            <w:r>
              <w:rPr>
                <w:rFonts w:ascii="Arial" w:cs="Arial" w:eastAsia="Arial" w:hAnsi="Arial"/>
                <w:sz w:val="14"/>
                <w:szCs w:val="14"/>
                <w:b w:val="1"/>
                <w:bCs w:val="1"/>
                <w:color w:val="auto"/>
              </w:rPr>
              <w:t>Statements of Assets and Liabilities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0"/>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(cost—$505,657,350 and $425,336,210, respectively)</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502,099,589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(cost—$8,929,020 and $13,520,127, respectively)</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8,924,480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2,084,271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1,850,332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514,958,672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316,192,002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Notes payable to members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138,250,000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200" w:type="dxa"/>
            <w:vAlign w:val="bottom"/>
            <w:shd w:val="clear" w:color="auto" w:fill="CCECFF"/>
          </w:tcPr>
          <w:p>
            <w:pPr>
              <w:spacing w:after="0"/>
              <w:rPr>
                <w:sz w:val="14"/>
                <w:szCs w:val="14"/>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1,357,004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notes to members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122,132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0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136,548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456,057,686</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00" w:type="dxa"/>
            <w:vAlign w:val="bottom"/>
            <w:tcBorders>
              <w:bottom w:val="single" w:sz="8" w:color="auto"/>
            </w:tcBorders>
            <w:shd w:val="clear" w:color="auto" w:fill="CCECFF"/>
          </w:tcPr>
          <w:p>
            <w:pPr>
              <w:spacing w:after="0"/>
              <w:rPr>
                <w:sz w:val="13"/>
                <w:szCs w:val="13"/>
                <w:color w:val="auto"/>
              </w:rPr>
            </w:pP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58,900,986</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514,958,672</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shd w:val="clear" w:color="auto" w:fill="CCECFF"/>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As of March 31, 2019 and September 30, 2018, PSSL had unfunded commitments to fund investments of less than $0.1 million and zero,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7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55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5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10,379,484</w:t>
            </w:r>
          </w:p>
        </w:tc>
        <w:tc>
          <w:tcPr>
            <w:tcW w:w="12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3,123,487</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19,921,051</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74"/>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5,097,142</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141,030</w:t>
            </w: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2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298,943</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w:t>
            </w:r>
          </w:p>
        </w:tc>
        <w:tc>
          <w:tcPr>
            <w:tcW w:w="120" w:type="dxa"/>
            <w:vAlign w:val="bottom"/>
            <w:tcBorders>
              <w:bottom w:val="single" w:sz="8" w:color="CCECFF"/>
            </w:tcBorders>
          </w:tcPr>
          <w:p>
            <w:pPr>
              <w:spacing w:after="0"/>
              <w:rPr>
                <w:sz w:val="14"/>
                <w:szCs w:val="14"/>
                <w:color w:val="auto"/>
              </w:rPr>
            </w:pPr>
          </w:p>
        </w:tc>
      </w:tr>
      <w:tr>
        <w:trPr>
          <w:trHeight w:val="155"/>
        </w:trPr>
        <w:tc>
          <w:tcPr>
            <w:tcW w:w="5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10,520,514</w:t>
            </w: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3,135,706</w:t>
            </w:r>
          </w:p>
        </w:tc>
        <w:tc>
          <w:tcPr>
            <w:tcW w:w="24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20,219,994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5,109,361</w:t>
            </w:r>
          </w:p>
        </w:tc>
        <w:tc>
          <w:tcPr>
            <w:tcW w:w="120" w:type="dxa"/>
            <w:vAlign w:val="bottom"/>
            <w:shd w:val="clear" w:color="auto" w:fill="CCECFF"/>
          </w:tcPr>
          <w:p>
            <w:pPr>
              <w:spacing w:after="0"/>
              <w:rPr>
                <w:sz w:val="13"/>
                <w:szCs w:val="13"/>
                <w:color w:val="auto"/>
              </w:rPr>
            </w:pPr>
          </w:p>
        </w:tc>
      </w:tr>
      <w:tr>
        <w:trPr>
          <w:trHeight w:val="155"/>
        </w:trPr>
        <w:tc>
          <w:tcPr>
            <w:tcW w:w="55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4,336,173</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1,306,299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8,423,649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1,957,836</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3,673,693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1,026,403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6,894,316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1,638,700</w:t>
            </w:r>
          </w:p>
        </w:tc>
        <w:tc>
          <w:tcPr>
            <w:tcW w:w="120" w:type="dxa"/>
            <w:vAlign w:val="bottom"/>
          </w:tcPr>
          <w:p>
            <w:pPr>
              <w:spacing w:after="0"/>
              <w:rPr>
                <w:sz w:val="14"/>
                <w:szCs w:val="14"/>
                <w:color w:val="auto"/>
              </w:rPr>
            </w:pPr>
          </w:p>
        </w:tc>
      </w:tr>
      <w:tr>
        <w:trPr>
          <w:trHeight w:val="162"/>
        </w:trPr>
        <w:tc>
          <w:tcPr>
            <w:tcW w:w="5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1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227,300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465,436</w:t>
            </w:r>
          </w:p>
        </w:tc>
        <w:tc>
          <w:tcPr>
            <w:tcW w:w="120" w:type="dxa"/>
            <w:vAlign w:val="bottom"/>
            <w:tcBorders>
              <w:bottom w:val="single" w:sz="8" w:color="CCECFF"/>
            </w:tcBorders>
          </w:tcPr>
          <w:p>
            <w:pPr>
              <w:spacing w:after="0"/>
              <w:rPr>
                <w:sz w:val="14"/>
                <w:szCs w:val="14"/>
                <w:color w:val="auto"/>
              </w:rPr>
            </w:pPr>
          </w:p>
        </w:tc>
      </w:tr>
      <w:tr>
        <w:trPr>
          <w:trHeight w:val="156"/>
        </w:trPr>
        <w:tc>
          <w:tcPr>
            <w:tcW w:w="5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8,423,516</w:t>
            </w:r>
          </w:p>
        </w:tc>
        <w:tc>
          <w:tcPr>
            <w:tcW w:w="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2,521,352</w:t>
            </w:r>
          </w:p>
        </w:tc>
        <w:tc>
          <w:tcPr>
            <w:tcW w:w="24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16,095,265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4,211,972</w:t>
            </w:r>
          </w:p>
        </w:tc>
        <w:tc>
          <w:tcPr>
            <w:tcW w:w="120" w:type="dxa"/>
            <w:vAlign w:val="bottom"/>
            <w:shd w:val="clear" w:color="auto" w:fill="CCECFF"/>
          </w:tcPr>
          <w:p>
            <w:pPr>
              <w:spacing w:after="0"/>
              <w:rPr>
                <w:sz w:val="13"/>
                <w:szCs w:val="13"/>
                <w:color w:val="auto"/>
              </w:rPr>
            </w:pPr>
          </w:p>
        </w:tc>
      </w:tr>
      <w:tr>
        <w:trPr>
          <w:trHeight w:val="155"/>
        </w:trPr>
        <w:tc>
          <w:tcPr>
            <w:tcW w:w="5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2,096,998</w:t>
            </w:r>
          </w:p>
        </w:tc>
        <w:tc>
          <w:tcPr>
            <w:tcW w:w="1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614,354</w:t>
            </w:r>
          </w:p>
        </w:tc>
        <w:tc>
          <w:tcPr>
            <w:tcW w:w="24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4,124,729</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897,389</w:t>
            </w:r>
          </w:p>
        </w:tc>
        <w:tc>
          <w:tcPr>
            <w:tcW w:w="120" w:type="dxa"/>
            <w:vAlign w:val="bottom"/>
            <w:tcBorders>
              <w:bottom w:val="single" w:sz="8" w:color="CCECFF"/>
            </w:tcBorders>
          </w:tcPr>
          <w:p>
            <w:pPr>
              <w:spacing w:after="0"/>
              <w:rPr>
                <w:sz w:val="13"/>
                <w:szCs w:val="13"/>
                <w:color w:val="auto"/>
              </w:rPr>
            </w:pPr>
          </w:p>
        </w:tc>
      </w:tr>
      <w:tr>
        <w:trPr>
          <w:trHeight w:val="133"/>
        </w:trPr>
        <w:tc>
          <w:tcPr>
            <w:tcW w:w="5520" w:type="dxa"/>
            <w:vAlign w:val="bottom"/>
            <w:shd w:val="clear" w:color="auto" w:fill="CCECFF"/>
          </w:tcPr>
          <w:p>
            <w:pPr>
              <w:spacing w:after="0" w:line="133" w:lineRule="exact"/>
              <w:rPr>
                <w:sz w:val="20"/>
                <w:szCs w:val="20"/>
                <w:color w:val="auto"/>
              </w:rPr>
            </w:pPr>
            <w:r>
              <w:rPr>
                <w:rFonts w:ascii="Arial" w:cs="Arial" w:eastAsia="Arial" w:hAnsi="Arial"/>
                <w:sz w:val="14"/>
                <w:szCs w:val="14"/>
                <w:b w:val="1"/>
                <w:bCs w:val="1"/>
                <w:color w:val="auto"/>
                <w:w w:val="96"/>
              </w:rPr>
              <w:t>Realized and unrealized gain (loss) on investments and credit facility foreign currency</w:t>
            </w:r>
          </w:p>
        </w:tc>
        <w:tc>
          <w:tcPr>
            <w:tcW w:w="20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71"/>
        </w:trPr>
        <w:tc>
          <w:tcPr>
            <w:tcW w:w="55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translations: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4"/>
                <w:szCs w:val="14"/>
                <w:color w:val="auto"/>
              </w:rPr>
              <w:t>Net realized gain on investments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320,818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65,122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579,051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15,946</w:t>
            </w:r>
          </w:p>
        </w:tc>
        <w:tc>
          <w:tcPr>
            <w:tcW w:w="120" w:type="dxa"/>
            <w:vAlign w:val="bottom"/>
          </w:tcPr>
          <w:p>
            <w:pPr>
              <w:spacing w:after="0"/>
              <w:rPr>
                <w:sz w:val="14"/>
                <w:szCs w:val="14"/>
                <w:color w:val="auto"/>
              </w:rPr>
            </w:pPr>
          </w:p>
        </w:tc>
      </w:tr>
      <w:tr>
        <w:trPr>
          <w:trHeight w:val="162"/>
        </w:trPr>
        <w:tc>
          <w:tcPr>
            <w:tcW w:w="552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388,105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545,340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(3,647,605)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999,702</w:t>
            </w:r>
          </w:p>
        </w:tc>
        <w:tc>
          <w:tcPr>
            <w:tcW w:w="120" w:type="dxa"/>
            <w:vAlign w:val="bottom"/>
          </w:tcPr>
          <w:p>
            <w:pPr>
              <w:spacing w:after="0"/>
              <w:rPr>
                <w:sz w:val="14"/>
                <w:szCs w:val="14"/>
                <w:color w:val="auto"/>
              </w:rPr>
            </w:pPr>
          </w:p>
        </w:tc>
      </w:tr>
      <w:tr>
        <w:trPr>
          <w:trHeight w:val="162"/>
        </w:trPr>
        <w:tc>
          <w:tcPr>
            <w:tcW w:w="5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(appreciation) depreciation on foreign currency translations</w:t>
            </w:r>
          </w:p>
        </w:tc>
        <w:tc>
          <w:tcPr>
            <w:tcW w:w="2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(350,091)</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72,620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497,407</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(251,668)</w:t>
            </w:r>
          </w:p>
        </w:tc>
      </w:tr>
      <w:tr>
        <w:trPr>
          <w:trHeight w:val="133"/>
        </w:trPr>
        <w:tc>
          <w:tcPr>
            <w:tcW w:w="5520" w:type="dxa"/>
            <w:vAlign w:val="bottom"/>
          </w:tcPr>
          <w:p>
            <w:pPr>
              <w:ind w:left="260"/>
              <w:spacing w:after="0" w:line="133" w:lineRule="exact"/>
              <w:rPr>
                <w:sz w:val="20"/>
                <w:szCs w:val="20"/>
                <w:color w:val="auto"/>
              </w:rPr>
            </w:pPr>
            <w:r>
              <w:rPr>
                <w:rFonts w:ascii="Arial" w:cs="Arial" w:eastAsia="Arial" w:hAnsi="Arial"/>
                <w:sz w:val="14"/>
                <w:szCs w:val="14"/>
                <w:b w:val="1"/>
                <w:bCs w:val="1"/>
                <w:color w:val="auto"/>
                <w:w w:val="99"/>
              </w:rPr>
              <w:t>Net change in unrealized appreciation (depreciation) on investments and credit</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5520" w:type="dxa"/>
            <w:vAlign w:val="bottom"/>
          </w:tcPr>
          <w:p>
            <w:pPr>
              <w:ind w:left="260"/>
              <w:spacing w:after="0"/>
              <w:rPr>
                <w:sz w:val="20"/>
                <w:szCs w:val="20"/>
                <w:color w:val="auto"/>
              </w:rPr>
            </w:pPr>
            <w:r>
              <w:rPr>
                <w:rFonts w:ascii="Arial" w:cs="Arial" w:eastAsia="Arial" w:hAnsi="Arial"/>
                <w:sz w:val="14"/>
                <w:szCs w:val="14"/>
                <w:b w:val="1"/>
                <w:bCs w:val="1"/>
                <w:color w:val="auto"/>
              </w:rPr>
              <w:t>facility foreign currency translations</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617,960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(3,150,198)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748,034</w:t>
            </w:r>
          </w:p>
        </w:tc>
        <w:tc>
          <w:tcPr>
            <w:tcW w:w="120" w:type="dxa"/>
            <w:vAlign w:val="bottom"/>
          </w:tcPr>
          <w:p>
            <w:pPr>
              <w:spacing w:after="0"/>
              <w:rPr>
                <w:sz w:val="14"/>
                <w:szCs w:val="14"/>
                <w:color w:val="auto"/>
              </w:rPr>
            </w:pPr>
          </w:p>
        </w:tc>
      </w:tr>
      <w:tr>
        <w:trPr>
          <w:trHeight w:val="133"/>
        </w:trPr>
        <w:tc>
          <w:tcPr>
            <w:tcW w:w="552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gain (loss) from investments and credit facility foreign</w:t>
            </w:r>
          </w:p>
        </w:tc>
        <w:tc>
          <w:tcPr>
            <w:tcW w:w="20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71"/>
        </w:trPr>
        <w:tc>
          <w:tcPr>
            <w:tcW w:w="55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currency translations</w:t>
            </w:r>
          </w:p>
        </w:tc>
        <w:tc>
          <w:tcPr>
            <w:tcW w:w="2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358,832</w:t>
            </w:r>
          </w:p>
        </w:tc>
        <w:tc>
          <w:tcPr>
            <w:tcW w:w="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683,082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(2,571,147)</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763,980</w:t>
            </w:r>
          </w:p>
        </w:tc>
        <w:tc>
          <w:tcPr>
            <w:tcW w:w="120" w:type="dxa"/>
            <w:vAlign w:val="bottom"/>
            <w:shd w:val="clear" w:color="auto" w:fill="CCECFF"/>
          </w:tcPr>
          <w:p>
            <w:pPr>
              <w:spacing w:after="0"/>
              <w:rPr>
                <w:sz w:val="14"/>
                <w:szCs w:val="14"/>
                <w:color w:val="auto"/>
              </w:rPr>
            </w:pPr>
          </w:p>
        </w:tc>
      </w:tr>
      <w:tr>
        <w:trPr>
          <w:trHeight w:val="155"/>
        </w:trPr>
        <w:tc>
          <w:tcPr>
            <w:tcW w:w="55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2,455,830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1,297,436</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1,553,582</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1,661,369</w:t>
            </w:r>
          </w:p>
        </w:tc>
        <w:tc>
          <w:tcPr>
            <w:tcW w:w="120" w:type="dxa"/>
            <w:vAlign w:val="bottom"/>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560" w:right="1340" w:hanging="5552"/>
        <w:spacing w:after="0" w:line="575"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345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2019,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348.9</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348.9</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137.4</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486.3</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445.1</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84.1</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41.6</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581.3</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486.7</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180" w:hanging="372"/>
        <w:spacing w:after="0" w:line="221"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2019, excluding amendment costs and debt issuance costs, was 4.29% exclusive of the fee on the undrawn commitment on the Credit Facility.</w:t>
      </w: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During the three and six months ended March 31, 2019, we declared distributions of $0.285 and $0.57 per share, respectively, for total distributions of $11.0 million and $22.1 million, respectively. For the same periods in the prior year, we declared distributions of $0.285 and $0.57 per share, respectively, for total distributions of $11.0 million and $21.5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ind w:right="20" w:firstLine="456"/>
        <w:spacing w:after="0" w:line="238" w:lineRule="auto"/>
        <w:rPr>
          <w:sz w:val="20"/>
          <w:szCs w:val="20"/>
          <w:color w:val="auto"/>
        </w:rPr>
      </w:pPr>
      <w:r>
        <w:rPr>
          <w:rFonts w:ascii="Arial" w:cs="Arial" w:eastAsia="Arial" w:hAnsi="Arial"/>
          <w:sz w:val="14"/>
          <w:szCs w:val="14"/>
          <w:color w:val="auto"/>
        </w:rPr>
        <w:t>In August 2018, the SEC issued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these are reflected in the Company’s consolidated financial statements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related disclosures. Certain prior year information has been adjusted to conform to these amendments.</w:t>
      </w:r>
    </w:p>
    <w:p>
      <w:pPr>
        <w:spacing w:after="0" w:line="13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40"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2019, our debt portfolio consisted of 99% variable-rate investments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(4,879)</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4,879</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9,757</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14,752</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19,993</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39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8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2019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right="100" w:firstLine="39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60" w:firstLine="39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Legislation enacted in 2018 allowed us to incur additional leverage.</w:t>
      </w:r>
    </w:p>
    <w:p>
      <w:pPr>
        <w:spacing w:after="0" w:line="136" w:lineRule="exact"/>
        <w:rPr>
          <w:sz w:val="20"/>
          <w:szCs w:val="20"/>
          <w:color w:val="auto"/>
        </w:rPr>
      </w:pPr>
    </w:p>
    <w:p>
      <w:pPr>
        <w:ind w:firstLine="394"/>
        <w:spacing w:after="0" w:line="244"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requirements,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4" w:lineRule="exact"/>
        <w:rPr>
          <w:sz w:val="20"/>
          <w:szCs w:val="20"/>
          <w:color w:val="auto"/>
        </w:rPr>
      </w:pPr>
    </w:p>
    <w:p>
      <w:pPr>
        <w:ind w:right="380" w:firstLine="394"/>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00" w:firstLine="394"/>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60" w:firstLine="483"/>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requirements applicable to us for senior securities was reduced from 200% (i.e., $1 of debt outstanding for each $1 of equity) to 150% (i.e., $2 of debt outstanding for each $1 of equity).If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60" w:firstLine="483"/>
        <w:spacing w:after="0" w:line="255" w:lineRule="auto"/>
        <w:rPr>
          <w:sz w:val="20"/>
          <w:szCs w:val="20"/>
          <w:color w:val="auto"/>
        </w:rPr>
      </w:pPr>
      <w:r>
        <w:rPr>
          <w:rFonts w:ascii="Arial" w:cs="Arial" w:eastAsia="Arial" w:hAnsi="Arial"/>
          <w:sz w:val="13"/>
          <w:szCs w:val="13"/>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a case, we would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160" w:firstLine="394"/>
        <w:spacing w:after="0" w:line="244" w:lineRule="auto"/>
        <w:rPr>
          <w:sz w:val="20"/>
          <w:szCs w:val="20"/>
          <w:color w:val="auto"/>
        </w:rPr>
      </w:pPr>
      <w:r>
        <w:rPr>
          <w:rFonts w:ascii="Arial" w:cs="Arial" w:eastAsia="Arial" w:hAnsi="Arial"/>
          <w:sz w:val="13"/>
          <w:szCs w:val="13"/>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firstLine="483"/>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1" w:lineRule="exact"/>
        <w:rPr>
          <w:sz w:val="20"/>
          <w:szCs w:val="20"/>
          <w:color w:val="auto"/>
        </w:rPr>
      </w:pPr>
    </w:p>
    <w:p>
      <w:pPr>
        <w:ind w:firstLine="394"/>
        <w:spacing w:after="0" w:line="238" w:lineRule="auto"/>
        <w:rPr>
          <w:sz w:val="20"/>
          <w:szCs w:val="20"/>
          <w:color w:val="auto"/>
        </w:rPr>
      </w:pPr>
      <w:r>
        <w:rPr>
          <w:rFonts w:ascii="Arial" w:cs="Arial" w:eastAsia="Arial" w:hAnsi="Arial"/>
          <w:sz w:val="14"/>
          <w:szCs w:val="14"/>
          <w:color w:val="auto"/>
        </w:rPr>
        <w:t>As of March 31, 2019 and September 30, 2018, our asset coverage ratio, as computed in accordance with the 1940 Act, was 204% and 213%, respectively. Since our leverage was 95% and 87% of our net assets as of March 31, 2019 and September 30, 2018, respectively, we would have to receive an annual return of at least 2.10% and 1.93%, respectively, to cover annual interest payments.</w:t>
      </w:r>
    </w:p>
    <w:p>
      <w:pPr>
        <w:spacing w:after="0" w:line="115" w:lineRule="exact"/>
        <w:rPr>
          <w:sz w:val="20"/>
          <w:szCs w:val="20"/>
          <w:color w:val="auto"/>
        </w:rPr>
      </w:pPr>
    </w:p>
    <w:p>
      <w:pPr>
        <w:ind w:firstLine="394"/>
        <w:spacing w:after="0" w:line="238" w:lineRule="auto"/>
        <w:rPr>
          <w:sz w:val="20"/>
          <w:szCs w:val="20"/>
          <w:color w:val="auto"/>
        </w:rPr>
      </w:pPr>
      <w:r>
        <w:rPr>
          <w:rFonts w:ascii="Arial" w:cs="Arial" w:eastAsia="Arial" w:hAnsi="Arial"/>
          <w:sz w:val="14"/>
          <w:szCs w:val="14"/>
          <w:color w:val="auto"/>
        </w:rPr>
        <w:t>As of March 31, 2019, we had outstanding borrowings of $352.3 million under our Credit Facility and $138.6 million outstanding under our 2023 Notes. Our consolidated debt outstanding was $490.9 million and had a weighted average annual interest rate at the time of 4.29%, exclusive of the fees on the undrawn commitment on the Credit Facility. To cover the annual interest on our borrowings of $352.3 million outstanding as of March 31, 2019, at the weighted average annual rate of 4.29%, we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3" w:name="page44"/>
    <w:bookmarkEnd w:id="43"/>
    <w:p>
      <w:pPr>
        <w:ind w:right="120"/>
        <w:spacing w:after="0" w:line="290" w:lineRule="auto"/>
        <w:rPr>
          <w:sz w:val="20"/>
          <w:szCs w:val="20"/>
          <w:color w:val="auto"/>
        </w:rPr>
      </w:pPr>
      <w:r>
        <w:rPr>
          <w:rFonts w:ascii="Arial" w:cs="Arial" w:eastAsia="Arial" w:hAnsi="Arial"/>
          <w:sz w:val="13"/>
          <w:szCs w:val="13"/>
          <w:color w:val="auto"/>
        </w:rPr>
        <w:t>would have to receive an annual yield of at least 2.10%.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84" w:lineRule="exact"/>
        <w:rPr>
          <w:sz w:val="20"/>
          <w:szCs w:val="20"/>
          <w:color w:val="auto"/>
        </w:rPr>
      </w:pPr>
    </w:p>
    <w:p>
      <w:pPr>
        <w:ind w:right="140" w:firstLine="394"/>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March 31, 2019 of 48% of total assets (including such borrowed funds), at the current interest rate at the time of 4.29%,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0"/>
                <w:szCs w:val="10"/>
                <w:color w:val="auto"/>
              </w:rPr>
              <w:t>(1)</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21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3"/>
                <w:shd w:val="clear" w:color="auto" w:fill="CCECFF"/>
              </w:rPr>
              <w:t>)%</w:t>
            </w:r>
          </w:p>
        </w:tc>
        <w:tc>
          <w:tcPr>
            <w:tcW w:w="13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33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74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0"/>
                <w:szCs w:val="10"/>
                <w:color w:val="auto"/>
              </w:rPr>
              <w:t>(2)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(23.8)%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60" w:right="240" w:hanging="352"/>
        <w:spacing w:after="0" w:line="255" w:lineRule="auto"/>
        <w:tabs>
          <w:tab w:leader="none" w:pos="360" w:val="left"/>
        </w:tabs>
        <w:numPr>
          <w:ilvl w:val="0"/>
          <w:numId w:val="26"/>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5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5" w:lineRule="exact"/>
        <w:rPr>
          <w:sz w:val="20"/>
          <w:szCs w:val="20"/>
          <w:color w:val="auto"/>
        </w:rPr>
      </w:pPr>
    </w:p>
    <w:p>
      <w:pPr>
        <w:ind w:left="58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4">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4">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5">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5">
        <w:r>
          <w:rPr>
            <w:rFonts w:ascii="Arial" w:cs="Arial" w:eastAsia="Arial" w:hAnsi="Arial"/>
            <w:sz w:val="14"/>
            <w:szCs w:val="14"/>
            <w:u w:val="single" w:color="auto"/>
            <w:color w:val="0000EE"/>
          </w:rPr>
          <w:t>2015).</w:t>
        </w:r>
      </w:hyperlink>
    </w:p>
    <w:p>
      <w:pPr>
        <w:spacing w:after="0" w:line="124"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6">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6">
        <w:r>
          <w:rPr>
            <w:rFonts w:ascii="Arial" w:cs="Arial" w:eastAsia="Arial" w:hAnsi="Arial"/>
            <w:sz w:val="14"/>
            <w:szCs w:val="14"/>
            <w:u w:val="single" w:color="auto"/>
            <w:color w:val="0000EE"/>
          </w:rPr>
          <w:t>170243), filed on April 5, 2011).</w:t>
        </w:r>
      </w:hyperlink>
    </w:p>
    <w:p>
      <w:pPr>
        <w:spacing w:after="0" w:line="205"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47">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8">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9">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0">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77">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17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5" w:name="page46"/>
    <w:bookmarkEnd w:id="45"/>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80"/>
          </w:cols>
          <w:pgMar w:left="320" w:top="26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20"/>
                <w:szCs w:val="20"/>
                <w:color w:val="auto"/>
              </w:rPr>
            </w:pPr>
            <w:r>
              <w:rPr>
                <w:rFonts w:ascii="Arial" w:cs="Arial" w:eastAsia="Arial" w:hAnsi="Arial"/>
                <w:sz w:val="14"/>
                <w:szCs w:val="14"/>
                <w:color w:val="auto"/>
              </w:rPr>
              <w:t>Date: May 8, 2019</w:t>
            </w:r>
          </w:p>
        </w:tc>
        <w:tc>
          <w:tcPr>
            <w:tcW w:w="2300" w:type="dxa"/>
            <w:vAlign w:val="bottom"/>
            <w:vMerge w:val="restart"/>
          </w:tcPr>
          <w:p>
            <w:pPr>
              <w:ind w:left="208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3160" w:type="dxa"/>
            <w:vAlign w:val="bottom"/>
          </w:tcPr>
          <w:p>
            <w:pPr>
              <w:spacing w:after="0"/>
              <w:rPr>
                <w:sz w:val="20"/>
                <w:szCs w:val="20"/>
                <w:color w:val="auto"/>
              </w:rPr>
            </w:pPr>
            <w:r>
              <w:rPr>
                <w:rFonts w:ascii="Arial" w:cs="Arial" w:eastAsia="Arial" w:hAnsi="Arial"/>
                <w:sz w:val="14"/>
                <w:szCs w:val="14"/>
                <w:color w:val="auto"/>
              </w:rPr>
              <w:t>Date: May 8, 2019</w:t>
            </w:r>
          </w:p>
        </w:tc>
        <w:tc>
          <w:tcPr>
            <w:tcW w:w="2300" w:type="dxa"/>
            <w:vAlign w:val="bottom"/>
            <w:vMerge w:val="restart"/>
          </w:tcPr>
          <w:p>
            <w:pPr>
              <w:ind w:left="208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28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3810</wp:posOffset>
            </wp:positionV>
            <wp:extent cx="32486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940" w:space="720"/>
            <w:col w:w="4320"/>
          </w:cols>
          <w:pgMar w:left="320" w:top="265" w:right="599" w:bottom="1440" w:gutter="0" w:footer="0" w:header="0"/>
          <w:type w:val="continuous"/>
        </w:sect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980"/>
          </w:cols>
          <w:pgMar w:left="320" w:top="265" w:right="59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8,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May 8, 2019</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2019,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8, 2019</w:t>
      </w:r>
    </w:p>
    <w:p>
      <w:pPr>
        <w:sectPr>
          <w:pgSz w:w="11900" w:h="16838" w:orient="portrait"/>
          <w:cols w:equalWidth="0" w:num="1">
            <w:col w:w="11240"/>
          </w:cols>
          <w:pgMar w:left="320" w:top="33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2019,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8, 2019</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lowerLetter"/>
      <w:start w:val="5"/>
    </w:lvl>
    <w:lvl w:ilvl="1">
      <w:lvlJc w:val="left"/>
      <w:lvlText w:val="%2."/>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3"/>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4" Type="http://schemas.openxmlformats.org/officeDocument/2006/relationships/hyperlink" Target="http://www.sec.gov/Archives/edgar/data/1504619/000119312511080862/dex99a.htm" TargetMode="External"/><Relationship Id="rId75" Type="http://schemas.openxmlformats.org/officeDocument/2006/relationships/hyperlink" Target="http://www.sec.gov/Archives/edgar/data/1504619/000119312515393212/d59576dex31.htm" TargetMode="External"/><Relationship Id="rId76" Type="http://schemas.openxmlformats.org/officeDocument/2006/relationships/hyperlink" Target="http://www.sec.gov/Archives/edgar/data/1504619/000119312511088977/dex99d.htm" TargetMode="External"/><Relationship Id="rId77"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2020-05-05T12:11:44Z</dcterms:created>
  <dcterms:modified xsi:type="dcterms:W3CDTF">2020-05-05T12:11:44Z</dcterms:modified>
</cp:coreProperties>
</file>