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2"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October 3, 2011</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auto"/>
        </w:rPr>
        <w:t>PennantPark Floating Rate Capital Ltd.</w:t>
      </w:r>
    </w:p>
    <w:p>
      <w:pPr>
        <w:spacing w:after="0" w:line="26"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980"/>
          </w:cols>
          <w:pgMar w:left="320" w:top="684" w:right="59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Arial" w:cs="Arial" w:eastAsia="Arial" w:hAnsi="Arial"/>
          <w:sz w:val="14"/>
          <w:szCs w:val="14"/>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2500"/>
        <w:spacing w:after="0"/>
        <w:rPr>
          <w:sz w:val="20"/>
          <w:szCs w:val="20"/>
          <w:color w:val="auto"/>
        </w:rPr>
      </w:pPr>
      <w:r>
        <w:rPr>
          <w:rFonts w:ascii="Arial" w:cs="Arial" w:eastAsia="Arial" w:hAnsi="Arial"/>
          <w:sz w:val="12"/>
          <w:szCs w:val="12"/>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27-3794690</w:t>
      </w:r>
    </w:p>
    <w:p>
      <w:pPr>
        <w:spacing w:after="0" w:line="57" w:lineRule="exact"/>
        <w:rPr>
          <w:sz w:val="24"/>
          <w:szCs w:val="24"/>
          <w:color w:val="auto"/>
        </w:rPr>
      </w:pPr>
    </w:p>
    <w:p>
      <w:pPr>
        <w:sectPr>
          <w:pgSz w:w="11900" w:h="16838" w:orient="portrait"/>
          <w:cols w:equalWidth="0" w:num="3">
            <w:col w:w="4540" w:space="720"/>
            <w:col w:w="3120" w:space="720"/>
            <w:col w:w="1880"/>
          </w:cols>
          <w:pgMar w:left="320" w:top="684" w:right="599" w:bottom="1440" w:gutter="0" w:footer="0" w:header="0"/>
          <w:type w:val="continuous"/>
        </w:sectPr>
      </w:pPr>
    </w:p>
    <w:p>
      <w:pPr>
        <w:ind w:left="1000"/>
        <w:spacing w:after="0"/>
        <w:rPr>
          <w:sz w:val="20"/>
          <w:szCs w:val="20"/>
          <w:color w:val="auto"/>
        </w:rPr>
      </w:pPr>
      <w:r>
        <w:rPr>
          <w:rFonts w:ascii="Arial" w:cs="Arial" w:eastAsia="Arial" w:hAnsi="Arial"/>
          <w:sz w:val="13"/>
          <w:szCs w:val="13"/>
          <w:color w:val="auto"/>
        </w:rPr>
        <w:t>(State or other jurisdiction</w:t>
      </w:r>
    </w:p>
    <w:p>
      <w:pPr>
        <w:sectPr>
          <w:pgSz w:w="11900" w:h="16838" w:orient="portrait"/>
          <w:cols w:equalWidth="0" w:num="1">
            <w:col w:w="10980"/>
          </w:cols>
          <w:pgMar w:left="320" w:top="684" w:right="599" w:bottom="1440" w:gutter="0" w:footer="0" w:header="0"/>
          <w:type w:val="continuous"/>
        </w:sectPr>
      </w:pPr>
    </w:p>
    <w:p>
      <w:pPr>
        <w:spacing w:after="0" w:line="32" w:lineRule="exact"/>
        <w:rPr>
          <w:sz w:val="24"/>
          <w:szCs w:val="24"/>
          <w:color w:val="auto"/>
        </w:rPr>
      </w:pPr>
    </w:p>
    <w:p>
      <w:pPr>
        <w:ind w:left="1280"/>
        <w:spacing w:after="0"/>
        <w:rPr>
          <w:sz w:val="20"/>
          <w:szCs w:val="20"/>
          <w:color w:val="auto"/>
        </w:rPr>
      </w:pPr>
      <w:r>
        <w:rPr>
          <w:rFonts w:ascii="Arial" w:cs="Arial" w:eastAsia="Arial" w:hAnsi="Arial"/>
          <w:sz w:val="13"/>
          <w:szCs w:val="13"/>
          <w:color w:val="auto"/>
        </w:rPr>
        <w:t>of incorporation)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060" w:space="720"/>
            <w:col w:w="2960" w:space="720"/>
            <w:col w:w="2520"/>
          </w:cols>
          <w:pgMar w:left="320" w:top="684" w:right="599" w:bottom="1440" w:gutter="0" w:footer="0" w:header="0"/>
          <w:type w:val="continuous"/>
        </w:sectPr>
      </w:pPr>
    </w:p>
    <w:p>
      <w:pPr>
        <w:spacing w:after="0" w:line="200" w:lineRule="exact"/>
        <w:rPr>
          <w:sz w:val="24"/>
          <w:szCs w:val="24"/>
          <w:color w:val="auto"/>
        </w:rPr>
      </w:pPr>
    </w:p>
    <w:p>
      <w:pPr>
        <w:spacing w:after="0" w:line="251" w:lineRule="exact"/>
        <w:rPr>
          <w:sz w:val="24"/>
          <w:szCs w:val="24"/>
          <w:color w:val="auto"/>
        </w:rPr>
      </w:pPr>
    </w:p>
    <w:p>
      <w:pPr>
        <w:ind w:left="2540"/>
        <w:spacing w:after="0"/>
        <w:rPr>
          <w:sz w:val="20"/>
          <w:szCs w:val="20"/>
          <w:color w:val="auto"/>
        </w:rPr>
      </w:pPr>
      <w:r>
        <w:rPr>
          <w:rFonts w:ascii="Arial" w:cs="Arial" w:eastAsia="Arial" w:hAnsi="Arial"/>
          <w:sz w:val="13"/>
          <w:szCs w:val="13"/>
          <w:b w:val="1"/>
          <w:bCs w:val="1"/>
          <w:color w:val="auto"/>
        </w:rPr>
        <w:t>590 Madison Avenue, 15th Floor, 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10,022</w:t>
      </w:r>
    </w:p>
    <w:p>
      <w:pPr>
        <w:spacing w:after="0" w:line="125" w:lineRule="exact"/>
        <w:rPr>
          <w:sz w:val="24"/>
          <w:szCs w:val="24"/>
          <w:color w:val="auto"/>
        </w:rPr>
      </w:pPr>
    </w:p>
    <w:p>
      <w:pPr>
        <w:sectPr>
          <w:pgSz w:w="11900" w:h="16838" w:orient="portrait"/>
          <w:cols w:equalWidth="0" w:num="2">
            <w:col w:w="6560" w:space="720"/>
            <w:col w:w="3700"/>
          </w:cols>
          <w:pgMar w:left="320" w:top="684" w:right="599" w:bottom="1440" w:gutter="0" w:footer="0" w:header="0"/>
          <w:type w:val="continuous"/>
        </w:sectPr>
      </w:pPr>
    </w:p>
    <w:p>
      <w:pPr>
        <w:ind w:left="3640"/>
        <w:spacing w:after="0"/>
        <w:rPr>
          <w:sz w:val="20"/>
          <w:szCs w:val="20"/>
          <w:color w:val="auto"/>
        </w:rPr>
      </w:pPr>
      <w:r>
        <w:rPr>
          <w:rFonts w:ascii="Arial" w:cs="Arial" w:eastAsia="Arial" w:hAnsi="Arial"/>
          <w:sz w:val="14"/>
          <w:szCs w:val="14"/>
          <w:color w:val="auto"/>
        </w:rPr>
        <w:t>(Address of principal executive offices)</w:t>
      </w:r>
    </w:p>
    <w:p>
      <w:pPr>
        <w:spacing w:after="0" w:line="21" w:lineRule="exact"/>
        <w:rPr>
          <w:sz w:val="24"/>
          <w:szCs w:val="24"/>
          <w:color w:val="auto"/>
        </w:rPr>
      </w:pPr>
    </w:p>
    <w:p>
      <w:pPr>
        <w:ind w:left="5220"/>
        <w:spacing w:after="0"/>
        <w:rPr>
          <w:sz w:val="20"/>
          <w:szCs w:val="20"/>
          <w:color w:val="auto"/>
        </w:rPr>
      </w:pPr>
      <w:r>
        <w:rPr>
          <w:rFonts w:ascii="Arial" w:cs="Arial" w:eastAsia="Arial" w:hAnsi="Arial"/>
          <w:sz w:val="14"/>
          <w:szCs w:val="14"/>
          <w:b w:val="1"/>
          <w:bCs w:val="1"/>
          <w:color w:val="auto"/>
        </w:rPr>
        <w:t>212-905-1000</w:t>
      </w:r>
    </w:p>
    <w:p>
      <w:pPr>
        <w:spacing w:after="0" w:line="6" w:lineRule="exact"/>
        <w:rPr>
          <w:sz w:val="24"/>
          <w:szCs w:val="24"/>
          <w:color w:val="auto"/>
        </w:rPr>
      </w:pPr>
    </w:p>
    <w:p>
      <w:pPr>
        <w:ind w:left="4160"/>
        <w:spacing w:after="0"/>
        <w:rPr>
          <w:sz w:val="20"/>
          <w:szCs w:val="20"/>
          <w:color w:val="auto"/>
        </w:rPr>
      </w:pPr>
      <w:r>
        <w:rPr>
          <w:rFonts w:ascii="Arial" w:cs="Arial" w:eastAsia="Arial" w:hAnsi="Arial"/>
          <w:sz w:val="12"/>
          <w:szCs w:val="12"/>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537" w:lineRule="exact"/>
        <w:rPr>
          <w:sz w:val="24"/>
          <w:szCs w:val="24"/>
          <w:color w:val="auto"/>
        </w:rPr>
      </w:pPr>
    </w:p>
    <w:p>
      <w:pPr>
        <w:sectPr>
          <w:pgSz w:w="11900" w:h="16838" w:orient="portrait"/>
          <w:cols w:equalWidth="0" w:num="2">
            <w:col w:w="7100" w:space="580"/>
            <w:col w:w="3300"/>
          </w:cols>
          <w:pgMar w:left="320" w:top="684" w:right="599" w:bottom="1440" w:gutter="0" w:footer="0" w:header="0"/>
          <w:type w:val="continuous"/>
        </w:sectPr>
      </w:pPr>
    </w:p>
    <w:p>
      <w:pPr>
        <w:spacing w:after="0" w:line="24"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Not Applicable</w:t>
      </w:r>
    </w:p>
    <w:p>
      <w:pPr>
        <w:spacing w:after="0" w:line="17"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367" w:lineRule="exact"/>
        <w:rPr>
          <w:sz w:val="24"/>
          <w:szCs w:val="24"/>
          <w:color w:val="auto"/>
        </w:rPr>
      </w:pPr>
    </w:p>
    <w:p>
      <w:pPr>
        <w:ind w:left="40"/>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620"/>
        <w:spacing w:after="0"/>
        <w:tabs>
          <w:tab w:leader="none" w:pos="1780" w:val="left"/>
          <w:tab w:leader="none" w:pos="2040" w:val="left"/>
        </w:tabs>
        <w:rPr>
          <w:sz w:val="20"/>
          <w:szCs w:val="20"/>
          <w:color w:val="auto"/>
        </w:rPr>
      </w:pPr>
      <w:r>
        <w:rPr>
          <w:rFonts w:ascii="Arial" w:cs="Arial" w:eastAsia="Arial" w:hAnsi="Arial"/>
          <w:sz w:val="14"/>
          <w:szCs w:val="14"/>
          <w:color w:val="auto"/>
        </w:rPr>
        <w:t>[</w:t>
        <w:tab/>
        <w:t>]</w:t>
      </w:r>
      <w:r>
        <w:rPr>
          <w:sz w:val="20"/>
          <w:szCs w:val="20"/>
          <w:color w:val="auto"/>
        </w:rPr>
        <w:tab/>
      </w:r>
      <w:r>
        <w:rPr>
          <w:rFonts w:ascii="Arial" w:cs="Arial" w:eastAsia="Arial" w:hAnsi="Arial"/>
          <w:sz w:val="13"/>
          <w:szCs w:val="13"/>
          <w:color w:val="auto"/>
        </w:rPr>
        <w:t>Written communications pursuant to Rule 425 under the Securities Act (17 CFR 230.425)</w:t>
      </w:r>
    </w:p>
    <w:p>
      <w:pPr>
        <w:spacing w:after="0" w:line="109" w:lineRule="exact"/>
        <w:rPr>
          <w:sz w:val="24"/>
          <w:szCs w:val="24"/>
          <w:color w:val="auto"/>
        </w:rPr>
      </w:pPr>
    </w:p>
    <w:p>
      <w:pPr>
        <w:ind w:left="1620"/>
        <w:spacing w:after="0"/>
        <w:tabs>
          <w:tab w:leader="none" w:pos="1780" w:val="left"/>
          <w:tab w:leader="none" w:pos="2040" w:val="left"/>
        </w:tabs>
        <w:rPr>
          <w:sz w:val="20"/>
          <w:szCs w:val="20"/>
          <w:color w:val="auto"/>
        </w:rPr>
      </w:pPr>
      <w:r>
        <w:rPr>
          <w:rFonts w:ascii="Arial" w:cs="Arial" w:eastAsia="Arial" w:hAnsi="Arial"/>
          <w:sz w:val="14"/>
          <w:szCs w:val="14"/>
          <w:color w:val="auto"/>
        </w:rPr>
        <w:t>[</w:t>
        <w:tab/>
        <w:t>]</w:t>
      </w:r>
      <w:r>
        <w:rPr>
          <w:sz w:val="20"/>
          <w:szCs w:val="20"/>
          <w:color w:val="auto"/>
        </w:rPr>
        <w:tab/>
      </w:r>
      <w:r>
        <w:rPr>
          <w:rFonts w:ascii="Arial" w:cs="Arial" w:eastAsia="Arial" w:hAnsi="Arial"/>
          <w:sz w:val="13"/>
          <w:szCs w:val="13"/>
          <w:color w:val="auto"/>
        </w:rPr>
        <w:t>Soliciting material pursuant to Rule 14a-12 under the Exchange Act (17 CFR 240.14a-12)</w:t>
      </w:r>
    </w:p>
    <w:p>
      <w:pPr>
        <w:spacing w:after="0" w:line="109" w:lineRule="exact"/>
        <w:rPr>
          <w:sz w:val="24"/>
          <w:szCs w:val="24"/>
          <w:color w:val="auto"/>
        </w:rPr>
      </w:pPr>
    </w:p>
    <w:p>
      <w:pPr>
        <w:ind w:left="1620"/>
        <w:spacing w:after="0"/>
        <w:tabs>
          <w:tab w:leader="none" w:pos="1780" w:val="left"/>
          <w:tab w:leader="none" w:pos="2040" w:val="left"/>
        </w:tabs>
        <w:rPr>
          <w:sz w:val="20"/>
          <w:szCs w:val="20"/>
          <w:color w:val="auto"/>
        </w:rPr>
      </w:pPr>
      <w:r>
        <w:rPr>
          <w:rFonts w:ascii="Arial" w:cs="Arial" w:eastAsia="Arial" w:hAnsi="Arial"/>
          <w:sz w:val="14"/>
          <w:szCs w:val="14"/>
          <w:color w:val="auto"/>
        </w:rPr>
        <w:t>[</w:t>
        <w:tab/>
        <w:t>]</w:t>
      </w:r>
      <w:r>
        <w:rPr>
          <w:sz w:val="20"/>
          <w:szCs w:val="20"/>
          <w:color w:val="auto"/>
        </w:rPr>
        <w:tab/>
      </w:r>
      <w:r>
        <w:rPr>
          <w:rFonts w:ascii="Arial" w:cs="Arial" w:eastAsia="Arial" w:hAnsi="Arial"/>
          <w:sz w:val="13"/>
          <w:szCs w:val="13"/>
          <w:color w:val="auto"/>
        </w:rPr>
        <w:t>Pre-commencement communications pursuant to Rule 14d-2(b) under the Exchange Act (17 CFR 240.14d-2(b))</w:t>
      </w:r>
    </w:p>
    <w:p>
      <w:pPr>
        <w:spacing w:after="0" w:line="109" w:lineRule="exact"/>
        <w:rPr>
          <w:sz w:val="24"/>
          <w:szCs w:val="24"/>
          <w:color w:val="auto"/>
        </w:rPr>
      </w:pPr>
    </w:p>
    <w:p>
      <w:pPr>
        <w:ind w:left="1620"/>
        <w:spacing w:after="0"/>
        <w:tabs>
          <w:tab w:leader="none" w:pos="1780" w:val="left"/>
          <w:tab w:leader="none" w:pos="2040" w:val="left"/>
        </w:tabs>
        <w:rPr>
          <w:sz w:val="20"/>
          <w:szCs w:val="20"/>
          <w:color w:val="auto"/>
        </w:rPr>
      </w:pPr>
      <w:r>
        <w:rPr>
          <w:rFonts w:ascii="Arial" w:cs="Arial" w:eastAsia="Arial" w:hAnsi="Arial"/>
          <w:sz w:val="14"/>
          <w:szCs w:val="14"/>
          <w:color w:val="auto"/>
        </w:rPr>
        <w:t>[</w:t>
        <w:tab/>
        <w:t>]</w:t>
      </w:r>
      <w:r>
        <w:rPr>
          <w:sz w:val="20"/>
          <w:szCs w:val="20"/>
          <w:color w:val="auto"/>
        </w:rPr>
        <w:tab/>
      </w:r>
      <w:r>
        <w:rPr>
          <w:rFonts w:ascii="Arial" w:cs="Arial" w:eastAsia="Arial" w:hAnsi="Arial"/>
          <w:sz w:val="12"/>
          <w:szCs w:val="12"/>
          <w:color w:val="auto"/>
        </w:rPr>
        <w:t>Pre-commencement communications pursuant to Rule 13e-4(c) under the Exchange Act (17 CFR 240.13e-4(c))</w:t>
      </w:r>
    </w:p>
    <w:p>
      <w:pPr>
        <w:sectPr>
          <w:pgSz w:w="11900" w:h="16838" w:orient="portrait"/>
          <w:cols w:equalWidth="0" w:num="1">
            <w:col w:w="10980"/>
          </w:cols>
          <w:pgMar w:left="320" w:top="684" w:right="5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On October 3, 2011, PennantPark Floating Rate Capital Ltd. issued a press release announcing its monthly distributions for October 2011. A copy of the press release is furnished as Exhibit 99.1 to this Form 8-K.</w:t>
      </w:r>
    </w:p>
    <w:p>
      <w:pPr>
        <w:sectPr>
          <w:pgSz w:w="11900" w:h="16838" w:orient="portrait"/>
          <w:cols w:equalWidth="0" w:num="1">
            <w:col w:w="10980"/>
          </w:cols>
          <w:pgMar w:left="320" w:top="684" w:right="599" w:bottom="1440" w:gutter="0" w:footer="0" w:header="0"/>
          <w:type w:val="continuous"/>
        </w:sectPr>
      </w:pPr>
    </w:p>
    <w:bookmarkStart w:id="1" w:name="page2"/>
    <w:bookmarkEnd w:id="1"/>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Exchange Act of 1933, as amended, or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240" w:right="9020" w:hanging="232"/>
        <w:spacing w:after="0" w:line="282" w:lineRule="auto"/>
        <w:tabs>
          <w:tab w:leader="none" w:pos="27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40" w:right="8120" w:hanging="232"/>
        <w:spacing w:after="0" w:line="282"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40" w:right="8500" w:hanging="232"/>
        <w:spacing w:after="0" w:line="282"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99.1  Press Release of PennantPark Floating Rate Capital Ltd. dated October 3,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right="180" w:firstLine="144"/>
        <w:spacing w:after="0" w:line="27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124" w:lineRule="exact"/>
        <w:rPr>
          <w:sz w:val="20"/>
          <w:szCs w:val="20"/>
          <w:color w:val="auto"/>
        </w:rPr>
      </w:pPr>
    </w:p>
    <w:p>
      <w:pPr>
        <w:ind w:left="7460"/>
        <w:spacing w:after="0"/>
        <w:rPr>
          <w:sz w:val="20"/>
          <w:szCs w:val="20"/>
          <w:color w:val="auto"/>
        </w:rPr>
      </w:pPr>
      <w:r>
        <w:rPr>
          <w:rFonts w:ascii="Arial" w:cs="Arial" w:eastAsia="Arial" w:hAnsi="Arial"/>
          <w:sz w:val="14"/>
          <w:szCs w:val="14"/>
          <w:color w:val="auto"/>
        </w:rPr>
        <w:t>PennantPark Floating Rate Capital Ltd</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260"/>
        <w:spacing w:after="0"/>
        <w:rPr>
          <w:sz w:val="20"/>
          <w:szCs w:val="20"/>
          <w:color w:val="auto"/>
        </w:rPr>
      </w:pPr>
      <w:r>
        <w:rPr>
          <w:rFonts w:ascii="Arial" w:cs="Arial" w:eastAsia="Arial" w:hAnsi="Arial"/>
          <w:sz w:val="14"/>
          <w:szCs w:val="14"/>
          <w:color w:val="auto"/>
        </w:rPr>
        <w:t>(Registrant)</w:t>
      </w:r>
    </w:p>
    <w:p>
      <w:pPr>
        <w:spacing w:after="0" w:line="254" w:lineRule="exact"/>
        <w:rPr>
          <w:sz w:val="20"/>
          <w:szCs w:val="20"/>
          <w:color w:val="auto"/>
        </w:rPr>
      </w:pPr>
    </w:p>
    <w:p>
      <w:pPr>
        <w:ind w:left="5980"/>
        <w:spacing w:after="0"/>
        <w:rPr>
          <w:sz w:val="20"/>
          <w:szCs w:val="20"/>
          <w:color w:val="auto"/>
        </w:rPr>
      </w:pPr>
      <w:r>
        <w:rPr>
          <w:rFonts w:ascii="Arial" w:cs="Arial" w:eastAsia="Arial" w:hAnsi="Arial"/>
          <w:sz w:val="14"/>
          <w:szCs w:val="14"/>
          <w:b w:val="1"/>
          <w:bCs w:val="1"/>
          <w:color w:val="auto"/>
        </w:rPr>
        <w:t>By: /s/  Aviv Efrat</w:t>
      </w:r>
    </w:p>
    <w:p>
      <w:pPr>
        <w:spacing w:after="0" w:line="4" w:lineRule="exact"/>
        <w:rPr>
          <w:sz w:val="20"/>
          <w:szCs w:val="20"/>
          <w:color w:val="auto"/>
        </w:rPr>
      </w:pPr>
    </w:p>
    <w:p>
      <w:pPr>
        <w:ind w:left="2220"/>
        <w:spacing w:after="0"/>
        <w:rPr>
          <w:sz w:val="20"/>
          <w:szCs w:val="20"/>
          <w:color w:val="auto"/>
        </w:rPr>
      </w:pPr>
      <w:r>
        <w:rPr>
          <w:rFonts w:ascii="Arial" w:cs="Arial" w:eastAsia="Arial" w:hAnsi="Arial"/>
          <w:sz w:val="14"/>
          <w:szCs w:val="14"/>
          <w:b w:val="1"/>
          <w:bCs w:val="1"/>
          <w:color w:val="auto"/>
        </w:rPr>
        <w:t>October 3, 2011</w:t>
      </w:r>
    </w:p>
    <w:p>
      <w:pPr>
        <w:sectPr>
          <w:pgSz w:w="11900" w:h="16838" w:orient="portrait"/>
          <w:cols w:equalWidth="0" w:num="1">
            <w:col w:w="10920"/>
          </w:cols>
          <w:pgMar w:left="320" w:top="80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52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00"/>
        <w:spacing w:after="0"/>
        <w:rPr>
          <w:sz w:val="20"/>
          <w:szCs w:val="20"/>
          <w:color w:val="auto"/>
        </w:rPr>
      </w:pPr>
      <w:r>
        <w:rPr>
          <w:rFonts w:ascii="Arial" w:cs="Arial" w:eastAsia="Arial" w:hAnsi="Arial"/>
          <w:sz w:val="14"/>
          <w:szCs w:val="14"/>
          <w:color w:val="auto"/>
        </w:rPr>
        <w:t>Aviv Efrat</w:t>
      </w:r>
    </w:p>
    <w:p>
      <w:pPr>
        <w:jc w:val="center"/>
        <w:ind w:right="1240"/>
        <w:spacing w:after="0"/>
        <w:rPr>
          <w:sz w:val="20"/>
          <w:szCs w:val="20"/>
          <w:color w:val="auto"/>
        </w:rPr>
      </w:pPr>
      <w:r>
        <w:rPr>
          <w:rFonts w:ascii="Arial" w:cs="Arial" w:eastAsia="Arial" w:hAnsi="Arial"/>
          <w:sz w:val="13"/>
          <w:szCs w:val="13"/>
          <w:i w:val="1"/>
          <w:iCs w:val="1"/>
          <w:color w:val="auto"/>
        </w:rPr>
        <w:t>Chief Financial Officer &amp; Treasurer</w:t>
      </w:r>
    </w:p>
    <w:p>
      <w:pPr>
        <w:spacing w:after="0" w:line="200" w:lineRule="exact"/>
        <w:rPr>
          <w:sz w:val="20"/>
          <w:szCs w:val="20"/>
          <w:color w:val="auto"/>
        </w:rPr>
      </w:pPr>
    </w:p>
    <w:p>
      <w:pPr>
        <w:sectPr>
          <w:pgSz w:w="11900" w:h="16838" w:orient="portrait"/>
          <w:cols w:equalWidth="0" w:num="2">
            <w:col w:w="6880" w:space="720"/>
            <w:col w:w="3320"/>
          </w:cols>
          <w:pgMar w:left="320" w:top="800"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7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40" w:type="dxa"/>
            <w:vAlign w:val="bottom"/>
          </w:tcPr>
          <w:p>
            <w:pPr>
              <w:ind w:left="96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8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11"/>
        </w:trPr>
        <w:tc>
          <w:tcPr>
            <w:tcW w:w="1500" w:type="dxa"/>
            <w:vAlign w:val="bottom"/>
            <w:gridSpan w:val="2"/>
          </w:tcPr>
          <w:p>
            <w:pPr>
              <w:jc w:val="right"/>
              <w:ind w:right="760"/>
              <w:spacing w:after="0"/>
              <w:rPr>
                <w:sz w:val="20"/>
                <w:szCs w:val="20"/>
                <w:color w:val="auto"/>
              </w:rPr>
            </w:pPr>
            <w:r>
              <w:rPr>
                <w:rFonts w:ascii="Arial" w:cs="Arial" w:eastAsia="Arial" w:hAnsi="Arial"/>
                <w:sz w:val="14"/>
                <w:szCs w:val="14"/>
                <w:color w:val="auto"/>
              </w:rPr>
              <w:t>99.1</w:t>
            </w:r>
          </w:p>
        </w:tc>
        <w:tc>
          <w:tcPr>
            <w:tcW w:w="4540" w:type="dxa"/>
            <w:vAlign w:val="bottom"/>
            <w:gridSpan w:val="2"/>
          </w:tcPr>
          <w:p>
            <w:pPr>
              <w:spacing w:after="0"/>
              <w:rPr>
                <w:sz w:val="20"/>
                <w:szCs w:val="20"/>
                <w:color w:val="auto"/>
              </w:rPr>
            </w:pPr>
            <w:r>
              <w:rPr>
                <w:rFonts w:ascii="Arial" w:cs="Arial" w:eastAsia="Arial" w:hAnsi="Arial"/>
                <w:sz w:val="14"/>
                <w:szCs w:val="14"/>
                <w:color w:val="auto"/>
                <w:w w:val="91"/>
              </w:rPr>
              <w:t>Press Release of PennantPark Floating Rate Capital Ltd. dated October 3, 2011</w:t>
            </w:r>
          </w:p>
        </w:tc>
      </w:tr>
    </w:tbl>
    <w:p>
      <w:pPr>
        <w:sectPr>
          <w:pgSz w:w="11900" w:h="16838" w:orient="portrait"/>
          <w:cols w:equalWidth="0" w:num="1">
            <w:col w:w="10920"/>
          </w:cols>
          <w:pgMar w:left="320" w:top="800" w:right="659" w:bottom="1440"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440180"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40180" cy="291465"/>
                    </a:xfrm>
                    <a:prstGeom prst="rect">
                      <a:avLst/>
                    </a:prstGeom>
                    <a:noFill/>
                  </pic:spPr>
                </pic:pic>
              </a:graphicData>
            </a:graphic>
          </wp:anchor>
        </w:drawing>
      </w:r>
    </w:p>
    <w:p>
      <w:pPr>
        <w:ind w:left="20"/>
        <w:spacing w:after="0"/>
        <w:rPr>
          <w:sz w:val="20"/>
          <w:szCs w:val="20"/>
          <w:color w:val="auto"/>
        </w:rPr>
      </w:pPr>
      <w:r>
        <w:rPr>
          <w:rFonts w:ascii="Arial" w:cs="Arial" w:eastAsia="Arial" w:hAnsi="Arial"/>
          <w:sz w:val="25"/>
          <w:szCs w:val="25"/>
          <w:b w:val="1"/>
          <w:bCs w:val="1"/>
          <w:color w:val="auto"/>
        </w:rPr>
        <w:t>PennantPark Floating Rate Capital Ltd. Announces its Monthly Distribution of $0.07 Per Share</w:t>
      </w:r>
    </w:p>
    <w:p>
      <w:pPr>
        <w:spacing w:after="0" w:line="24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NEW YORK, NY - (MARKETWIRE - October 3, 2011) - PennantPark Floating Rate Capital Ltd. (the "Company") (NASDAQ: PFLT) declares its monthly distribution for October 2011 of $0.07 per share, payable on November 1, 2011 to stockholders of record as of October 21, 2011. Distributions are paid from taxable earnings and may include a return of capital and/or capital gains. The specific tax characteristics of the distributions will be reported to stockholders on Form 1099 after the end of the calendar year and in its periodic report filed with the Securities and Exchange Commission.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ABOUT PENNANTPARK FLOATING RATE CAPITAL LTD.</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CONTACT: Aviv Efrat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PennantPark Floating Rate Capital Ltd.</w:t>
      </w:r>
    </w:p>
    <w:p>
      <w:pPr>
        <w:spacing w:after="0" w:line="1" w:lineRule="exact"/>
        <w:rPr>
          <w:sz w:val="20"/>
          <w:szCs w:val="20"/>
          <w:color w:val="auto"/>
        </w:rPr>
      </w:pPr>
    </w:p>
    <w:p>
      <w:pPr>
        <w:ind w:left="660" w:right="9260" w:hanging="4"/>
        <w:spacing w:after="0" w:line="337" w:lineRule="auto"/>
        <w:tabs>
          <w:tab w:leader="none" w:pos="1008" w:val="left"/>
        </w:tabs>
        <w:numPr>
          <w:ilvl w:val="0"/>
          <w:numId w:val="2"/>
        </w:numPr>
        <w:rPr>
          <w:rFonts w:ascii="Arial" w:cs="Arial" w:eastAsia="Arial" w:hAnsi="Arial"/>
          <w:sz w:val="12"/>
          <w:szCs w:val="12"/>
          <w:color w:val="auto"/>
        </w:rPr>
      </w:pPr>
      <w:r>
        <w:rPr>
          <w:rFonts w:ascii="Arial" w:cs="Arial" w:eastAsia="Arial" w:hAnsi="Arial"/>
          <w:sz w:val="12"/>
          <w:szCs w:val="12"/>
          <w:color w:val="auto"/>
        </w:rPr>
        <w:t>905-1000 www.pennantpark.com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2020-05-05T12:06:27Z</dcterms:created>
  <dcterms:modified xsi:type="dcterms:W3CDTF">2020-05-05T12:06:27Z</dcterms:modified>
</cp:coreProperties>
</file>