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July 25, 2012.</w:t>
      </w:r>
    </w:p>
    <w:p>
      <w:pPr>
        <w:jc w:val="center"/>
        <w:ind w:right="-99"/>
        <w:spacing w:after="0" w:line="223" w:lineRule="auto"/>
        <w:rPr>
          <w:sz w:val="20"/>
          <w:szCs w:val="20"/>
          <w:color w:val="auto"/>
        </w:rPr>
      </w:pPr>
      <w:r>
        <w:rPr>
          <w:rFonts w:ascii="Arial" w:cs="Arial" w:eastAsia="Arial" w:hAnsi="Arial"/>
          <w:sz w:val="14"/>
          <w:szCs w:val="14"/>
          <w:b w:val="1"/>
          <w:bCs w:val="1"/>
          <w:color w:val="auto"/>
        </w:rPr>
        <w:t>Securities Act Registration No. 333-180084</w:t>
      </w:r>
    </w:p>
    <w:p>
      <w:pPr>
        <w:jc w:val="center"/>
        <w:ind w:right="-99"/>
        <w:spacing w:after="0"/>
        <w:rPr>
          <w:sz w:val="20"/>
          <w:szCs w:val="20"/>
          <w:color w:val="auto"/>
        </w:rPr>
      </w:pPr>
      <w:r>
        <w:rPr>
          <w:rFonts w:ascii="Arial" w:cs="Arial" w:eastAsia="Arial" w:hAnsi="Arial"/>
          <w:sz w:val="14"/>
          <w:szCs w:val="14"/>
          <w:b w:val="1"/>
          <w:bCs w:val="1"/>
          <w:color w:val="auto"/>
        </w:rPr>
        <w:t>Investment Company Act of 1940 File No.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43180</wp:posOffset>
            </wp:positionV>
            <wp:extent cx="6955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68580</wp:posOffset>
            </wp:positionV>
            <wp:extent cx="6955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6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8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255270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jc w:val="center"/>
        <w:ind w:right="-99"/>
        <w:spacing w:after="0" w:line="207" w:lineRule="exact"/>
        <w:tabs>
          <w:tab w:leader="none" w:pos="180" w:val="left"/>
        </w:tabs>
        <w:rPr>
          <w:sz w:val="20"/>
          <w:szCs w:val="20"/>
          <w:color w:val="auto"/>
        </w:rPr>
      </w:pPr>
      <w:r>
        <w:rPr>
          <w:rFonts w:ascii="Arial" w:cs="Arial" w:eastAsia="Arial" w:hAnsi="Arial"/>
          <w:sz w:val="18"/>
          <w:szCs w:val="18"/>
          <w:b w:val="1"/>
          <w:bCs w:val="1"/>
          <w:color w:val="auto"/>
        </w:rPr>
        <w:t>Post-Effective Amendment</w:t>
      </w:r>
      <w:r>
        <w:rPr>
          <w:sz w:val="20"/>
          <w:szCs w:val="20"/>
          <w:color w:val="auto"/>
        </w:rPr>
        <w:tab/>
      </w:r>
      <w:r>
        <w:rPr>
          <w:rFonts w:ascii="MS PGothic" w:cs="MS PGothic" w:eastAsia="MS PGothic" w:hAnsi="MS PGothic"/>
          <w:sz w:val="16"/>
          <w:szCs w:val="16"/>
          <w:color w:val="auto"/>
        </w:rPr>
        <w:t>☐</w:t>
      </w:r>
    </w:p>
    <w:p>
      <w:pPr>
        <w:spacing w:after="0" w:line="10" w:lineRule="exact"/>
        <w:rPr>
          <w:sz w:val="24"/>
          <w:szCs w:val="24"/>
          <w:color w:val="auto"/>
        </w:rPr>
      </w:pPr>
    </w:p>
    <w:p>
      <w:pPr>
        <w:jc w:val="center"/>
        <w:ind w:right="-99"/>
        <w:spacing w:after="0" w:line="207" w:lineRule="exact"/>
        <w:rPr>
          <w:sz w:val="20"/>
          <w:szCs w:val="20"/>
          <w:color w:val="auto"/>
        </w:rPr>
      </w:pPr>
      <w:r>
        <w:rPr>
          <w:rFonts w:ascii="Arial" w:cs="Arial" w:eastAsia="Arial" w:hAnsi="Arial"/>
          <w:sz w:val="18"/>
          <w:szCs w:val="18"/>
          <w:b w:val="1"/>
          <w:bCs w:val="1"/>
          <w:color w:val="auto"/>
        </w:rPr>
        <w:t xml:space="preserve">Pre-Effective Amendment No. 3 </w:t>
      </w:r>
      <w:r>
        <w:rPr>
          <w:rFonts w:ascii="MS PGothic" w:cs="MS PGothic" w:eastAsia="MS PGothic" w:hAnsi="MS PGothic"/>
          <w:sz w:val="18"/>
          <w:szCs w:val="18"/>
          <w:color w:val="auto"/>
        </w:rPr>
        <w:t>☒</w:t>
      </w: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128905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4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590 Madison Avenue</w:t>
      </w:r>
    </w:p>
    <w:p>
      <w:pPr>
        <w:jc w:val="center"/>
        <w:ind w:right="-99"/>
        <w:spacing w:after="0" w:line="223"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(212) 905-1000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Arthur H. Penn</w:t>
      </w:r>
    </w:p>
    <w:p>
      <w:pPr>
        <w:jc w:val="center"/>
        <w:ind w:right="-99"/>
        <w:spacing w:after="0" w:line="223" w:lineRule="auto"/>
        <w:rPr>
          <w:sz w:val="20"/>
          <w:szCs w:val="20"/>
          <w:color w:val="auto"/>
        </w:rPr>
      </w:pPr>
      <w:r>
        <w:rPr>
          <w:rFonts w:ascii="Arial" w:cs="Arial" w:eastAsia="Arial" w:hAnsi="Arial"/>
          <w:sz w:val="14"/>
          <w:szCs w:val="14"/>
          <w:b w:val="1"/>
          <w:bCs w:val="1"/>
          <w:color w:val="auto"/>
        </w:rPr>
        <w:t>c/o PennantPark Floating Rate Capital Ltd.</w:t>
      </w:r>
    </w:p>
    <w:p>
      <w:pPr>
        <w:jc w:val="center"/>
        <w:ind w:right="-99"/>
        <w:spacing w:after="0" w:line="222" w:lineRule="auto"/>
        <w:rPr>
          <w:sz w:val="20"/>
          <w:szCs w:val="20"/>
          <w:color w:val="auto"/>
        </w:rPr>
      </w:pPr>
      <w:r>
        <w:rPr>
          <w:rFonts w:ascii="Arial" w:cs="Arial" w:eastAsia="Arial" w:hAnsi="Arial"/>
          <w:sz w:val="14"/>
          <w:szCs w:val="14"/>
          <w:b w:val="1"/>
          <w:bCs w:val="1"/>
          <w:color w:val="auto"/>
        </w:rPr>
        <w:t>590 Madison Avenue</w:t>
      </w:r>
    </w:p>
    <w:p>
      <w:pPr>
        <w:jc w:val="center"/>
        <w:ind w:right="-99"/>
        <w:spacing w:after="0" w:line="221"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i w:val="1"/>
          <w:iCs w:val="1"/>
          <w:color w:val="auto"/>
        </w:rPr>
        <w:t>Copies to:</w:t>
      </w:r>
    </w:p>
    <w:p>
      <w:pPr>
        <w:jc w:val="center"/>
        <w:ind w:right="-99"/>
        <w:spacing w:after="0" w:line="221" w:lineRule="auto"/>
        <w:rPr>
          <w:sz w:val="20"/>
          <w:szCs w:val="20"/>
          <w:color w:val="auto"/>
        </w:rPr>
      </w:pPr>
      <w:r>
        <w:rPr>
          <w:rFonts w:ascii="Arial" w:cs="Arial" w:eastAsia="Arial" w:hAnsi="Arial"/>
          <w:sz w:val="14"/>
          <w:szCs w:val="14"/>
          <w:b w:val="1"/>
          <w:bCs w:val="1"/>
          <w:color w:val="auto"/>
        </w:rPr>
        <w:t>Thomas Friedmann</w:t>
      </w:r>
    </w:p>
    <w:p>
      <w:pPr>
        <w:jc w:val="center"/>
        <w:ind w:right="-99"/>
        <w:spacing w:after="0" w:line="221" w:lineRule="auto"/>
        <w:rPr>
          <w:sz w:val="20"/>
          <w:szCs w:val="20"/>
          <w:color w:val="auto"/>
        </w:rPr>
      </w:pPr>
      <w:r>
        <w:rPr>
          <w:rFonts w:ascii="Arial" w:cs="Arial" w:eastAsia="Arial" w:hAnsi="Arial"/>
          <w:sz w:val="14"/>
          <w:szCs w:val="14"/>
          <w:b w:val="1"/>
          <w:bCs w:val="1"/>
          <w:color w:val="auto"/>
        </w:rPr>
        <w:t>David Harris</w:t>
      </w:r>
    </w:p>
    <w:p>
      <w:pPr>
        <w:jc w:val="center"/>
        <w:ind w:right="-99"/>
        <w:spacing w:after="0" w:line="222" w:lineRule="auto"/>
        <w:rPr>
          <w:sz w:val="20"/>
          <w:szCs w:val="20"/>
          <w:color w:val="auto"/>
        </w:rPr>
      </w:pPr>
      <w:r>
        <w:rPr>
          <w:rFonts w:ascii="Arial" w:cs="Arial" w:eastAsia="Arial" w:hAnsi="Arial"/>
          <w:sz w:val="14"/>
          <w:szCs w:val="14"/>
          <w:b w:val="1"/>
          <w:bCs w:val="1"/>
          <w:color w:val="auto"/>
        </w:rPr>
        <w:t>Dechert LLP</w:t>
      </w:r>
    </w:p>
    <w:p>
      <w:pPr>
        <w:jc w:val="center"/>
        <w:ind w:right="-99"/>
        <w:spacing w:after="0" w:line="221" w:lineRule="auto"/>
        <w:rPr>
          <w:sz w:val="20"/>
          <w:szCs w:val="20"/>
          <w:color w:val="auto"/>
        </w:rPr>
      </w:pPr>
      <w:r>
        <w:rPr>
          <w:rFonts w:ascii="Arial" w:cs="Arial" w:eastAsia="Arial" w:hAnsi="Arial"/>
          <w:sz w:val="14"/>
          <w:szCs w:val="14"/>
          <w:b w:val="1"/>
          <w:bCs w:val="1"/>
          <w:color w:val="auto"/>
        </w:rPr>
        <w:t>1775 I Street, N.W.</w:t>
      </w:r>
    </w:p>
    <w:p>
      <w:pPr>
        <w:jc w:val="center"/>
        <w:ind w:right="-99"/>
        <w:spacing w:after="0" w:line="222" w:lineRule="auto"/>
        <w:rPr>
          <w:sz w:val="20"/>
          <w:szCs w:val="20"/>
          <w:color w:val="auto"/>
        </w:rPr>
      </w:pPr>
      <w:r>
        <w:rPr>
          <w:rFonts w:ascii="Arial" w:cs="Arial" w:eastAsia="Arial" w:hAnsi="Arial"/>
          <w:sz w:val="14"/>
          <w:szCs w:val="14"/>
          <w:b w:val="1"/>
          <w:bCs w:val="1"/>
          <w:color w:val="auto"/>
        </w:rPr>
        <w:t>Washington, DC 20006-2401</w:t>
      </w:r>
    </w:p>
    <w:p>
      <w:pPr>
        <w:jc w:val="center"/>
        <w:ind w:right="-99"/>
        <w:spacing w:after="0"/>
        <w:rPr>
          <w:sz w:val="20"/>
          <w:szCs w:val="20"/>
          <w:color w:val="auto"/>
        </w:rPr>
      </w:pPr>
      <w:r>
        <w:rPr>
          <w:rFonts w:ascii="Arial" w:cs="Arial" w:eastAsia="Arial" w:hAnsi="Arial"/>
          <w:sz w:val="14"/>
          <w:szCs w:val="14"/>
          <w:b w:val="1"/>
          <w:bCs w:val="1"/>
          <w:color w:val="auto"/>
        </w:rPr>
        <w:t>APPROXIMATE DATE OF PROPOSED PUBLIC OFFERING:</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53" w:lineRule="exact"/>
        <w:rPr>
          <w:sz w:val="24"/>
          <w:szCs w:val="24"/>
          <w:color w:val="auto"/>
        </w:rPr>
      </w:pPr>
    </w:p>
    <w:p>
      <w:pPr>
        <w:ind w:firstLine="456"/>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7" w:lineRule="exact"/>
        <w:rPr>
          <w:sz w:val="24"/>
          <w:szCs w:val="24"/>
          <w:color w:val="auto"/>
        </w:rPr>
      </w:pPr>
    </w:p>
    <w:p>
      <w:pPr>
        <w:ind w:left="4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42" w:lineRule="exact"/>
        <w:rPr>
          <w:sz w:val="24"/>
          <w:szCs w:val="24"/>
          <w:color w:val="auto"/>
        </w:rPr>
      </w:pPr>
    </w:p>
    <w:p>
      <w:pPr>
        <w:ind w:left="620" w:hanging="156"/>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pacing w:after="0" w:line="41" w:lineRule="exact"/>
        <w:rPr>
          <w:rFonts w:ascii="MS PGothic" w:cs="MS PGothic" w:eastAsia="MS PGothic" w:hAnsi="MS PGothic"/>
          <w:sz w:val="14"/>
          <w:szCs w:val="14"/>
          <w:color w:val="auto"/>
        </w:rPr>
      </w:pPr>
    </w:p>
    <w:p>
      <w:pPr>
        <w:ind w:left="460"/>
        <w:spacing w:after="0"/>
        <w:rPr>
          <w:rFonts w:ascii="MS PGothic" w:cs="MS PGothic" w:eastAsia="MS PGothic" w:hAnsi="MS PGothic"/>
          <w:sz w:val="14"/>
          <w:szCs w:val="14"/>
          <w:color w:val="auto"/>
        </w:rPr>
      </w:pPr>
      <w:r>
        <w:rPr>
          <w:rFonts w:ascii="Arial" w:cs="Arial" w:eastAsia="Arial" w:hAnsi="Arial"/>
          <w:sz w:val="14"/>
          <w:szCs w:val="14"/>
          <w:color w:val="auto"/>
        </w:rPr>
        <w:t>If appropriate, check the following box:</w:t>
      </w:r>
    </w:p>
    <w:p>
      <w:pPr>
        <w:spacing w:after="0" w:line="16" w:lineRule="exact"/>
        <w:rPr>
          <w:rFonts w:ascii="MS PGothic" w:cs="MS PGothic" w:eastAsia="MS PGothic" w:hAnsi="MS PGothic"/>
          <w:sz w:val="14"/>
          <w:szCs w:val="14"/>
          <w:color w:val="auto"/>
        </w:rPr>
      </w:pPr>
    </w:p>
    <w:p>
      <w:pPr>
        <w:ind w:left="46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This amendment designates a new effective date for a previously filed registration statement.</w:t>
      </w:r>
    </w:p>
    <w:p>
      <w:pPr>
        <w:spacing w:after="0" w:line="67" w:lineRule="exact"/>
        <w:rPr>
          <w:sz w:val="24"/>
          <w:szCs w:val="24"/>
          <w:color w:val="auto"/>
        </w:rPr>
      </w:pPr>
    </w:p>
    <w:p>
      <w:pPr>
        <w:ind w:right="500" w:firstLine="464"/>
        <w:spacing w:after="0" w:line="239" w:lineRule="auto"/>
        <w:tabs>
          <w:tab w:leader="none" w:pos="609"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760" w:type="dxa"/>
            <w:vAlign w:val="bottom"/>
            <w:tcBorders>
              <w:top w:val="single" w:sz="8" w:color="auto"/>
              <w:left w:val="single" w:sz="8" w:color="auto"/>
              <w:right w:val="single" w:sz="8" w:color="auto"/>
            </w:tcBorders>
          </w:tcPr>
          <w:p>
            <w:pPr>
              <w:spacing w:after="0"/>
              <w:rPr>
                <w:sz w:val="12"/>
                <w:szCs w:val="12"/>
                <w:color w:val="auto"/>
              </w:rPr>
            </w:pPr>
          </w:p>
        </w:tc>
        <w:tc>
          <w:tcPr>
            <w:tcW w:w="1880" w:type="dxa"/>
            <w:vAlign w:val="bottom"/>
            <w:tcBorders>
              <w:top w:val="single" w:sz="8" w:color="auto"/>
              <w:right w:val="single" w:sz="8" w:color="auto"/>
            </w:tcBorders>
          </w:tcPr>
          <w:p>
            <w:pPr>
              <w:spacing w:after="0"/>
              <w:rPr>
                <w:sz w:val="12"/>
                <w:szCs w:val="12"/>
                <w:color w:val="auto"/>
              </w:rPr>
            </w:pPr>
          </w:p>
        </w:tc>
        <w:tc>
          <w:tcPr>
            <w:tcW w:w="1940" w:type="dxa"/>
            <w:vAlign w:val="bottom"/>
            <w:tcBorders>
              <w:top w:val="single" w:sz="8" w:color="auto"/>
              <w:right w:val="single" w:sz="8" w:color="auto"/>
            </w:tcBorders>
          </w:tcPr>
          <w:p>
            <w:pPr>
              <w:jc w:val="center"/>
              <w:ind w:left="132"/>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380" w:type="dxa"/>
            <w:vAlign w:val="bottom"/>
            <w:tcBorders>
              <w:top w:val="single" w:sz="8" w:color="auto"/>
            </w:tcBorders>
          </w:tcPr>
          <w:p>
            <w:pPr>
              <w:spacing w:after="0"/>
              <w:rPr>
                <w:sz w:val="12"/>
                <w:szCs w:val="12"/>
                <w:color w:val="auto"/>
              </w:rPr>
            </w:pPr>
          </w:p>
        </w:tc>
        <w:tc>
          <w:tcPr>
            <w:tcW w:w="1540" w:type="dxa"/>
            <w:vAlign w:val="bottom"/>
            <w:tcBorders>
              <w:top w:val="single" w:sz="8" w:color="auto"/>
              <w:right w:val="single" w:sz="8" w:color="auto"/>
            </w:tcBorders>
          </w:tcPr>
          <w:p>
            <w:pPr>
              <w:jc w:val="center"/>
              <w:ind w:right="214"/>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400" w:type="dxa"/>
            <w:vAlign w:val="bottom"/>
            <w:tcBorders>
              <w:top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Borders>
              <w:left w:val="single" w:sz="8" w:color="auto"/>
              <w:right w:val="single" w:sz="8" w:color="auto"/>
            </w:tcBorders>
          </w:tcPr>
          <w:p>
            <w:pPr>
              <w:ind w:left="740"/>
              <w:spacing w:after="0" w:line="148" w:lineRule="exact"/>
              <w:rPr>
                <w:sz w:val="20"/>
                <w:szCs w:val="20"/>
                <w:color w:val="auto"/>
              </w:rPr>
            </w:pPr>
            <w:r>
              <w:rPr>
                <w:rFonts w:ascii="Arial" w:cs="Arial" w:eastAsia="Arial" w:hAnsi="Arial"/>
                <w:sz w:val="14"/>
                <w:szCs w:val="14"/>
                <w:b w:val="1"/>
                <w:bCs w:val="1"/>
                <w:color w:val="auto"/>
              </w:rPr>
              <w:t>Title of Securities Being</w:t>
            </w:r>
          </w:p>
        </w:tc>
        <w:tc>
          <w:tcPr>
            <w:tcW w:w="1880" w:type="dxa"/>
            <w:vAlign w:val="bottom"/>
            <w:tcBorders>
              <w:right w:val="single" w:sz="8" w:color="auto"/>
            </w:tcBorders>
          </w:tcPr>
          <w:p>
            <w:pPr>
              <w:jc w:val="right"/>
              <w:ind w:right="332"/>
              <w:spacing w:after="0" w:line="148" w:lineRule="exact"/>
              <w:rPr>
                <w:sz w:val="20"/>
                <w:szCs w:val="20"/>
                <w:color w:val="auto"/>
              </w:rPr>
            </w:pPr>
            <w:r>
              <w:rPr>
                <w:rFonts w:ascii="Arial" w:cs="Arial" w:eastAsia="Arial" w:hAnsi="Arial"/>
                <w:sz w:val="14"/>
                <w:szCs w:val="14"/>
                <w:b w:val="1"/>
                <w:bCs w:val="1"/>
                <w:color w:val="auto"/>
              </w:rPr>
              <w:t>Amount Being</w:t>
            </w:r>
          </w:p>
        </w:tc>
        <w:tc>
          <w:tcPr>
            <w:tcW w:w="1940" w:type="dxa"/>
            <w:vAlign w:val="bottom"/>
            <w:tcBorders>
              <w:right w:val="single" w:sz="8" w:color="auto"/>
            </w:tcBorders>
          </w:tcPr>
          <w:p>
            <w:pPr>
              <w:jc w:val="center"/>
              <w:ind w:left="132"/>
              <w:spacing w:after="0" w:line="148" w:lineRule="exact"/>
              <w:rPr>
                <w:sz w:val="20"/>
                <w:szCs w:val="20"/>
                <w:color w:val="auto"/>
              </w:rPr>
            </w:pPr>
            <w:r>
              <w:rPr>
                <w:rFonts w:ascii="Arial" w:cs="Arial" w:eastAsia="Arial" w:hAnsi="Arial"/>
                <w:sz w:val="14"/>
                <w:szCs w:val="14"/>
                <w:b w:val="1"/>
                <w:bCs w:val="1"/>
                <w:color w:val="auto"/>
                <w:w w:val="88"/>
              </w:rPr>
              <w:t>Offering Price</w:t>
            </w:r>
          </w:p>
        </w:tc>
        <w:tc>
          <w:tcPr>
            <w:tcW w:w="380" w:type="dxa"/>
            <w:vAlign w:val="bottom"/>
          </w:tcPr>
          <w:p>
            <w:pPr>
              <w:spacing w:after="0"/>
              <w:rPr>
                <w:sz w:val="12"/>
                <w:szCs w:val="12"/>
                <w:color w:val="auto"/>
              </w:rPr>
            </w:pPr>
          </w:p>
        </w:tc>
        <w:tc>
          <w:tcPr>
            <w:tcW w:w="1540" w:type="dxa"/>
            <w:vAlign w:val="bottom"/>
            <w:tcBorders>
              <w:right w:val="single" w:sz="8" w:color="auto"/>
            </w:tcBorders>
          </w:tcPr>
          <w:p>
            <w:pPr>
              <w:jc w:val="center"/>
              <w:ind w:right="234"/>
              <w:spacing w:after="0" w:line="148" w:lineRule="exact"/>
              <w:rPr>
                <w:sz w:val="20"/>
                <w:szCs w:val="20"/>
                <w:color w:val="auto"/>
              </w:rPr>
            </w:pPr>
            <w:r>
              <w:rPr>
                <w:rFonts w:ascii="Arial" w:cs="Arial" w:eastAsia="Arial" w:hAnsi="Arial"/>
                <w:sz w:val="14"/>
                <w:szCs w:val="14"/>
                <w:b w:val="1"/>
                <w:bCs w:val="1"/>
                <w:color w:val="auto"/>
                <w:w w:val="86"/>
              </w:rPr>
              <w:t>Aggregate</w:t>
            </w:r>
          </w:p>
        </w:tc>
        <w:tc>
          <w:tcPr>
            <w:tcW w:w="400" w:type="dxa"/>
            <w:vAlign w:val="bottom"/>
          </w:tcPr>
          <w:p>
            <w:pPr>
              <w:spacing w:after="0"/>
              <w:rPr>
                <w:sz w:val="12"/>
                <w:szCs w:val="12"/>
                <w:color w:val="auto"/>
              </w:rPr>
            </w:pPr>
          </w:p>
        </w:tc>
        <w:tc>
          <w:tcPr>
            <w:tcW w:w="1620" w:type="dxa"/>
            <w:vAlign w:val="bottom"/>
            <w:tcBorders>
              <w:right w:val="single" w:sz="8" w:color="auto"/>
            </w:tcBorders>
          </w:tcPr>
          <w:p>
            <w:pPr>
              <w:jc w:val="center"/>
              <w:ind w:right="334"/>
              <w:spacing w:after="0" w:line="148"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6"/>
        </w:trPr>
        <w:tc>
          <w:tcPr>
            <w:tcW w:w="2760" w:type="dxa"/>
            <w:vAlign w:val="bottom"/>
            <w:tcBorders>
              <w:left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4"/>
                <w:szCs w:val="14"/>
                <w:b w:val="1"/>
                <w:bCs w:val="1"/>
                <w:color w:val="auto"/>
              </w:rPr>
              <w:t>Registered</w:t>
            </w:r>
          </w:p>
        </w:tc>
        <w:tc>
          <w:tcPr>
            <w:tcW w:w="1880" w:type="dxa"/>
            <w:vAlign w:val="bottom"/>
            <w:tcBorders>
              <w:bottom w:val="single" w:sz="8" w:color="auto"/>
              <w:right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Registered</w:t>
            </w:r>
          </w:p>
        </w:tc>
        <w:tc>
          <w:tcPr>
            <w:tcW w:w="1940" w:type="dxa"/>
            <w:vAlign w:val="bottom"/>
            <w:tcBorders>
              <w:bottom w:val="single" w:sz="8" w:color="auto"/>
              <w:right w:val="single" w:sz="8" w:color="auto"/>
            </w:tcBorders>
          </w:tcPr>
          <w:p>
            <w:pPr>
              <w:jc w:val="center"/>
              <w:ind w:left="132"/>
              <w:spacing w:after="0"/>
              <w:rPr>
                <w:sz w:val="20"/>
                <w:szCs w:val="20"/>
                <w:color w:val="auto"/>
              </w:rPr>
            </w:pPr>
            <w:r>
              <w:rPr>
                <w:rFonts w:ascii="Arial" w:cs="Arial" w:eastAsia="Arial" w:hAnsi="Arial"/>
                <w:sz w:val="14"/>
                <w:szCs w:val="14"/>
                <w:b w:val="1"/>
                <w:bCs w:val="1"/>
                <w:color w:val="auto"/>
                <w:w w:val="93"/>
              </w:rPr>
              <w:t>Per Unit</w:t>
            </w:r>
          </w:p>
        </w:tc>
        <w:tc>
          <w:tcPr>
            <w:tcW w:w="380" w:type="dxa"/>
            <w:vAlign w:val="bottom"/>
            <w:tcBorders>
              <w:bottom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jc w:val="center"/>
              <w:ind w:right="234"/>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jc w:val="center"/>
              <w:ind w:right="354"/>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264"/>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Common Stock, $0.001 par value</w:t>
            </w:r>
            <w:r>
              <w:rPr>
                <w:rFonts w:ascii="Arial" w:cs="Arial" w:eastAsia="Arial" w:hAnsi="Arial"/>
                <w:sz w:val="22"/>
                <w:szCs w:val="22"/>
                <w:color w:val="auto"/>
                <w:vertAlign w:val="superscript"/>
              </w:rPr>
              <w:t>(2)</w:t>
            </w:r>
          </w:p>
        </w:tc>
        <w:tc>
          <w:tcPr>
            <w:tcW w:w="1880" w:type="dxa"/>
            <w:vAlign w:val="bottom"/>
            <w:tcBorders>
              <w:right w:val="single" w:sz="8" w:color="auto"/>
            </w:tcBorders>
          </w:tcPr>
          <w:p>
            <w:pPr>
              <w:jc w:val="right"/>
              <w:ind w:right="1452"/>
              <w:spacing w:after="0"/>
              <w:rPr>
                <w:sz w:val="20"/>
                <w:szCs w:val="20"/>
                <w:color w:val="auto"/>
              </w:rPr>
            </w:pPr>
            <w:r>
              <w:rPr>
                <w:rFonts w:ascii="Arial" w:cs="Arial" w:eastAsia="Arial" w:hAnsi="Arial"/>
                <w:sz w:val="14"/>
                <w:szCs w:val="14"/>
                <w:color w:val="auto"/>
              </w:rPr>
              <w:t>$</w:t>
            </w:r>
          </w:p>
        </w:tc>
        <w:tc>
          <w:tcPr>
            <w:tcW w:w="1940" w:type="dxa"/>
            <w:vAlign w:val="bottom"/>
            <w:tcBorders>
              <w:right w:val="single" w:sz="8" w:color="auto"/>
            </w:tcBorders>
            <w:vMerge w:val="restart"/>
          </w:tcPr>
          <w:p>
            <w:pPr>
              <w:jc w:val="right"/>
              <w:ind w:right="1512"/>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right w:val="single" w:sz="8" w:color="auto"/>
            </w:tcBorders>
          </w:tcPr>
          <w:p>
            <w:pPr>
              <w:spacing w:after="0"/>
              <w:rPr>
                <w:sz w:val="22"/>
                <w:szCs w:val="2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vMerge w:val="continue"/>
          </w:tcPr>
          <w:p>
            <w:pPr>
              <w:spacing w:after="0"/>
              <w:rPr>
                <w:sz w:val="2"/>
                <w:szCs w:val="2"/>
                <w:color w:val="auto"/>
              </w:rPr>
            </w:pPr>
          </w:p>
        </w:tc>
        <w:tc>
          <w:tcPr>
            <w:tcW w:w="380" w:type="dxa"/>
            <w:vAlign w:val="bottom"/>
            <w:tcBorders>
              <w:bottom w:val="single" w:sz="8" w:color="auto"/>
            </w:tcBorders>
            <w:vMerge w:val="continue"/>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vMerge w:val="continue"/>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Preferred Stock, $0.001 par value</w:t>
            </w:r>
            <w:r>
              <w:rPr>
                <w:rFonts w:ascii="Arial" w:cs="Arial" w:eastAsia="Arial" w:hAnsi="Arial"/>
                <w:sz w:val="16"/>
                <w:szCs w:val="16"/>
                <w:color w:val="auto"/>
                <w:vertAlign w:val="superscript"/>
              </w:rPr>
              <w:t>(2)</w:t>
            </w:r>
          </w:p>
        </w:tc>
        <w:tc>
          <w:tcPr>
            <w:tcW w:w="188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Warrants</w:t>
            </w:r>
            <w:r>
              <w:rPr>
                <w:rFonts w:ascii="Arial" w:cs="Arial" w:eastAsia="Arial" w:hAnsi="Arial"/>
                <w:sz w:val="16"/>
                <w:szCs w:val="16"/>
                <w:color w:val="auto"/>
                <w:vertAlign w:val="superscript"/>
              </w:rPr>
              <w:t>(2)</w:t>
            </w:r>
          </w:p>
        </w:tc>
        <w:tc>
          <w:tcPr>
            <w:tcW w:w="188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Subscription Rights</w:t>
            </w:r>
            <w:r>
              <w:rPr>
                <w:rFonts w:ascii="Arial" w:cs="Arial" w:eastAsia="Arial" w:hAnsi="Arial"/>
                <w:sz w:val="16"/>
                <w:szCs w:val="16"/>
                <w:color w:val="auto"/>
                <w:vertAlign w:val="superscript"/>
              </w:rPr>
              <w:t>(3)</w:t>
            </w:r>
          </w:p>
        </w:tc>
        <w:tc>
          <w:tcPr>
            <w:tcW w:w="188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Debt Securities</w:t>
            </w:r>
            <w:r>
              <w:rPr>
                <w:rFonts w:ascii="Arial" w:cs="Arial" w:eastAsia="Arial" w:hAnsi="Arial"/>
                <w:sz w:val="16"/>
                <w:szCs w:val="16"/>
                <w:color w:val="auto"/>
                <w:vertAlign w:val="superscript"/>
              </w:rPr>
              <w:t>(4)</w:t>
            </w:r>
          </w:p>
        </w:tc>
        <w:tc>
          <w:tcPr>
            <w:tcW w:w="188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1880" w:type="dxa"/>
            <w:vAlign w:val="bottom"/>
            <w:tcBorders>
              <w:right w:val="single" w:sz="8" w:color="auto"/>
            </w:tcBorders>
            <w:vMerge w:val="restart"/>
          </w:tcPr>
          <w:p>
            <w:pPr>
              <w:jc w:val="right"/>
              <w:ind w:right="1452"/>
              <w:spacing w:after="0"/>
              <w:rPr>
                <w:sz w:val="20"/>
                <w:szCs w:val="20"/>
                <w:color w:val="auto"/>
              </w:rPr>
            </w:pPr>
            <w:r>
              <w:rPr>
                <w:rFonts w:ascii="Arial" w:cs="Arial" w:eastAsia="Arial" w:hAnsi="Arial"/>
                <w:sz w:val="14"/>
                <w:szCs w:val="14"/>
                <w:color w:val="auto"/>
              </w:rPr>
              <w:t>$</w:t>
            </w:r>
          </w:p>
        </w:tc>
        <w:tc>
          <w:tcPr>
            <w:tcW w:w="1940" w:type="dxa"/>
            <w:vAlign w:val="bottom"/>
            <w:tcBorders>
              <w:right w:val="single" w:sz="8" w:color="auto"/>
            </w:tcBorders>
            <w:vMerge w:val="restart"/>
          </w:tcPr>
          <w:p>
            <w:pPr>
              <w:jc w:val="right"/>
              <w:ind w:right="1512"/>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150,000,000</w:t>
            </w:r>
            <w:r>
              <w:rPr>
                <w:rFonts w:ascii="Arial" w:cs="Arial" w:eastAsia="Arial" w:hAnsi="Arial"/>
                <w:sz w:val="22"/>
                <w:szCs w:val="22"/>
                <w:color w:val="auto"/>
                <w:vertAlign w:val="superscript"/>
              </w:rPr>
              <w:t>(5)</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right w:val="single" w:sz="8" w:color="auto"/>
            </w:tcBorders>
            <w:vMerge w:val="restart"/>
          </w:tcPr>
          <w:p>
            <w:pPr>
              <w:jc w:val="right"/>
              <w:ind w:right="114"/>
              <w:spacing w:after="0"/>
              <w:rPr>
                <w:sz w:val="20"/>
                <w:szCs w:val="20"/>
                <w:color w:val="auto"/>
              </w:rPr>
            </w:pPr>
            <w:r>
              <w:rPr>
                <w:rFonts w:ascii="Arial" w:cs="Arial" w:eastAsia="Arial" w:hAnsi="Arial"/>
                <w:sz w:val="14"/>
                <w:szCs w:val="14"/>
                <w:color w:val="auto"/>
              </w:rPr>
              <w:t>17,190</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125"/>
        </w:trPr>
        <w:tc>
          <w:tcPr>
            <w:tcW w:w="2760" w:type="dxa"/>
            <w:vAlign w:val="bottom"/>
            <w:tcBorders>
              <w:left w:val="single" w:sz="8" w:color="auto"/>
              <w:bottom w:val="single" w:sz="8" w:color="auto"/>
              <w:right w:val="single" w:sz="8" w:color="auto"/>
            </w:tcBorders>
          </w:tcPr>
          <w:p>
            <w:pPr>
              <w:spacing w:after="0"/>
              <w:rPr>
                <w:sz w:val="10"/>
                <w:szCs w:val="10"/>
                <w:color w:val="auto"/>
              </w:rPr>
            </w:pPr>
          </w:p>
        </w:tc>
        <w:tc>
          <w:tcPr>
            <w:tcW w:w="1880" w:type="dxa"/>
            <w:vAlign w:val="bottom"/>
            <w:tcBorders>
              <w:bottom w:val="single" w:sz="8" w:color="auto"/>
              <w:right w:val="single" w:sz="8" w:color="auto"/>
            </w:tcBorders>
            <w:vMerge w:val="continue"/>
          </w:tcPr>
          <w:p>
            <w:pPr>
              <w:spacing w:after="0"/>
              <w:rPr>
                <w:sz w:val="10"/>
                <w:szCs w:val="10"/>
                <w:color w:val="auto"/>
              </w:rPr>
            </w:pPr>
          </w:p>
        </w:tc>
        <w:tc>
          <w:tcPr>
            <w:tcW w:w="1940" w:type="dxa"/>
            <w:vAlign w:val="bottom"/>
            <w:tcBorders>
              <w:bottom w:val="single" w:sz="8" w:color="auto"/>
              <w:right w:val="single" w:sz="8" w:color="auto"/>
            </w:tcBorders>
            <w:vMerge w:val="continue"/>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15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680" w:hanging="334"/>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57" w:lineRule="exact"/>
        <w:rPr>
          <w:rFonts w:ascii="Arial" w:cs="Arial" w:eastAsia="Arial" w:hAnsi="Arial"/>
          <w:sz w:val="14"/>
          <w:szCs w:val="14"/>
          <w:color w:val="auto"/>
        </w:rPr>
      </w:pPr>
    </w:p>
    <w:p>
      <w:pPr>
        <w:ind w:left="680" w:right="160" w:hanging="334"/>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shares of common stock, preferred stock or warrants as may be sold, from time to time. Warrants represent rights to purchase common stock, preferred stock or debt securities.</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number of subscription rights as may be sold, from time to time, representing rights to purchase common stock.</w:t>
      </w:r>
    </w:p>
    <w:p>
      <w:pPr>
        <w:spacing w:after="0" w:line="91" w:lineRule="exact"/>
        <w:rPr>
          <w:rFonts w:ascii="Arial" w:cs="Arial" w:eastAsia="Arial" w:hAnsi="Arial"/>
          <w:sz w:val="12"/>
          <w:szCs w:val="12"/>
          <w:color w:val="auto"/>
        </w:rPr>
      </w:pPr>
    </w:p>
    <w:p>
      <w:pPr>
        <w:ind w:left="680" w:right="280" w:hanging="334"/>
        <w:spacing w:after="0" w:line="318" w:lineRule="auto"/>
        <w:tabs>
          <w:tab w:leader="none" w:pos="6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$150,000,000.</w:t>
      </w:r>
    </w:p>
    <w:p>
      <w:pPr>
        <w:spacing w:after="0" w:line="12" w:lineRule="exact"/>
        <w:rPr>
          <w:rFonts w:ascii="Arial" w:cs="Arial" w:eastAsia="Arial" w:hAnsi="Arial"/>
          <w:sz w:val="12"/>
          <w:szCs w:val="12"/>
          <w:color w:val="auto"/>
        </w:rPr>
      </w:pPr>
    </w:p>
    <w:p>
      <w:pPr>
        <w:ind w:left="680" w:hanging="334"/>
        <w:spacing w:after="0"/>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$150,000,000.</w:t>
      </w:r>
    </w:p>
    <w:p>
      <w:pPr>
        <w:spacing w:after="0" w:line="68" w:lineRule="exact"/>
        <w:rPr>
          <w:rFonts w:ascii="Arial" w:cs="Arial" w:eastAsia="Arial" w:hAnsi="Arial"/>
          <w:sz w:val="14"/>
          <w:szCs w:val="14"/>
          <w:color w:val="auto"/>
        </w:rPr>
      </w:pPr>
    </w:p>
    <w:p>
      <w:pPr>
        <w:ind w:left="680" w:hanging="334"/>
        <w:spacing w:after="0"/>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67" w:lineRule="exact"/>
        <w:rPr>
          <w:sz w:val="20"/>
          <w:szCs w:val="20"/>
          <w:color w:val="auto"/>
        </w:rPr>
      </w:pPr>
    </w:p>
    <w:p>
      <w:pPr>
        <w:ind w:right="36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dates as the Commission, acting pursuant to said Section 8(a), may determine.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DE1A1E"/>
        </w:rPr>
        <w:t>Subject to Completion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242570</wp:posOffset>
            </wp:positionV>
            <wp:extent cx="2383790"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Preferred Stock</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Warrants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Subscription Rights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Debt Securities</w:t>
      </w:r>
    </w:p>
    <w:p>
      <w:pPr>
        <w:spacing w:after="0" w:line="94"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PennantPark Floating Rate Capital Ltd. is a closed-end, externally managed, non-diversified investment company that has elected to be treated as a business development company, or BDC, under the Investment Company Act of 1940, as amended, or the 1940 Act.</w:t>
      </w:r>
    </w:p>
    <w:p>
      <w:pPr>
        <w:spacing w:after="0" w:line="58"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Our investment objectives are to generate current income and capital appreciation by investing primarily in Floating Rate Loans and other investments made to U.S. middle-market private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are managed by PennantPark Investment Advisers, LLC. PennantPark Investment Administration, LLC provides the administrative services necessary for us to operate.</w:t>
      </w:r>
    </w:p>
    <w:p>
      <w:pPr>
        <w:spacing w:after="0" w:line="69"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We may offer, from time to time, in one or more offerings or series, together or separately, up to $150,000,000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7 and “Sales of Common Stock Below Net Asset Value” on page 41 of this prospectus for more information.</w:t>
      </w:r>
    </w:p>
    <w:p>
      <w:pPr>
        <w:spacing w:after="0" w:line="46"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Our common stock has been approved for quotation on the NASDAQ Global Select Market under the symbol “PFLT.” The last reported closing price for our common stock on July 24, 2012 was $12.14 per share, and our net asset value on March 31, 2012 was $14.12 per share.</w:t>
      </w:r>
    </w:p>
    <w:p>
      <w:pPr>
        <w:spacing w:after="0" w:line="58"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using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i w:val="1"/>
          <w:iCs w:val="1"/>
          <w:color w:val="auto"/>
        </w:rPr>
        <w:t>.</w:t>
      </w:r>
      <w:r>
        <w:rPr>
          <w:rFonts w:ascii="Arial" w:cs="Arial" w:eastAsia="Arial" w:hAnsi="Arial"/>
          <w:sz w:val="12"/>
          <w:szCs w:val="12"/>
          <w:color w:val="auto"/>
        </w:rPr>
        <w:t xml:space="preserve"> The information on our website is not incorporated by reference into this prospectus. The SEC also maintains a website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7" w:lineRule="exact"/>
        <w:rPr>
          <w:sz w:val="20"/>
          <w:szCs w:val="20"/>
          <w:color w:val="auto"/>
        </w:rPr>
      </w:pPr>
    </w:p>
    <w:p>
      <w:pPr>
        <w:ind w:right="160" w:firstLine="456"/>
        <w:spacing w:after="0" w:line="241"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2">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ind w:right="200"/>
        <w:spacing w:after="0" w:line="241"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prospectus may not be used to consummate sales of securities unless accompanied by a prospectus supplement.</w:t>
      </w:r>
    </w:p>
    <w:p>
      <w:pPr>
        <w:spacing w:after="0" w:line="69" w:lineRule="exact"/>
        <w:rPr>
          <w:sz w:val="20"/>
          <w:szCs w:val="20"/>
          <w:color w:val="auto"/>
        </w:rPr>
      </w:pPr>
    </w:p>
    <w:p>
      <w:pPr>
        <w:ind w:left="4980"/>
        <w:spacing w:after="0"/>
        <w:tabs>
          <w:tab w:leader="none" w:pos="6080" w:val="left"/>
        </w:tabs>
        <w:rPr>
          <w:sz w:val="20"/>
          <w:szCs w:val="20"/>
          <w:color w:val="auto"/>
        </w:rPr>
      </w:pPr>
      <w:r>
        <w:rPr>
          <w:rFonts w:ascii="Arial" w:cs="Arial" w:eastAsia="Arial" w:hAnsi="Arial"/>
          <w:sz w:val="14"/>
          <w:szCs w:val="14"/>
          <w:b w:val="1"/>
          <w:bCs w:val="1"/>
          <w:color w:val="auto"/>
        </w:rPr>
        <w:t>Prospectus dated</w:t>
      </w:r>
      <w:r>
        <w:rPr>
          <w:sz w:val="20"/>
          <w:szCs w:val="20"/>
          <w:color w:val="auto"/>
        </w:rPr>
        <w:tab/>
      </w:r>
      <w:r>
        <w:rPr>
          <w:rFonts w:ascii="Arial" w:cs="Arial" w:eastAsia="Arial" w:hAnsi="Arial"/>
          <w:sz w:val="12"/>
          <w:szCs w:val="12"/>
          <w:b w:val="1"/>
          <w:bCs w:val="1"/>
          <w:color w:val="auto"/>
        </w:rPr>
        <w:t>, 2012</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799"/>
        <w:spacing w:after="0" w:line="273" w:lineRule="auto"/>
        <w:rPr>
          <w:sz w:val="20"/>
          <w:szCs w:val="20"/>
          <w:color w:val="auto"/>
        </w:rPr>
      </w:pPr>
      <w:r>
        <w:rPr>
          <w:rFonts w:ascii="Arial" w:cs="Arial" w:eastAsia="Arial" w:hAnsi="Arial"/>
          <w:sz w:val="12"/>
          <w:szCs w:val="12"/>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340" w:type="dxa"/>
            <w:vAlign w:val="bottom"/>
            <w:gridSpan w:val="2"/>
          </w:tcPr>
          <w:p>
            <w:pPr>
              <w:ind w:left="540"/>
              <w:spacing w:after="0"/>
              <w:rPr>
                <w:sz w:val="20"/>
                <w:szCs w:val="20"/>
                <w:color w:val="auto"/>
              </w:rPr>
            </w:pPr>
            <w:r>
              <w:rPr>
                <w:rFonts w:ascii="Arial" w:cs="Arial" w:eastAsia="Arial" w:hAnsi="Arial"/>
                <w:sz w:val="14"/>
                <w:szCs w:val="14"/>
                <w:b w:val="1"/>
                <w:bCs w:val="1"/>
                <w:color w:val="auto"/>
              </w:rPr>
              <w:t>TABLE OF CONTENTS</w:t>
            </w:r>
          </w:p>
        </w:tc>
        <w:tc>
          <w:tcPr>
            <w:tcW w:w="560" w:type="dxa"/>
            <w:vAlign w:val="bottom"/>
          </w:tcPr>
          <w:p>
            <w:pPr>
              <w:spacing w:after="0"/>
              <w:rPr>
                <w:sz w:val="15"/>
                <w:szCs w:val="15"/>
                <w:color w:val="auto"/>
              </w:rPr>
            </w:pPr>
          </w:p>
        </w:tc>
      </w:tr>
      <w:tr>
        <w:trPr>
          <w:trHeight w:val="338"/>
        </w:trPr>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183"/>
        </w:trPr>
        <w:tc>
          <w:tcPr>
            <w:tcW w:w="1580" w:type="dxa"/>
            <w:vAlign w:val="bottom"/>
            <w:tcBorders>
              <w:bottom w:val="single" w:sz="8" w:color="0000EE"/>
            </w:tcBorders>
            <w:gridSpan w:val="11"/>
          </w:tcPr>
          <w:p>
            <w:pPr>
              <w:spacing w:after="0"/>
              <w:rPr>
                <w:rFonts w:ascii="Arial" w:cs="Arial" w:eastAsia="Arial" w:hAnsi="Arial"/>
                <w:sz w:val="14"/>
                <w:szCs w:val="14"/>
                <w:color w:val="0000EE"/>
                <w:w w:val="90"/>
              </w:rPr>
            </w:pPr>
            <w:hyperlink w:anchor="page6">
              <w:r>
                <w:rPr>
                  <w:rFonts w:ascii="Arial" w:cs="Arial" w:eastAsia="Arial" w:hAnsi="Arial"/>
                  <w:sz w:val="14"/>
                  <w:szCs w:val="14"/>
                  <w:color w:val="0000EE"/>
                  <w:w w:val="90"/>
                </w:rPr>
                <w:t>PROSPECTUS SUMMARY</w:t>
              </w:r>
            </w:hyperlink>
          </w:p>
        </w:tc>
        <w:tc>
          <w:tcPr>
            <w:tcW w:w="9220" w:type="dxa"/>
            <w:vAlign w:val="bottom"/>
            <w:gridSpan w:val="22"/>
          </w:tcPr>
          <w:p>
            <w:pPr>
              <w:spacing w:after="0"/>
              <w:rPr>
                <w:sz w:val="15"/>
                <w:szCs w:val="15"/>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w:t>
            </w:r>
          </w:p>
        </w:tc>
      </w:tr>
      <w:tr>
        <w:trPr>
          <w:trHeight w:val="196"/>
        </w:trPr>
        <w:tc>
          <w:tcPr>
            <w:tcW w:w="1360" w:type="dxa"/>
            <w:vAlign w:val="bottom"/>
            <w:tcBorders>
              <w:bottom w:val="single" w:sz="8" w:color="0000EE"/>
            </w:tcBorders>
            <w:gridSpan w:val="9"/>
          </w:tcPr>
          <w:p>
            <w:pPr>
              <w:spacing w:after="0"/>
              <w:rPr>
                <w:rFonts w:ascii="Arial" w:cs="Arial" w:eastAsia="Arial" w:hAnsi="Arial"/>
                <w:sz w:val="14"/>
                <w:szCs w:val="14"/>
                <w:color w:val="0000EE"/>
                <w:w w:val="89"/>
              </w:rPr>
            </w:pPr>
            <w:hyperlink w:anchor="page10">
              <w:r>
                <w:rPr>
                  <w:rFonts w:ascii="Arial" w:cs="Arial" w:eastAsia="Arial" w:hAnsi="Arial"/>
                  <w:sz w:val="14"/>
                  <w:szCs w:val="14"/>
                  <w:color w:val="0000EE"/>
                  <w:w w:val="89"/>
                </w:rPr>
                <w:t>FEES AND EXPENSES</w:t>
              </w:r>
            </w:hyperlink>
          </w:p>
        </w:tc>
        <w:tc>
          <w:tcPr>
            <w:tcW w:w="9440" w:type="dxa"/>
            <w:vAlign w:val="bottom"/>
            <w:gridSpan w:val="2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5</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12">
              <w:r>
                <w:rPr>
                  <w:rFonts w:ascii="Arial" w:cs="Arial" w:eastAsia="Arial" w:hAnsi="Arial"/>
                  <w:sz w:val="14"/>
                  <w:szCs w:val="14"/>
                  <w:color w:val="0000EE"/>
                </w:rPr>
                <w:t>RISK FACTORS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28">
              <w:r>
                <w:rPr>
                  <w:rFonts w:ascii="Arial" w:cs="Arial" w:eastAsia="Arial" w:hAnsi="Arial"/>
                  <w:sz w:val="14"/>
                  <w:szCs w:val="14"/>
                  <w:color w:val="0000EE"/>
                </w:rPr>
                <w:t>FORWARD-LOOKING STATEMENTS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23</w:t>
            </w:r>
          </w:p>
        </w:tc>
      </w:tr>
      <w:tr>
        <w:trPr>
          <w:trHeight w:val="196"/>
        </w:trPr>
        <w:tc>
          <w:tcPr>
            <w:tcW w:w="1200" w:type="dxa"/>
            <w:vAlign w:val="bottom"/>
            <w:tcBorders>
              <w:top w:val="single" w:sz="8" w:color="0000EE"/>
              <w:bottom w:val="single" w:sz="8" w:color="0000EE"/>
            </w:tcBorders>
            <w:gridSpan w:val="7"/>
          </w:tcPr>
          <w:p>
            <w:pPr>
              <w:spacing w:after="0"/>
              <w:rPr>
                <w:rFonts w:ascii="Arial" w:cs="Arial" w:eastAsia="Arial" w:hAnsi="Arial"/>
                <w:sz w:val="14"/>
                <w:szCs w:val="14"/>
                <w:color w:val="0000EE"/>
                <w:w w:val="87"/>
              </w:rPr>
            </w:pPr>
            <w:hyperlink w:anchor="page29">
              <w:r>
                <w:rPr>
                  <w:rFonts w:ascii="Arial" w:cs="Arial" w:eastAsia="Arial" w:hAnsi="Arial"/>
                  <w:sz w:val="14"/>
                  <w:szCs w:val="14"/>
                  <w:color w:val="0000EE"/>
                  <w:w w:val="87"/>
                </w:rPr>
                <w:t>USE OF PROCEEDS</w:t>
              </w:r>
            </w:hyperlink>
          </w:p>
        </w:tc>
        <w:tc>
          <w:tcPr>
            <w:tcW w:w="1000" w:type="dxa"/>
            <w:vAlign w:val="bottom"/>
            <w:tcBorders>
              <w:top w:val="single" w:sz="8" w:color="0000EE"/>
            </w:tcBorders>
            <w:gridSpan w:val="9"/>
          </w:tcPr>
          <w:p>
            <w:pPr>
              <w:spacing w:after="0"/>
              <w:rPr>
                <w:sz w:val="17"/>
                <w:szCs w:val="17"/>
                <w:color w:val="auto"/>
              </w:rPr>
            </w:pPr>
          </w:p>
        </w:tc>
        <w:tc>
          <w:tcPr>
            <w:tcW w:w="8600" w:type="dxa"/>
            <w:vAlign w:val="bottom"/>
            <w:gridSpan w:val="17"/>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24</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30">
              <w:r>
                <w:rPr>
                  <w:rFonts w:ascii="Arial" w:cs="Arial" w:eastAsia="Arial" w:hAnsi="Arial"/>
                  <w:sz w:val="14"/>
                  <w:szCs w:val="14"/>
                  <w:color w:val="0000EE"/>
                </w:rPr>
                <w:t>SELECTED FINANCIAL DATA</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25</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6700" w:type="dxa"/>
            <w:vAlign w:val="bottom"/>
            <w:tcBorders>
              <w:bottom w:val="single" w:sz="8" w:color="0000EE"/>
            </w:tcBorders>
            <w:gridSpan w:val="32"/>
          </w:tcPr>
          <w:p>
            <w:pPr>
              <w:spacing w:after="0"/>
              <w:rPr>
                <w:rFonts w:ascii="Arial" w:cs="Arial" w:eastAsia="Arial" w:hAnsi="Arial"/>
                <w:sz w:val="14"/>
                <w:szCs w:val="14"/>
                <w:color w:val="0000EE"/>
                <w:w w:val="93"/>
              </w:rPr>
            </w:pPr>
            <w:hyperlink w:anchor="page32">
              <w:r>
                <w:rPr>
                  <w:rFonts w:ascii="Arial" w:cs="Arial" w:eastAsia="Arial" w:hAnsi="Arial"/>
                  <w:sz w:val="14"/>
                  <w:szCs w:val="14"/>
                  <w:color w:val="0000EE"/>
                  <w:w w:val="93"/>
                </w:rPr>
                <w:t>MANAGEMENT’S DISCUSSION AND ANALYSIS OF FINANCIAL CONDITION AND RESULTS OF OPERATIONS</w:t>
              </w:r>
            </w:hyperlink>
          </w:p>
        </w:tc>
        <w:tc>
          <w:tcPr>
            <w:tcW w:w="410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27</w:t>
            </w:r>
          </w:p>
        </w:tc>
      </w:tr>
      <w:tr>
        <w:trPr>
          <w:trHeight w:val="196"/>
        </w:trPr>
        <w:tc>
          <w:tcPr>
            <w:tcW w:w="1300" w:type="dxa"/>
            <w:vAlign w:val="bottom"/>
            <w:tcBorders>
              <w:bottom w:val="single" w:sz="8" w:color="0000EE"/>
            </w:tcBorders>
            <w:gridSpan w:val="8"/>
          </w:tcPr>
          <w:p>
            <w:pPr>
              <w:spacing w:after="0"/>
              <w:rPr>
                <w:rFonts w:ascii="Arial" w:cs="Arial" w:eastAsia="Arial" w:hAnsi="Arial"/>
                <w:sz w:val="14"/>
                <w:szCs w:val="14"/>
                <w:color w:val="0000EE"/>
                <w:w w:val="90"/>
              </w:rPr>
            </w:pPr>
            <w:hyperlink w:anchor="page43">
              <w:r>
                <w:rPr>
                  <w:rFonts w:ascii="Arial" w:cs="Arial" w:eastAsia="Arial" w:hAnsi="Arial"/>
                  <w:sz w:val="14"/>
                  <w:szCs w:val="14"/>
                  <w:color w:val="0000EE"/>
                  <w:w w:val="90"/>
                </w:rPr>
                <w:t>SENIOR SECURITIES</w:t>
              </w:r>
            </w:hyperlink>
          </w:p>
        </w:tc>
        <w:tc>
          <w:tcPr>
            <w:tcW w:w="9500" w:type="dxa"/>
            <w:vAlign w:val="bottom"/>
            <w:gridSpan w:val="25"/>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38</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44">
              <w:r>
                <w:rPr>
                  <w:rFonts w:ascii="Arial" w:cs="Arial" w:eastAsia="Arial" w:hAnsi="Arial"/>
                  <w:sz w:val="14"/>
                  <w:szCs w:val="14"/>
                  <w:color w:val="0000EE"/>
                </w:rPr>
                <w:t>OBLIGATIONS AND INDEBTEDNESS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39</w:t>
            </w:r>
          </w:p>
        </w:tc>
      </w:tr>
      <w:tr>
        <w:trPr>
          <w:trHeight w:val="196"/>
        </w:trPr>
        <w:tc>
          <w:tcPr>
            <w:tcW w:w="2260" w:type="dxa"/>
            <w:vAlign w:val="bottom"/>
            <w:tcBorders>
              <w:top w:val="single" w:sz="8" w:color="0000EE"/>
            </w:tcBorders>
            <w:gridSpan w:val="18"/>
          </w:tcPr>
          <w:p>
            <w:pPr>
              <w:spacing w:after="0"/>
              <w:rPr>
                <w:rFonts w:ascii="Arial" w:cs="Arial" w:eastAsia="Arial" w:hAnsi="Arial"/>
                <w:sz w:val="14"/>
                <w:szCs w:val="14"/>
                <w:color w:val="0000EE"/>
                <w:w w:val="92"/>
              </w:rPr>
            </w:pPr>
            <w:hyperlink w:anchor="page45">
              <w:r>
                <w:rPr>
                  <w:rFonts w:ascii="Arial" w:cs="Arial" w:eastAsia="Arial" w:hAnsi="Arial"/>
                  <w:sz w:val="14"/>
                  <w:szCs w:val="14"/>
                  <w:color w:val="0000EE"/>
                  <w:w w:val="92"/>
                </w:rPr>
                <w:t>PRICE RANGE OF COMMON STOCK</w:t>
              </w:r>
            </w:hyperlink>
          </w:p>
        </w:tc>
        <w:tc>
          <w:tcPr>
            <w:tcW w:w="8540" w:type="dxa"/>
            <w:vAlign w:val="bottom"/>
            <w:gridSpan w:val="15"/>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40</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46">
              <w:r>
                <w:rPr>
                  <w:rFonts w:ascii="Arial" w:cs="Arial" w:eastAsia="Arial" w:hAnsi="Arial"/>
                  <w:sz w:val="14"/>
                  <w:szCs w:val="14"/>
                  <w:color w:val="0000EE"/>
                </w:rPr>
                <w:t>SALES OF COMMON STOCK BELOW NET ASSET VALUE</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41</w:t>
            </w:r>
          </w:p>
        </w:tc>
      </w:tr>
      <w:tr>
        <w:trPr>
          <w:trHeight w:val="196"/>
        </w:trPr>
        <w:tc>
          <w:tcPr>
            <w:tcW w:w="3480" w:type="dxa"/>
            <w:vAlign w:val="bottom"/>
            <w:tcBorders>
              <w:top w:val="single" w:sz="8" w:color="0000EE"/>
            </w:tcBorders>
            <w:gridSpan w:val="28"/>
          </w:tcPr>
          <w:p>
            <w:pPr>
              <w:spacing w:after="0"/>
              <w:rPr>
                <w:rFonts w:ascii="Arial" w:cs="Arial" w:eastAsia="Arial" w:hAnsi="Arial"/>
                <w:sz w:val="14"/>
                <w:szCs w:val="14"/>
                <w:color w:val="0000EE"/>
              </w:rPr>
            </w:pPr>
            <w:hyperlink w:anchor="page50">
              <w:r>
                <w:rPr>
                  <w:rFonts w:ascii="Arial" w:cs="Arial" w:eastAsia="Arial" w:hAnsi="Arial"/>
                  <w:sz w:val="14"/>
                  <w:szCs w:val="14"/>
                  <w:color w:val="0000EE"/>
                </w:rPr>
                <w:t>DISTRIBUTIONS</w:t>
              </w:r>
            </w:hyperlink>
          </w:p>
        </w:tc>
        <w:tc>
          <w:tcPr>
            <w:tcW w:w="7320" w:type="dxa"/>
            <w:vAlign w:val="bottom"/>
            <w:gridSpan w:val="5"/>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45</w:t>
            </w:r>
          </w:p>
        </w:tc>
      </w:tr>
      <w:tr>
        <w:trPr>
          <w:trHeight w:val="196"/>
        </w:trPr>
        <w:tc>
          <w:tcPr>
            <w:tcW w:w="1020" w:type="dxa"/>
            <w:vAlign w:val="bottom"/>
            <w:tcBorders>
              <w:top w:val="single" w:sz="8" w:color="0000EE"/>
            </w:tcBorders>
            <w:gridSpan w:val="5"/>
          </w:tcPr>
          <w:p>
            <w:pPr>
              <w:spacing w:after="0"/>
              <w:rPr>
                <w:rFonts w:ascii="Arial" w:cs="Arial" w:eastAsia="Arial" w:hAnsi="Arial"/>
                <w:sz w:val="14"/>
                <w:szCs w:val="14"/>
                <w:color w:val="0000EE"/>
              </w:rPr>
            </w:pPr>
            <w:hyperlink w:anchor="page51">
              <w:r>
                <w:rPr>
                  <w:rFonts w:ascii="Arial" w:cs="Arial" w:eastAsia="Arial" w:hAnsi="Arial"/>
                  <w:sz w:val="14"/>
                  <w:szCs w:val="14"/>
                  <w:color w:val="0000EE"/>
                </w:rPr>
                <w:t>BUSINESS</w:t>
              </w:r>
            </w:hyperlink>
          </w:p>
        </w:tc>
        <w:tc>
          <w:tcPr>
            <w:tcW w:w="9780" w:type="dxa"/>
            <w:vAlign w:val="bottom"/>
            <w:gridSpan w:val="28"/>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46</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660" w:type="dxa"/>
            <w:vAlign w:val="bottom"/>
            <w:tcBorders>
              <w:bottom w:val="single" w:sz="8" w:color="0000EE"/>
            </w:tcBorders>
            <w:gridSpan w:val="22"/>
          </w:tcPr>
          <w:p>
            <w:pPr>
              <w:spacing w:after="0"/>
              <w:rPr>
                <w:rFonts w:ascii="Arial" w:cs="Arial" w:eastAsia="Arial" w:hAnsi="Arial"/>
                <w:sz w:val="14"/>
                <w:szCs w:val="14"/>
                <w:color w:val="0000EE"/>
                <w:w w:val="93"/>
              </w:rPr>
            </w:pPr>
            <w:hyperlink w:anchor="page54">
              <w:r>
                <w:rPr>
                  <w:rFonts w:ascii="Arial" w:cs="Arial" w:eastAsia="Arial" w:hAnsi="Arial"/>
                  <w:sz w:val="14"/>
                  <w:szCs w:val="14"/>
                  <w:color w:val="0000EE"/>
                  <w:w w:val="93"/>
                </w:rPr>
                <w:t>INVESTMENT OBJECTIVES AND POLICIES</w:t>
              </w:r>
            </w:hyperlink>
          </w:p>
        </w:tc>
        <w:tc>
          <w:tcPr>
            <w:tcW w:w="8140" w:type="dxa"/>
            <w:vAlign w:val="bottom"/>
            <w:gridSpan w:val="11"/>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49</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PORTFOLIO COMPANIES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54</w:t>
            </w:r>
          </w:p>
        </w:tc>
      </w:tr>
      <w:tr>
        <w:trPr>
          <w:trHeight w:val="196"/>
        </w:trPr>
        <w:tc>
          <w:tcPr>
            <w:tcW w:w="1540" w:type="dxa"/>
            <w:vAlign w:val="bottom"/>
            <w:tcBorders>
              <w:top w:val="single" w:sz="8" w:color="0000EE"/>
            </w:tcBorders>
            <w:gridSpan w:val="10"/>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MANAGEMENT</w:t>
              </w:r>
            </w:hyperlink>
          </w:p>
        </w:tc>
        <w:tc>
          <w:tcPr>
            <w:tcW w:w="9260" w:type="dxa"/>
            <w:vAlign w:val="bottom"/>
            <w:gridSpan w:val="23"/>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58</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3420" w:type="dxa"/>
            <w:vAlign w:val="bottom"/>
            <w:tcBorders>
              <w:bottom w:val="single" w:sz="8" w:color="0000EE"/>
            </w:tcBorders>
            <w:gridSpan w:val="27"/>
          </w:tcPr>
          <w:p>
            <w:pPr>
              <w:spacing w:after="0"/>
              <w:rPr>
                <w:rFonts w:ascii="Arial" w:cs="Arial" w:eastAsia="Arial" w:hAnsi="Arial"/>
                <w:sz w:val="14"/>
                <w:szCs w:val="14"/>
                <w:color w:val="0000EE"/>
                <w:w w:val="91"/>
              </w:rPr>
            </w:pPr>
            <w:hyperlink w:anchor="page68">
              <w:r>
                <w:rPr>
                  <w:rFonts w:ascii="Arial" w:cs="Arial" w:eastAsia="Arial" w:hAnsi="Arial"/>
                  <w:sz w:val="14"/>
                  <w:szCs w:val="14"/>
                  <w:color w:val="0000EE"/>
                  <w:w w:val="91"/>
                </w:rPr>
                <w:t>CONTROL PERSONS AND PRINCIPAL STOCKHOLDERS</w:t>
              </w:r>
            </w:hyperlink>
          </w:p>
        </w:tc>
        <w:tc>
          <w:tcPr>
            <w:tcW w:w="7380" w:type="dxa"/>
            <w:vAlign w:val="bottom"/>
            <w:gridSpan w:val="6"/>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63</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70">
              <w:r>
                <w:rPr>
                  <w:rFonts w:ascii="Arial" w:cs="Arial" w:eastAsia="Arial" w:hAnsi="Arial"/>
                  <w:sz w:val="14"/>
                  <w:szCs w:val="14"/>
                  <w:color w:val="0000EE"/>
                </w:rPr>
                <w:t>CERTAIN RELATIONSHIPS AND TRANSACTIONS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65</w:t>
            </w:r>
          </w:p>
        </w:tc>
      </w:tr>
      <w:tr>
        <w:trPr>
          <w:trHeight w:val="196"/>
        </w:trPr>
        <w:tc>
          <w:tcPr>
            <w:tcW w:w="2540" w:type="dxa"/>
            <w:vAlign w:val="bottom"/>
            <w:tcBorders>
              <w:top w:val="single" w:sz="8" w:color="0000EE"/>
              <w:bottom w:val="single" w:sz="8" w:color="0000EE"/>
            </w:tcBorders>
            <w:gridSpan w:val="20"/>
          </w:tcPr>
          <w:p>
            <w:pPr>
              <w:spacing w:after="0"/>
              <w:rPr>
                <w:rFonts w:ascii="Arial" w:cs="Arial" w:eastAsia="Arial" w:hAnsi="Arial"/>
                <w:sz w:val="14"/>
                <w:szCs w:val="14"/>
                <w:color w:val="0000EE"/>
                <w:w w:val="93"/>
              </w:rPr>
            </w:pPr>
            <w:hyperlink w:anchor="page75">
              <w:r>
                <w:rPr>
                  <w:rFonts w:ascii="Arial" w:cs="Arial" w:eastAsia="Arial" w:hAnsi="Arial"/>
                  <w:sz w:val="14"/>
                  <w:szCs w:val="14"/>
                  <w:color w:val="0000EE"/>
                  <w:w w:val="93"/>
                </w:rPr>
                <w:t>DETERMINATION OF NET ASSET VALUE</w:t>
              </w:r>
            </w:hyperlink>
          </w:p>
        </w:tc>
        <w:tc>
          <w:tcPr>
            <w:tcW w:w="480" w:type="dxa"/>
            <w:vAlign w:val="bottom"/>
            <w:tcBorders>
              <w:top w:val="single" w:sz="8" w:color="0000EE"/>
            </w:tcBorders>
            <w:gridSpan w:val="5"/>
          </w:tcPr>
          <w:p>
            <w:pPr>
              <w:spacing w:after="0"/>
              <w:rPr>
                <w:sz w:val="17"/>
                <w:szCs w:val="17"/>
                <w:color w:val="auto"/>
              </w:rPr>
            </w:pPr>
          </w:p>
        </w:tc>
        <w:tc>
          <w:tcPr>
            <w:tcW w:w="7780" w:type="dxa"/>
            <w:vAlign w:val="bottom"/>
            <w:gridSpan w:val="8"/>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70</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77">
              <w:r>
                <w:rPr>
                  <w:rFonts w:ascii="Arial" w:cs="Arial" w:eastAsia="Arial" w:hAnsi="Arial"/>
                  <w:sz w:val="14"/>
                  <w:szCs w:val="14"/>
                  <w:color w:val="0000EE"/>
                </w:rPr>
                <w:t>DIVIDEND REINVESTMENT PLAN</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72</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9"/>
          </w:tcPr>
          <w:p>
            <w:pPr>
              <w:spacing w:after="0"/>
              <w:rPr>
                <w:rFonts w:ascii="Arial" w:cs="Arial" w:eastAsia="Arial" w:hAnsi="Arial"/>
                <w:sz w:val="14"/>
                <w:szCs w:val="14"/>
                <w:color w:val="0000EE"/>
                <w:w w:val="91"/>
              </w:rPr>
            </w:pPr>
            <w:hyperlink w:anchor="page78">
              <w:r>
                <w:rPr>
                  <w:rFonts w:ascii="Arial" w:cs="Arial" w:eastAsia="Arial" w:hAnsi="Arial"/>
                  <w:sz w:val="14"/>
                  <w:szCs w:val="14"/>
                  <w:color w:val="0000EE"/>
                  <w:w w:val="91"/>
                </w:rPr>
                <w:t>DESCRIPTION OF OUR CAPITAL STOCK</w:t>
              </w:r>
            </w:hyperlink>
          </w:p>
        </w:tc>
        <w:tc>
          <w:tcPr>
            <w:tcW w:w="8320" w:type="dxa"/>
            <w:vAlign w:val="bottom"/>
            <w:gridSpan w:val="1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73</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82">
              <w:r>
                <w:rPr>
                  <w:rFonts w:ascii="Arial" w:cs="Arial" w:eastAsia="Arial" w:hAnsi="Arial"/>
                  <w:sz w:val="14"/>
                  <w:szCs w:val="14"/>
                  <w:color w:val="0000EE"/>
                </w:rPr>
                <w:t>DESCRIPTION OF OUR PREFERRED STOCK</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77</w:t>
            </w:r>
          </w:p>
        </w:tc>
      </w:tr>
      <w:tr>
        <w:trPr>
          <w:trHeight w:val="196"/>
        </w:trPr>
        <w:tc>
          <w:tcPr>
            <w:tcW w:w="2680" w:type="dxa"/>
            <w:vAlign w:val="bottom"/>
            <w:tcBorders>
              <w:top w:val="single" w:sz="8" w:color="0000EE"/>
            </w:tcBorders>
            <w:gridSpan w:val="23"/>
          </w:tcPr>
          <w:p>
            <w:pPr>
              <w:spacing w:after="0"/>
              <w:rPr>
                <w:rFonts w:ascii="Arial" w:cs="Arial" w:eastAsia="Arial" w:hAnsi="Arial"/>
                <w:sz w:val="14"/>
                <w:szCs w:val="14"/>
                <w:color w:val="0000EE"/>
              </w:rPr>
            </w:pPr>
            <w:hyperlink w:anchor="page83">
              <w:r>
                <w:rPr>
                  <w:rFonts w:ascii="Arial" w:cs="Arial" w:eastAsia="Arial" w:hAnsi="Arial"/>
                  <w:sz w:val="14"/>
                  <w:szCs w:val="14"/>
                  <w:color w:val="0000EE"/>
                </w:rPr>
                <w:t>DESCRIPTION OF OUR WARRANTS</w:t>
              </w:r>
            </w:hyperlink>
          </w:p>
        </w:tc>
        <w:tc>
          <w:tcPr>
            <w:tcW w:w="8120" w:type="dxa"/>
            <w:vAlign w:val="bottom"/>
            <w:gridSpan w:val="10"/>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78</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84">
              <w:r>
                <w:rPr>
                  <w:rFonts w:ascii="Arial" w:cs="Arial" w:eastAsia="Arial" w:hAnsi="Arial"/>
                  <w:sz w:val="14"/>
                  <w:szCs w:val="14"/>
                  <w:color w:val="0000EE"/>
                </w:rPr>
                <w:t>DESCRIPTION OF OUR SUBSCRIPTION RIGHTS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79</w:t>
            </w:r>
          </w:p>
        </w:tc>
      </w:tr>
      <w:tr>
        <w:trPr>
          <w:trHeight w:val="196"/>
        </w:trPr>
        <w:tc>
          <w:tcPr>
            <w:tcW w:w="2600" w:type="dxa"/>
            <w:vAlign w:val="bottom"/>
            <w:tcBorders>
              <w:top w:val="single" w:sz="8" w:color="0000EE"/>
              <w:bottom w:val="single" w:sz="8" w:color="0000EE"/>
            </w:tcBorders>
            <w:gridSpan w:val="21"/>
          </w:tcPr>
          <w:p>
            <w:pPr>
              <w:spacing w:after="0"/>
              <w:rPr>
                <w:rFonts w:ascii="Arial" w:cs="Arial" w:eastAsia="Arial" w:hAnsi="Arial"/>
                <w:sz w:val="14"/>
                <w:szCs w:val="14"/>
                <w:color w:val="0000EE"/>
                <w:w w:val="91"/>
              </w:rPr>
            </w:pPr>
            <w:hyperlink w:anchor="page85">
              <w:r>
                <w:rPr>
                  <w:rFonts w:ascii="Arial" w:cs="Arial" w:eastAsia="Arial" w:hAnsi="Arial"/>
                  <w:sz w:val="14"/>
                  <w:szCs w:val="14"/>
                  <w:color w:val="0000EE"/>
                  <w:w w:val="91"/>
                </w:rPr>
                <w:t>DESCRIPTION OF OUR DEBT SECURITIES</w:t>
              </w:r>
            </w:hyperlink>
          </w:p>
        </w:tc>
        <w:tc>
          <w:tcPr>
            <w:tcW w:w="320" w:type="dxa"/>
            <w:vAlign w:val="bottom"/>
            <w:tcBorders>
              <w:top w:val="single" w:sz="8" w:color="0000EE"/>
            </w:tcBorders>
            <w:gridSpan w:val="3"/>
          </w:tcPr>
          <w:p>
            <w:pPr>
              <w:spacing w:after="0"/>
              <w:rPr>
                <w:sz w:val="17"/>
                <w:szCs w:val="17"/>
                <w:color w:val="auto"/>
              </w:rPr>
            </w:pPr>
          </w:p>
        </w:tc>
        <w:tc>
          <w:tcPr>
            <w:tcW w:w="7880" w:type="dxa"/>
            <w:vAlign w:val="bottom"/>
            <w:gridSpan w:val="9"/>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80</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95">
              <w:r>
                <w:rPr>
                  <w:rFonts w:ascii="Arial" w:cs="Arial" w:eastAsia="Arial" w:hAnsi="Arial"/>
                  <w:sz w:val="14"/>
                  <w:szCs w:val="14"/>
                  <w:color w:val="0000EE"/>
                </w:rPr>
                <w:t>REGULATION</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90</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60" w:type="dxa"/>
            <w:vAlign w:val="bottom"/>
            <w:gridSpan w:val="1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99">
              <w:r>
                <w:rPr>
                  <w:rFonts w:ascii="Arial" w:cs="Arial" w:eastAsia="Arial" w:hAnsi="Arial"/>
                  <w:sz w:val="14"/>
                  <w:szCs w:val="14"/>
                  <w:color w:val="0000EE"/>
                </w:rPr>
                <w:t>BROKERAGE ALLOCATIONS AND OTHER PRACTICES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94</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60" w:type="dxa"/>
            <w:vAlign w:val="bottom"/>
            <w:tcBorders>
              <w:right w:val="single" w:sz="8" w:color="0000EE"/>
            </w:tcBorders>
            <w:gridSpan w:val="1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100">
              <w:r>
                <w:rPr>
                  <w:rFonts w:ascii="Arial" w:cs="Arial" w:eastAsia="Arial" w:hAnsi="Arial"/>
                  <w:sz w:val="14"/>
                  <w:szCs w:val="14"/>
                  <w:color w:val="0000EE"/>
                </w:rPr>
                <w:t>MATERIAL U.S. FEDERAL INCOME TAX CONSIDERATIONS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95</w:t>
            </w:r>
          </w:p>
        </w:tc>
      </w:tr>
      <w:tr>
        <w:trPr>
          <w:trHeight w:val="196"/>
        </w:trPr>
        <w:tc>
          <w:tcPr>
            <w:tcW w:w="3660" w:type="dxa"/>
            <w:vAlign w:val="bottom"/>
            <w:tcBorders>
              <w:top w:val="single" w:sz="8" w:color="0000EE"/>
            </w:tcBorders>
            <w:gridSpan w:val="30"/>
          </w:tcPr>
          <w:p>
            <w:pPr>
              <w:spacing w:after="0"/>
              <w:rPr>
                <w:rFonts w:ascii="Arial" w:cs="Arial" w:eastAsia="Arial" w:hAnsi="Arial"/>
                <w:sz w:val="14"/>
                <w:szCs w:val="14"/>
                <w:color w:val="0000EE"/>
              </w:rPr>
            </w:pPr>
            <w:hyperlink w:anchor="page104">
              <w:r>
                <w:rPr>
                  <w:rFonts w:ascii="Arial" w:cs="Arial" w:eastAsia="Arial" w:hAnsi="Arial"/>
                  <w:sz w:val="14"/>
                  <w:szCs w:val="14"/>
                  <w:color w:val="0000EE"/>
                </w:rPr>
                <w:t>PLAN OF DISTRIBUTION</w:t>
              </w:r>
            </w:hyperlink>
          </w:p>
        </w:tc>
        <w:tc>
          <w:tcPr>
            <w:tcW w:w="7140" w:type="dxa"/>
            <w:vAlign w:val="bottom"/>
            <w:gridSpan w:val="3"/>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99</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60" w:type="dxa"/>
            <w:vAlign w:val="bottom"/>
            <w:gridSpan w:val="1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105">
              <w:r>
                <w:rPr>
                  <w:rFonts w:ascii="Arial" w:cs="Arial" w:eastAsia="Arial" w:hAnsi="Arial"/>
                  <w:sz w:val="14"/>
                  <w:szCs w:val="14"/>
                  <w:color w:val="0000EE"/>
                </w:rPr>
                <w:t>SUB-ADMINISTRATOR, CUSTODIAN, TRANSFER AGENT AND TRUSTEE</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100</w:t>
            </w:r>
          </w:p>
        </w:tc>
      </w:tr>
      <w:tr>
        <w:trPr>
          <w:trHeight w:val="196"/>
        </w:trPr>
        <w:tc>
          <w:tcPr>
            <w:tcW w:w="1100" w:type="dxa"/>
            <w:vAlign w:val="bottom"/>
            <w:tcBorders>
              <w:top w:val="single" w:sz="8" w:color="0000EE"/>
              <w:bottom w:val="single" w:sz="8" w:color="0000EE"/>
            </w:tcBorders>
            <w:gridSpan w:val="6"/>
          </w:tcPr>
          <w:p>
            <w:pPr>
              <w:spacing w:after="0"/>
              <w:rPr>
                <w:rFonts w:ascii="Arial" w:cs="Arial" w:eastAsia="Arial" w:hAnsi="Arial"/>
                <w:sz w:val="14"/>
                <w:szCs w:val="14"/>
                <w:color w:val="0000EE"/>
                <w:w w:val="93"/>
              </w:rPr>
            </w:pPr>
            <w:hyperlink w:anchor="page105">
              <w:r>
                <w:rPr>
                  <w:rFonts w:ascii="Arial" w:cs="Arial" w:eastAsia="Arial" w:hAnsi="Arial"/>
                  <w:sz w:val="14"/>
                  <w:szCs w:val="14"/>
                  <w:color w:val="0000EE"/>
                  <w:w w:val="93"/>
                </w:rPr>
                <w:t>LEGAL MATTERS</w:t>
              </w:r>
            </w:hyperlink>
          </w:p>
        </w:tc>
        <w:tc>
          <w:tcPr>
            <w:tcW w:w="3360" w:type="dxa"/>
            <w:vAlign w:val="bottom"/>
            <w:tcBorders>
              <w:top w:val="single" w:sz="8" w:color="0000EE"/>
            </w:tcBorders>
            <w:gridSpan w:val="25"/>
          </w:tcPr>
          <w:p>
            <w:pPr>
              <w:spacing w:after="0"/>
              <w:rPr>
                <w:sz w:val="17"/>
                <w:szCs w:val="17"/>
                <w:color w:val="auto"/>
              </w:rPr>
            </w:pPr>
          </w:p>
        </w:tc>
        <w:tc>
          <w:tcPr>
            <w:tcW w:w="6340" w:type="dxa"/>
            <w:vAlign w:val="bottom"/>
            <w:gridSpan w:val="2"/>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100</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105">
              <w:r>
                <w:rPr>
                  <w:rFonts w:ascii="Arial" w:cs="Arial" w:eastAsia="Arial" w:hAnsi="Arial"/>
                  <w:sz w:val="14"/>
                  <w:szCs w:val="14"/>
                  <w:color w:val="0000EE"/>
                </w:rPr>
                <w:t>INDEPENDENT REGISTERED PUBLIC ACCOUNTING FIRM</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100</w:t>
            </w:r>
          </w:p>
        </w:tc>
      </w:tr>
      <w:tr>
        <w:trPr>
          <w:trHeight w:val="196"/>
        </w:trPr>
        <w:tc>
          <w:tcPr>
            <w:tcW w:w="3600" w:type="dxa"/>
            <w:vAlign w:val="bottom"/>
            <w:tcBorders>
              <w:top w:val="single" w:sz="8" w:color="0000EE"/>
            </w:tcBorders>
            <w:gridSpan w:val="29"/>
          </w:tcPr>
          <w:p>
            <w:pPr>
              <w:spacing w:after="0"/>
              <w:rPr>
                <w:rFonts w:ascii="Arial" w:cs="Arial" w:eastAsia="Arial" w:hAnsi="Arial"/>
                <w:sz w:val="14"/>
                <w:szCs w:val="14"/>
                <w:color w:val="0000EE"/>
              </w:rPr>
            </w:pPr>
            <w:hyperlink w:anchor="page106">
              <w:r>
                <w:rPr>
                  <w:rFonts w:ascii="Arial" w:cs="Arial" w:eastAsia="Arial" w:hAnsi="Arial"/>
                  <w:sz w:val="14"/>
                  <w:szCs w:val="14"/>
                  <w:color w:val="0000EE"/>
                </w:rPr>
                <w:t>INDEX TO CONSOLIDATED FINANCIAL STATEMENTS</w:t>
              </w:r>
            </w:hyperlink>
          </w:p>
        </w:tc>
        <w:tc>
          <w:tcPr>
            <w:tcW w:w="7200" w:type="dxa"/>
            <w:vAlign w:val="bottom"/>
            <w:gridSpan w:val="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F-1</w:t>
            </w:r>
          </w:p>
        </w:tc>
      </w:tr>
      <w:tr>
        <w:trPr>
          <w:trHeight w:val="196"/>
        </w:trPr>
        <w:tc>
          <w:tcPr>
            <w:tcW w:w="3360" w:type="dxa"/>
            <w:vAlign w:val="bottom"/>
            <w:tcBorders>
              <w:top w:val="single" w:sz="8" w:color="0000EE"/>
            </w:tcBorders>
            <w:gridSpan w:val="26"/>
          </w:tcPr>
          <w:p>
            <w:pPr>
              <w:spacing w:after="0"/>
              <w:rPr>
                <w:rFonts w:ascii="Arial" w:cs="Arial" w:eastAsia="Arial" w:hAnsi="Arial"/>
                <w:sz w:val="14"/>
                <w:szCs w:val="14"/>
                <w:color w:val="0000EE"/>
              </w:rPr>
            </w:pPr>
            <w:hyperlink w:anchor="page151">
              <w:r>
                <w:rPr>
                  <w:rFonts w:ascii="Arial" w:cs="Arial" w:eastAsia="Arial" w:hAnsi="Arial"/>
                  <w:sz w:val="14"/>
                  <w:szCs w:val="14"/>
                  <w:color w:val="0000EE"/>
                </w:rPr>
                <w:t>PART C OTHER INFORMATION</w:t>
              </w:r>
            </w:hyperlink>
          </w:p>
        </w:tc>
        <w:tc>
          <w:tcPr>
            <w:tcW w:w="7440" w:type="dxa"/>
            <w:vAlign w:val="bottom"/>
            <w:gridSpan w:val="7"/>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C-1</w:t>
            </w:r>
          </w:p>
        </w:tc>
      </w:tr>
      <w:tr>
        <w:trPr>
          <w:trHeight w:val="196"/>
        </w:trPr>
        <w:tc>
          <w:tcPr>
            <w:tcW w:w="86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90"/>
              </w:rPr>
            </w:pPr>
            <w:hyperlink w:anchor="page161">
              <w:r>
                <w:rPr>
                  <w:rFonts w:ascii="Arial" w:cs="Arial" w:eastAsia="Arial" w:hAnsi="Arial"/>
                  <w:sz w:val="14"/>
                  <w:szCs w:val="14"/>
                  <w:color w:val="0000EE"/>
                  <w:w w:val="90"/>
                </w:rPr>
                <w:t>SIGNATURES</w:t>
              </w:r>
            </w:hyperlink>
          </w:p>
        </w:tc>
        <w:tc>
          <w:tcPr>
            <w:tcW w:w="1040" w:type="dxa"/>
            <w:vAlign w:val="bottom"/>
            <w:tcBorders>
              <w:top w:val="single" w:sz="8" w:color="0000EE"/>
            </w:tcBorders>
            <w:gridSpan w:val="11"/>
          </w:tcPr>
          <w:p>
            <w:pPr>
              <w:spacing w:after="0"/>
              <w:rPr>
                <w:sz w:val="17"/>
                <w:szCs w:val="17"/>
                <w:color w:val="auto"/>
              </w:rPr>
            </w:pPr>
          </w:p>
        </w:tc>
        <w:tc>
          <w:tcPr>
            <w:tcW w:w="8900" w:type="dxa"/>
            <w:vAlign w:val="bottom"/>
            <w:gridSpan w:val="20"/>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C-11</w:t>
            </w:r>
          </w:p>
        </w:tc>
      </w:tr>
    </w:tbl>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ABOUT THIS PROSPECTUS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prospectus is part of a registration statement that we have filed with the SEC using the “shelf” registration process. Under the shelf registration process, we may offer from time to time up to</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$150,000,000 of our common stock, preferred stock, warrants representing rights to purchase shares of our common stock, preferred stock or debt securities, subscription rights, or debt securities, on the terms to</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be determined at the time of the offering. We may sell our securities through underwriters or dealers, “at-the-market” to or through a market maker, into an existing trading market or otherwise directly to one or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more purchasers or through agents or through a combination of methods of sale. The identities of such underwriters, dealers, market makers or agents, as the case may be, will be described in one or more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supplements to this prospectus. The securities may be offered at prices and on terms described in one or more supplements to this prospectus. This prospectus provides you with a general description of the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securities that we may offer. The information contained in this prospectus is accurate only as of the date on the front of this prospectus and our business, financial condition, results of operations and prospectus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may have changed since that date. Each time we use this prospectus to offer securities, we will provide a prospectus supplement that will contain specific information about the terms of that offering. The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prospectus supplement may also add, update or change information contained in this prospectus. Please carefully read this prospectus and any prospectus supplement, together with any exhibits, before you make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an investment decision.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434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343471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PROSPECTUS SUMMARY</w:t>
      </w:r>
    </w:p>
    <w:p>
      <w:pPr>
        <w:spacing w:after="0" w:line="2"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2"/>
          <w:szCs w:val="12"/>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any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and “PennantPark Investment Administration” or “Administrator” refers to PennantPark Investment Administration, LLC.</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General Business of PennantPark Floating Rate Capital Ltd.</w:t>
      </w:r>
    </w:p>
    <w:p>
      <w:pPr>
        <w:spacing w:after="0" w:line="71" w:lineRule="exact"/>
        <w:rPr>
          <w:sz w:val="20"/>
          <w:szCs w:val="20"/>
          <w:color w:val="auto"/>
        </w:rPr>
      </w:pPr>
    </w:p>
    <w:p>
      <w:pPr>
        <w:ind w:left="200" w:right="280" w:firstLine="443"/>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9" w:lineRule="exact"/>
        <w:rPr>
          <w:sz w:val="20"/>
          <w:szCs w:val="20"/>
          <w:color w:val="auto"/>
        </w:rPr>
      </w:pPr>
    </w:p>
    <w:p>
      <w:pPr>
        <w:ind w:left="200" w:right="40" w:firstLine="443"/>
        <w:spacing w:after="0" w:line="268" w:lineRule="auto"/>
        <w:rPr>
          <w:sz w:val="20"/>
          <w:szCs w:val="20"/>
          <w:color w:val="auto"/>
        </w:rPr>
      </w:pPr>
      <w:r>
        <w:rPr>
          <w:rFonts w:ascii="Arial" w:cs="Arial" w:eastAsia="Arial" w:hAnsi="Arial"/>
          <w:sz w:val="12"/>
          <w:szCs w:val="12"/>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3" w:lineRule="exact"/>
        <w:rPr>
          <w:sz w:val="20"/>
          <w:szCs w:val="20"/>
          <w:color w:val="auto"/>
        </w:rPr>
      </w:pPr>
    </w:p>
    <w:p>
      <w:pPr>
        <w:ind w:left="200" w:firstLine="443"/>
        <w:spacing w:after="0" w:line="22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other instruments bearing a variable rate of interest.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generally range between $1 million and $10 million, on average, although we expect that this investment size will vary proportionately with the size of our capital base.</w:t>
      </w:r>
    </w:p>
    <w:p>
      <w:pPr>
        <w:spacing w:after="0" w:line="140"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2"/>
          <w:szCs w:val="12"/>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or the Credit Facility, proceeds from the rotation of our portfolio and proceeds from public and private offerings of securities to finance our investment objectives.</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48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214820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left="200" w:right="80" w:firstLine="443"/>
        <w:spacing w:after="0" w:line="233" w:lineRule="auto"/>
        <w:rPr>
          <w:sz w:val="20"/>
          <w:szCs w:val="20"/>
          <w:color w:val="auto"/>
        </w:rPr>
      </w:pPr>
      <w:r>
        <w:rPr>
          <w:rFonts w:ascii="Arial" w:cs="Arial" w:eastAsia="Arial" w:hAnsi="Arial"/>
          <w:sz w:val="14"/>
          <w:szCs w:val="14"/>
          <w:color w:val="auto"/>
        </w:rPr>
        <w:t>PennantPark Floating Rate Capital Ltd., a Maryland corporation organized on October 28, 2010, is a closed-end, externally managed, non-diversified investment company that has elected to be treated as a BDC under the 1940 Act. In addition, for tax purposes we intend to be treated, and intend to qualify annually, as a regulated investment company, or RIC, under the Internal Revenue Code of 1986, as amended, or the Code, commencing with our first fiscal year ended September 30, 2011.</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left="200" w:firstLine="443"/>
        <w:spacing w:after="0" w:line="268" w:lineRule="auto"/>
        <w:rPr>
          <w:sz w:val="20"/>
          <w:szCs w:val="20"/>
          <w:color w:val="auto"/>
        </w:rPr>
      </w:pPr>
      <w:r>
        <w:rPr>
          <w:rFonts w:ascii="Arial" w:cs="Arial" w:eastAsia="Arial" w:hAnsi="Arial"/>
          <w:sz w:val="12"/>
          <w:szCs w:val="12"/>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$1.4 billion in debt and equity capital and has invested over $1.8 billion in 182 companies with over 100 different financial sponsors through its managed funds.</w:t>
      </w:r>
    </w:p>
    <w:p>
      <w:pPr>
        <w:spacing w:after="0" w:line="123" w:lineRule="exact"/>
        <w:rPr>
          <w:sz w:val="20"/>
          <w:szCs w:val="20"/>
          <w:color w:val="auto"/>
        </w:rPr>
      </w:pPr>
    </w:p>
    <w:p>
      <w:pPr>
        <w:ind w:left="200" w:right="40" w:firstLine="443"/>
        <w:spacing w:after="0" w:line="273" w:lineRule="auto"/>
        <w:rPr>
          <w:sz w:val="20"/>
          <w:szCs w:val="20"/>
          <w:color w:val="auto"/>
        </w:rPr>
      </w:pPr>
      <w:r>
        <w:rPr>
          <w:rFonts w:ascii="Arial" w:cs="Arial" w:eastAsia="Arial" w:hAnsi="Arial"/>
          <w:sz w:val="12"/>
          <w:szCs w:val="12"/>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8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983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39833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Market Opportunity</w:t>
      </w:r>
    </w:p>
    <w:p>
      <w:pPr>
        <w:spacing w:after="0" w:line="71" w:lineRule="exact"/>
        <w:rPr>
          <w:sz w:val="20"/>
          <w:szCs w:val="20"/>
          <w:color w:val="auto"/>
        </w:rPr>
      </w:pPr>
    </w:p>
    <w:p>
      <w:pPr>
        <w:ind w:left="200" w:firstLine="443"/>
        <w:spacing w:after="0" w:line="228" w:lineRule="auto"/>
        <w:rPr>
          <w:sz w:val="20"/>
          <w:szCs w:val="20"/>
          <w:color w:val="auto"/>
        </w:rPr>
      </w:pPr>
      <w:r>
        <w:rPr>
          <w:rFonts w:ascii="Arial" w:cs="Arial" w:eastAsia="Arial" w:hAnsi="Arial"/>
          <w:sz w:val="14"/>
          <w:szCs w:val="14"/>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left="200" w:firstLine="443"/>
        <w:spacing w:after="0" w:line="288" w:lineRule="auto"/>
        <w:rPr>
          <w:sz w:val="20"/>
          <w:szCs w:val="20"/>
          <w:color w:val="auto"/>
        </w:rPr>
      </w:pPr>
      <w:r>
        <w:rPr>
          <w:rFonts w:ascii="Arial" w:cs="Arial" w:eastAsia="Arial" w:hAnsi="Arial"/>
          <w:sz w:val="12"/>
          <w:szCs w:val="12"/>
          <w:color w:val="auto"/>
        </w:rPr>
        <w:t>We believe that we have competitive advantages over other capital providers in middle-market companies, such as a management team with an average of over 20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left="200" w:right="40" w:firstLine="443"/>
        <w:spacing w:after="0" w:line="273" w:lineRule="auto"/>
        <w:rPr>
          <w:sz w:val="20"/>
          <w:szCs w:val="20"/>
          <w:color w:val="auto"/>
        </w:rPr>
      </w:pPr>
      <w:r>
        <w:rPr>
          <w:rFonts w:ascii="Arial" w:cs="Arial" w:eastAsia="Arial" w:hAnsi="Arial"/>
          <w:sz w:val="12"/>
          <w:szCs w:val="12"/>
          <w:color w:val="auto"/>
        </w:rPr>
        <w:t>Our primary competitors provide financing to middle-market companies and include other BDCs and closed-end funds,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We believe this has resulted in a less competitive environment for making new investments. See “Risk Factors — Risks Relating to our Business and Structure — We operate in a highly competitive market for investment opportunities” for more information.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ind w:left="200" w:right="40" w:firstLine="443"/>
        <w:spacing w:after="0" w:line="270" w:lineRule="auto"/>
        <w:rPr>
          <w:sz w:val="20"/>
          <w:szCs w:val="20"/>
          <w:color w:val="auto"/>
        </w:rPr>
      </w:pPr>
      <w:r>
        <w:rPr>
          <w:rFonts w:ascii="Arial" w:cs="Arial" w:eastAsia="Arial" w:hAnsi="Arial"/>
          <w:sz w:val="12"/>
          <w:szCs w:val="12"/>
          <w:color w:val="auto"/>
        </w:rPr>
        <w:t>We maintain a five-year, $100.0 million Credit Facility, which matures on June 23, 2016, with SunTrust Robinson Humphrey, Inc., or STRH. 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under which we had drawn $47.8 million outstanding with a weighted average interest rate of 2.54%, excluding the unused commitment fee of 0.50%, as of March 31, 2012.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 See “Management’s Discussion and Analysis of Financial Condition and Results of Operations – Liquidity and Capital Resources” for more information.</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Operating and Regulatory Structure</w:t>
      </w:r>
    </w:p>
    <w:p>
      <w:pPr>
        <w:spacing w:after="0" w:line="152" w:lineRule="exact"/>
        <w:rPr>
          <w:sz w:val="20"/>
          <w:szCs w:val="20"/>
          <w:color w:val="auto"/>
        </w:rPr>
      </w:pPr>
    </w:p>
    <w:p>
      <w:pPr>
        <w:jc w:val="both"/>
        <w:ind w:left="200" w:firstLine="443"/>
        <w:spacing w:after="0" w:line="288" w:lineRule="auto"/>
        <w:rPr>
          <w:sz w:val="20"/>
          <w:szCs w:val="20"/>
          <w:color w:val="auto"/>
        </w:rPr>
      </w:pPr>
      <w:r>
        <w:rPr>
          <w:rFonts w:ascii="Arial" w:cs="Arial" w:eastAsia="Arial" w:hAnsi="Arial"/>
          <w:sz w:val="12"/>
          <w:szCs w:val="12"/>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11" w:lineRule="exact"/>
        <w:rPr>
          <w:sz w:val="20"/>
          <w:szCs w:val="20"/>
          <w:color w:val="auto"/>
        </w:rPr>
      </w:pPr>
    </w:p>
    <w:p>
      <w:pPr>
        <w:ind w:left="200" w:right="160" w:firstLine="443"/>
        <w:spacing w:after="0" w:line="230" w:lineRule="auto"/>
        <w:rPr>
          <w:sz w:val="20"/>
          <w:szCs w:val="20"/>
          <w:color w:val="auto"/>
        </w:rPr>
      </w:pPr>
      <w:r>
        <w:rPr>
          <w:rFonts w:ascii="Arial" w:cs="Arial" w:eastAsia="Arial" w:hAnsi="Arial"/>
          <w:sz w:val="14"/>
          <w:szCs w:val="14"/>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for more information.</w:t>
      </w: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57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48577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0" w:right="180" w:firstLine="443"/>
        <w:spacing w:after="0" w:line="239" w:lineRule="auto"/>
        <w:rPr>
          <w:sz w:val="20"/>
          <w:szCs w:val="20"/>
          <w:color w:val="auto"/>
        </w:rPr>
      </w:pPr>
      <w:r>
        <w:rPr>
          <w:rFonts w:ascii="Arial" w:cs="Arial" w:eastAsia="Arial" w:hAnsi="Arial"/>
          <w:sz w:val="14"/>
          <w:szCs w:val="14"/>
          <w:color w:val="auto"/>
        </w:rPr>
        <w:t>As a BDC, we are required to comply with certain regulatory requirements. Also, while we are permitted to finance investments using debt, our ability to use debt is limited in certain significant respects. See “Regulation”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Use of Proceeds</w:t>
      </w:r>
    </w:p>
    <w:p>
      <w:pPr>
        <w:spacing w:after="0" w:line="71" w:lineRule="exact"/>
        <w:rPr>
          <w:sz w:val="20"/>
          <w:szCs w:val="20"/>
          <w:color w:val="auto"/>
        </w:rPr>
      </w:pPr>
    </w:p>
    <w:p>
      <w:pPr>
        <w:ind w:left="200" w:right="20" w:firstLine="443"/>
        <w:spacing w:after="0" w:line="230" w:lineRule="auto"/>
        <w:rPr>
          <w:sz w:val="20"/>
          <w:szCs w:val="20"/>
          <w:color w:val="auto"/>
        </w:rPr>
      </w:pPr>
      <w:r>
        <w:rPr>
          <w:rFonts w:ascii="Arial" w:cs="Arial" w:eastAsia="Arial" w:hAnsi="Arial"/>
          <w:sz w:val="14"/>
          <w:szCs w:val="14"/>
          <w:color w:val="auto"/>
        </w:rPr>
        <w:t>We may use the net proceeds from selling securities pursuant to this prospectus to reduce our then-outstanding obligations under our Credit Facility, to invest in new or existing portfolio companies, to capitalize a subsidiary or for other general corporate purposes. Any supplements to this prospectus relating to an offering will more fully identify the use of the proceeds from such offering. See “Use of Proceeds” for information regarding our outstanding borrowings, the corresponding interest rate charged on such borrowings and the length of time that it may take us to invest any proceeds in new or existing portfolio companies.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Dividends on Common Stock</w:t>
      </w:r>
    </w:p>
    <w:p>
      <w:pPr>
        <w:spacing w:after="0" w:line="71" w:lineRule="exact"/>
        <w:rPr>
          <w:sz w:val="20"/>
          <w:szCs w:val="20"/>
          <w:color w:val="auto"/>
        </w:rPr>
      </w:pPr>
    </w:p>
    <w:p>
      <w:pPr>
        <w:ind w:left="200" w:right="560" w:firstLine="443"/>
        <w:spacing w:after="0" w:line="239" w:lineRule="auto"/>
        <w:rPr>
          <w:sz w:val="20"/>
          <w:szCs w:val="20"/>
          <w:color w:val="auto"/>
        </w:rPr>
      </w:pPr>
      <w:r>
        <w:rPr>
          <w:rFonts w:ascii="Arial" w:cs="Arial" w:eastAsia="Arial" w:hAnsi="Arial"/>
          <w:sz w:val="14"/>
          <w:szCs w:val="14"/>
          <w:color w:val="auto"/>
        </w:rPr>
        <w:t>We intend to continue to distribute monthly dividends to our common stockholders. Our monthly dividends, if any, are determined by our board of directors. See “Distributions”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Dividends on Preferred Stock</w:t>
      </w:r>
    </w:p>
    <w:p>
      <w:pPr>
        <w:spacing w:after="0" w:line="71" w:lineRule="exact"/>
        <w:rPr>
          <w:sz w:val="20"/>
          <w:szCs w:val="20"/>
          <w:color w:val="auto"/>
        </w:rPr>
      </w:pPr>
    </w:p>
    <w:p>
      <w:pPr>
        <w:ind w:left="200" w:right="60" w:firstLine="443"/>
        <w:spacing w:after="0" w:line="278" w:lineRule="auto"/>
        <w:rPr>
          <w:sz w:val="20"/>
          <w:szCs w:val="20"/>
          <w:color w:val="auto"/>
        </w:rPr>
      </w:pPr>
      <w:r>
        <w:rPr>
          <w:rFonts w:ascii="Arial" w:cs="Arial" w:eastAsia="Arial" w:hAnsi="Arial"/>
          <w:sz w:val="12"/>
          <w:szCs w:val="12"/>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 Reinvestment Plan</w:t>
      </w:r>
    </w:p>
    <w:p>
      <w:pPr>
        <w:spacing w:after="0" w:line="71" w:lineRule="exact"/>
        <w:rPr>
          <w:sz w:val="20"/>
          <w:szCs w:val="20"/>
          <w:color w:val="auto"/>
        </w:rPr>
      </w:pPr>
    </w:p>
    <w:p>
      <w:pPr>
        <w:ind w:left="200" w:right="20" w:firstLine="443"/>
        <w:spacing w:after="0" w:line="230" w:lineRule="auto"/>
        <w:rPr>
          <w:sz w:val="20"/>
          <w:szCs w:val="20"/>
          <w:color w:val="auto"/>
        </w:rPr>
      </w:pPr>
      <w:r>
        <w:rPr>
          <w:rFonts w:ascii="Arial" w:cs="Arial" w:eastAsia="Arial" w:hAnsi="Arial"/>
          <w:sz w:val="14"/>
          <w:szCs w:val="14"/>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Plan of Distribution</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We may offer, from time to time, up to $150 million of our securities, on terms to be determined at the time of each such offering and set forth in a supplement to this prospectus.</w:t>
      </w:r>
    </w:p>
    <w:p>
      <w:pPr>
        <w:spacing w:after="0" w:line="173" w:lineRule="exact"/>
        <w:rPr>
          <w:sz w:val="20"/>
          <w:szCs w:val="20"/>
          <w:color w:val="auto"/>
        </w:rPr>
      </w:pPr>
    </w:p>
    <w:p>
      <w:pPr>
        <w:ind w:left="200" w:firstLine="443"/>
        <w:spacing w:after="0" w:line="270" w:lineRule="auto"/>
        <w:rPr>
          <w:sz w:val="20"/>
          <w:szCs w:val="20"/>
          <w:color w:val="auto"/>
        </w:rPr>
      </w:pPr>
      <w:r>
        <w:rPr>
          <w:rFonts w:ascii="Arial" w:cs="Arial" w:eastAsia="Arial" w:hAnsi="Arial"/>
          <w:sz w:val="12"/>
          <w:szCs w:val="12"/>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22" w:lineRule="exact"/>
        <w:rPr>
          <w:sz w:val="20"/>
          <w:szCs w:val="20"/>
          <w:color w:val="auto"/>
        </w:rPr>
      </w:pPr>
    </w:p>
    <w:p>
      <w:pPr>
        <w:ind w:left="200" w:right="220" w:firstLine="443"/>
        <w:spacing w:after="0" w:line="239" w:lineRule="auto"/>
        <w:rPr>
          <w:sz w:val="20"/>
          <w:szCs w:val="20"/>
          <w:color w:val="auto"/>
        </w:rPr>
      </w:pPr>
      <w:r>
        <w:rPr>
          <w:rFonts w:ascii="Arial" w:cs="Arial" w:eastAsia="Arial" w:hAnsi="Arial"/>
          <w:sz w:val="14"/>
          <w:szCs w:val="14"/>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Our Corporate Information</w:t>
      </w:r>
    </w:p>
    <w:p>
      <w:pPr>
        <w:spacing w:after="0" w:line="71" w:lineRule="exact"/>
        <w:rPr>
          <w:sz w:val="20"/>
          <w:szCs w:val="20"/>
          <w:color w:val="auto"/>
        </w:rPr>
      </w:pPr>
    </w:p>
    <w:p>
      <w:pPr>
        <w:ind w:left="200" w:right="60" w:firstLine="443"/>
        <w:spacing w:after="0" w:line="270" w:lineRule="auto"/>
        <w:rPr>
          <w:sz w:val="20"/>
          <w:szCs w:val="20"/>
          <w:color w:val="auto"/>
        </w:rPr>
      </w:pPr>
      <w:r>
        <w:rPr>
          <w:rFonts w:ascii="Arial" w:cs="Arial" w:eastAsia="Arial" w:hAnsi="Arial"/>
          <w:sz w:val="12"/>
          <w:szCs w:val="12"/>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that contains material that we file with the SEC on the EDGAR Database.</w:t>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FEES AND EXPENSES</w:t>
      </w:r>
    </w:p>
    <w:p>
      <w:pPr>
        <w:spacing w:after="0" w:line="152" w:lineRule="exact"/>
        <w:rPr>
          <w:sz w:val="20"/>
          <w:szCs w:val="20"/>
          <w:color w:val="auto"/>
        </w:rPr>
      </w:pPr>
    </w:p>
    <w:p>
      <w:pPr>
        <w:jc w:val="both"/>
        <w:ind w:firstLine="456"/>
        <w:spacing w:after="0" w:line="230" w:lineRule="auto"/>
        <w:rPr>
          <w:sz w:val="20"/>
          <w:szCs w:val="20"/>
          <w:color w:val="auto"/>
        </w:rPr>
      </w:pPr>
      <w:r>
        <w:rPr>
          <w:rFonts w:ascii="Arial" w:cs="Arial" w:eastAsia="Arial" w:hAnsi="Arial"/>
          <w:sz w:val="14"/>
          <w:szCs w:val="14"/>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ectPr>
          <w:pgSz w:w="11900" w:h="16838" w:orient="portrait"/>
          <w:cols w:equalWidth="0" w:num="1">
            <w:col w:w="11420"/>
          </w:cols>
          <w:pgMar w:left="240" w:top="459"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Sales load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Total stockholder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Estimated annual expenses (as a percentage of average net assets attributable to common shares)</w:t>
      </w:r>
      <w:r>
        <w:rPr>
          <w:rFonts w:ascii="Arial" w:cs="Arial" w:eastAsia="Arial" w:hAnsi="Arial"/>
          <w:sz w:val="17"/>
          <w:szCs w:val="17"/>
          <w:color w:val="auto"/>
          <w:vertAlign w:val="superscript"/>
        </w:rPr>
        <w:t>(3)</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Management fees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Incentive fees payable under the Investment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Interest payments on borrowed funds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estimated annual expenses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right"/>
        <w:ind w:right="14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p>
      <w:pPr>
        <w:jc w:val="right"/>
        <w:ind w:right="140"/>
        <w:spacing w:after="0" w:line="199" w:lineRule="auto"/>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1"/>
          <w:szCs w:val="11"/>
          <w:color w:val="auto"/>
        </w:rPr>
        <w:t>1.45 %</w:t>
      </w:r>
      <w:r>
        <w:rPr>
          <w:rFonts w:ascii="Arial" w:cs="Arial" w:eastAsia="Arial" w:hAnsi="Arial"/>
          <w:sz w:val="17"/>
          <w:szCs w:val="17"/>
          <w:color w:val="auto"/>
          <w:vertAlign w:val="superscript"/>
        </w:rPr>
        <w:t>(4)</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0.31 %</w:t>
      </w:r>
      <w:r>
        <w:rPr>
          <w:rFonts w:ascii="Arial" w:cs="Arial" w:eastAsia="Arial" w:hAnsi="Arial"/>
          <w:sz w:val="17"/>
          <w:szCs w:val="17"/>
          <w:color w:val="auto"/>
          <w:vertAlign w:val="superscript"/>
        </w:rPr>
        <w:t>(5)</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1.45 %</w:t>
      </w:r>
      <w:r>
        <w:rPr>
          <w:rFonts w:ascii="Arial" w:cs="Arial" w:eastAsia="Arial" w:hAnsi="Arial"/>
          <w:sz w:val="17"/>
          <w:szCs w:val="17"/>
          <w:color w:val="auto"/>
          <w:vertAlign w:val="superscript"/>
        </w:rPr>
        <w:t>(6)</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2.17 %</w:t>
      </w:r>
      <w:r>
        <w:rPr>
          <w:rFonts w:ascii="Arial" w:cs="Arial" w:eastAsia="Arial" w:hAnsi="Arial"/>
          <w:sz w:val="17"/>
          <w:szCs w:val="17"/>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-17145</wp:posOffset>
            </wp:positionV>
            <wp:extent cx="4375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5.38 %</w:t>
      </w:r>
      <w:r>
        <w:rPr>
          <w:rFonts w:ascii="Arial" w:cs="Arial" w:eastAsia="Arial" w:hAnsi="Arial"/>
          <w:sz w:val="17"/>
          <w:szCs w:val="17"/>
          <w:color w:val="auto"/>
          <w:vertAlign w:val="superscript"/>
        </w:rPr>
        <w:t>(8)</w:t>
      </w:r>
    </w:p>
    <w:p>
      <w:pPr>
        <w:spacing w:after="0" w:line="200" w:lineRule="exact"/>
        <w:rPr>
          <w:sz w:val="20"/>
          <w:szCs w:val="20"/>
          <w:color w:val="auto"/>
        </w:rPr>
      </w:pPr>
    </w:p>
    <w:p>
      <w:pPr>
        <w:sectPr>
          <w:pgSz w:w="11900" w:h="16838" w:orient="portrait"/>
          <w:cols w:equalWidth="0" w:num="2">
            <w:col w:w="10040" w:space="720"/>
            <w:col w:w="660"/>
          </w:cols>
          <w:pgMar w:left="240" w:top="459" w:right="239" w:bottom="1440" w:gutter="0" w:footer="0" w:header="0"/>
          <w:type w:val="continuous"/>
        </w:sectPr>
      </w:pPr>
    </w:p>
    <w:p>
      <w:pPr>
        <w:spacing w:after="0" w:line="45"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the event that the securities to which this prospectus relates are sold to or through underwriters or agents, a corresponding prospectus supplement will disclose the applicable sales load.</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related prospectus supplement will disclose the estimated amount of offering expenses, the offering price and the offering expenses borne by us as a percentage of the offering price.</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as of March 31, 2012.</w:t>
      </w:r>
    </w:p>
    <w:p>
      <w:pPr>
        <w:spacing w:after="0" w:line="68" w:lineRule="exact"/>
        <w:rPr>
          <w:rFonts w:ascii="Arial" w:cs="Arial" w:eastAsia="Arial" w:hAnsi="Arial"/>
          <w:sz w:val="14"/>
          <w:szCs w:val="14"/>
          <w:color w:val="auto"/>
        </w:rPr>
      </w:pPr>
    </w:p>
    <w:p>
      <w:pPr>
        <w:ind w:left="580" w:right="40" w:hanging="572"/>
        <w:spacing w:after="0" w:line="239" w:lineRule="auto"/>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on March 31, 2012.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580" w:hanging="572"/>
        <w:spacing w:after="0" w:line="264"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and payable under our Investment Management Agreement during the three months ended March 31, 2012,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March 31, 2012, our unrealized capital gains exceeded our cumulative realized and unrealized capital losses and we accrued a capital gains incentive fee of $0.1 million in accordance with U.S. generally accepted accounting principles, or GAAP. However, “Incentive fees payable under the Investment Management Agreement” includes an accrual for capital gains incentive fee for the three months ended March 31, 2012 even though no capital gains incentive fee was payable under our Investment Management Agreement as of March 31, 2012. As we cannot predict our future net investment income or capital gains, the incentive fee paid in future periods, if any, may be substantially different than the fee earned during the three months ended March 31, 2012, and we cannot assure you that we will recognize capital gains for the calendar year ending December 31, 2012 in amounts consistent with the accrual for the same period. For more detailed information about the incentive fee, please see “Certain Relationships and Transactions—Investment Management Agreement” for more information.</w:t>
      </w:r>
    </w:p>
    <w:p>
      <w:pPr>
        <w:spacing w:after="0" w:line="45" w:lineRule="exact"/>
        <w:rPr>
          <w:rFonts w:ascii="Arial" w:cs="Arial" w:eastAsia="Arial" w:hAnsi="Arial"/>
          <w:sz w:val="12"/>
          <w:szCs w:val="12"/>
          <w:color w:val="auto"/>
        </w:rPr>
      </w:pPr>
    </w:p>
    <w:p>
      <w:pPr>
        <w:ind w:left="580" w:hanging="572"/>
        <w:spacing w:after="0" w:line="228" w:lineRule="auto"/>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March 31, 2012, we had $47.8 million in borrowings outstanding under our $100.0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59" w:lineRule="exact"/>
        <w:rPr>
          <w:rFonts w:ascii="Arial" w:cs="Arial" w:eastAsia="Arial" w:hAnsi="Arial"/>
          <w:sz w:val="14"/>
          <w:szCs w:val="14"/>
          <w:color w:val="auto"/>
        </w:rPr>
      </w:pPr>
    </w:p>
    <w:p>
      <w:pPr>
        <w:ind w:left="580" w:right="20" w:hanging="572"/>
        <w:spacing w:after="0" w:line="288" w:lineRule="auto"/>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March 31, 2012 annualized for a full year. See the Consolidated Statement of Operations in our Consolidated Financial Statements.</w:t>
      </w:r>
    </w:p>
    <w:p>
      <w:pPr>
        <w:spacing w:after="0" w:line="29" w:lineRule="exact"/>
        <w:rPr>
          <w:rFonts w:ascii="Arial" w:cs="Arial" w:eastAsia="Arial" w:hAnsi="Arial"/>
          <w:sz w:val="12"/>
          <w:szCs w:val="12"/>
          <w:color w:val="auto"/>
        </w:rPr>
      </w:pPr>
    </w:p>
    <w:p>
      <w:pPr>
        <w:ind w:left="580" w:hanging="572"/>
        <w:spacing w:after="0" w:line="230" w:lineRule="auto"/>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29 of this prospectus.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w:t>
      </w:r>
    </w:p>
    <w:p>
      <w:pPr>
        <w:spacing w:after="0" w:line="71"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The following example illustrates the projected dollar amount of total cumulative expenses that you would pay on a $1,000 hypothetical investment in common shares, assuming (1) a 3.22% sales load (underwriting discounts and commissions) and offering expenses totaling 0.32%, (2) total net annual expenses of 5.07% of average net assets attributable to common shares as set forth in the table above (other than performance-based incentive fees) and (3) a 5% annual return:</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100" w:type="dxa"/>
            <w:vAlign w:val="bottom"/>
          </w:tcPr>
          <w:p>
            <w:pPr>
              <w:jc w:val="right"/>
              <w:ind w:right="92"/>
              <w:spacing w:after="0"/>
              <w:rPr>
                <w:sz w:val="20"/>
                <w:szCs w:val="20"/>
                <w:color w:val="auto"/>
              </w:rPr>
            </w:pPr>
            <w:r>
              <w:rPr>
                <w:rFonts w:ascii="Arial" w:cs="Arial" w:eastAsia="Arial" w:hAnsi="Arial"/>
                <w:sz w:val="14"/>
                <w:szCs w:val="14"/>
                <w:b w:val="1"/>
                <w:bCs w:val="1"/>
                <w:color w:val="auto"/>
              </w:rPr>
              <w:t>1 Year</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41"/>
              <w:spacing w:after="0"/>
              <w:rPr>
                <w:sz w:val="20"/>
                <w:szCs w:val="20"/>
                <w:color w:val="auto"/>
              </w:rPr>
            </w:pPr>
            <w:r>
              <w:rPr>
                <w:rFonts w:ascii="Arial" w:cs="Arial" w:eastAsia="Arial" w:hAnsi="Arial"/>
                <w:sz w:val="14"/>
                <w:szCs w:val="14"/>
                <w:b w:val="1"/>
                <w:bCs w:val="1"/>
                <w:color w:val="auto"/>
              </w:rPr>
              <w:t>3 Years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452"/>
              <w:spacing w:after="0"/>
              <w:rPr>
                <w:sz w:val="20"/>
                <w:szCs w:val="20"/>
                <w:color w:val="auto"/>
              </w:rPr>
            </w:pPr>
            <w:r>
              <w:rPr>
                <w:rFonts w:ascii="Arial" w:cs="Arial" w:eastAsia="Arial" w:hAnsi="Arial"/>
                <w:sz w:val="14"/>
                <w:szCs w:val="14"/>
                <w:b w:val="1"/>
                <w:bCs w:val="1"/>
                <w:color w:val="auto"/>
              </w:rPr>
              <w:t>5 Years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10 Years</w:t>
            </w:r>
          </w:p>
        </w:tc>
      </w:tr>
      <w:tr>
        <w:trPr>
          <w:trHeight w:val="142"/>
        </w:trPr>
        <w:tc>
          <w:tcPr>
            <w:tcW w:w="4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expenses incurred</w:t>
            </w:r>
          </w:p>
        </w:tc>
        <w:tc>
          <w:tcPr>
            <w:tcW w:w="1100" w:type="dxa"/>
            <w:vAlign w:val="bottom"/>
            <w:tcBorders>
              <w:top w:val="single" w:sz="8" w:color="auto"/>
            </w:tcBorders>
            <w:shd w:val="clear" w:color="auto" w:fill="CCEEFF"/>
          </w:tcPr>
          <w:p>
            <w:pPr>
              <w:jc w:val="right"/>
              <w:ind w:right="932"/>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84</w:t>
            </w:r>
          </w:p>
        </w:tc>
        <w:tc>
          <w:tcPr>
            <w:tcW w:w="1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ind w:right="921"/>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182</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279</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523</w:t>
            </w:r>
          </w:p>
        </w:tc>
        <w:tc>
          <w:tcPr>
            <w:tcW w:w="80" w:type="dxa"/>
            <w:vAlign w:val="bottom"/>
            <w:tcBorders>
              <w:top w:val="single" w:sz="8" w:color="CCEEFF"/>
            </w:tcBorders>
            <w:shd w:val="clear" w:color="auto" w:fill="CCEEFF"/>
          </w:tcPr>
          <w:p>
            <w:pPr>
              <w:spacing w:after="0"/>
              <w:rPr>
                <w:sz w:val="12"/>
                <w:szCs w:val="12"/>
                <w:color w:val="auto"/>
              </w:rPr>
            </w:pPr>
          </w:p>
        </w:tc>
      </w:tr>
    </w:tbl>
    <w:p>
      <w:pPr>
        <w:spacing w:after="0" w:line="151"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more information.</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 FACTORS</w:t>
      </w:r>
    </w:p>
    <w:p>
      <w:pPr>
        <w:spacing w:after="0" w:line="152" w:lineRule="exact"/>
        <w:rPr>
          <w:sz w:val="20"/>
          <w:szCs w:val="20"/>
          <w:color w:val="auto"/>
        </w:rPr>
      </w:pPr>
    </w:p>
    <w:p>
      <w:pPr>
        <w:ind w:right="160" w:firstLine="571"/>
        <w:spacing w:after="0" w:line="273" w:lineRule="auto"/>
        <w:rPr>
          <w:sz w:val="20"/>
          <w:szCs w:val="20"/>
          <w:color w:val="auto"/>
        </w:rPr>
      </w:pPr>
      <w:r>
        <w:rPr>
          <w:rFonts w:ascii="Arial" w:cs="Arial" w:eastAsia="Arial" w:hAnsi="Arial"/>
          <w:sz w:val="12"/>
          <w:szCs w:val="12"/>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warrants, subscription rights or debt securities, may decline, and you may lose all or part of your investment.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a new company with a limited operating history.</w:t>
      </w:r>
    </w:p>
    <w:p>
      <w:pPr>
        <w:spacing w:after="0" w:line="71"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were incorporated in October 2010 and commenced operations in March 2011. We are subject to all of the business risks and uncertainties associated with any new business, including the risk that we will not achieve our investment objective and that the value of your investment could decline substantially.</w:t>
      </w:r>
    </w:p>
    <w:p>
      <w:pPr>
        <w:spacing w:after="0" w:line="56" w:lineRule="exact"/>
        <w:rPr>
          <w:sz w:val="20"/>
          <w:szCs w:val="20"/>
          <w:color w:val="auto"/>
        </w:rPr>
      </w:pPr>
    </w:p>
    <w:p>
      <w:pPr>
        <w:ind w:right="360" w:firstLine="342"/>
        <w:spacing w:after="0" w:line="321" w:lineRule="auto"/>
        <w:rPr>
          <w:sz w:val="20"/>
          <w:szCs w:val="20"/>
          <w:color w:val="auto"/>
        </w:rPr>
      </w:pPr>
      <w:r>
        <w:rPr>
          <w:rFonts w:ascii="Arial" w:cs="Arial" w:eastAsia="Arial" w:hAnsi="Arial"/>
          <w:sz w:val="12"/>
          <w:szCs w:val="12"/>
          <w:b w:val="1"/>
          <w:bCs w:val="1"/>
          <w:color w:val="auto"/>
        </w:rPr>
        <w:t>Global capital markets could enter a period of severe disruption and instability. These market conditions have historically and could again materially and adversely affect debt and equity capital markets in the United States, which could have a materially negative impact on our business, financial condition and results of operations.</w:t>
      </w:r>
    </w:p>
    <w:p>
      <w:pPr>
        <w:spacing w:after="0" w:line="11"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again or materially worsen in the future. We may in the future have difficulty accessing debt and equity capital, and a severe disruption and instability in the global financial markets or deterioration in credit and financing conditions could have a material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Volatility or a prolonged disruption in the credit markets could materially damage our business.</w:t>
      </w:r>
    </w:p>
    <w:p>
      <w:pPr>
        <w:spacing w:after="0" w:line="71"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are required to record our assets at fair value, as determined in good faith by our board of directors in accordance with our valuation policy. As a result, volatility in the capital markets may materially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our net asset value without first obtaining approval for such issuance from our stockholders and our independent directors. Additionally, our ability to incur indebtedness is limited by applicable regulations, such that our asset coverage, as defined under the 1940 Act, must equal at least 200% of our total indebtedness immediately after each time we incur indebtedness. Shrinking portfolio values negatively impact our ability to borrow additional funds under the Credit Facility because our net asset value is reduced for purposes of the 200% asset coverage test. If the fair value of our assets declines substantially, we may fail to maintain the asset coverage ratios stipulated by the 1940 Act, which could, in turn, cause us to lose our status as a BDC and materially impair our business operations. A protracted disruption in the credit markets could also materially decrease demand for our investments.</w:t>
      </w:r>
    </w:p>
    <w:p>
      <w:pPr>
        <w:spacing w:after="0" w:line="12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The significant disruption in the capital markets experienced in the past may in the future have a negative effect on the valuations of our investments and on the potential for liquidity events involving our investments. The debt capital that will be available to us may be at a higher cost and/or on less favorable terms and conditions than those currently used. A prolonged inability to raise capital may require us to reduce the volume of Floating Rate Loans we invest in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or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Any unrealized losses we experience on our investment portfolio may be an indication of future realized losses, which could reduce our income available for distribution.</w:t>
      </w:r>
    </w:p>
    <w:p>
      <w:pPr>
        <w:spacing w:after="0" w:line="71"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As a BDC, we are required to carry our investments at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will be recorded as unrealized depreciation.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incur credit risk when we loan money or commit to loan money to a portfolio company.</w:t>
      </w:r>
    </w:p>
    <w:p>
      <w:pPr>
        <w:spacing w:after="0" w:line="71"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part of our fair valuation of our Floating Rate Loans and other investments we may purchase. Negative credit events will lead to a decrease in the fair value of our Floating Rate Loans and other investments.</w:t>
      </w:r>
    </w:p>
    <w:p>
      <w:pPr>
        <w:spacing w:after="0" w:line="139" w:lineRule="exact"/>
        <w:rPr>
          <w:sz w:val="20"/>
          <w:szCs w:val="20"/>
          <w:color w:val="auto"/>
        </w:rPr>
      </w:pPr>
    </w:p>
    <w:p>
      <w:pPr>
        <w:ind w:right="180" w:firstLine="456"/>
        <w:spacing w:after="0" w:line="318" w:lineRule="auto"/>
        <w:rPr>
          <w:sz w:val="20"/>
          <w:szCs w:val="20"/>
          <w:color w:val="auto"/>
        </w:rPr>
      </w:pPr>
      <w:r>
        <w:rPr>
          <w:rFonts w:ascii="Arial" w:cs="Arial" w:eastAsia="Arial" w:hAnsi="Arial"/>
          <w:sz w:val="12"/>
          <w:szCs w:val="12"/>
          <w:color w:val="auto"/>
        </w:rPr>
        <w:t>In addition, current market conditions have affected consumer confidence levels, which may result in adverse changes in payment patterns. Increased delinquencies and default rates would impact our results of operations. Deterioration in the credit quality of our portfolio could have a material adverse effect on our capital,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Following periods of volatility in the market price of a company’s securities, securities class action litigation has often been brought against that company.</w:t>
      </w:r>
    </w:p>
    <w:p>
      <w:pPr>
        <w:spacing w:after="0" w:line="7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borrowers may default on their payments, which may have a materially negative effect on our financial performance.</w:t>
      </w:r>
    </w:p>
    <w:p>
      <w:pPr>
        <w:spacing w:after="0" w:line="71"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invest in Floating Rate Loans,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negatively impact the ability of our borrowers to repay their loans, which could materially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adverse effect on our financial condition and results of operations.</w:t>
      </w:r>
    </w:p>
    <w:p>
      <w:pPr>
        <w:spacing w:after="0" w:line="206" w:lineRule="exact"/>
        <w:rPr>
          <w:sz w:val="20"/>
          <w:szCs w:val="20"/>
          <w:color w:val="auto"/>
        </w:rPr>
      </w:pPr>
    </w:p>
    <w:p>
      <w:pPr>
        <w:ind w:right="360"/>
        <w:spacing w:after="0" w:line="241" w:lineRule="auto"/>
        <w:rPr>
          <w:sz w:val="20"/>
          <w:szCs w:val="20"/>
          <w:color w:val="auto"/>
        </w:rPr>
      </w:pPr>
      <w:r>
        <w:rPr>
          <w:rFonts w:ascii="Arial" w:cs="Arial" w:eastAsia="Arial" w:hAnsi="Arial"/>
          <w:sz w:val="14"/>
          <w:szCs w:val="14"/>
          <w:b w:val="1"/>
          <w:bCs w:val="1"/>
          <w:color w:val="auto"/>
        </w:rPr>
        <w:t>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57" w:lineRule="exact"/>
        <w:rPr>
          <w:sz w:val="20"/>
          <w:szCs w:val="20"/>
          <w:color w:val="auto"/>
        </w:rPr>
      </w:pPr>
    </w:p>
    <w:p>
      <w:pPr>
        <w:ind w:right="280" w:firstLine="456"/>
        <w:spacing w:after="0" w:line="273" w:lineRule="auto"/>
        <w:rPr>
          <w:sz w:val="20"/>
          <w:szCs w:val="20"/>
          <w:color w:val="auto"/>
        </w:rPr>
      </w:pPr>
      <w:r>
        <w:rPr>
          <w:rFonts w:ascii="Arial" w:cs="Arial" w:eastAsia="Arial" w:hAnsi="Arial"/>
          <w:sz w:val="12"/>
          <w:szCs w:val="12"/>
          <w:color w:val="auto"/>
        </w:rPr>
        <w:t>We depend on the diligence, skill and network of business contacts of the investment professionals of the Investment Adviser. We also depend, to a significant extent, on PennantPark Investment Advisers’ access to the investment information and deal flow generated by these investment professionals and any others that may be hired by the Investment Adviser. Managers of the Investment Adviser evaluate, negotiate, structure, close and monitor our investments. Our future success depends on the continued service of management personnel of the Investment Adviser. The departure of managers of the Investment Adviser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financial condition and results of operation depends on our ability to manage future growth effectively.</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Our ability to achieve our investment objectives depend on our ability to grow, which depends, in turn, on the Investment Adviser’s ability to identify, invest in and monitor companies that meet our investment criteria. Accomplishing this result on a cost-effective basis is largely a function of the Investment Adviser’s structuring of the investment process, its ability to provide competent, attentive and efficient services to us and our access to financing on acceptable terms. The management team of PennantPark Investment Advisers has substantial responsibilities under the Investment Management Agreement. In order to grow, the Investment Adviser will need to hire, train, supervise and manage new employees. However, we can offer no assurance that any such employees will contribute effectively to the work of the Investment Adviser. We caution you that the principals of the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operate in a highly competitive market for investment opportunities.</w:t>
      </w:r>
    </w:p>
    <w:p>
      <w:pPr>
        <w:spacing w:after="0" w:line="71" w:lineRule="exact"/>
        <w:rPr>
          <w:sz w:val="20"/>
          <w:szCs w:val="20"/>
          <w:color w:val="auto"/>
        </w:rPr>
      </w:pPr>
    </w:p>
    <w:p>
      <w:pPr>
        <w:ind w:right="80" w:firstLine="456"/>
        <w:spacing w:after="0" w:line="266" w:lineRule="auto"/>
        <w:rPr>
          <w:sz w:val="20"/>
          <w:szCs w:val="20"/>
          <w:color w:val="auto"/>
        </w:rPr>
      </w:pPr>
      <w:r>
        <w:rPr>
          <w:rFonts w:ascii="Arial" w:cs="Arial" w:eastAsia="Arial" w:hAnsi="Arial"/>
          <w:sz w:val="12"/>
          <w:szCs w:val="12"/>
          <w:color w:val="auto"/>
        </w:rPr>
        <w:t>A number of entities compete with us to make the types of investments that we make in middle-market companies. We compete with public and private funds, including other BDC’s and closed-end funds,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BDC.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will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replicate the historical performance of other investment companies with which our investment professionals have been affiliated.</w:t>
      </w:r>
    </w:p>
    <w:p>
      <w:pPr>
        <w:spacing w:after="0" w:line="71"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The 1940 Act imposes numerous constraints on the investment activities of BDCs. For example, BDCs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Current market conditions and the depressed economic cycle present significant challenges to us that have not been present in recent years, if ever. In addition, the investment philosophy and techniques used by the Investment Adviser may differ from those used by other investment companies advised by the Investment Adviser.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Any failure on our part to maintain our status as a business development company would reduce our operating flexibility.</w:t>
      </w:r>
    </w:p>
    <w:p>
      <w:pPr>
        <w:spacing w:after="0" w:line="71" w:lineRule="exact"/>
        <w:rPr>
          <w:sz w:val="20"/>
          <w:szCs w:val="20"/>
          <w:color w:val="auto"/>
        </w:rPr>
      </w:pPr>
    </w:p>
    <w:p>
      <w:pPr>
        <w:ind w:right="400" w:firstLine="456"/>
        <w:spacing w:after="0" w:line="318" w:lineRule="auto"/>
        <w:rPr>
          <w:sz w:val="20"/>
          <w:szCs w:val="20"/>
          <w:color w:val="auto"/>
        </w:rPr>
      </w:pPr>
      <w:r>
        <w:rPr>
          <w:rFonts w:ascii="Arial" w:cs="Arial" w:eastAsia="Arial" w:hAnsi="Arial"/>
          <w:sz w:val="12"/>
          <w:szCs w:val="12"/>
          <w:color w:val="auto"/>
        </w:rPr>
        <w:t>We have elected to be treated as a BDC. 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Loss of RIC tax status would substantially reduce net assets and income available for debt service and dividends.</w:t>
      </w:r>
    </w:p>
    <w:p>
      <w:pPr>
        <w:spacing w:after="0" w:line="71"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have operated and intend to operate so as to qualify as a RIC under Subchapter M of the Code commencing with our first taxable year.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corporate-level income tax on the income or gains we do not distribute. If we do not distribute an amount at least equal to the sum of 98% of our ordinary income (during the calendar year) plus 98.2% of our net capital gain income (during each 12-month period ending on October 31), we generally will be required to pay an excise tax on amounts carried over and distributed to shareholders in the next year equal to 4% of the undistributed amount.</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have difficulty paying our required distributions if we recognize income before or without receiving cash representing such income.</w:t>
      </w:r>
    </w:p>
    <w:p>
      <w:pPr>
        <w:spacing w:after="0" w:line="71" w:lineRule="exact"/>
        <w:rPr>
          <w:sz w:val="20"/>
          <w:szCs w:val="20"/>
          <w:color w:val="auto"/>
        </w:rPr>
      </w:pPr>
    </w:p>
    <w:p>
      <w:pPr>
        <w:jc w:val="both"/>
        <w:ind w:right="160" w:firstLine="456"/>
        <w:spacing w:after="0" w:line="230" w:lineRule="auto"/>
        <w:rPr>
          <w:sz w:val="20"/>
          <w:szCs w:val="20"/>
          <w:color w:val="auto"/>
        </w:rPr>
      </w:pPr>
      <w:r>
        <w:rPr>
          <w:rFonts w:ascii="Arial" w:cs="Arial" w:eastAsia="Arial" w:hAnsi="Arial"/>
          <w:sz w:val="14"/>
          <w:szCs w:val="14"/>
          <w:color w:val="auto"/>
        </w:rPr>
        <w:t>For federal income tax purposes, we include in income certain amounts that we have not yet received in cash, such as original issue discount, or OID, or contracted payment-in-kind, or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39" w:lineRule="exact"/>
        <w:rPr>
          <w:sz w:val="20"/>
          <w:szCs w:val="20"/>
          <w:color w:val="auto"/>
        </w:rPr>
      </w:pPr>
    </w:p>
    <w:p>
      <w:pPr>
        <w:ind w:right="300" w:firstLine="456"/>
        <w:spacing w:after="0" w:line="318" w:lineRule="auto"/>
        <w:rPr>
          <w:sz w:val="20"/>
          <w:szCs w:val="20"/>
          <w:color w:val="auto"/>
        </w:rPr>
      </w:pPr>
      <w:r>
        <w:rPr>
          <w:rFonts w:ascii="Arial" w:cs="Arial" w:eastAsia="Arial" w:hAnsi="Arial"/>
          <w:sz w:val="12"/>
          <w:szCs w:val="12"/>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94"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 level income tax.</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340"/>
        <w:spacing w:after="0" w:line="241" w:lineRule="auto"/>
        <w:rPr>
          <w:sz w:val="20"/>
          <w:szCs w:val="20"/>
          <w:color w:val="auto"/>
        </w:rPr>
      </w:pPr>
      <w:r>
        <w:rPr>
          <w:rFonts w:ascii="Arial" w:cs="Arial" w:eastAsia="Arial" w:hAnsi="Arial"/>
          <w:sz w:val="14"/>
          <w:szCs w:val="14"/>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57"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BDC, we generally are required to meet a coverage ratio of total assets to total senior securities, which includes all of our borrowings,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40"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We will be partially dependent on our subsidiary Funding I for cash distributions to enable us to meet the RIC distribution requirements. Funding I may be limited by its covenants from making certain distributions to us that may be necessary to maintain our status as a RIC. We may have to request a waiver of these covenant’s restrictions for Funding I to make certain distributions to maintain our RIC status. We cannot assure you that Funding I will be granted such a waiver and if Funding I is unable to obtain a waiver, compliance with the covenants may result in an entity-level tax on us.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Regulations governing our operation as a BDC will affect our ability to, and the way in which we, raise additional capital.</w:t>
      </w:r>
    </w:p>
    <w:p>
      <w:pPr>
        <w:spacing w:after="0" w:line="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incur additional indebtedness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or redeem a portion of our senior securities, as applicable, at a time when such sales may be disadvantageous, which could materially damage our business.</w:t>
      </w:r>
    </w:p>
    <w:p>
      <w:pPr>
        <w:spacing w:after="0" w:line="42" w:lineRule="exact"/>
        <w:rPr>
          <w:sz w:val="20"/>
          <w:szCs w:val="20"/>
          <w:color w:val="auto"/>
        </w:rPr>
      </w:pPr>
    </w:p>
    <w:p>
      <w:pPr>
        <w:ind w:left="540" w:right="200" w:hanging="316"/>
        <w:spacing w:after="0" w:line="228"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Senior Securities. </w:t>
      </w:r>
      <w:r>
        <w:rPr>
          <w:rFonts w:ascii="Arial" w:cs="Arial" w:eastAsia="Arial" w:hAnsi="Arial"/>
          <w:sz w:val="14"/>
          <w:szCs w:val="14"/>
          <w:color w:val="auto"/>
        </w:rPr>
        <w:t>As a result of issuing senior securities, we would also be exposed to typical risks associated with leverage, including an increased risk of loss. If we issue preferred securities, they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59" w:lineRule="exact"/>
        <w:rPr>
          <w:rFonts w:ascii="Arial" w:cs="Arial" w:eastAsia="Arial" w:hAnsi="Arial"/>
          <w:sz w:val="14"/>
          <w:szCs w:val="14"/>
          <w:color w:val="auto"/>
        </w:rPr>
      </w:pPr>
    </w:p>
    <w:p>
      <w:pPr>
        <w:ind w:left="540" w:hanging="316"/>
        <w:spacing w:after="0" w:line="270" w:lineRule="auto"/>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Additional Common Stock. </w:t>
      </w:r>
      <w:r>
        <w:rPr>
          <w:rFonts w:ascii="Arial" w:cs="Arial" w:eastAsia="Arial" w:hAnsi="Arial"/>
          <w:sz w:val="12"/>
          <w:szCs w:val="12"/>
          <w:color w:val="auto"/>
        </w:rPr>
        <w:t>Our board of directors may decide to issue common stock to finance our operations rather than issuing debt or other senior securities. As a BDC, we are generally not able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40" w:lineRule="exact"/>
        <w:rPr>
          <w:rFonts w:ascii="Arial" w:cs="Arial" w:eastAsia="Arial" w:hAnsi="Arial"/>
          <w:sz w:val="12"/>
          <w:szCs w:val="12"/>
          <w:color w:val="auto"/>
        </w:rPr>
      </w:pPr>
    </w:p>
    <w:p>
      <w:pPr>
        <w:ind w:left="540" w:right="40" w:hanging="316"/>
        <w:spacing w:after="0" w:line="263" w:lineRule="auto"/>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Securitization. </w:t>
      </w:r>
      <w:r>
        <w:rPr>
          <w:rFonts w:ascii="Arial" w:cs="Arial" w:eastAsia="Arial" w:hAnsi="Arial"/>
          <w:sz w:val="12"/>
          <w:szCs w:val="12"/>
          <w:color w:val="auto"/>
        </w:rPr>
        <w:t>In addition to issuing securities to raise capital as described above, we anticipate that in the future, as market conditions permit, we may securitize our loans to generate cash for funding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generally treated as if it were issued by us for purposes of the asset coverage test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currently use borrowed funds to make investments and are exposed to the typical risks associated with leverage.</w:t>
      </w:r>
    </w:p>
    <w:p>
      <w:pPr>
        <w:spacing w:after="0" w:line="71"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Because we borrow funds, through Funding I,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and any amounts that we use to service our indebtedness are not available for distribution to our common stockholders.</w:t>
      </w:r>
    </w:p>
    <w:p>
      <w:pPr>
        <w:spacing w:after="0" w:line="139"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Our current debt is governed by the terms of the Credit Facility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Funding I may fail to meet certain asset coverage tests, which would have an adverse effect on the timing of payments to us, or otherwise fail to satisfy various covenants.</w:t>
      </w:r>
    </w:p>
    <w:p>
      <w:pPr>
        <w:spacing w:after="0" w:line="71" w:lineRule="exact"/>
        <w:rPr>
          <w:sz w:val="20"/>
          <w:szCs w:val="20"/>
          <w:color w:val="auto"/>
        </w:rPr>
      </w:pPr>
    </w:p>
    <w:p>
      <w:pPr>
        <w:jc w:val="both"/>
        <w:ind w:right="60" w:firstLine="456"/>
        <w:spacing w:after="0" w:line="278" w:lineRule="auto"/>
        <w:rPr>
          <w:sz w:val="20"/>
          <w:szCs w:val="20"/>
          <w:color w:val="auto"/>
        </w:rPr>
      </w:pPr>
      <w:r>
        <w:rPr>
          <w:rFonts w:ascii="Arial" w:cs="Arial" w:eastAsia="Arial" w:hAnsi="Arial"/>
          <w:sz w:val="12"/>
          <w:szCs w:val="12"/>
          <w:color w:val="auto"/>
        </w:rPr>
        <w:t>Under the documents governing the Credit Facility, there are two coverage tests applicable to Funding I. For example, the income coverage test compares the amount of interest received on the portfolio loans held by Funding I to the amount of interest payable to the Lender and certain other expenses. To meet this test, the aggregate amount of interest received on the portfolio loans must equal at least 125% of the interest payable in respect to the Lender and other parties. If these coverage tests are not satisfied on any date on which compliance is measured, Funding I will be required to apply any available funds to the repayment of principal under the Credit Facility to the extent necessary to satisfy the applicable coverage tests.</w:t>
      </w:r>
    </w:p>
    <w:p>
      <w:pPr>
        <w:spacing w:after="0" w:line="117" w:lineRule="exact"/>
        <w:rPr>
          <w:sz w:val="20"/>
          <w:szCs w:val="20"/>
          <w:color w:val="auto"/>
        </w:rPr>
      </w:pPr>
    </w:p>
    <w:p>
      <w:pPr>
        <w:ind w:firstLine="342"/>
        <w:spacing w:after="0" w:line="288" w:lineRule="auto"/>
        <w:rPr>
          <w:sz w:val="20"/>
          <w:szCs w:val="20"/>
          <w:color w:val="auto"/>
        </w:rPr>
      </w:pPr>
      <w:r>
        <w:rPr>
          <w:rFonts w:ascii="Arial" w:cs="Arial" w:eastAsia="Arial" w:hAnsi="Arial"/>
          <w:sz w:val="12"/>
          <w:szCs w:val="12"/>
          <w:color w:val="auto"/>
        </w:rPr>
        <w:t>In addition to the applicable asset coverage test that restricts our ability to borrow under Funding I’s Credit Facility, the various covenants which, if not complied with, could accelerate repayment under the Credit Facility, thereby materially and adversely affecting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30" w:lineRule="exact"/>
        <w:rPr>
          <w:sz w:val="20"/>
          <w:szCs w:val="20"/>
          <w:color w:val="auto"/>
        </w:rPr>
      </w:pPr>
    </w:p>
    <w:p>
      <w:pPr>
        <w:ind w:left="540" w:hanging="316"/>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requirement to retain our status as a BDC;</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requirement to maintain a minimum amount of shareholder’s equity;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 requirement that our outstanding borrowings under the Credit Facility not exceed a certain percentage of the values of our portfolio companies.</w:t>
      </w:r>
    </w:p>
    <w:p>
      <w:pPr>
        <w:spacing w:after="0" w:line="15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2"/>
          <w:szCs w:val="12"/>
          <w:color w:val="auto"/>
        </w:rPr>
        <w:t>Our continued compliance with these covenants depends on many factors, some of which are beyond our control. Material net asset devaluation resulting from under performance or defaults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incur additional debt, it could increase the risk of investing in our shares.</w:t>
      </w:r>
    </w:p>
    <w:p>
      <w:pPr>
        <w:spacing w:after="0" w:line="71" w:lineRule="exact"/>
        <w:rPr>
          <w:sz w:val="20"/>
          <w:szCs w:val="20"/>
          <w:color w:val="auto"/>
        </w:rPr>
      </w:pPr>
    </w:p>
    <w:p>
      <w:pPr>
        <w:ind w:right="40" w:firstLine="456"/>
        <w:spacing w:after="0" w:line="226" w:lineRule="auto"/>
        <w:rPr>
          <w:sz w:val="20"/>
          <w:szCs w:val="20"/>
          <w:color w:val="auto"/>
        </w:rPr>
      </w:pPr>
      <w:r>
        <w:rPr>
          <w:rFonts w:ascii="Arial" w:cs="Arial" w:eastAsia="Arial" w:hAnsi="Arial"/>
          <w:sz w:val="14"/>
          <w:szCs w:val="14"/>
          <w:color w:val="auto"/>
        </w:rPr>
        <w:t>We have indebtedness outstanding pursuant to our Credit Facility and expect in the future to borrow additional amounts under our Credit Facility and, subject to market availability and satisfaction of certain conditions, to increase the size of our Credit Facility.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41"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As of March 31, 2012, we had outstanding borrowings of $47.8 million under our Credit Facility with a weighted average annual interest rate on of 2.54% exclusive of the fees on the undrawn commitment of 0.50%. Accordingly, to cover the annual interest on our borrowings outstanding at March 31, 2012, at the then current rate, we would have to receive an annual yield of at least 0.84%. This example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3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The following table is designed to illustrate the effect on return to a holder of our common stock of the leverage created by our use of borrowing at March 31, 2012 of 31% of total assets (including such borrowed funds), at a weighted average rate at the time of 2.54%, and assuming hypothetical annual returns on our portfolio of minus 10 to plus 10 percent. The table also assumes that we will maintain a constant level and weighted average rate of leverage. The amount of leverage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60" w:type="dxa"/>
            <w:vAlign w:val="bottom"/>
            <w:shd w:val="clear" w:color="auto" w:fill="CCEEFF"/>
          </w:tcPr>
          <w:p>
            <w:pPr>
              <w:spacing w:after="0"/>
              <w:rPr>
                <w:sz w:val="20"/>
                <w:szCs w:val="20"/>
                <w:color w:val="auto"/>
              </w:rPr>
            </w:pPr>
            <w:r>
              <w:rPr>
                <w:rFonts w:ascii="Arial" w:cs="Arial" w:eastAsia="Arial" w:hAnsi="Arial"/>
                <w:sz w:val="14"/>
                <w:szCs w:val="14"/>
                <w:color w:val="auto"/>
              </w:rPr>
              <w:t>Assumed return on portfolio (net of expenses)</w:t>
            </w:r>
            <w:r>
              <w:rPr>
                <w:rFonts w:ascii="Arial" w:cs="Arial" w:eastAsia="Arial" w:hAnsi="Arial"/>
                <w:sz w:val="22"/>
                <w:szCs w:val="22"/>
                <w:color w:val="auto"/>
                <w:vertAlign w:val="superscript"/>
              </w:rPr>
              <w:t>(1)</w:t>
            </w:r>
          </w:p>
        </w:tc>
        <w:tc>
          <w:tcPr>
            <w:tcW w:w="34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(5.0)%</w:t>
            </w:r>
          </w:p>
        </w:tc>
        <w:tc>
          <w:tcPr>
            <w:tcW w:w="64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93"/>
        </w:trPr>
        <w:tc>
          <w:tcPr>
            <w:tcW w:w="5560" w:type="dxa"/>
            <w:vAlign w:val="bottom"/>
          </w:tcPr>
          <w:p>
            <w:pPr>
              <w:spacing w:after="0"/>
              <w:rPr>
                <w:sz w:val="20"/>
                <w:szCs w:val="20"/>
                <w:color w:val="auto"/>
              </w:rPr>
            </w:pPr>
            <w:r>
              <w:rPr>
                <w:rFonts w:ascii="Arial" w:cs="Arial" w:eastAsia="Arial" w:hAnsi="Arial"/>
                <w:sz w:val="14"/>
                <w:szCs w:val="14"/>
                <w:color w:val="auto"/>
              </w:rPr>
              <w:t>Corresponding return to common stockholders</w:t>
            </w:r>
            <w:r>
              <w:rPr>
                <w:rFonts w:ascii="Arial" w:cs="Arial" w:eastAsia="Arial" w:hAnsi="Arial"/>
                <w:sz w:val="22"/>
                <w:szCs w:val="22"/>
                <w:color w:val="auto"/>
                <w:vertAlign w:val="superscript"/>
              </w:rPr>
              <w:t>(2)</w:t>
            </w:r>
          </w:p>
        </w:tc>
        <w:tc>
          <w:tcPr>
            <w:tcW w:w="3480" w:type="dxa"/>
            <w:vAlign w:val="bottom"/>
          </w:tcPr>
          <w:p>
            <w:pPr>
              <w:jc w:val="right"/>
              <w:ind w:right="72"/>
              <w:spacing w:after="0"/>
              <w:rPr>
                <w:sz w:val="20"/>
                <w:szCs w:val="20"/>
                <w:color w:val="auto"/>
              </w:rPr>
            </w:pPr>
            <w:r>
              <w:rPr>
                <w:rFonts w:ascii="Arial" w:cs="Arial" w:eastAsia="Arial" w:hAnsi="Arial"/>
                <w:sz w:val="14"/>
                <w:szCs w:val="14"/>
                <w:color w:val="auto"/>
              </w:rPr>
              <w:t>(16.9)%</w:t>
            </w: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(9.1)%</w:t>
            </w:r>
          </w:p>
        </w:tc>
        <w:tc>
          <w:tcPr>
            <w:tcW w:w="640" w:type="dxa"/>
            <w:vAlign w:val="bottom"/>
          </w:tcPr>
          <w:p>
            <w:pPr>
              <w:jc w:val="right"/>
              <w:ind w:right="72"/>
              <w:spacing w:after="0"/>
              <w:rPr>
                <w:sz w:val="20"/>
                <w:szCs w:val="20"/>
                <w:color w:val="auto"/>
              </w:rPr>
            </w:pPr>
            <w:r>
              <w:rPr>
                <w:rFonts w:ascii="Arial" w:cs="Arial" w:eastAsia="Arial" w:hAnsi="Arial"/>
                <w:sz w:val="14"/>
                <w:szCs w:val="14"/>
                <w:color w:val="auto"/>
              </w:rPr>
              <w:t>(1.3)%</w:t>
            </w: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6.6%</w:t>
            </w:r>
          </w:p>
        </w:tc>
        <w:tc>
          <w:tcPr>
            <w:tcW w:w="520" w:type="dxa"/>
            <w:vAlign w:val="bottom"/>
          </w:tcPr>
          <w:p>
            <w:pPr>
              <w:jc w:val="right"/>
              <w:spacing w:after="0"/>
              <w:rPr>
                <w:sz w:val="20"/>
                <w:szCs w:val="20"/>
                <w:color w:val="auto"/>
              </w:rPr>
            </w:pPr>
            <w:r>
              <w:rPr>
                <w:rFonts w:ascii="Arial" w:cs="Arial" w:eastAsia="Arial" w:hAnsi="Arial"/>
                <w:sz w:val="14"/>
                <w:szCs w:val="14"/>
                <w:color w:val="auto"/>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spacing w:after="0" w:line="68" w:lineRule="exact"/>
        <w:rPr>
          <w:rFonts w:ascii="Arial" w:cs="Arial" w:eastAsia="Arial" w:hAnsi="Arial"/>
          <w:sz w:val="14"/>
          <w:szCs w:val="14"/>
          <w:color w:val="auto"/>
        </w:rPr>
      </w:pPr>
    </w:p>
    <w:p>
      <w:pPr>
        <w:ind w:left="340" w:right="100" w:hanging="332"/>
        <w:spacing w:after="0" w:line="28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exposed to risks associated with changes in interest rates that may affect our cost of capital and net investment income.</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 Discussion and Analysis of Financial Condition and Results of Operations—Quantitative and Qualitative Disclosures about Market Risk” for more information.</w:t>
      </w:r>
    </w:p>
    <w:p>
      <w:pPr>
        <w:spacing w:after="0" w:line="123" w:lineRule="exact"/>
        <w:rPr>
          <w:sz w:val="20"/>
          <w:szCs w:val="20"/>
          <w:color w:val="auto"/>
        </w:rPr>
      </w:pPr>
    </w:p>
    <w:p>
      <w:pPr>
        <w:ind w:right="60" w:firstLine="456"/>
        <w:spacing w:after="0" w:line="318" w:lineRule="auto"/>
        <w:rPr>
          <w:sz w:val="20"/>
          <w:szCs w:val="20"/>
          <w:color w:val="auto"/>
        </w:rPr>
      </w:pPr>
      <w:r>
        <w:rPr>
          <w:rFonts w:ascii="Arial" w:cs="Arial" w:eastAsia="Arial" w:hAnsi="Arial"/>
          <w:sz w:val="12"/>
          <w:szCs w:val="12"/>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94"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on any variable-rate borrowings,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6" w:lineRule="exact"/>
        <w:rPr>
          <w:sz w:val="20"/>
          <w:szCs w:val="20"/>
          <w:color w:val="auto"/>
        </w:rPr>
      </w:pPr>
    </w:p>
    <w:p>
      <w:pPr>
        <w:ind w:right="600"/>
        <w:spacing w:after="0" w:line="241" w:lineRule="auto"/>
        <w:rPr>
          <w:sz w:val="20"/>
          <w:szCs w:val="20"/>
          <w:color w:val="auto"/>
        </w:rPr>
      </w:pPr>
      <w:r>
        <w:rPr>
          <w:rFonts w:ascii="Arial" w:cs="Arial" w:eastAsia="Arial" w:hAnsi="Arial"/>
          <w:sz w:val="14"/>
          <w:szCs w:val="14"/>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57" w:lineRule="exact"/>
        <w:rPr>
          <w:sz w:val="20"/>
          <w:szCs w:val="20"/>
          <w:color w:val="auto"/>
        </w:rPr>
      </w:pPr>
    </w:p>
    <w:p>
      <w:pPr>
        <w:ind w:right="40" w:firstLine="456"/>
        <w:spacing w:after="0" w:line="227" w:lineRule="auto"/>
        <w:rPr>
          <w:sz w:val="20"/>
          <w:szCs w:val="20"/>
          <w:color w:val="auto"/>
        </w:rPr>
      </w:pPr>
      <w:r>
        <w:rPr>
          <w:rFonts w:ascii="Arial" w:cs="Arial" w:eastAsia="Arial" w:hAnsi="Arial"/>
          <w:sz w:val="14"/>
          <w:szCs w:val="14"/>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219" w:lineRule="exact"/>
        <w:rPr>
          <w:sz w:val="20"/>
          <w:szCs w:val="20"/>
          <w:color w:val="auto"/>
        </w:rPr>
      </w:pPr>
    </w:p>
    <w:p>
      <w:pPr>
        <w:ind w:right="660"/>
        <w:spacing w:after="0" w:line="241" w:lineRule="auto"/>
        <w:rPr>
          <w:sz w:val="20"/>
          <w:szCs w:val="20"/>
          <w:color w:val="auto"/>
        </w:rPr>
      </w:pPr>
      <w:r>
        <w:rPr>
          <w:rFonts w:ascii="Arial" w:cs="Arial" w:eastAsia="Arial" w:hAnsi="Arial"/>
          <w:sz w:val="14"/>
          <w:szCs w:val="14"/>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57"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interests in Funding I are subordinated.</w:t>
      </w:r>
    </w:p>
    <w:p>
      <w:pPr>
        <w:spacing w:after="0" w:line="7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We own 100% of the equity interests in Funding I. We consolidate Funding I in our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Our equity interests in Funding I are subordinate to all of the secured and unsecured creditors, known or unknown, of Funding I, including the Lender. Consequently, to the extent that the value of Funding I’s portfolio of loan investments has been reduced as a result of conditions in the credit markets, defaulted loans, capital losses exceed gains on the underlying assets, prepayments or changes in interest rates, the return on our investment in Funding I could be reduced. Accordingly, our investment in Funding I is subject to loss of principal.</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receive cash on our equity interests from Funding I.</w:t>
      </w:r>
    </w:p>
    <w:p>
      <w:pPr>
        <w:spacing w:after="0" w:line="71"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 and other secured parties are paid in full. In the event that we fail to receive cash from Funding I, we could be unable to make distributions to our stockholders in amounts sufficient to qualify as a RIC. We also could be forced to sell investments in portfolio companies at less than their fair value in order to continue making such distributions.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ability to sell investments held by Funding I is limited.</w:t>
      </w:r>
    </w:p>
    <w:p>
      <w:pPr>
        <w:spacing w:after="0" w:line="71" w:lineRule="exact"/>
        <w:rPr>
          <w:sz w:val="20"/>
          <w:szCs w:val="20"/>
          <w:color w:val="auto"/>
        </w:rPr>
      </w:pPr>
    </w:p>
    <w:p>
      <w:pPr>
        <w:ind w:right="360"/>
        <w:spacing w:after="0" w:line="239" w:lineRule="auto"/>
        <w:rPr>
          <w:sz w:val="20"/>
          <w:szCs w:val="20"/>
          <w:color w:val="auto"/>
        </w:rPr>
      </w:pPr>
      <w:r>
        <w:rPr>
          <w:rFonts w:ascii="Arial" w:cs="Arial" w:eastAsia="Arial" w:hAnsi="Arial"/>
          <w:sz w:val="14"/>
          <w:szCs w:val="14"/>
          <w:color w:val="auto"/>
        </w:rPr>
        <w:t>The Credit Facility documents place restrictions on the collateral manager’s ability to sell investments. As a result, there may be times or circumstances during which the collateral manager is unable to sell investments or take other actions that might be in our best interests.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issue preferred stock, debt securities or convertible debt securities the net asset value and market value of our common stock may become more volatile.</w:t>
      </w:r>
    </w:p>
    <w:p>
      <w:pPr>
        <w:spacing w:after="0" w:line="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3" w:lineRule="exact"/>
        <w:rPr>
          <w:sz w:val="20"/>
          <w:szCs w:val="20"/>
          <w:color w:val="auto"/>
        </w:rPr>
      </w:pPr>
    </w:p>
    <w:p>
      <w:pPr>
        <w:ind w:right="160" w:firstLine="456"/>
        <w:spacing w:after="0" w:line="227" w:lineRule="auto"/>
        <w:rPr>
          <w:sz w:val="20"/>
          <w:szCs w:val="20"/>
          <w:color w:val="auto"/>
        </w:rPr>
      </w:pPr>
      <w:r>
        <w:rPr>
          <w:rFonts w:ascii="Arial" w:cs="Arial" w:eastAsia="Arial" w:hAnsi="Arial"/>
          <w:sz w:val="14"/>
          <w:szCs w:val="14"/>
          <w:color w:val="auto"/>
        </w:rPr>
        <w:t>There is also a risk that, in the event of a sharp decline in the value of our net assets, we would be in danger of failing to maintain required asset coverage ratios which may be required by the 1940 Act and the terms of our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 of any preferred stock that we may issue will have the right to elect members of the board of directors and have class voting rights on certain matters.</w:t>
      </w:r>
    </w:p>
    <w:p>
      <w:pPr>
        <w:spacing w:after="0" w:line="71"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in the future issue securities for which there is no public market and for which we expect no public market to develop.</w:t>
      </w:r>
    </w:p>
    <w:p>
      <w:pPr>
        <w:spacing w:after="0" w:line="7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There are significant potential conflicts of interest which could impact our investment returns.</w:t>
      </w:r>
    </w:p>
    <w:p>
      <w:pPr>
        <w:spacing w:after="0" w:line="71" w:lineRule="exact"/>
        <w:rPr>
          <w:sz w:val="20"/>
          <w:szCs w:val="20"/>
          <w:color w:val="auto"/>
        </w:rPr>
      </w:pPr>
    </w:p>
    <w:p>
      <w:pPr>
        <w:ind w:right="80" w:firstLine="456"/>
        <w:spacing w:after="0" w:line="265" w:lineRule="auto"/>
        <w:rPr>
          <w:sz w:val="20"/>
          <w:szCs w:val="20"/>
          <w:color w:val="auto"/>
        </w:rPr>
      </w:pPr>
      <w:r>
        <w:rPr>
          <w:rFonts w:ascii="Arial" w:cs="Arial" w:eastAsia="Arial" w:hAnsi="Arial"/>
          <w:sz w:val="12"/>
          <w:szCs w:val="12"/>
          <w:color w:val="auto"/>
        </w:rPr>
        <w:t>The professionals of the Investment Adviser and Administrator serve as officers, directors or principals of entities that operate in the same or a related line of business as we do or of investment funds managed by affiliates of PennantPark Floating Rate Capital Ltd. that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new affiliated funds are formed, our board of directors, adviser and administrator may have obligations to investors in those entities, the fulfillment of which might not be in the best interests of us or our stockholders. Currently, the executive officers and directors, as well as the current senior investment professionals of the Investment Adviser, serve as officers and directors of PennantPark Investment Corporation, a publicly-traded BDC. Although the Investment Adviser endeavors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PennantPark Investment Corporation, and any other affiliates that the Investment Adviser currently has or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24"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In the ordinary course of our investing activities, we will pay investment advisory and incentive fees to the Investment Adviser, and will reimburse the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1"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In connection with our initial public offering, the Investment Adviser has paid to the underwriters 2% of the sales load, or $2.1 million in the aggregate, with respect to the offering of shares of our common stock. We (and indirectly our stockholders) must reimburse this amount under certain circumstances. As a result of these arrangements, there may be times when the management team of the Investment Adviser has interests that differ from those of our stockholders, giving rise to a conflict. Furthermore, to ensure repayment, there is a risk the Investment Adviser will make more speculative investments.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We have entered into a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02" w:lineRule="exact"/>
        <w:rPr>
          <w:sz w:val="20"/>
          <w:szCs w:val="20"/>
          <w:color w:val="auto"/>
        </w:rPr>
      </w:pPr>
    </w:p>
    <w:p>
      <w:pPr>
        <w:ind w:right="340"/>
        <w:spacing w:after="0" w:line="241" w:lineRule="auto"/>
        <w:rPr>
          <w:sz w:val="20"/>
          <w:szCs w:val="20"/>
          <w:color w:val="auto"/>
        </w:rPr>
      </w:pPr>
      <w:r>
        <w:rPr>
          <w:rFonts w:ascii="Arial" w:cs="Arial" w:eastAsia="Arial" w:hAnsi="Arial"/>
          <w:sz w:val="14"/>
          <w:szCs w:val="14"/>
          <w:b w:val="1"/>
          <w:bCs w:val="1"/>
          <w:color w:val="auto"/>
        </w:rPr>
        <w:t>If we are required to repay in cash the amount paid to the underwriters of our initial public offering by the Investment Adviser, we may have to sell assets at a loss, and the amount that we have available for investment may be reduced, in order to pay the amount due.</w:t>
      </w:r>
    </w:p>
    <w:p>
      <w:pPr>
        <w:spacing w:after="0" w:line="57" w:lineRule="exact"/>
        <w:rPr>
          <w:sz w:val="20"/>
          <w:szCs w:val="20"/>
          <w:color w:val="auto"/>
        </w:rPr>
      </w:pPr>
    </w:p>
    <w:p>
      <w:pPr>
        <w:ind w:firstLine="342"/>
        <w:spacing w:after="0" w:line="273" w:lineRule="auto"/>
        <w:rPr>
          <w:sz w:val="20"/>
          <w:szCs w:val="20"/>
          <w:color w:val="auto"/>
        </w:rPr>
      </w:pPr>
      <w:r>
        <w:rPr>
          <w:rFonts w:ascii="Arial" w:cs="Arial" w:eastAsia="Arial" w:hAnsi="Arial"/>
          <w:sz w:val="12"/>
          <w:szCs w:val="12"/>
          <w:color w:val="auto"/>
        </w:rPr>
        <w:t>In connection with our initial public offering, the Investment Adviser has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20" w:lineRule="exact"/>
        <w:rPr>
          <w:sz w:val="20"/>
          <w:szCs w:val="20"/>
          <w:color w:val="auto"/>
        </w:rPr>
      </w:pPr>
    </w:p>
    <w:p>
      <w:pPr>
        <w:ind w:right="400" w:firstLine="342"/>
        <w:spacing w:after="0" w:line="233" w:lineRule="auto"/>
        <w:rPr>
          <w:sz w:val="20"/>
          <w:szCs w:val="20"/>
          <w:color w:val="auto"/>
        </w:rPr>
      </w:pPr>
      <w:r>
        <w:rPr>
          <w:rFonts w:ascii="Arial" w:cs="Arial" w:eastAsia="Arial" w:hAnsi="Arial"/>
          <w:sz w:val="14"/>
          <w:szCs w:val="14"/>
          <w:color w:val="auto"/>
        </w:rPr>
        <w:t>If we are obligated to repay this amount to the Investment Adviser in cash while making distributions to our stockholders necessary to maintain our RIC status and/or avoid the imposition of federal income and excise taxes, we may have to dispose of a portion of our investments. Any such disposition could result in our realizing losses and reduce the amount that we have available for investment. Furthermore, to ensure repayment, there is a risk the Investment Adviser will make more speculative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trading market or market value of any publicly issued debt securities may be volatile.</w:t>
      </w:r>
    </w:p>
    <w:p>
      <w:pPr>
        <w:spacing w:after="0" w:line="71"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58"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to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redemption or repayment features, if any, of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generally;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There also may be a limited number of buyers for our debt securities. This too may materially adversely affect the market value of the debt securities or the trading market for the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credit ratings may not reflect all risks of an investment in debt securities.</w:t>
      </w:r>
    </w:p>
    <w:p>
      <w:pPr>
        <w:spacing w:after="0" w:line="152"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relating to redemption may materially adversely affect the return on any debt securities.</w:t>
      </w:r>
    </w:p>
    <w:p>
      <w:pPr>
        <w:spacing w:after="0" w:line="7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issue subscription rights or warrants for our common stock, your interest in us may be diluted as a result of such rights or warrants offering.</w:t>
      </w:r>
    </w:p>
    <w:p>
      <w:pPr>
        <w:spacing w:after="0" w:line="71"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39"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In addition, if the subscription price or warrant exercise price is less than our net asset value per share of common stock at the time of an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exercise price or net asset value per share will be on the expiration date of such rights offering or what proportion of our common stock will be purchased as a result of any such offering.</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experience fluctuations in our quarterly results.</w:t>
      </w:r>
    </w:p>
    <w:p>
      <w:pPr>
        <w:spacing w:after="0" w:line="7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We could experience fluctuations in our quarterly operating results due to a number of factors, including the interest rate payable on the Floating Rate Loans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laws or regulations governing our operations may adversely affect our business.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and our portfolio companies are subject to regulation by laws at the local, state and federal levels. These laws and regulations, as well as their interpretation, may be changed from time to time.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Accordingly, any change in these laws or regulations could have a material adverse effect on our business. See “Regulation” for more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board of directors may change our investment objectives, operating policies and strategies without prior notice or stockholder approval.</w:t>
      </w:r>
    </w:p>
    <w:p>
      <w:pPr>
        <w:spacing w:after="0" w:line="71"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Our board of directors have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69"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b w:val="1"/>
          <w:b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57" w:lineRule="exact"/>
        <w:rPr>
          <w:sz w:val="20"/>
          <w:szCs w:val="20"/>
          <w:color w:val="auto"/>
        </w:rPr>
      </w:pPr>
    </w:p>
    <w:p>
      <w:pPr>
        <w:ind w:right="80" w:firstLine="456"/>
        <w:spacing w:after="0" w:line="270" w:lineRule="auto"/>
        <w:rPr>
          <w:sz w:val="20"/>
          <w:szCs w:val="20"/>
          <w:color w:val="auto"/>
        </w:rPr>
      </w:pPr>
      <w:r>
        <w:rPr>
          <w:rFonts w:ascii="Arial" w:cs="Arial" w:eastAsia="Arial" w:hAnsi="Arial"/>
          <w:sz w:val="12"/>
          <w:szCs w:val="12"/>
          <w:color w:val="auto"/>
        </w:rPr>
        <w:t>We expect most of our investments may be recorded using broker/dealers quotes or at fair value as determined in good faith by our board of directors. We expect that primarily most, if not all, of our investments (other than cash and cash equivalents) and the fair value of the Credit Facility will be classified as Level 3 under Financial Accounting Standards Board, or FASB, Accounting Standards Codification, or ASC, 820, Fair Value Measurement.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122" w:lineRule="exact"/>
        <w:rPr>
          <w:sz w:val="20"/>
          <w:szCs w:val="20"/>
          <w:color w:val="auto"/>
        </w:rPr>
      </w:pPr>
    </w:p>
    <w:p>
      <w:pPr>
        <w:ind w:right="220" w:firstLine="456"/>
        <w:spacing w:after="0" w:line="273" w:lineRule="auto"/>
        <w:rPr>
          <w:sz w:val="20"/>
          <w:szCs w:val="20"/>
          <w:color w:val="auto"/>
        </w:rPr>
      </w:pPr>
      <w:r>
        <w:rPr>
          <w:rFonts w:ascii="Arial" w:cs="Arial" w:eastAsia="Arial" w:hAnsi="Arial"/>
          <w:sz w:val="12"/>
          <w:szCs w:val="12"/>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20" w:lineRule="exact"/>
        <w:rPr>
          <w:sz w:val="20"/>
          <w:szCs w:val="20"/>
          <w:color w:val="auto"/>
        </w:rPr>
      </w:pPr>
    </w:p>
    <w:p>
      <w:pPr>
        <w:ind w:right="380" w:firstLine="456"/>
        <w:spacing w:after="0" w:line="239" w:lineRule="auto"/>
        <w:rPr>
          <w:sz w:val="20"/>
          <w:szCs w:val="20"/>
          <w:color w:val="auto"/>
        </w:rPr>
      </w:pPr>
      <w:r>
        <w:rPr>
          <w:rFonts w:ascii="Arial" w:cs="Arial" w:eastAsia="Arial" w:hAnsi="Arial"/>
          <w:sz w:val="14"/>
          <w:szCs w:val="14"/>
          <w:color w:val="auto"/>
        </w:rPr>
        <w:t>We adjust the valuation of our portfolio quarterly to reflect our board of directors’ determination of the fair value of each investment in our portfolio. Any changes in fair value are recorded on our Consolidated Statement of Operations as net change in unrealized appreciation or depreciation.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60" w:firstLine="456"/>
        <w:spacing w:after="0" w:line="270" w:lineRule="auto"/>
        <w:rPr>
          <w:sz w:val="20"/>
          <w:szCs w:val="20"/>
          <w:color w:val="auto"/>
        </w:rPr>
      </w:pPr>
      <w:r>
        <w:rPr>
          <w:rFonts w:ascii="Arial" w:cs="Arial" w:eastAsia="Arial" w:hAnsi="Arial"/>
          <w:sz w:val="12"/>
          <w:szCs w:val="12"/>
          <w:color w:val="auto"/>
        </w:rPr>
        <w:t>If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lack of liquidity in our investments may adversely affect our business.</w:t>
      </w:r>
    </w:p>
    <w:p>
      <w:pPr>
        <w:spacing w:after="0" w:line="71"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The illiquidity of our investments may make it difficult or impossible for us to sell such investments if the need arises, particularly at times when the market appetite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3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general disruption in the credit markets could materially damage our business.</w:t>
      </w:r>
    </w:p>
    <w:p>
      <w:pPr>
        <w:spacing w:after="0" w:line="71"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We are susceptible to the risk of significant loss if we are forced to discount the value of our investments in order to provide liquidity to meet our liability maturities. Funding I’s borrowings under it’s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1"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rely in part on our over-the-counter securities to provide us with adequate liquidity, but even these securities did face liquidity constraints under recent market conditions.</w:t>
      </w:r>
    </w:p>
    <w:p>
      <w:pPr>
        <w:spacing w:after="0" w:line="94"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investments in prospective portfolio companies may be risky, and you could lose all or part of your investment.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invest primarily in Floating Rate Loans issued by U.S. middle-market companies.</w:t>
      </w:r>
    </w:p>
    <w:p>
      <w:pPr>
        <w:spacing w:after="0" w:line="150" w:lineRule="exact"/>
        <w:rPr>
          <w:sz w:val="20"/>
          <w:szCs w:val="20"/>
          <w:color w:val="auto"/>
        </w:rPr>
      </w:pPr>
    </w:p>
    <w:p>
      <w:pPr>
        <w:ind w:left="800" w:right="20"/>
        <w:spacing w:after="0" w:line="270" w:lineRule="auto"/>
        <w:rPr>
          <w:sz w:val="20"/>
          <w:szCs w:val="20"/>
          <w:color w:val="auto"/>
        </w:rPr>
      </w:pPr>
      <w:r>
        <w:rPr>
          <w:rFonts w:ascii="Arial" w:cs="Arial" w:eastAsia="Arial" w:hAnsi="Arial"/>
          <w:sz w:val="12"/>
          <w:szCs w:val="12"/>
          <w:i w:val="1"/>
          <w:iCs w:val="1"/>
          <w:color w:val="auto"/>
        </w:rPr>
        <w:t>Floating Rate Loans</w:t>
      </w:r>
      <w:r>
        <w:rPr>
          <w:rFonts w:ascii="Arial" w:cs="Arial" w:eastAsia="Arial" w:hAnsi="Arial"/>
          <w:sz w:val="12"/>
          <w:szCs w:val="12"/>
          <w:color w:val="auto"/>
        </w:rPr>
        <w:t>. The Floating Rate Loans we invest in are usually rated below investment grade or may also be unrated. Investments in Floating Rate Loans rated below investment grade are</w:t>
      </w:r>
      <w:r>
        <w:rPr>
          <w:rFonts w:ascii="Arial" w:cs="Arial" w:eastAsia="Arial" w:hAnsi="Arial"/>
          <w:sz w:val="12"/>
          <w:szCs w:val="12"/>
          <w:i w:val="1"/>
          <w:iCs w:val="1"/>
          <w:color w:val="auto"/>
        </w:rPr>
        <w:t xml:space="preserve"> </w:t>
      </w:r>
      <w:r>
        <w:rPr>
          <w:rFonts w:ascii="Arial" w:cs="Arial" w:eastAsia="Arial" w:hAnsi="Arial"/>
          <w:sz w:val="12"/>
          <w:szCs w:val="12"/>
          <w:color w:val="auto"/>
        </w:rPr>
        <w:t>considered speculative because of the credit risk of their issuers. Such companies are more likely than investment grade issuers to default on their payments of interest and principal owed to us, and such defaults could reduce our net asset value and income distributions. An economic downturn would generally lead to a 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including liquidity risk and the risk of investing in below investment-grade, variable-rate securities.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Floating Rate Loans are subject to the risk of non-payment of scheduled interest or principal. Such non-payment would result in a reduction of income to us, a reduction in the value of the investment and a potential decrease in our net asset value.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 detrimental to the holders of loans including, in certain circumstances, invalidating such loans or causing interest previously paid to be refunded to the borrower. Either such step could materially negatively affect our performance.</w:t>
      </w:r>
    </w:p>
    <w:p>
      <w:pPr>
        <w:spacing w:after="0" w:line="123"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55" w:lineRule="exact"/>
        <w:rPr>
          <w:sz w:val="20"/>
          <w:szCs w:val="20"/>
          <w:color w:val="auto"/>
        </w:rPr>
      </w:pPr>
    </w:p>
    <w:p>
      <w:pPr>
        <w:ind w:left="540" w:right="120" w:hanging="316"/>
        <w:spacing w:after="0" w:line="239"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43"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3"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3" w:lineRule="exact"/>
        <w:rPr>
          <w:rFonts w:ascii="Arial" w:cs="Arial" w:eastAsia="Arial" w:hAnsi="Arial"/>
          <w:sz w:val="14"/>
          <w:szCs w:val="14"/>
          <w:color w:val="auto"/>
        </w:rPr>
      </w:pPr>
    </w:p>
    <w:p>
      <w:pPr>
        <w:ind w:left="540" w:right="160" w:hanging="316"/>
        <w:spacing w:after="0" w:line="288" w:lineRule="auto"/>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16" w:lineRule="exact"/>
        <w:rPr>
          <w:rFonts w:ascii="Arial" w:cs="Arial" w:eastAsia="Arial" w:hAnsi="Arial"/>
          <w:sz w:val="12"/>
          <w:szCs w:val="12"/>
          <w:color w:val="auto"/>
        </w:rPr>
      </w:pPr>
    </w:p>
    <w:p>
      <w:pPr>
        <w:ind w:left="540" w:hanging="316"/>
        <w:spacing w:after="0"/>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they may have difficulty accessing the capital markets to meet future capital needs, which may limit their ability to grow or to repay their outstanding indebtedness upon maturity.</w:t>
      </w:r>
    </w:p>
    <w:p>
      <w:pPr>
        <w:spacing w:after="0" w:line="252" w:lineRule="exact"/>
        <w:rPr>
          <w:sz w:val="20"/>
          <w:szCs w:val="20"/>
          <w:color w:val="auto"/>
        </w:rPr>
      </w:pPr>
    </w:p>
    <w:p>
      <w:pPr>
        <w:ind w:right="200"/>
        <w:spacing w:after="0" w:line="241" w:lineRule="auto"/>
        <w:rPr>
          <w:sz w:val="20"/>
          <w:szCs w:val="20"/>
          <w:color w:val="auto"/>
        </w:rPr>
      </w:pPr>
      <w:r>
        <w:rPr>
          <w:rFonts w:ascii="Arial" w:cs="Arial" w:eastAsia="Arial" w:hAnsi="Arial"/>
          <w:sz w:val="14"/>
          <w:szCs w:val="14"/>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spacing w:after="0" w:line="57"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equivalents, government securities and high quality debt securities maturing in one year or less from the time of investment.</w:t>
      </w:r>
    </w:p>
    <w:p>
      <w:pPr>
        <w:spacing w:after="0" w:line="139" w:lineRule="exact"/>
        <w:rPr>
          <w:sz w:val="20"/>
          <w:szCs w:val="20"/>
          <w:color w:val="auto"/>
        </w:rPr>
      </w:pPr>
    </w:p>
    <w:p>
      <w:pPr>
        <w:ind w:right="160" w:firstLine="456"/>
        <w:spacing w:after="0" w:line="273" w:lineRule="auto"/>
        <w:rPr>
          <w:sz w:val="20"/>
          <w:szCs w:val="20"/>
          <w:color w:val="auto"/>
        </w:rPr>
      </w:pPr>
      <w:r>
        <w:rPr>
          <w:rFonts w:ascii="Arial" w:cs="Arial" w:eastAsia="Arial" w:hAnsi="Arial"/>
          <w:sz w:val="12"/>
          <w:szCs w:val="12"/>
          <w:color w:val="auto"/>
        </w:rPr>
        <w:t>We believe that most of our Floating Rate Loan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360"/>
        <w:spacing w:after="0" w:line="241" w:lineRule="auto"/>
        <w:rPr>
          <w:sz w:val="20"/>
          <w:szCs w:val="20"/>
          <w:color w:val="auto"/>
        </w:rPr>
      </w:pPr>
      <w:r>
        <w:rPr>
          <w:rFonts w:ascii="Arial" w:cs="Arial" w:eastAsia="Arial" w:hAnsi="Arial"/>
          <w:sz w:val="14"/>
          <w:szCs w:val="14"/>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57"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Economic recessions or downturns could impair our portfolio companies and harm our operating results.</w:t>
      </w:r>
    </w:p>
    <w:p>
      <w:pPr>
        <w:spacing w:after="0" w:line="71"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40"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fail to make follow-on investments in our portfolio companies, this could materially impair the value of our portfolio.</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55"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150"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15" w:lineRule="exact"/>
        <w:rPr>
          <w:sz w:val="20"/>
          <w:szCs w:val="20"/>
          <w:color w:val="auto"/>
        </w:rPr>
      </w:pPr>
    </w:p>
    <w:p>
      <w:pPr>
        <w:ind w:right="660"/>
        <w:spacing w:after="0" w:line="241" w:lineRule="auto"/>
        <w:rPr>
          <w:sz w:val="20"/>
          <w:szCs w:val="20"/>
          <w:color w:val="auto"/>
        </w:rPr>
      </w:pPr>
      <w:r>
        <w:rPr>
          <w:rFonts w:ascii="Arial" w:cs="Arial" w:eastAsia="Arial" w:hAnsi="Arial"/>
          <w:sz w:val="14"/>
          <w:szCs w:val="14"/>
          <w:b w:val="1"/>
          <w:b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57"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37" w:lineRule="exact"/>
        <w:rPr>
          <w:sz w:val="20"/>
          <w:szCs w:val="20"/>
          <w:color w:val="auto"/>
        </w:rPr>
      </w:pPr>
    </w:p>
    <w:p>
      <w:pPr>
        <w:ind w:right="160"/>
        <w:spacing w:after="0" w:line="321" w:lineRule="auto"/>
        <w:rPr>
          <w:sz w:val="20"/>
          <w:szCs w:val="20"/>
          <w:color w:val="auto"/>
        </w:rPr>
      </w:pPr>
      <w:r>
        <w:rPr>
          <w:rFonts w:ascii="Arial" w:cs="Arial" w:eastAsia="Arial" w:hAnsi="Arial"/>
          <w:sz w:val="12"/>
          <w:szCs w:val="12"/>
          <w:b w:val="1"/>
          <w:b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11" w:lineRule="exact"/>
        <w:rPr>
          <w:sz w:val="20"/>
          <w:szCs w:val="20"/>
          <w:color w:val="auto"/>
        </w:rPr>
      </w:pPr>
    </w:p>
    <w:p>
      <w:pPr>
        <w:ind w:right="200" w:firstLine="456"/>
        <w:spacing w:after="0" w:line="278" w:lineRule="auto"/>
        <w:rPr>
          <w:sz w:val="20"/>
          <w:szCs w:val="20"/>
          <w:color w:val="auto"/>
        </w:rPr>
      </w:pPr>
      <w:r>
        <w:rPr>
          <w:rFonts w:ascii="Arial" w:cs="Arial" w:eastAsia="Arial" w:hAnsi="Arial"/>
          <w:sz w:val="12"/>
          <w:szCs w:val="12"/>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effect of global climate change may impact the operations of our portfolio companies.</w:t>
      </w:r>
    </w:p>
    <w:p>
      <w:pPr>
        <w:spacing w:after="0" w:line="7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portfolio companies may incur debt that ranks equally with, or senior to, our investments in such companies.</w:t>
      </w:r>
    </w:p>
    <w:p>
      <w:pPr>
        <w:spacing w:after="0" w:line="71" w:lineRule="exact"/>
        <w:rPr>
          <w:sz w:val="20"/>
          <w:szCs w:val="20"/>
          <w:color w:val="auto"/>
        </w:rPr>
      </w:pPr>
    </w:p>
    <w:p>
      <w:pPr>
        <w:ind w:right="140" w:firstLine="456"/>
        <w:spacing w:after="0" w:line="270" w:lineRule="auto"/>
        <w:rPr>
          <w:sz w:val="20"/>
          <w:szCs w:val="20"/>
          <w:color w:val="auto"/>
        </w:rPr>
      </w:pPr>
      <w:r>
        <w:rPr>
          <w:rFonts w:ascii="Arial" w:cs="Arial" w:eastAsia="Arial" w:hAnsi="Arial"/>
          <w:sz w:val="12"/>
          <w:szCs w:val="12"/>
          <w:color w:val="auto"/>
        </w:rPr>
        <w:t>We invest primarily in Floating Rate Loans issued by our portfolio companies. The portfolio companies usually may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incentive fee may induce the Investment Adviser to make speculative investments.</w:t>
      </w:r>
    </w:p>
    <w:p>
      <w:pPr>
        <w:spacing w:after="0" w:line="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3"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2"/>
          <w:szCs w:val="12"/>
          <w:color w:val="auto"/>
        </w:rPr>
        <w:t>The part of our incentive fee payable by us to PennantPark Investment Advisers that relates to our investment income is computed and paid on income that may include interest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make investments that cause our shareholders to bear investment advisory fees and other expenses on such investments in addition to our management fees and expenses.</w:t>
      </w:r>
    </w:p>
    <w:p>
      <w:pPr>
        <w:spacing w:after="0" w:line="94"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be obligated to pay our Investment Adviser incentive compensation even if we incur a loss.</w:t>
      </w:r>
    </w:p>
    <w:p>
      <w:pPr>
        <w:spacing w:after="0" w:line="71" w:lineRule="exact"/>
        <w:rPr>
          <w:sz w:val="20"/>
          <w:szCs w:val="20"/>
          <w:color w:val="auto"/>
        </w:rPr>
      </w:pPr>
    </w:p>
    <w:p>
      <w:pPr>
        <w:ind w:right="100" w:firstLine="342"/>
        <w:spacing w:after="0" w:line="278" w:lineRule="auto"/>
        <w:rPr>
          <w:sz w:val="20"/>
          <w:szCs w:val="20"/>
          <w:color w:val="auto"/>
        </w:rPr>
      </w:pPr>
      <w:r>
        <w:rPr>
          <w:rFonts w:ascii="Arial" w:cs="Arial" w:eastAsia="Arial" w:hAnsi="Arial"/>
          <w:sz w:val="12"/>
          <w:szCs w:val="12"/>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the Investment Adviser incentive compensation for a fiscal quarter even if there is a decline in the value of our portfolio or we incur a net loss for that quarter.</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investments in foreign securities may involve significant risks in addition to the risks inherent in U.S. investments.</w:t>
      </w:r>
    </w:p>
    <w:p>
      <w:pPr>
        <w:spacing w:after="0" w:line="71"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Our investment strategy contemplates potential investments in securities of companies located outside of the United States. Investments in securities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40"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expose ourselves to risks if we engage in hedging transactions.</w:t>
      </w:r>
    </w:p>
    <w:p>
      <w:pPr>
        <w:spacing w:after="0" w:line="71"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22"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There is a risk that our stockholders may not receive distributions or that our distributions may not grow over time.</w:t>
      </w:r>
    </w:p>
    <w:p>
      <w:pPr>
        <w:spacing w:after="0" w:line="71"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Investing in our shares may involve an above average degree of risk.</w:t>
      </w:r>
    </w:p>
    <w:p>
      <w:pPr>
        <w:spacing w:after="0" w:line="71"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allocate the net proceeds from any offering of our securities in ways with which you may not agree.</w:t>
      </w:r>
    </w:p>
    <w:p>
      <w:pPr>
        <w:spacing w:after="0" w:line="71" w:lineRule="exact"/>
        <w:rPr>
          <w:sz w:val="20"/>
          <w:szCs w:val="20"/>
          <w:color w:val="auto"/>
        </w:rPr>
      </w:pPr>
    </w:p>
    <w:p>
      <w:pPr>
        <w:ind w:right="540" w:firstLine="456"/>
        <w:spacing w:after="0" w:line="239" w:lineRule="auto"/>
        <w:rPr>
          <w:sz w:val="20"/>
          <w:szCs w:val="20"/>
          <w:color w:val="auto"/>
        </w:rPr>
      </w:pPr>
      <w:r>
        <w:rPr>
          <w:rFonts w:ascii="Arial" w:cs="Arial" w:eastAsia="Arial" w:hAnsi="Arial"/>
          <w:sz w:val="14"/>
          <w:szCs w:val="14"/>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shares may trade at discounts from net asset value or at premiums that are unsustainable over the long term.</w:t>
      </w:r>
    </w:p>
    <w:p>
      <w:pPr>
        <w:spacing w:after="0" w:line="71" w:lineRule="exact"/>
        <w:rPr>
          <w:sz w:val="20"/>
          <w:szCs w:val="20"/>
          <w:color w:val="auto"/>
        </w:rPr>
      </w:pPr>
    </w:p>
    <w:p>
      <w:pPr>
        <w:ind w:right="100" w:firstLine="456"/>
        <w:spacing w:after="0" w:line="278" w:lineRule="auto"/>
        <w:rPr>
          <w:sz w:val="20"/>
          <w:szCs w:val="20"/>
          <w:color w:val="auto"/>
        </w:rPr>
      </w:pPr>
      <w:r>
        <w:rPr>
          <w:rFonts w:ascii="Arial" w:cs="Arial" w:eastAsia="Arial" w:hAnsi="Arial"/>
          <w:sz w:val="12"/>
          <w:szCs w:val="12"/>
          <w:color w:val="auto"/>
        </w:rPr>
        <w:t>Shares of BDC’s may trade at a market price that is less than the net asset value that is attributable to those shares. Our shares may trade above and below our net asset value, or NAV. Our shares traded on the NASDAQ Global Select Market at $10.55 and $11.75 as of September 30, 2011 and March 31, 2012, respectively. Our NAV was $13.44 and $14.12 as of September 30, 2011 and March 31,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market price of our common stock may fluctuate significantly.</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44"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significant volatility in the market price and trading volume of securities of BDCs or other companies in our sector, which are not necessarily related to the operating performance of these companies;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or BDCs;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loss of RIC status;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inability of our Investment Adviser to employ additional experienced investment professionals or the departure of any of the Investment Adviser’s key personnel;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general economic trends and other external factors;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conversion features of subscription rights, warrants or convertible debt;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231"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be unable to invest the net proceeds raised from offerings on acceptable terms, which would harm our financial condition and operating results.</w:t>
      </w:r>
    </w:p>
    <w:p>
      <w:pPr>
        <w:spacing w:after="0" w:line="71"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of substantial amounts of our securities may have an adverse effect on the market price of our securities.</w:t>
      </w:r>
    </w:p>
    <w:p>
      <w:pPr>
        <w:spacing w:after="0" w:line="71"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You may have current tax liabilities on distributions you reinvest in our common stock.</w:t>
      </w:r>
    </w:p>
    <w:p>
      <w:pPr>
        <w:spacing w:after="0" w:line="7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“Dividend Reinvestment Plan” for more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There is a risk that our common stockholders may receive our stock as dividends in which case they may be required to pay taxes in excess of the cash they receive.</w:t>
      </w:r>
    </w:p>
    <w:p>
      <w:pPr>
        <w:spacing w:after="0" w:line="71" w:lineRule="exact"/>
        <w:rPr>
          <w:sz w:val="20"/>
          <w:szCs w:val="20"/>
          <w:color w:val="auto"/>
        </w:rPr>
      </w:pPr>
    </w:p>
    <w:p>
      <w:pPr>
        <w:jc w:val="both"/>
        <w:ind w:right="160" w:firstLine="456"/>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18" w:lineRule="exact"/>
        <w:rPr>
          <w:sz w:val="20"/>
          <w:szCs w:val="20"/>
          <w:color w:val="auto"/>
        </w:rPr>
      </w:pPr>
    </w:p>
    <w:p>
      <w:pPr>
        <w:spacing w:after="0" w:line="234" w:lineRule="auto"/>
        <w:rPr>
          <w:sz w:val="20"/>
          <w:szCs w:val="20"/>
          <w:color w:val="auto"/>
        </w:rPr>
      </w:pPr>
      <w:r>
        <w:rPr>
          <w:rFonts w:ascii="Arial" w:cs="Arial" w:eastAsia="Arial" w:hAnsi="Arial"/>
          <w:sz w:val="14"/>
          <w:szCs w:val="14"/>
          <w:b w:val="1"/>
          <w:bCs w:val="1"/>
          <w:color w:val="auto"/>
        </w:rPr>
        <w:t>We may obtain the approval of our stockholders to issue shares of our common stock at prices below the then current net asset value per share of our common stock. If we receive such approval from stockholders, in the future, we may issue shares of our common stock at a price below the then current net asset value per share of common stock. Any such issuance could materially dilute your interest in our common stock and reduce our net asset value per share.</w:t>
      </w:r>
    </w:p>
    <w:p>
      <w:pPr>
        <w:spacing w:after="0" w:line="22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We intend to seek to obtain from our stockholders and they may approve a proposal that authorizes us to sell shares of our common stock below the then current net asset value per share of our common stock in one or more offerings for a 12-month period. Such approval will allow us to access the capital markets in a way that we were previously unable to as a result of restrictions that, absent stockholder approval, apply to BDCs under the 1940 Act.</w:t>
      </w:r>
    </w:p>
    <w:p>
      <w:pPr>
        <w:spacing w:after="0" w:line="220"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Any sale or other issuance of shares of our common stock at a price below net asset value per share will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offerings we make at a price below our then current net asset value in the future in a prospectus supplement issued in connection with any such offering.</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incur significant costs as a result of being a publicly traded company.</w:t>
      </w:r>
    </w:p>
    <w:p>
      <w:pPr>
        <w:spacing w:after="0" w:line="71"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and other rules implemented by the SEC and the listing standards of the NASDAQ.</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Provisions of the Maryland General Corporation Law and of our charter and bylaws could deter takeover attempts and have an adverse impact on the price of our common stock.</w:t>
      </w:r>
    </w:p>
    <w:p>
      <w:pPr>
        <w:spacing w:after="0" w:line="94"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40"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40" w:lineRule="exact"/>
        <w:rPr>
          <w:sz w:val="20"/>
          <w:szCs w:val="20"/>
          <w:color w:val="auto"/>
        </w:rPr>
      </w:pPr>
    </w:p>
    <w:p>
      <w:pPr>
        <w:jc w:val="center"/>
        <w:ind w:left="300" w:right="400"/>
        <w:spacing w:after="0" w:line="459"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 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FORWARD-LOOKING STATEMENTS</w:t>
      </w:r>
    </w:p>
    <w:p>
      <w:pPr>
        <w:spacing w:after="0" w:line="152" w:lineRule="exact"/>
        <w:rPr>
          <w:sz w:val="20"/>
          <w:szCs w:val="20"/>
          <w:color w:val="auto"/>
        </w:rPr>
      </w:pPr>
    </w:p>
    <w:p>
      <w:pPr>
        <w:ind w:right="240" w:firstLine="456"/>
        <w:spacing w:after="0" w:line="233" w:lineRule="auto"/>
        <w:rPr>
          <w:sz w:val="20"/>
          <w:szCs w:val="20"/>
          <w:color w:val="auto"/>
        </w:rPr>
      </w:pPr>
      <w:r>
        <w:rPr>
          <w:rFonts w:ascii="Arial" w:cs="Arial" w:eastAsia="Arial" w:hAnsi="Arial"/>
          <w:sz w:val="14"/>
          <w:szCs w:val="14"/>
          <w:color w:val="auto"/>
        </w:rPr>
        <w:t>This prospectus contains statements that constitute forward-looking statements, which relate to us and our consolidated subsidiary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58"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50"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reliance on the forward looking statements as our actual results could differ materially from those projected in the forward-looking statements for any reason, including the factors set forth in our prospectus entitled “Risk Factors” and elsewhere.</w:t>
      </w:r>
    </w:p>
    <w:p>
      <w:pPr>
        <w:spacing w:after="0" w:line="139" w:lineRule="exact"/>
        <w:rPr>
          <w:sz w:val="20"/>
          <w:szCs w:val="20"/>
          <w:color w:val="auto"/>
        </w:rPr>
      </w:pPr>
    </w:p>
    <w:p>
      <w:pPr>
        <w:ind w:right="160" w:firstLine="456"/>
        <w:spacing w:after="0" w:line="230"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SEC including annual and quarterly reports on Form 10-K/Q and current reports on Form 8-K.</w:t>
      </w:r>
    </w:p>
    <w:p>
      <w:pPr>
        <w:spacing w:after="0" w:line="13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You should understand that, under Sections 27A(b)(2)(B) of the Securities Act of 1933, as amended, or the Securities Act, and Section 21E(b)(2)(B) of the Exchange Act the “safe harbor” provisions of the Private Securities Litigation Reform Act of 1995 do not apply to statements made in connection with any offering of securities pursuant to this prospectus or in periodic reports we file under the Exchange Act.</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USE OF PROCEEDS</w:t>
      </w:r>
    </w:p>
    <w:p>
      <w:pPr>
        <w:spacing w:after="0" w:line="152" w:lineRule="exact"/>
        <w:rPr>
          <w:sz w:val="20"/>
          <w:szCs w:val="20"/>
          <w:color w:val="auto"/>
        </w:rPr>
      </w:pPr>
    </w:p>
    <w:p>
      <w:pPr>
        <w:ind w:right="140" w:firstLine="456"/>
        <w:spacing w:after="0" w:line="318" w:lineRule="auto"/>
        <w:rPr>
          <w:sz w:val="20"/>
          <w:szCs w:val="20"/>
          <w:color w:val="auto"/>
        </w:rPr>
      </w:pPr>
      <w:r>
        <w:rPr>
          <w:rFonts w:ascii="Arial" w:cs="Arial" w:eastAsia="Arial" w:hAnsi="Arial"/>
          <w:sz w:val="12"/>
          <w:szCs w:val="12"/>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purposes. Any supplements to this prospectus relating to an offering may more fully identify the use of the proceeds from such offering.</w:t>
      </w:r>
    </w:p>
    <w:p>
      <w:pPr>
        <w:spacing w:after="0" w:line="94"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As of March 31, 2012, we had $47.8 million in borrowings outstanding under our $100.0 million Credit Facility. Borrowings under our Credit Facility bear interest at a commercial paper rate that approximates LIBOR plus 225 basis points per annum for the first three years, or the revolving period, and the rate resets to LIBOR plus 425 basis points for the remaining two years. At March 31, 2012, the interest rate at that time was 2.54%. The Credit Facility is a revolving facility with a stated maturity date of June 23, 2016 and is secured by all of the assets held by Funding I. Amounts repaid under our Credit Facility remain available for future borrowings during the revolving period. See “Management’s Discussion and Analysis of Financial Condition and Results of Operations—Liquidity and Capital Resources” for more information.</w:t>
      </w:r>
    </w:p>
    <w:p>
      <w:pPr>
        <w:spacing w:after="0" w:line="140"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assets.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temporary investments. See “Regulation—Temporary Investments” for more information.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SELECTED FINANCIAL DATA</w:t>
      </w:r>
    </w:p>
    <w:p>
      <w:pPr>
        <w:spacing w:after="0" w:line="152"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six months ended March 31, 2012 are derived from our unaudited Consolidated Financial Statements. The selected financial data for the period from March 4, 2011 (commencement of operations) through September 30, 2011 are derived from our Consolidated Financial Statements which have been audited by KPMG LLP, our independent registered public accounting firm. This selected financial data should be read in conjunction with our Consolidated Financial Statements and related notes thereto and “Management’s Discussion and Analysis of Financial Condition and Results of Operations.”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(Dollar amounts in thousands, except per share data)</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Operations data:</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Total investment income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expenses before debt issuance costs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investment income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realized and unrealized (loss) gain</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Net increase (decrease) in net assets resulting from operations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data:</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Net asset value (at period end)</w:t>
      </w:r>
    </w:p>
    <w:p>
      <w:pPr>
        <w:spacing w:after="0"/>
        <w:rPr>
          <w:sz w:val="20"/>
          <w:szCs w:val="20"/>
          <w:color w:val="auto"/>
        </w:rPr>
      </w:pPr>
      <w:r>
        <w:rPr>
          <w:rFonts w:ascii="Arial" w:cs="Arial" w:eastAsia="Arial" w:hAnsi="Arial"/>
          <w:sz w:val="14"/>
          <w:szCs w:val="14"/>
          <w:color w:val="auto"/>
        </w:rPr>
        <w:t>Net investment income</w:t>
      </w:r>
      <w:r>
        <w:rPr>
          <w:rFonts w:ascii="Arial" w:cs="Arial" w:eastAsia="Arial" w:hAnsi="Arial"/>
          <w:sz w:val="22"/>
          <w:szCs w:val="22"/>
          <w:color w:val="auto"/>
          <w:vertAlign w:val="superscript"/>
        </w:rPr>
        <w:t>(2)</w:t>
      </w:r>
    </w:p>
    <w:p>
      <w:pPr>
        <w:spacing w:after="0" w:line="205" w:lineRule="auto"/>
        <w:rPr>
          <w:sz w:val="20"/>
          <w:szCs w:val="20"/>
          <w:color w:val="auto"/>
        </w:rPr>
      </w:pPr>
      <w:r>
        <w:rPr>
          <w:rFonts w:ascii="Arial" w:cs="Arial" w:eastAsia="Arial" w:hAnsi="Arial"/>
          <w:sz w:val="14"/>
          <w:szCs w:val="14"/>
          <w:color w:val="auto"/>
        </w:rPr>
        <w:t>Net realized and unrealized (loss) gain</w:t>
      </w:r>
      <w:r>
        <w:rPr>
          <w:rFonts w:ascii="Arial" w:cs="Arial" w:eastAsia="Arial" w:hAnsi="Arial"/>
          <w:sz w:val="22"/>
          <w:szCs w:val="22"/>
          <w:color w:val="auto"/>
          <w:vertAlign w:val="superscript"/>
        </w:rPr>
        <w:t>(2)</w:t>
      </w:r>
    </w:p>
    <w:p>
      <w:pPr>
        <w:spacing w:after="0"/>
        <w:rPr>
          <w:sz w:val="20"/>
          <w:szCs w:val="20"/>
          <w:color w:val="auto"/>
        </w:rPr>
      </w:pPr>
      <w:r>
        <w:rPr>
          <w:rFonts w:ascii="Arial" w:cs="Arial" w:eastAsia="Arial" w:hAnsi="Arial"/>
          <w:sz w:val="11"/>
          <w:szCs w:val="11"/>
          <w:color w:val="auto"/>
        </w:rPr>
        <w:t>Net increase (decrease) in net assets resulting from operations</w:t>
      </w:r>
      <w:r>
        <w:rPr>
          <w:rFonts w:ascii="Arial" w:cs="Arial" w:eastAsia="Arial" w:hAnsi="Arial"/>
          <w:sz w:val="17"/>
          <w:szCs w:val="17"/>
          <w:color w:val="auto"/>
          <w:vertAlign w:val="superscript"/>
        </w:rPr>
        <w:t>(2)</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Distributions declared</w:t>
      </w:r>
      <w:r>
        <w:rPr>
          <w:rFonts w:ascii="Arial" w:cs="Arial" w:eastAsia="Arial" w:hAnsi="Arial"/>
          <w:sz w:val="22"/>
          <w:szCs w:val="22"/>
          <w:color w:val="auto"/>
          <w:vertAlign w:val="superscript"/>
        </w:rPr>
        <w:t>(2),(3)</w:t>
      </w:r>
    </w:p>
    <w:p>
      <w:pPr>
        <w:spacing w:after="0"/>
        <w:rPr>
          <w:sz w:val="20"/>
          <w:szCs w:val="20"/>
          <w:color w:val="auto"/>
        </w:rPr>
      </w:pPr>
      <w:r>
        <w:rPr>
          <w:rFonts w:ascii="Arial" w:cs="Arial" w:eastAsia="Arial" w:hAnsi="Arial"/>
          <w:sz w:val="12"/>
          <w:szCs w:val="12"/>
          <w:b w:val="1"/>
          <w:bCs w:val="1"/>
          <w:color w:val="auto"/>
        </w:rPr>
        <w:t>Consolidated Statement of Assets and Liabilities data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 period end):</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Total assets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investment portfolio</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Borrowings outstanding</w:t>
      </w:r>
      <w:r>
        <w:rPr>
          <w:rFonts w:ascii="Arial" w:cs="Arial" w:eastAsia="Arial" w:hAnsi="Arial"/>
          <w:sz w:val="22"/>
          <w:szCs w:val="22"/>
          <w:color w:val="auto"/>
          <w:vertAlign w:val="superscript"/>
        </w:rPr>
        <w:t>(4)</w:t>
      </w:r>
    </w:p>
    <w:p>
      <w:pPr>
        <w:spacing w:after="0"/>
        <w:rPr>
          <w:sz w:val="20"/>
          <w:szCs w:val="20"/>
          <w:color w:val="auto"/>
        </w:rPr>
      </w:pPr>
      <w:r>
        <w:rPr>
          <w:rFonts w:ascii="Arial" w:cs="Arial" w:eastAsia="Arial" w:hAnsi="Arial"/>
          <w:sz w:val="12"/>
          <w:szCs w:val="12"/>
          <w:color w:val="auto"/>
        </w:rPr>
        <w:t>Payable for investments purchased and unfunded investments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Total net asset value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data:</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Total return</w:t>
      </w:r>
      <w:r>
        <w:rPr>
          <w:rFonts w:ascii="Arial" w:cs="Arial" w:eastAsia="Arial" w:hAnsi="Arial"/>
          <w:sz w:val="22"/>
          <w:szCs w:val="22"/>
          <w:color w:val="auto"/>
          <w:vertAlign w:val="superscript"/>
        </w:rPr>
        <w:t>(5)</w:t>
      </w:r>
    </w:p>
    <w:p>
      <w:pPr>
        <w:spacing w:after="0" w:line="224" w:lineRule="auto"/>
        <w:rPr>
          <w:sz w:val="20"/>
          <w:szCs w:val="20"/>
          <w:color w:val="auto"/>
        </w:rPr>
      </w:pPr>
      <w:r>
        <w:rPr>
          <w:rFonts w:ascii="Arial" w:cs="Arial" w:eastAsia="Arial" w:hAnsi="Arial"/>
          <w:sz w:val="14"/>
          <w:szCs w:val="14"/>
          <w:color w:val="auto"/>
        </w:rPr>
        <w:t>Number of portfolio companies (at period end)</w:t>
      </w:r>
      <w:r>
        <w:rPr>
          <w:rFonts w:ascii="Arial" w:cs="Arial" w:eastAsia="Arial" w:hAnsi="Arial"/>
          <w:sz w:val="22"/>
          <w:szCs w:val="22"/>
          <w:color w:val="auto"/>
          <w:vertAlign w:val="superscript"/>
        </w:rPr>
        <w:t>(6)</w:t>
      </w:r>
    </w:p>
    <w:p>
      <w:pPr>
        <w:spacing w:after="0" w:line="220" w:lineRule="auto"/>
        <w:rPr>
          <w:sz w:val="20"/>
          <w:szCs w:val="20"/>
          <w:color w:val="auto"/>
        </w:rPr>
      </w:pPr>
      <w:r>
        <w:rPr>
          <w:rFonts w:ascii="Arial" w:cs="Arial" w:eastAsia="Arial" w:hAnsi="Arial"/>
          <w:sz w:val="14"/>
          <w:szCs w:val="14"/>
          <w:color w:val="auto"/>
        </w:rPr>
        <w:t>Yield on debt portfolio (at period end)</w:t>
      </w:r>
      <w:r>
        <w:rPr>
          <w:rFonts w:ascii="Arial" w:cs="Arial" w:eastAsia="Arial" w:hAnsi="Arial"/>
          <w:sz w:val="22"/>
          <w:szCs w:val="22"/>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5176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For the period from</w:t>
            </w:r>
          </w:p>
        </w:tc>
      </w:tr>
      <w:tr>
        <w:trPr>
          <w:trHeight w:val="149"/>
        </w:trPr>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March 4, 2011</w:t>
            </w:r>
          </w:p>
        </w:tc>
      </w:tr>
      <w:tr>
        <w:trPr>
          <w:trHeight w:val="149"/>
        </w:trPr>
        <w:tc>
          <w:tcPr>
            <w:tcW w:w="2380" w:type="dxa"/>
            <w:vAlign w:val="bottom"/>
            <w:gridSpan w:val="3"/>
          </w:tcPr>
          <w:p>
            <w:pPr>
              <w:jc w:val="right"/>
              <w:ind w:right="1340"/>
              <w:spacing w:after="0" w:line="149" w:lineRule="exact"/>
              <w:rPr>
                <w:sz w:val="20"/>
                <w:szCs w:val="20"/>
                <w:color w:val="auto"/>
              </w:rPr>
            </w:pPr>
            <w:r>
              <w:rPr>
                <w:rFonts w:ascii="Arial" w:cs="Arial" w:eastAsia="Arial" w:hAnsi="Arial"/>
                <w:sz w:val="14"/>
                <w:szCs w:val="14"/>
                <w:b w:val="1"/>
                <w:bCs w:val="1"/>
                <w:color w:val="auto"/>
                <w:w w:val="85"/>
              </w:rPr>
              <w:t>Six Months ended</w:t>
            </w:r>
          </w:p>
        </w:tc>
        <w:tc>
          <w:tcPr>
            <w:tcW w:w="1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(commencement of operations)</w:t>
            </w:r>
          </w:p>
        </w:tc>
      </w:tr>
      <w:tr>
        <w:trPr>
          <w:trHeight w:val="161"/>
        </w:trPr>
        <w:tc>
          <w:tcPr>
            <w:tcW w:w="2380" w:type="dxa"/>
            <w:vAlign w:val="bottom"/>
            <w:gridSpan w:val="3"/>
          </w:tcPr>
          <w:p>
            <w:pPr>
              <w:jc w:val="right"/>
              <w:ind w:right="1420"/>
              <w:spacing w:after="0"/>
              <w:rPr>
                <w:sz w:val="20"/>
                <w:szCs w:val="20"/>
                <w:color w:val="auto"/>
              </w:rPr>
            </w:pPr>
            <w:r>
              <w:rPr>
                <w:rFonts w:ascii="Arial" w:cs="Arial" w:eastAsia="Arial" w:hAnsi="Arial"/>
                <w:sz w:val="14"/>
                <w:szCs w:val="14"/>
                <w:b w:val="1"/>
                <w:bCs w:val="1"/>
                <w:color w:val="auto"/>
                <w:w w:val="94"/>
              </w:rPr>
              <w:t>March 31, 2012</w:t>
            </w:r>
          </w:p>
        </w:tc>
        <w:tc>
          <w:tcPr>
            <w:tcW w:w="1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through September 30, 2011</w:t>
            </w:r>
          </w:p>
        </w:tc>
      </w:tr>
      <w:tr>
        <w:trPr>
          <w:trHeight w:val="385"/>
        </w:trPr>
        <w:tc>
          <w:tcPr>
            <w:tcW w:w="34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5,411</w:t>
            </w:r>
          </w:p>
        </w:tc>
        <w:tc>
          <w:tcPr>
            <w:tcW w:w="1340" w:type="dxa"/>
            <w:vAlign w:val="bottom"/>
          </w:tcPr>
          <w:p>
            <w:pPr>
              <w:spacing w:after="0"/>
              <w:rPr>
                <w:sz w:val="24"/>
                <w:szCs w:val="24"/>
                <w:color w:val="auto"/>
              </w:rPr>
            </w:pPr>
          </w:p>
        </w:tc>
        <w:tc>
          <w:tcPr>
            <w:tcW w:w="2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2,947</w:t>
            </w:r>
          </w:p>
        </w:tc>
        <w:tc>
          <w:tcPr>
            <w:tcW w:w="160" w:type="dxa"/>
            <w:vAlign w:val="bottom"/>
          </w:tcPr>
          <w:p>
            <w:pPr>
              <w:spacing w:after="0"/>
              <w:rPr>
                <w:sz w:val="24"/>
                <w:szCs w:val="24"/>
                <w:color w:val="auto"/>
              </w:rPr>
            </w:pPr>
          </w:p>
        </w:tc>
      </w:tr>
      <w:tr>
        <w:trPr>
          <w:trHeight w:val="260"/>
        </w:trPr>
        <w:tc>
          <w:tcPr>
            <w:tcW w:w="3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2,491</w:t>
            </w: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4"/>
                <w:szCs w:val="14"/>
                <w:color w:val="auto"/>
              </w:rPr>
              <w:t>1,260</w:t>
            </w:r>
            <w:r>
              <w:rPr>
                <w:rFonts w:ascii="Arial" w:cs="Arial" w:eastAsia="Arial" w:hAnsi="Arial"/>
                <w:sz w:val="22"/>
                <w:szCs w:val="22"/>
                <w:color w:val="auto"/>
                <w:vertAlign w:val="superscript"/>
              </w:rPr>
              <w:t>(1)</w:t>
            </w:r>
          </w:p>
        </w:tc>
      </w:tr>
      <w:tr>
        <w:trPr>
          <w:trHeight w:val="172"/>
        </w:trPr>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2,920</w:t>
            </w: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320</w:t>
            </w:r>
          </w:p>
        </w:tc>
        <w:tc>
          <w:tcPr>
            <w:tcW w:w="160" w:type="dxa"/>
            <w:vAlign w:val="bottom"/>
          </w:tcPr>
          <w:p>
            <w:pPr>
              <w:spacing w:after="0"/>
              <w:rPr>
                <w:sz w:val="14"/>
                <w:szCs w:val="14"/>
                <w:color w:val="auto"/>
              </w:rPr>
            </w:pP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4,710</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(3,793)</w:t>
            </w: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7,630</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(3,473)</w:t>
            </w:r>
          </w:p>
        </w:tc>
      </w:tr>
      <w:tr>
        <w:trPr>
          <w:trHeight w:val="378"/>
        </w:trPr>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14.12</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13.44</w:t>
            </w:r>
          </w:p>
        </w:tc>
        <w:tc>
          <w:tcPr>
            <w:tcW w:w="1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0.43</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0.69</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(0.56)</w:t>
            </w: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(0.51)</w:t>
            </w: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0.44</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0.25</w:t>
            </w:r>
          </w:p>
        </w:tc>
        <w:tc>
          <w:tcPr>
            <w:tcW w:w="160" w:type="dxa"/>
            <w:vAlign w:val="bottom"/>
          </w:tcPr>
          <w:p>
            <w:pPr>
              <w:spacing w:after="0"/>
              <w:rPr>
                <w:sz w:val="18"/>
                <w:szCs w:val="18"/>
                <w:color w:val="auto"/>
              </w:rPr>
            </w:pPr>
          </w:p>
        </w:tc>
      </w:tr>
      <w:tr>
        <w:trPr>
          <w:trHeight w:val="581"/>
        </w:trPr>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151,174</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121,075</w:t>
            </w:r>
          </w:p>
        </w:tc>
        <w:tc>
          <w:tcPr>
            <w:tcW w:w="1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146,188</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110,724</w:t>
            </w: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47,561</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24,650</w:t>
            </w: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5,102</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3,313</w:t>
            </w: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96,722</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92,072</w:t>
            </w:r>
          </w:p>
        </w:tc>
        <w:tc>
          <w:tcPr>
            <w:tcW w:w="1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040" w:type="dxa"/>
            <w:vAlign w:val="bottom"/>
            <w:gridSpan w:val="2"/>
          </w:tcPr>
          <w:p>
            <w:pPr>
              <w:jc w:val="right"/>
              <w:ind w:right="1220"/>
              <w:spacing w:after="0"/>
              <w:rPr>
                <w:sz w:val="20"/>
                <w:szCs w:val="20"/>
                <w:color w:val="auto"/>
              </w:rPr>
            </w:pPr>
            <w:r>
              <w:rPr>
                <w:rFonts w:ascii="Arial" w:cs="Arial" w:eastAsia="Arial" w:hAnsi="Arial"/>
                <w:sz w:val="14"/>
                <w:szCs w:val="14"/>
                <w:color w:val="auto"/>
              </w:rPr>
              <w:t>15.75%</w:t>
            </w:r>
          </w:p>
        </w:tc>
        <w:tc>
          <w:tcPr>
            <w:tcW w:w="20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(28.1)%</w:t>
            </w:r>
          </w:p>
        </w:tc>
      </w:tr>
      <w:tr>
        <w:trPr>
          <w:trHeight w:val="216"/>
        </w:trPr>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40" w:type="dxa"/>
            <w:vAlign w:val="bottom"/>
            <w:gridSpan w:val="2"/>
          </w:tcPr>
          <w:p>
            <w:pPr>
              <w:jc w:val="right"/>
              <w:ind w:right="1220"/>
              <w:spacing w:after="0"/>
              <w:rPr>
                <w:sz w:val="20"/>
                <w:szCs w:val="20"/>
                <w:color w:val="auto"/>
              </w:rPr>
            </w:pPr>
            <w:r>
              <w:rPr>
                <w:rFonts w:ascii="Arial" w:cs="Arial" w:eastAsia="Arial" w:hAnsi="Arial"/>
                <w:sz w:val="14"/>
                <w:szCs w:val="14"/>
                <w:color w:val="auto"/>
              </w:rPr>
              <w:t>8.6%</w:t>
            </w:r>
          </w:p>
        </w:tc>
        <w:tc>
          <w:tcPr>
            <w:tcW w:w="200" w:type="dxa"/>
            <w:vAlign w:val="bottom"/>
          </w:tcPr>
          <w:p>
            <w:pPr>
              <w:spacing w:after="0"/>
              <w:rPr>
                <w:sz w:val="18"/>
                <w:szCs w:val="18"/>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4"/>
                <w:szCs w:val="14"/>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-3060700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-2786380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-2512060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-2237105</wp:posOffset>
            </wp:positionV>
            <wp:extent cx="7246620" cy="102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-1997075</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-1722755</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-1448435</wp:posOffset>
            </wp:positionV>
            <wp:extent cx="7246620" cy="2317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-1079500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-805180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-530860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-256540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6340" w:space="720"/>
            <w:col w:w="4320"/>
          </w:cols>
          <w:pgMar w:left="240" w:top="459" w:right="279" w:bottom="1440" w:gutter="0" w:footer="0" w:header="0"/>
          <w:type w:val="continuous"/>
        </w:sectPr>
      </w:pPr>
    </w:p>
    <w:p>
      <w:pPr>
        <w:spacing w:after="0" w:line="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Included start-up and organizational costs. Total expenses after debt issuance costs are $2,626.</w:t>
      </w: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Determined based on taxable income calculated in accordance with income tax regulations which may differ from amounts determined under GAAP.</w:t>
      </w: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At fair value in the case of our Credit Facility.</w:t>
      </w: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dividends and distributions, if any, reinvested in accordance with our dividend reinvestment plan. Total return is not annualized for a period less than one year.</w:t>
      </w: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Unaudited.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380"/>
          </w:cols>
          <w:pgMar w:left="240" w:top="459" w:right="27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Selected Quarterly Data (Unaudited)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investment income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realized and unrealized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increase in net assets resulting from operations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increase in net assets resulting from operations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asset value per share at the end of the quarter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Market value per share at the end of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investment income (loss)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realized and unrealized (loss)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decrease in net assets resulting from operations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decrease in net assets resulting from operations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asset value per share at the end of the quarter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Market value per share at the end of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28301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From March 4, 2011 (commencement of operations) through March 31, 2011, there was only a seed capital investment.</w:t>
      </w:r>
    </w:p>
    <w:p>
      <w:pPr>
        <w:spacing w:after="0" w:line="15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83"/>
              </w:rPr>
              <w:t>2012</w:t>
            </w:r>
          </w:p>
        </w:tc>
        <w:tc>
          <w:tcPr>
            <w:tcW w:w="900" w:type="dxa"/>
            <w:vAlign w:val="bottom"/>
            <w:tcBorders>
              <w:bottom w:val="single" w:sz="8" w:color="auto"/>
            </w:tcBorders>
          </w:tcPr>
          <w:p>
            <w:pPr>
              <w:spacing w:after="0"/>
              <w:rPr>
                <w:sz w:val="14"/>
                <w:szCs w:val="14"/>
                <w:color w:val="auto"/>
              </w:rPr>
            </w:pPr>
          </w:p>
        </w:tc>
      </w:tr>
      <w:tr>
        <w:trPr>
          <w:trHeight w:val="142"/>
        </w:trPr>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Q2</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Q1</w:t>
            </w:r>
          </w:p>
        </w:tc>
      </w:tr>
      <w:tr>
        <w:trPr>
          <w:trHeight w:val="209"/>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2,944</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2,467</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1,545</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1,375</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2,980</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1,730</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4,525</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3,105</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0.66</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0.45</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14.12</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13.68</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11.75</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10.30</w:t>
            </w: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2011</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Q4</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r>
      <w:tr>
        <w:trPr>
          <w:trHeight w:val="209"/>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2,048</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899</w:t>
            </w:r>
          </w:p>
        </w:tc>
        <w:tc>
          <w:tcPr>
            <w:tcW w:w="20" w:type="dxa"/>
            <w:vAlign w:val="bottom"/>
          </w:tcPr>
          <w:p>
            <w:pPr>
              <w:spacing w:after="0"/>
              <w:rPr>
                <w:sz w:val="18"/>
                <w:szCs w:val="18"/>
                <w:color w:val="auto"/>
              </w:rPr>
            </w:pP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1,203</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(883)</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(4,012)</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219</w:t>
            </w:r>
          </w:p>
        </w:tc>
        <w:tc>
          <w:tcPr>
            <w:tcW w:w="20" w:type="dxa"/>
            <w:vAlign w:val="bottom"/>
          </w:tcPr>
          <w:p>
            <w:pPr>
              <w:spacing w:after="0"/>
              <w:rPr>
                <w:sz w:val="18"/>
                <w:szCs w:val="18"/>
                <w:color w:val="auto"/>
              </w:rPr>
            </w:pP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(2,809)</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(664)</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(0.51)</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(0.10)</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13.44</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14.06</w:t>
            </w:r>
          </w:p>
        </w:tc>
        <w:tc>
          <w:tcPr>
            <w:tcW w:w="20" w:type="dxa"/>
            <w:vAlign w:val="bottom"/>
          </w:tcPr>
          <w:p>
            <w:pPr>
              <w:spacing w:after="0"/>
              <w:rPr>
                <w:sz w:val="18"/>
                <w:szCs w:val="18"/>
                <w:color w:val="auto"/>
              </w:rPr>
            </w:pP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10.55</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12.69</w:t>
            </w:r>
          </w:p>
        </w:tc>
        <w:tc>
          <w:tcPr>
            <w:tcW w:w="20" w:type="dxa"/>
            <w:vAlign w:val="bottom"/>
          </w:tcPr>
          <w:p>
            <w:pPr>
              <w:spacing w:after="0"/>
              <w:rPr>
                <w:sz w:val="18"/>
                <w:szCs w:val="18"/>
                <w:color w:val="auto"/>
              </w:rPr>
            </w:pPr>
          </w:p>
        </w:tc>
      </w:tr>
    </w:tbl>
    <w:p>
      <w:pPr>
        <w:sectPr>
          <w:pgSz w:w="11900" w:h="16838" w:orient="portrait"/>
          <w:cols w:equalWidth="0" w:num="2">
            <w:col w:w="7940" w:space="720"/>
            <w:col w:w="268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RESULTS OF OPERATIONS</w:t>
      </w:r>
    </w:p>
    <w:p>
      <w:pPr>
        <w:spacing w:after="0" w:line="138" w:lineRule="exact"/>
        <w:rPr>
          <w:sz w:val="20"/>
          <w:szCs w:val="20"/>
          <w:color w:val="auto"/>
        </w:rPr>
      </w:pPr>
    </w:p>
    <w:p>
      <w:pPr>
        <w:ind w:right="580" w:firstLine="456"/>
        <w:spacing w:after="0" w:line="239" w:lineRule="auto"/>
        <w:rPr>
          <w:sz w:val="20"/>
          <w:szCs w:val="20"/>
          <w:color w:val="auto"/>
        </w:rPr>
      </w:pPr>
      <w:r>
        <w:rPr>
          <w:rFonts w:ascii="Arial" w:cs="Arial" w:eastAsia="Arial" w:hAnsi="Arial"/>
          <w:sz w:val="14"/>
          <w:szCs w:val="14"/>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71"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58"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believe that Floating Rate Loans to private middle-market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42" w:lineRule="exact"/>
        <w:rPr>
          <w:sz w:val="20"/>
          <w:szCs w:val="20"/>
          <w:color w:val="auto"/>
        </w:rPr>
      </w:pPr>
    </w:p>
    <w:p>
      <w:pPr>
        <w:jc w:val="both"/>
        <w:ind w:right="40" w:firstLine="456"/>
        <w:spacing w:after="0" w:line="278" w:lineRule="auto"/>
        <w:rPr>
          <w:sz w:val="20"/>
          <w:szCs w:val="20"/>
          <w:color w:val="auto"/>
        </w:rPr>
      </w:pPr>
      <w:r>
        <w:rPr>
          <w:rFonts w:ascii="Arial" w:cs="Arial" w:eastAsia="Arial" w:hAnsi="Arial"/>
          <w:sz w:val="12"/>
          <w:szCs w:val="12"/>
          <w:color w:val="auto"/>
        </w:rPr>
        <w:t>Under normal market conditions, we generally expect that at least 80% of the value of our managed assets will be invested in Floating Rate Loans and other instruments bearing a variable rate of interest which may, from time to time, include variable 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range between $1 million and $10 million, on average, although we expect that this investment size will vary proportionately with the size of our capital base.</w:t>
      </w:r>
    </w:p>
    <w:p>
      <w:pPr>
        <w:spacing w:after="0" w:line="36"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proceeds from the rotation of our portfolio and proceeds from public and private offerings of securities to finance our investment objectives.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right="160" w:firstLine="456"/>
        <w:spacing w:after="0" w:line="278" w:lineRule="auto"/>
        <w:rPr>
          <w:sz w:val="20"/>
          <w:szCs w:val="20"/>
          <w:color w:val="auto"/>
        </w:rPr>
      </w:pPr>
      <w:r>
        <w:rPr>
          <w:rFonts w:ascii="Arial" w:cs="Arial" w:eastAsia="Arial" w:hAnsi="Arial"/>
          <w:sz w:val="12"/>
          <w:szCs w:val="12"/>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have elected to be treated, and intend to qualify annually, as a RIC under the Code.</w:t>
      </w:r>
    </w:p>
    <w:p>
      <w:pPr>
        <w:spacing w:after="0" w:line="36"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the Investment Adviser supervise our activities.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Revenues</w:t>
      </w:r>
    </w:p>
    <w:p>
      <w:pPr>
        <w:spacing w:after="0" w:line="71"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premiums on loans and debt securities as income. Dividend income, if any, is recognized on an accrual basis on the ex-dividend date to the extent that we expect to collect such amounts.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w:t>
      </w:r>
    </w:p>
    <w:p>
      <w:pPr>
        <w:spacing w:after="0" w:line="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direct or indirect costs and expenses of our operations and transactions, including:</w:t>
      </w:r>
    </w:p>
    <w:p>
      <w:pPr>
        <w:spacing w:after="0" w:line="16"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55" w:lineRule="exact"/>
        <w:rPr>
          <w:rFonts w:ascii="Arial" w:cs="Arial" w:eastAsia="Arial" w:hAnsi="Arial"/>
          <w:sz w:val="14"/>
          <w:szCs w:val="14"/>
          <w:color w:val="auto"/>
        </w:rPr>
      </w:pPr>
    </w:p>
    <w:p>
      <w:pPr>
        <w:ind w:left="540" w:right="380" w:hanging="316"/>
        <w:spacing w:after="0" w:line="239"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federal and state registration fees and any stock exchange listing fees;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federal, state and local taxes;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fidelity bond, directors and officers/errors and omissions liability insurance and other insurance premiums;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55" w:lineRule="exact"/>
        <w:rPr>
          <w:rFonts w:ascii="Arial" w:cs="Arial" w:eastAsia="Arial" w:hAnsi="Arial"/>
          <w:sz w:val="14"/>
          <w:szCs w:val="14"/>
          <w:color w:val="auto"/>
        </w:rPr>
      </w:pPr>
    </w:p>
    <w:p>
      <w:pPr>
        <w:ind w:left="540" w:right="20" w:hanging="316"/>
        <w:spacing w:after="0" w:line="233"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39"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360" w:firstLine="456"/>
        <w:spacing w:after="0" w:line="318" w:lineRule="auto"/>
        <w:rPr>
          <w:sz w:val="20"/>
          <w:szCs w:val="20"/>
          <w:color w:val="auto"/>
        </w:rPr>
      </w:pPr>
      <w:r>
        <w:rPr>
          <w:rFonts w:ascii="Arial" w:cs="Arial" w:eastAsia="Arial" w:hAnsi="Arial"/>
          <w:sz w:val="12"/>
          <w:szCs w:val="12"/>
          <w:color w:val="auto"/>
        </w:rPr>
        <w:t>The SEC requires that estimated “Total Annual Expenses” be calculated as a percentage of net assets in the table on page 5 of this prospectus rather than as a percentage of total assets. Total assets include assets that have been funded with borrowed money (leverage). For reference, the table below illustrates our estimated “Total Annual Expenses” as a percentage of average total assets:</w:t>
      </w:r>
    </w:p>
    <w:p>
      <w:pPr>
        <w:spacing w:after="0" w:line="92"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20" w:type="dxa"/>
            <w:vAlign w:val="bottom"/>
          </w:tcPr>
          <w:p>
            <w:pPr>
              <w:ind w:left="1860"/>
              <w:spacing w:after="0"/>
              <w:rPr>
                <w:sz w:val="20"/>
                <w:szCs w:val="20"/>
                <w:color w:val="auto"/>
              </w:rPr>
            </w:pPr>
            <w:r>
              <w:rPr>
                <w:rFonts w:ascii="Arial" w:cs="Arial" w:eastAsia="Arial" w:hAnsi="Arial"/>
                <w:sz w:val="14"/>
                <w:szCs w:val="14"/>
                <w:b w:val="1"/>
                <w:bCs w:val="1"/>
                <w:color w:val="auto"/>
                <w:w w:val="94"/>
              </w:rPr>
              <w:t>Estimated Annual Expenses (as a Percentage of Average Total Assets)</w:t>
            </w: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6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Base management fees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1.00 %</w:t>
            </w:r>
          </w:p>
        </w:tc>
        <w:tc>
          <w:tcPr>
            <w:tcW w:w="4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9"/>
        </w:trPr>
        <w:tc>
          <w:tcPr>
            <w:tcW w:w="6340" w:type="dxa"/>
            <w:vAlign w:val="bottom"/>
            <w:gridSpan w:val="2"/>
          </w:tcPr>
          <w:p>
            <w:pPr>
              <w:spacing w:after="0"/>
              <w:rPr>
                <w:sz w:val="20"/>
                <w:szCs w:val="20"/>
                <w:color w:val="auto"/>
              </w:rPr>
            </w:pPr>
            <w:r>
              <w:rPr>
                <w:rFonts w:ascii="Arial" w:cs="Arial" w:eastAsia="Arial" w:hAnsi="Arial"/>
                <w:sz w:val="14"/>
                <w:szCs w:val="14"/>
                <w:color w:val="auto"/>
              </w:rPr>
              <w:t>Incentive fees payable under the Investment Management Agreement</w:t>
            </w:r>
          </w:p>
        </w:tc>
        <w:tc>
          <w:tcPr>
            <w:tcW w:w="1000" w:type="dxa"/>
            <w:vAlign w:val="bottom"/>
          </w:tcPr>
          <w:p>
            <w:pPr>
              <w:jc w:val="right"/>
              <w:spacing w:after="0"/>
              <w:rPr>
                <w:sz w:val="20"/>
                <w:szCs w:val="20"/>
                <w:color w:val="auto"/>
              </w:rPr>
            </w:pPr>
            <w:r>
              <w:rPr>
                <w:rFonts w:ascii="Arial" w:cs="Arial" w:eastAsia="Arial" w:hAnsi="Arial"/>
                <w:sz w:val="14"/>
                <w:szCs w:val="14"/>
                <w:color w:val="auto"/>
              </w:rPr>
              <w:t>0.22 %</w:t>
            </w:r>
          </w:p>
        </w:tc>
        <w:tc>
          <w:tcPr>
            <w:tcW w:w="420" w:type="dxa"/>
            <w:vAlign w:val="bottom"/>
          </w:tcPr>
          <w:p>
            <w:pPr>
              <w:jc w:val="right"/>
              <w:ind w:right="64"/>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payments on borrowed funds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1.01 %</w:t>
            </w:r>
          </w:p>
        </w:tc>
        <w:tc>
          <w:tcPr>
            <w:tcW w:w="4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4"/>
                <w:szCs w:val="14"/>
                <w:color w:val="auto"/>
              </w:rPr>
              <w:t>Other expenses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1.50 %</w:t>
            </w:r>
          </w:p>
        </w:tc>
        <w:tc>
          <w:tcPr>
            <w:tcW w:w="420" w:type="dxa"/>
            <w:vAlign w:val="bottom"/>
          </w:tcPr>
          <w:p>
            <w:pPr>
              <w:jc w:val="right"/>
              <w:ind w:right="64"/>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annual expenses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3.73 %</w:t>
            </w:r>
          </w:p>
        </w:tc>
        <w:tc>
          <w:tcPr>
            <w:tcW w:w="4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340" w:hanging="332"/>
        <w:spacing w:after="0" w:line="239"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340" w:right="40" w:hanging="332"/>
        <w:spacing w:after="0" w:line="265"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and payable under our Investment Management Agreement during the three months ended March 31, 2012,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gains incentive fees. As of March 31, 2012, our unrealized capital gains exceeded our cumulative realized and unrealized capital losses and we accrued a capital gains incentive fee of $0.1 million in accordance with GAAP. However, “Incentive fees payable under the Investment Management Agreement” includes an accrual for capital gains incentive fee for the three months ended March 31, 2012 even though no capital gains incentive fee was payable under our Investment Management Agreement as of March 31, 2012, and we cannot assure you that we will recognize capital gains for the calendar year ending December 31, 2012 in amounts consistent with the accrual for the same period. For more detailed information about the incentive fee, please see “Certain Relationships and Transactions— Investment Management Agreement” for more information.</w:t>
      </w:r>
    </w:p>
    <w:p>
      <w:pPr>
        <w:spacing w:after="0" w:line="42" w:lineRule="exact"/>
        <w:rPr>
          <w:rFonts w:ascii="Arial" w:cs="Arial" w:eastAsia="Arial" w:hAnsi="Arial"/>
          <w:sz w:val="12"/>
          <w:szCs w:val="12"/>
          <w:color w:val="auto"/>
        </w:rPr>
      </w:pPr>
    </w:p>
    <w:p>
      <w:pPr>
        <w:ind w:left="340" w:right="40" w:hanging="332"/>
        <w:spacing w:after="0" w:line="228"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March 31, 2012, we had $47.8 million in borrowings outstanding under our $100.0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59" w:lineRule="exact"/>
        <w:rPr>
          <w:rFonts w:ascii="Arial" w:cs="Arial" w:eastAsia="Arial" w:hAnsi="Arial"/>
          <w:sz w:val="14"/>
          <w:szCs w:val="14"/>
          <w:color w:val="auto"/>
        </w:rPr>
      </w:pPr>
    </w:p>
    <w:p>
      <w:pPr>
        <w:ind w:left="340" w:right="20" w:hanging="332"/>
        <w:spacing w:after="0" w:line="288"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March 31, 2012. See the Consolidated Statement of Operations in our Consolidated Financial Statements.</w:t>
      </w:r>
    </w:p>
    <w:p>
      <w:pPr>
        <w:spacing w:after="0" w:line="29" w:lineRule="exact"/>
        <w:rPr>
          <w:rFonts w:ascii="Arial" w:cs="Arial" w:eastAsia="Arial" w:hAnsi="Arial"/>
          <w:sz w:val="12"/>
          <w:szCs w:val="12"/>
          <w:color w:val="auto"/>
        </w:rPr>
      </w:pPr>
    </w:p>
    <w:p>
      <w:pPr>
        <w:ind w:left="340" w:right="140" w:hanging="332"/>
        <w:spacing w:after="0" w:line="273"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as of March 31, 2012.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71" w:lineRule="exact"/>
        <w:rPr>
          <w:sz w:val="20"/>
          <w:szCs w:val="20"/>
          <w:color w:val="auto"/>
        </w:rPr>
      </w:pPr>
    </w:p>
    <w:p>
      <w:pPr>
        <w:ind w:right="220" w:firstLine="456"/>
        <w:spacing w:after="0" w:line="273" w:lineRule="auto"/>
        <w:rPr>
          <w:sz w:val="20"/>
          <w:szCs w:val="20"/>
          <w:color w:val="auto"/>
        </w:rPr>
      </w:pPr>
      <w:r>
        <w:rPr>
          <w:rFonts w:ascii="Arial" w:cs="Arial" w:eastAsia="Arial" w:hAnsi="Arial"/>
          <w:sz w:val="12"/>
          <w:szCs w:val="12"/>
          <w:color w:val="auto"/>
        </w:rPr>
        <w:t>The discussion of our financial condition and results of operation is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have eliminated all intercompany balances and transactions. References to the ASC serve as a single source of literature. Subsequent events are evaluated and disclosed as appropriate for events occurring through the date the Consolidated Financial Statements are issued.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69"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39" w:lineRule="exact"/>
        <w:rPr>
          <w:sz w:val="20"/>
          <w:szCs w:val="20"/>
          <w:color w:val="auto"/>
        </w:rPr>
      </w:pPr>
    </w:p>
    <w:p>
      <w:pPr>
        <w:ind w:firstLine="456"/>
        <w:spacing w:after="0" w:line="226" w:lineRule="auto"/>
        <w:rPr>
          <w:sz w:val="20"/>
          <w:szCs w:val="20"/>
          <w:color w:val="auto"/>
        </w:rPr>
      </w:pPr>
      <w:r>
        <w:rPr>
          <w:rFonts w:ascii="Arial" w:cs="Arial" w:eastAsia="Arial" w:hAnsi="Arial"/>
          <w:sz w:val="14"/>
          <w:szCs w:val="14"/>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60"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680" w:right="480" w:hanging="334"/>
        <w:spacing w:after="0" w:line="239" w:lineRule="auto"/>
        <w:tabs>
          <w:tab w:leader="none" w:pos="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senior investment professionals of our Investment Adviser responsible for the portfolio investment;</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ind w:left="680" w:right="160" w:hanging="334"/>
        <w:spacing w:after="0" w:line="288" w:lineRule="auto"/>
        <w:tabs>
          <w:tab w:leader="none" w:pos="6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29" w:lineRule="exact"/>
        <w:rPr>
          <w:rFonts w:ascii="Arial" w:cs="Arial" w:eastAsia="Arial" w:hAnsi="Arial"/>
          <w:sz w:val="12"/>
          <w:szCs w:val="12"/>
          <w:color w:val="auto"/>
        </w:rPr>
      </w:pPr>
    </w:p>
    <w:p>
      <w:pPr>
        <w:ind w:left="680" w:right="100" w:hanging="334"/>
        <w:spacing w:after="0" w:line="239" w:lineRule="auto"/>
        <w:tabs>
          <w:tab w:leader="none" w:pos="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680" w:right="640" w:hanging="334"/>
        <w:spacing w:after="0" w:line="239" w:lineRule="auto"/>
        <w:tabs>
          <w:tab w:leader="none" w:pos="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board of directors discusses the valuations and determines the fair value of each investment in our portfolio in good faith, based on the input of our Investment Adviser, the respective independent valuation firms and the audit committee.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6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100" w:right="700" w:hanging="634"/>
        <w:spacing w:after="0" w:line="318" w:lineRule="auto"/>
        <w:tabs>
          <w:tab w:leader="none" w:pos="108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50"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9"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brokers/dealer bids as a Level 2 asset includes observable market-based transactions for the same or similar assets or other relevant observable market based inputs that may be used in pricing an asset.</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To the extent we invest in derivative instruments in the future, such instruments would be valued at fair value in accordance with our valuation policy.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22"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2012, our ability to observe valuation inputs has resulted in no reclassification of assets from Level 3 to 2. There were no investments transferred between Levels 1 and 2 for the same period.</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w:t>
      </w:r>
    </w:p>
    <w:p>
      <w:pPr>
        <w:spacing w:after="0" w:line="23" w:lineRule="exact"/>
        <w:rPr>
          <w:sz w:val="20"/>
          <w:szCs w:val="20"/>
          <w:color w:val="auto"/>
        </w:rPr>
      </w:pPr>
    </w:p>
    <w:p>
      <w:pPr>
        <w:ind w:right="380" w:firstLine="8"/>
        <w:spacing w:after="0" w:line="297" w:lineRule="auto"/>
        <w:tabs>
          <w:tab w:leader="none" w:pos="27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Consistent with our valuation policy, we evaluate the source of inputs, including any markets in which our investments are trading, in determining fair value. See Note 2 to our Consolidated Financial Statements.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In accordance with Accounting Standards Update 2011-04 and as outlined in the table below, our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3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The remainder of our portfolio was valued using a market comparable or enterprise valuation technique and our long-term Credit Facility used an income approach valuation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left="680"/>
        <w:spacing w:after="0"/>
        <w:rPr>
          <w:sz w:val="20"/>
          <w:szCs w:val="20"/>
          <w:color w:val="auto"/>
        </w:rPr>
      </w:pPr>
      <w:r>
        <w:rPr>
          <w:rFonts w:ascii="Arial" w:cs="Arial" w:eastAsia="Arial" w:hAnsi="Arial"/>
          <w:sz w:val="14"/>
          <w:szCs w:val="14"/>
          <w:b w:val="1"/>
          <w:bCs w:val="1"/>
          <w:u w:val="single" w:color="auto"/>
          <w:color w:val="auto"/>
        </w:rPr>
        <w:t>Asset Category</w:t>
      </w:r>
    </w:p>
    <w:p>
      <w:pPr>
        <w:spacing w:after="0" w:line="13" w:lineRule="exact"/>
        <w:rPr>
          <w:sz w:val="20"/>
          <w:szCs w:val="20"/>
          <w:color w:val="auto"/>
        </w:rPr>
      </w:pPr>
    </w:p>
    <w:p>
      <w:pPr>
        <w:ind w:left="680" w:hanging="215"/>
        <w:spacing w:after="0" w:line="222" w:lineRule="auto"/>
        <w:rPr>
          <w:sz w:val="20"/>
          <w:szCs w:val="20"/>
          <w:color w:val="auto"/>
        </w:rPr>
      </w:pPr>
      <w:r>
        <w:rPr>
          <w:rFonts w:ascii="Arial" w:cs="Arial" w:eastAsia="Arial" w:hAnsi="Arial"/>
          <w:sz w:val="14"/>
          <w:szCs w:val="14"/>
          <w:color w:val="auto"/>
        </w:rPr>
        <w:t>First lien, second lien, subordinated debt/corporate notes and preferred and common equity</w:t>
      </w:r>
    </w:p>
    <w:p>
      <w:pPr>
        <w:spacing w:after="0" w:line="1" w:lineRule="exact"/>
        <w:rPr>
          <w:sz w:val="20"/>
          <w:szCs w:val="20"/>
          <w:color w:val="auto"/>
        </w:rPr>
      </w:pPr>
    </w:p>
    <w:p>
      <w:pPr>
        <w:ind w:left="680" w:hanging="215"/>
        <w:spacing w:after="0" w:line="221" w:lineRule="auto"/>
        <w:rPr>
          <w:sz w:val="20"/>
          <w:szCs w:val="20"/>
          <w:color w:val="auto"/>
        </w:rPr>
      </w:pPr>
      <w:r>
        <w:rPr>
          <w:rFonts w:ascii="Arial" w:cs="Arial" w:eastAsia="Arial" w:hAnsi="Arial"/>
          <w:sz w:val="14"/>
          <w:szCs w:val="14"/>
          <w:color w:val="auto"/>
        </w:rPr>
        <w:t>First lien, second lien, subordinated debt/corporate notes and preferred and common equity</w:t>
      </w:r>
    </w:p>
    <w:p>
      <w:pPr>
        <w:ind w:left="460"/>
        <w:spacing w:after="0"/>
        <w:rPr>
          <w:sz w:val="20"/>
          <w:szCs w:val="20"/>
          <w:color w:val="auto"/>
        </w:rPr>
      </w:pPr>
      <w:r>
        <w:rPr>
          <w:rFonts w:ascii="Arial" w:cs="Arial" w:eastAsia="Arial" w:hAnsi="Arial"/>
          <w:sz w:val="14"/>
          <w:szCs w:val="14"/>
          <w:color w:val="auto"/>
        </w:rPr>
        <w:t>Long-Term Credit Facility</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Range of</w:t>
            </w:r>
          </w:p>
        </w:tc>
      </w:tr>
      <w:tr>
        <w:trPr>
          <w:trHeight w:val="149"/>
        </w:trPr>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Values/</w:t>
            </w:r>
          </w:p>
        </w:tc>
      </w:t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Valuation Techniques</w:t>
            </w:r>
          </w:p>
        </w:tc>
        <w:tc>
          <w:tcPr>
            <w:tcW w:w="17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Unobservable Inputs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Input</w:t>
            </w:r>
          </w:p>
        </w:tc>
      </w:tr>
      <w:tr>
        <w:trPr>
          <w:trHeight w:val="166"/>
        </w:trPr>
        <w:tc>
          <w:tcPr>
            <w:tcW w:w="60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90%</w:t>
            </w:r>
          </w:p>
        </w:tc>
        <w:tc>
          <w:tcPr>
            <w:tcW w:w="480" w:type="dxa"/>
            <w:vAlign w:val="bottom"/>
          </w:tcPr>
          <w:p>
            <w:pPr>
              <w:spacing w:after="0"/>
              <w:rPr>
                <w:sz w:val="14"/>
                <w:szCs w:val="14"/>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5"/>
              </w:rPr>
              <w:t>Market approach</w:t>
            </w:r>
          </w:p>
        </w:tc>
        <w:tc>
          <w:tcPr>
            <w:tcW w:w="500" w:type="dxa"/>
            <w:vAlign w:val="bottom"/>
          </w:tcPr>
          <w:p>
            <w:pPr>
              <w:spacing w:after="0"/>
              <w:rPr>
                <w:sz w:val="14"/>
                <w:szCs w:val="1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Broker/Dealer bids</w:t>
            </w:r>
          </w:p>
        </w:tc>
        <w:tc>
          <w:tcPr>
            <w:tcW w:w="500" w:type="dxa"/>
            <w:vAlign w:val="bottom"/>
          </w:tcPr>
          <w:p>
            <w:pPr>
              <w:spacing w:after="0"/>
              <w:rPr>
                <w:sz w:val="14"/>
                <w:szCs w:val="14"/>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5"/>
              </w:rPr>
              <w:t>1 - 9</w:t>
            </w:r>
          </w:p>
        </w:tc>
      </w:tr>
      <w:tr>
        <w:trPr>
          <w:trHeight w:val="249"/>
        </w:trPr>
        <w:tc>
          <w:tcPr>
            <w:tcW w:w="600" w:type="dxa"/>
            <w:vAlign w:val="bottom"/>
          </w:tcPr>
          <w:p>
            <w:pPr>
              <w:jc w:val="right"/>
              <w:ind w:right="72"/>
              <w:spacing w:after="0"/>
              <w:rPr>
                <w:sz w:val="20"/>
                <w:szCs w:val="20"/>
                <w:color w:val="auto"/>
              </w:rPr>
            </w:pPr>
            <w:r>
              <w:rPr>
                <w:rFonts w:ascii="Arial" w:cs="Arial" w:eastAsia="Arial" w:hAnsi="Arial"/>
                <w:sz w:val="14"/>
                <w:szCs w:val="14"/>
                <w:color w:val="auto"/>
              </w:rPr>
              <w:t>10%</w:t>
            </w:r>
          </w:p>
        </w:tc>
        <w:tc>
          <w:tcPr>
            <w:tcW w:w="480" w:type="dxa"/>
            <w:vAlign w:val="bottom"/>
          </w:tcPr>
          <w:p>
            <w:pPr>
              <w:spacing w:after="0"/>
              <w:rPr>
                <w:sz w:val="21"/>
                <w:szCs w:val="21"/>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color w:val="auto"/>
                <w:w w:val="89"/>
              </w:rPr>
              <w:t>Market comparable /</w:t>
            </w:r>
          </w:p>
        </w:tc>
        <w:tc>
          <w:tcPr>
            <w:tcW w:w="1700" w:type="dxa"/>
            <w:vAlign w:val="bottom"/>
            <w:gridSpan w:val="2"/>
          </w:tcPr>
          <w:p>
            <w:pPr>
              <w:jc w:val="center"/>
              <w:ind w:right="500"/>
              <w:spacing w:after="0"/>
              <w:rPr>
                <w:sz w:val="20"/>
                <w:szCs w:val="20"/>
                <w:color w:val="auto"/>
              </w:rPr>
            </w:pPr>
            <w:r>
              <w:rPr>
                <w:rFonts w:ascii="Arial" w:cs="Arial" w:eastAsia="Arial" w:hAnsi="Arial"/>
                <w:sz w:val="14"/>
                <w:szCs w:val="14"/>
                <w:color w:val="auto"/>
                <w:w w:val="94"/>
              </w:rPr>
              <w:t>EBITDA</w:t>
            </w: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7.6x – 10.7x</w:t>
            </w:r>
          </w:p>
        </w:tc>
      </w:tr>
      <w:tr>
        <w:trPr>
          <w:trHeight w:val="149"/>
        </w:trPr>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8"/>
              </w:rPr>
              <w:t>Enterprise value</w:t>
            </w:r>
          </w:p>
        </w:tc>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0"/>
              </w:rPr>
              <w:t>multiples</w:t>
            </w:r>
          </w:p>
        </w:tc>
        <w:tc>
          <w:tcPr>
            <w:tcW w:w="680" w:type="dxa"/>
            <w:vAlign w:val="bottom"/>
          </w:tcPr>
          <w:p>
            <w:pPr>
              <w:spacing w:after="0"/>
              <w:rPr>
                <w:sz w:val="12"/>
                <w:szCs w:val="12"/>
                <w:color w:val="auto"/>
              </w:rPr>
            </w:pPr>
          </w:p>
        </w:tc>
      </w:tr>
      <w:tr>
        <w:trPr>
          <w:trHeight w:val="149"/>
        </w:trPr>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2"/>
                <w:szCs w:val="12"/>
                <w:color w:val="auto"/>
              </w:rPr>
            </w:pPr>
          </w:p>
        </w:tc>
        <w:tc>
          <w:tcPr>
            <w:tcW w:w="17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9"/>
              </w:rPr>
              <w:t>Market comparable /</w:t>
            </w:r>
          </w:p>
        </w:tc>
        <w:tc>
          <w:tcPr>
            <w:tcW w:w="17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7"/>
              </w:rPr>
              <w:t>Discount rate</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7"/>
              </w:rPr>
              <w:t>3.5%</w:t>
            </w:r>
          </w:p>
        </w:tc>
      </w:tr>
      <w:tr>
        <w:trPr>
          <w:trHeight w:val="172"/>
        </w:trPr>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color w:val="auto"/>
                <w:w w:val="86"/>
              </w:rPr>
              <w:t>Income approach</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-573405</wp:posOffset>
            </wp:positionV>
            <wp:extent cx="666369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63690" cy="18859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-196215</wp:posOffset>
            </wp:positionV>
            <wp:extent cx="666369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63690" cy="188595"/>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5020" w:space="720"/>
            <w:col w:w="5680"/>
          </w:cols>
          <w:pgMar w:left="240" w:top="459" w:right="239" w:bottom="1440" w:gutter="0" w:footer="0" w:header="0"/>
          <w:type w:val="continuous"/>
        </w:sectPr>
      </w:pPr>
    </w:p>
    <w:p>
      <w:pPr>
        <w:ind w:right="40" w:firstLine="456"/>
        <w:spacing w:after="0" w:line="266" w:lineRule="auto"/>
        <w:rPr>
          <w:sz w:val="20"/>
          <w:szCs w:val="20"/>
          <w:color w:val="auto"/>
        </w:rPr>
      </w:pPr>
      <w:r>
        <w:rPr>
          <w:rFonts w:ascii="Arial" w:cs="Arial" w:eastAsia="Arial" w:hAnsi="Arial"/>
          <w:sz w:val="12"/>
          <w:szCs w:val="12"/>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six months ended March 31, 2012, we had a net change in unrealized (appreciation) depreciation of $(0.1) million and $0.2 million, respectively. As of March 31, 2012 and September 30, 2011, the Credit Facility had unrealized depreciation of $0.2 million and zero, respectively. We use one or more nationally recognized independent valuation services firm to measure the fair value of the Credit Facility in a manner consistent with the valuation process that the board of directors uses to value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6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market discount or premium are capitalized, and we then amortize such amounts as interest income or expense as applicable. We record prepayment penalties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69"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69"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We intend to elect to be taxed as a RIC under Subchapter M of the Code. In order to qualify as a RIC and not be subject to corporate-level tax on income,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42"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52"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As of March 31, 2012, our portfolio totaled $146.2 million and consisted of $126.3 million of senior secured loans, $7.1 million of second lien secured debt, $12.8 million of subordinated debt and preferred and common equity investments. Our portfolio consisted of 85% variable-rate investments (including 80% with a LIBOR or prime floor) and 15% fixed-rate investments. Overall, the portfolio had net unrealized depreciation of less than $0.1 million. Our overall portfolio consisted of 51 companies with an average investment size of $2.9 million, a weighted average yield on debt investments of 8.6%, and was invested 86% in senior secured loans, 5% in second lien secured debt and 9% in subordinated debt, preferred and common equity investments.</w:t>
      </w:r>
    </w:p>
    <w:p>
      <w:pPr>
        <w:spacing w:after="0" w:line="117"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As of September 30, 2011, our portfolio totaled $110.7 million and consisted of $94.3 million of senior secured loans, $9.3 million of second lien secured debt, $7.1 million of subordinated debt, preferred and common equity investments. Our portfolio consisted of 84% variable-rate investments (including 78% with a LIBOR or prime floor) and 16% fixed-rate investments. Overall, the portfolio had an unrealized depreciation of $4.1 million. Our overall portfolio consisted of 38 companies with an average investment size of $2.9 million, a weighted average yield on debt investments of 8.0%, and was invested 85% in senior secured loans, 9% in second lien secured debt and 6% in subordinated debt, preferred and common equity investments.</w:t>
      </w:r>
    </w:p>
    <w:p>
      <w:pPr>
        <w:spacing w:after="0" w:line="117"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For the three months ended March 31, 2012, we invested $32.9 million in 12 new portfolio companies with a weighted average yield on debt investments of 8.9%. Sales and repayments of investments for the three months ended March 31, 2012 totaled $19.3 million. For the six months ended March 31, 2012, we invested $72.2 million in 25 new portfolio companies and 2 existing portfolio companies with a weighted average yield on debt investments of 9.2%. Sales and repayments of investments for the six months ended March 31, 2012 totaled $41.6 million.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Set forth below are the results of operations for the three and six months ended March 31, 2012.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6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Investment income for the three and six months ended March 31, 2012 was $2.9 million and $5.4 million, respectively, and was primarily attributable to $2.3 million and $4.3 million from senior secured loans, $0.3 million and $0.6 million from second lien secured debt investments and $0.3 million and $0.5 million from subordinated debt investments, respectively. We continue to find attractive investment opportunities and intend to continue to rotate out of lower yielding investments to higher yielding investments.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69" w:lineRule="exact"/>
        <w:rPr>
          <w:sz w:val="20"/>
          <w:szCs w:val="20"/>
          <w:color w:val="auto"/>
        </w:rPr>
      </w:pPr>
    </w:p>
    <w:p>
      <w:pPr>
        <w:ind w:right="380" w:firstLine="456"/>
        <w:spacing w:after="0" w:line="288" w:lineRule="auto"/>
        <w:rPr>
          <w:sz w:val="20"/>
          <w:szCs w:val="20"/>
          <w:color w:val="auto"/>
        </w:rPr>
      </w:pPr>
      <w:r>
        <w:rPr>
          <w:rFonts w:ascii="Arial" w:cs="Arial" w:eastAsia="Arial" w:hAnsi="Arial"/>
          <w:sz w:val="12"/>
          <w:szCs w:val="12"/>
          <w:color w:val="auto"/>
        </w:rPr>
        <w:t>Expenses for the three and six months ended March 31, 2012 totaled $1.4 million and $2.5 million, respectively. Base management fees for the same period totaled $0.4 million and $0.7 million, performance-based incentive fees totaled $0.2 million and $0.2 million, Credit Facility expenses totaled $0.3 million and $0.6 million and general and administrative expenses totaled $0.5 million and $1.0 million, respectively. We expect our Credit Facility expenses and management fees to continue to increase as a result of growth in our portfolio.</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investment income totaled $1.5 million and $2.9 million, or $0.23 and $0.43 per share, for the three and six months ended March 31, 2012,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6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Sales and repayments of investments for the three and six months ended March 31, 2012 totaled $19.3 million and $41.6 million and realized gains totaled $0.1 million and $0.4 million, respectively, due to sales and repayments of our debt investments.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69"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For the three and six months ended March 31, 2012, we reported unrealized appreciation on investments of $3.0 million and $4.1 million, respectively. As of March 31, 2012 and September 30, 2011, net unrealized depreciation on investments totaled less than $0.1 million and $4.1 million, respectively.</w:t>
      </w:r>
    </w:p>
    <w:p>
      <w:pPr>
        <w:spacing w:after="0" w:line="13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For the three and six months ended March 31, 2012, our long-term Credit Facility had a change in unrealized (appreciation) depreciation of $(0.1) million and $0.2 million, respectively. As of March 31, 2012 and September 30, 2011, net unrealized depreciation on our long-term Credit Facility totaled $0.2 million and zero,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Increase in Net Assets Resulting from Operations</w:t>
      </w:r>
    </w:p>
    <w:p>
      <w:pPr>
        <w:spacing w:after="0" w:line="69"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Net increase in net assets resulting from operations totaled $4.5 million and $7.6 million, or $0.66 and $1.12 per share, respectively, for the three and six months ended March 31, 2012. This increase in net assets from operations was due to the continued growth in net investment income as a result of growth in our portfolio and appreciation on our investments.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Set forth below are our results of operations for the period from March 4, 2011 (commencement of operations) to September 30, 2011.</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Income</w:t>
      </w:r>
    </w:p>
    <w:p>
      <w:pPr>
        <w:spacing w:after="0" w:line="71" w:lineRule="exact"/>
        <w:rPr>
          <w:sz w:val="20"/>
          <w:szCs w:val="20"/>
          <w:color w:val="auto"/>
        </w:rPr>
      </w:pPr>
    </w:p>
    <w:p>
      <w:pPr>
        <w:jc w:val="both"/>
        <w:ind w:right="140" w:firstLine="342"/>
        <w:spacing w:after="0" w:line="233" w:lineRule="auto"/>
        <w:rPr>
          <w:sz w:val="20"/>
          <w:szCs w:val="20"/>
          <w:color w:val="auto"/>
        </w:rPr>
      </w:pPr>
      <w:r>
        <w:rPr>
          <w:rFonts w:ascii="Arial" w:cs="Arial" w:eastAsia="Arial" w:hAnsi="Arial"/>
          <w:sz w:val="14"/>
          <w:szCs w:val="14"/>
          <w:color w:val="auto"/>
        </w:rPr>
        <w:t>Investment income for the period March 4, 2011 (commencement of operations) to September 30, 2011, was $2.9 million, and was attributable to $2.4 million from senior secured loan investments, $0.4 million from second lien secured debt investments and $0.1 million from subordinated debt investments. We continue to deploy capital from our new Credit Facility to grow both our portfolio and investment income over time.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w:t>
      </w:r>
    </w:p>
    <w:p>
      <w:pPr>
        <w:spacing w:after="0" w:line="71" w:lineRule="exact"/>
        <w:rPr>
          <w:sz w:val="20"/>
          <w:szCs w:val="20"/>
          <w:color w:val="auto"/>
        </w:rPr>
      </w:pPr>
    </w:p>
    <w:p>
      <w:pPr>
        <w:ind w:right="40" w:firstLine="342"/>
        <w:spacing w:after="0" w:line="233" w:lineRule="auto"/>
        <w:rPr>
          <w:sz w:val="20"/>
          <w:szCs w:val="20"/>
          <w:color w:val="auto"/>
        </w:rPr>
      </w:pPr>
      <w:r>
        <w:rPr>
          <w:rFonts w:ascii="Arial" w:cs="Arial" w:eastAsia="Arial" w:hAnsi="Arial"/>
          <w:sz w:val="14"/>
          <w:szCs w:val="14"/>
          <w:color w:val="auto"/>
        </w:rPr>
        <w:t>Expenses for the period March 4, 2011 (commencement of operations) to September 30, 2011, totaled $2.6 million. Base management fee for the same period totaled $0.4 million, debt-issuance cost (non-recurring) totaled $1.4 million, Credit Facility expenses totaled $0.1 million and general and administrative expenses totaled $0.7 million. Expenses include organizational cost associated with starting up our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Investment Income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investment income totaled $0.3 million or $0.05 per share for the period March 4, 2011 (commencement of operations) to September 30, 2011.</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Realized Gains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Sales and repayments of long-term investments for the period March 4, 2011 (commencement of operations) to September 30, 2011 totaled $33.2 million and net realized gains totaled $0.3 million.</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Unrealized Appreciation or Depreciation on Investments and Credit Facility</w:t>
      </w:r>
    </w:p>
    <w:p>
      <w:pPr>
        <w:spacing w:after="0" w:line="71"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Net unrealized depreciation on investments totaled $4.1 million for the period March 4, 2011 (commencement of operations) to September 30, 2011. There was no change in unrealized (appreciation) depreciation on credit facility for the same period. Credit market conditions have weakened and while lowering our net asset value could increase our risk adjusted returns on new investments.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Decrease in Net Assets Resulting From Operations</w:t>
      </w:r>
    </w:p>
    <w:p>
      <w:pPr>
        <w:spacing w:after="0" w:line="71"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Net decrease in net assets resulting from operations totaled $3.5 million, or $0.51 per share for the period March 4, 2011 (commencement of operations) to September 30, 2011. The decrease in net assets is primarily the result of unrealized losses on our investments.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52"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Our liquidity and capital resources are derived from our initial public offering, Credit Facility, cash flows from operations, including investment sales and repayments, and income earned. Our primary use of funds from operations includes investments in portfolio companies and payments of dividends and operating expenses, including management fees. We have used, and expect to continue to use, our Credit Facility proceeds, the rotation of our portfolio and proceeds from public and private offerings of securities to finance our investment objectives.</w:t>
      </w:r>
    </w:p>
    <w:p>
      <w:pPr>
        <w:spacing w:after="0" w:line="111" w:lineRule="exact"/>
        <w:rPr>
          <w:sz w:val="20"/>
          <w:szCs w:val="20"/>
          <w:color w:val="auto"/>
        </w:rPr>
      </w:pPr>
    </w:p>
    <w:p>
      <w:pPr>
        <w:ind w:right="120" w:firstLine="456"/>
        <w:spacing w:after="0" w:line="288" w:lineRule="auto"/>
        <w:rPr>
          <w:sz w:val="20"/>
          <w:szCs w:val="20"/>
          <w:color w:val="auto"/>
        </w:rPr>
      </w:pPr>
      <w:r>
        <w:rPr>
          <w:rFonts w:ascii="Arial" w:cs="Arial" w:eastAsia="Arial" w:hAnsi="Arial"/>
          <w:sz w:val="12"/>
          <w:szCs w:val="12"/>
          <w:color w:val="auto"/>
        </w:rPr>
        <w:t>On June 23, 2011, we entered into the Credit Facility with affiliates of SunTrust Bank, or the Lender, an asset-backed commercial paper conduit administered by STRH. The Credit Facility allows us to borrow up to $100.0 million and contains an accordion feature whereby the Credit Facility can be expanded to $600.0 million, subject to satisfaction of certain conditions. As of March 31, 2012 and September 30, 2011, we had $47.8 million and $24.7 million of outstanding borrowings under the Credit Facility, had an interest rate of 2.54% and 2.53%, excluding the 0.50% undrawn commitment fee.</w:t>
      </w:r>
    </w:p>
    <w:p>
      <w:pPr>
        <w:spacing w:after="0" w:line="111" w:lineRule="exact"/>
        <w:rPr>
          <w:sz w:val="20"/>
          <w:szCs w:val="20"/>
          <w:color w:val="auto"/>
        </w:rPr>
      </w:pPr>
    </w:p>
    <w:p>
      <w:pPr>
        <w:ind w:right="60" w:firstLine="342"/>
        <w:spacing w:after="0" w:line="288" w:lineRule="auto"/>
        <w:rPr>
          <w:sz w:val="20"/>
          <w:szCs w:val="20"/>
          <w:color w:val="auto"/>
        </w:rPr>
      </w:pPr>
      <w:r>
        <w:rPr>
          <w:rFonts w:ascii="Arial" w:cs="Arial" w:eastAsia="Arial" w:hAnsi="Arial"/>
          <w:sz w:val="12"/>
          <w:szCs w:val="12"/>
          <w:color w:val="auto"/>
        </w:rPr>
        <w:t>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1" w:lineRule="exact"/>
        <w:rPr>
          <w:sz w:val="20"/>
          <w:szCs w:val="20"/>
          <w:color w:val="auto"/>
        </w:rPr>
      </w:pPr>
    </w:p>
    <w:p>
      <w:pPr>
        <w:ind w:firstLine="342"/>
        <w:spacing w:after="0" w:line="273" w:lineRule="auto"/>
        <w:rPr>
          <w:sz w:val="20"/>
          <w:szCs w:val="20"/>
          <w:color w:val="auto"/>
        </w:rPr>
      </w:pPr>
      <w:r>
        <w:rPr>
          <w:rFonts w:ascii="Arial" w:cs="Arial" w:eastAsia="Arial" w:hAnsi="Arial"/>
          <w:sz w:val="12"/>
          <w:szCs w:val="12"/>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U.S. GAAP (for example, fair value, as defined under ASC 820, is not required to be used for assets or liabilities for such compliance reporting). For a complete list of such covenants, see our report on Form 8-K, filed June 29, 2011. As of March 31, 2012, we were in compliance with our covenants relating to our Credit Facility.</w:t>
      </w:r>
    </w:p>
    <w:p>
      <w:pPr>
        <w:spacing w:after="0" w:line="120" w:lineRule="exact"/>
        <w:rPr>
          <w:sz w:val="20"/>
          <w:szCs w:val="20"/>
          <w:color w:val="auto"/>
        </w:rPr>
      </w:pPr>
    </w:p>
    <w:p>
      <w:pPr>
        <w:ind w:right="140" w:firstLine="342"/>
        <w:spacing w:after="0" w:line="228" w:lineRule="auto"/>
        <w:rPr>
          <w:sz w:val="20"/>
          <w:szCs w:val="20"/>
          <w:color w:val="auto"/>
        </w:rPr>
      </w:pPr>
      <w:r>
        <w:rPr>
          <w:rFonts w:ascii="Arial" w:cs="Arial" w:eastAsia="Arial" w:hAnsi="Arial"/>
          <w:sz w:val="14"/>
          <w:szCs w:val="14"/>
          <w:color w:val="auto"/>
        </w:rPr>
        <w:t>We own 100% of the equity interest in Funding I and will treat the indebtedness of Funding I as our leverage. In accordance with the 1940 Act, with certain limited exceptions, we are only allowed to borrow amounts such that our asset coverage, as defined in the 1940 Act, is at least 200% after such borrowing. 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140" w:lineRule="exact"/>
        <w:rPr>
          <w:sz w:val="20"/>
          <w:szCs w:val="20"/>
          <w:color w:val="auto"/>
        </w:rPr>
      </w:pPr>
    </w:p>
    <w:p>
      <w:pPr>
        <w:ind w:right="40" w:firstLine="342"/>
        <w:spacing w:after="0" w:line="230" w:lineRule="auto"/>
        <w:rPr>
          <w:sz w:val="20"/>
          <w:szCs w:val="20"/>
          <w:color w:val="auto"/>
        </w:rPr>
      </w:pPr>
      <w:r>
        <w:rPr>
          <w:rFonts w:ascii="Arial" w:cs="Arial" w:eastAsia="Arial" w:hAnsi="Arial"/>
          <w:sz w:val="14"/>
          <w:szCs w:val="14"/>
          <w:color w:val="auto"/>
        </w:rPr>
        <w:t>Our interest in Funding I (other than the management fees that the Investment Adviser has irrevocably directed to be paid to us)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w:t>
      </w:r>
    </w:p>
    <w:p>
      <w:pPr>
        <w:spacing w:after="0" w:line="139" w:lineRule="exact"/>
        <w:rPr>
          <w:sz w:val="20"/>
          <w:szCs w:val="20"/>
          <w:color w:val="auto"/>
        </w:rPr>
      </w:pPr>
    </w:p>
    <w:p>
      <w:pPr>
        <w:ind w:right="200" w:firstLine="342"/>
        <w:spacing w:after="0" w:line="288" w:lineRule="auto"/>
        <w:rPr>
          <w:sz w:val="20"/>
          <w:szCs w:val="20"/>
          <w:color w:val="auto"/>
        </w:rPr>
      </w:pPr>
      <w:r>
        <w:rPr>
          <w:rFonts w:ascii="Arial" w:cs="Arial" w:eastAsia="Arial" w:hAnsi="Arial"/>
          <w:sz w:val="12"/>
          <w:szCs w:val="12"/>
          <w:color w:val="auto"/>
        </w:rPr>
        <w:t>We may raise equity or debt capital through both registered offerings and by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shareholders or for other general corporate purposes.</w:t>
      </w:r>
    </w:p>
    <w:p>
      <w:pPr>
        <w:spacing w:after="0" w:line="111" w:lineRule="exact"/>
        <w:rPr>
          <w:sz w:val="20"/>
          <w:szCs w:val="20"/>
          <w:color w:val="auto"/>
        </w:rPr>
      </w:pPr>
    </w:p>
    <w:p>
      <w:pPr>
        <w:ind w:right="60" w:firstLine="342"/>
        <w:spacing w:after="0" w:line="239" w:lineRule="auto"/>
        <w:rPr>
          <w:sz w:val="20"/>
          <w:szCs w:val="20"/>
          <w:color w:val="auto"/>
        </w:rPr>
      </w:pPr>
      <w:r>
        <w:rPr>
          <w:rFonts w:ascii="Arial" w:cs="Arial" w:eastAsia="Arial" w:hAnsi="Arial"/>
          <w:sz w:val="14"/>
          <w:szCs w:val="14"/>
          <w:color w:val="auto"/>
        </w:rPr>
        <w:t>At March 31, 2012, we had cash equivalents of $3.8 million available for investing and general corporate purposes. We believe our liquidity and capital resources are sufficient to take advantage of market opportunities.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Our operating activities used cash of $23.3 million for the six months ended March 31, 2012, and our financing activities provided net cash proceeds of $20.2 million for the same period. Our operating activities used cash primarily for net investing that was provided from net draws under the Credit Facility.</w:t>
      </w:r>
    </w:p>
    <w:p>
      <w:pPr>
        <w:spacing w:after="0" w:line="139" w:lineRule="exact"/>
        <w:rPr>
          <w:sz w:val="20"/>
          <w:szCs w:val="20"/>
          <w:color w:val="auto"/>
        </w:rPr>
      </w:pPr>
    </w:p>
    <w:p>
      <w:pPr>
        <w:ind w:right="120" w:firstLine="456"/>
        <w:spacing w:after="0" w:line="239" w:lineRule="auto"/>
        <w:rPr>
          <w:sz w:val="20"/>
          <w:szCs w:val="20"/>
          <w:color w:val="auto"/>
        </w:rPr>
      </w:pPr>
      <w:r>
        <w:rPr>
          <w:rFonts w:ascii="Arial" w:cs="Arial" w:eastAsia="Arial" w:hAnsi="Arial"/>
          <w:sz w:val="14"/>
          <w:szCs w:val="14"/>
          <w:color w:val="auto"/>
        </w:rPr>
        <w:t>At September 30, 2011, we had cash equivalents of $7.0 million available for investing and general corporate purposes. We believe our liquidity and capital resources are sufficient to take advantage of market opportunities.</w:t>
      </w:r>
    </w:p>
    <w:p>
      <w:pPr>
        <w:spacing w:after="0" w:line="58"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Our operating activities used cash of $113.7 million for the period March 4, 2011 (commencement of operations) to September 30, 2011, and our financing activities provided net cash proceeds of $120.7 million for the same period. Our operating activities used cash primarily for investing that was provided from, primarily, proceeds from our initial public offering of common stock and draws under the Credit Facility.</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 summary of our significant contractual payment obligations including, but not limited to, borrowings under our Credit Facility maturing in June 2016 and other contractual obligations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Payments due by period (in millions)</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3-5</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4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5 years</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400" w:type="dxa"/>
            <w:vAlign w:val="bottom"/>
            <w:tcBorders>
              <w:bottom w:val="single" w:sz="8" w:color="CCEEFF"/>
            </w:tcBorders>
          </w:tcPr>
          <w:p>
            <w:pPr>
              <w:spacing w:after="0"/>
              <w:rPr>
                <w:sz w:val="11"/>
                <w:szCs w:val="11"/>
                <w:color w:val="auto"/>
              </w:rPr>
            </w:pPr>
          </w:p>
        </w:tc>
        <w:tc>
          <w:tcPr>
            <w:tcW w:w="35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Credit Facility</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47.8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line="217" w:lineRule="exact"/>
              <w:rPr>
                <w:sz w:val="20"/>
                <w:szCs w:val="20"/>
                <w:color w:val="auto"/>
              </w:rPr>
            </w:pPr>
            <w:r>
              <w:rPr>
                <w:rFonts w:ascii="Arial" w:cs="Arial" w:eastAsia="Arial" w:hAnsi="Arial"/>
                <w:sz w:val="14"/>
                <w:szCs w:val="14"/>
                <w:color w:val="auto"/>
              </w:rPr>
              <w:t>Unfunded investments</w:t>
            </w:r>
            <w:r>
              <w:rPr>
                <w:rFonts w:ascii="Arial" w:cs="Arial" w:eastAsia="Arial" w:hAnsi="Arial"/>
                <w:sz w:val="22"/>
                <w:szCs w:val="22"/>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2.2</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contractual obligations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0" w:type="dxa"/>
            <w:vAlign w:val="bottom"/>
            <w:tcBorders>
              <w:bottom w:val="single" w:sz="8" w:color="auto"/>
            </w:tcBorders>
          </w:tcPr>
          <w:p>
            <w:pPr>
              <w:spacing w:after="0"/>
              <w:rPr>
                <w:sz w:val="15"/>
                <w:szCs w:val="15"/>
                <w:color w:val="auto"/>
              </w:rPr>
            </w:pPr>
          </w:p>
        </w:tc>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Unfunded debt investments described in the Consolidated Statements of Assets and Liabilities represent unfunded delayed draws on investments in subordinated debt investments.</w:t>
      </w:r>
    </w:p>
    <w:p>
      <w:pPr>
        <w:spacing w:after="0" w:line="92"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approved by the board of directors, including a majority of our independent directors, in March 2011, PennantPark Investment Advisers serves as our Investment Adviser in accordance with the terms of the Investment Management Agreement. Payments under our Investment Management Agreement in each reporting period are equal to: (1) a management fee equal to a percentage of the value of our gross assets and (2) an incentive fee based on our performance.</w:t>
      </w:r>
    </w:p>
    <w:p>
      <w:pPr>
        <w:spacing w:after="0" w:line="111"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Under our Administration Agreement approved by the board of directors, including a majority of our independent directors, in March 2011,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40"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currently engage in no off-balance sheet arrangements, including any risk management of commodity pricing or other hedging practices.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w:t>
      </w:r>
    </w:p>
    <w:p>
      <w:pPr>
        <w:spacing w:after="0" w:line="152"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During the three and six months ended March 31, 2012, we declared distributions of $0.225 and $0.435 per share, respectively, for total distributions of $1.5 million and $3.0 million, respectively. During the period March 4, 2011 (commencement of operations) to September 30, 2011, we declared to stockholders distributions of $ 0.25 per share for total distributions of $1.7 million.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continue to distribute monthly distributions to our stockholders. Our monthly distributions, if any, are determined by our board of directors.</w:t>
      </w:r>
    </w:p>
    <w:p>
      <w:pPr>
        <w:spacing w:after="0" w:line="150"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22" w:lineRule="exact"/>
        <w:rPr>
          <w:sz w:val="20"/>
          <w:szCs w:val="20"/>
          <w:color w:val="auto"/>
        </w:rPr>
      </w:pPr>
    </w:p>
    <w:p>
      <w:pPr>
        <w:jc w:val="both"/>
        <w:ind w:right="60" w:firstLine="456"/>
        <w:spacing w:after="0" w:line="239"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39" w:lineRule="exact"/>
        <w:rPr>
          <w:sz w:val="20"/>
          <w:szCs w:val="20"/>
          <w:color w:val="auto"/>
        </w:rPr>
      </w:pPr>
    </w:p>
    <w:p>
      <w:pPr>
        <w:jc w:val="both"/>
        <w:ind w:right="80" w:firstLine="456"/>
        <w:spacing w:after="0" w:line="230" w:lineRule="auto"/>
        <w:rPr>
          <w:sz w:val="20"/>
          <w:szCs w:val="20"/>
          <w:color w:val="auto"/>
        </w:rPr>
      </w:pPr>
      <w:r>
        <w:rPr>
          <w:rFonts w:ascii="Arial" w:cs="Arial" w:eastAsia="Arial" w:hAnsi="Arial"/>
          <w:sz w:val="14"/>
          <w:szCs w:val="14"/>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39" w:lineRule="exact"/>
        <w:rPr>
          <w:sz w:val="20"/>
          <w:szCs w:val="20"/>
          <w:color w:val="auto"/>
        </w:rPr>
      </w:pPr>
    </w:p>
    <w:p>
      <w:pPr>
        <w:jc w:val="both"/>
        <w:ind w:right="180" w:firstLine="456"/>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Quantitative And Qualitative Disclosures About Market Risk</w:t>
      </w:r>
    </w:p>
    <w:p>
      <w:pPr>
        <w:spacing w:after="0" w:line="152"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We are subject to financial market risks, including changes in interest rates. As of March 31, 2012, our portfolio consisted of 85% variable-rate investments (including 80% with a LIBOR or prime floor) and 15% fixed-rate investments. The variable-rate loans are usually based on a floating LIBOR rate and typically have durations of three months after which they reset to current market interest rates. Variable-rate investments subject to a floor generally reset by reference to the current market index after one to six months only if the index exceeds the floor. In regards to variable-rate instruments with a floor, we do not benefit from increases in interest rates until such rates exceed the floor and thereafter benefit from market rates above any such floor.</w:t>
      </w:r>
    </w:p>
    <w:p>
      <w:pPr>
        <w:spacing w:after="0" w:line="117"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Assuming that the most recent balance sheet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7"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13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SENIOR SECURITIES</w:t>
      </w:r>
    </w:p>
    <w:p>
      <w:pPr>
        <w:spacing w:after="0" w:line="152"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Information about our senior securities is shown in the following table as of March 31, 2012 and September 30, 2011. The information as of September 30, 2011 has been derived from our consolidated financial statements which have been audited by KPMG LLP,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Asset</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Involuntary</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Coverage</w:t>
            </w:r>
          </w:p>
        </w:tc>
        <w:tc>
          <w:tcPr>
            <w:tcW w:w="18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Liquidating</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Total Amount</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1"/>
                <w:szCs w:val="11"/>
                <w:b w:val="1"/>
                <w:bCs w:val="1"/>
                <w:color w:val="auto"/>
              </w:rPr>
              <w:t xml:space="preserve">per Unit </w:t>
            </w:r>
            <w:r>
              <w:rPr>
                <w:rFonts w:ascii="Arial" w:cs="Arial" w:eastAsia="Arial" w:hAnsi="Arial"/>
                <w:sz w:val="17"/>
                <w:szCs w:val="17"/>
                <w:b w:val="1"/>
                <w:bCs w:val="1"/>
                <w:color w:val="auto"/>
                <w:vertAlign w:val="superscript"/>
              </w:rPr>
              <w:t>(2)</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Preference</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Per</w:t>
            </w:r>
          </w:p>
        </w:tc>
        <w:tc>
          <w:tcPr>
            <w:tcW w:w="0" w:type="dxa"/>
            <w:vAlign w:val="bottom"/>
          </w:tcPr>
          <w:p>
            <w:pPr>
              <w:spacing w:after="0"/>
              <w:rPr>
                <w:sz w:val="1"/>
                <w:szCs w:val="1"/>
                <w:color w:val="auto"/>
              </w:rPr>
            </w:pPr>
          </w:p>
        </w:tc>
      </w:tr>
      <w:tr>
        <w:trPr>
          <w:trHeight w:val="189"/>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1720" w:type="dxa"/>
            <w:vAlign w:val="bottom"/>
            <w:gridSpan w:val="2"/>
          </w:tcPr>
          <w:p>
            <w:pPr>
              <w:jc w:val="center"/>
              <w:ind w:right="160"/>
              <w:spacing w:after="0" w:line="189" w:lineRule="exact"/>
              <w:rPr>
                <w:sz w:val="20"/>
                <w:szCs w:val="20"/>
                <w:color w:val="auto"/>
              </w:rPr>
            </w:pPr>
            <w:r>
              <w:rPr>
                <w:rFonts w:ascii="Arial" w:cs="Arial" w:eastAsia="Arial" w:hAnsi="Arial"/>
                <w:sz w:val="13"/>
                <w:szCs w:val="13"/>
                <w:b w:val="1"/>
                <w:bCs w:val="1"/>
                <w:color w:val="auto"/>
                <w:w w:val="90"/>
              </w:rPr>
              <w:t xml:space="preserve">Outstanding </w:t>
            </w:r>
            <w:r>
              <w:rPr>
                <w:rFonts w:ascii="Arial" w:cs="Arial" w:eastAsia="Arial" w:hAnsi="Arial"/>
                <w:sz w:val="21"/>
                <w:szCs w:val="21"/>
                <w:b w:val="1"/>
                <w:bCs w:val="1"/>
                <w:color w:val="auto"/>
                <w:w w:val="90"/>
                <w:vertAlign w:val="superscript"/>
              </w:rPr>
              <w:t>(1)</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(unaudited)</w:t>
            </w:r>
          </w:p>
        </w:tc>
        <w:tc>
          <w:tcPr>
            <w:tcW w:w="1800" w:type="dxa"/>
            <w:vAlign w:val="bottom"/>
            <w:gridSpan w:val="2"/>
          </w:tcPr>
          <w:p>
            <w:pPr>
              <w:jc w:val="center"/>
              <w:ind w:right="100"/>
              <w:spacing w:after="0" w:line="189" w:lineRule="exact"/>
              <w:rPr>
                <w:sz w:val="20"/>
                <w:szCs w:val="20"/>
                <w:color w:val="auto"/>
              </w:rPr>
            </w:pPr>
            <w:r>
              <w:rPr>
                <w:rFonts w:ascii="Arial" w:cs="Arial" w:eastAsia="Arial" w:hAnsi="Arial"/>
                <w:sz w:val="13"/>
                <w:szCs w:val="13"/>
                <w:b w:val="1"/>
                <w:bCs w:val="1"/>
                <w:color w:val="auto"/>
                <w:w w:val="93"/>
              </w:rPr>
              <w:t xml:space="preserve">Per Unit </w:t>
            </w:r>
            <w:r>
              <w:rPr>
                <w:rFonts w:ascii="Arial" w:cs="Arial" w:eastAsia="Arial" w:hAnsi="Arial"/>
                <w:sz w:val="21"/>
                <w:szCs w:val="21"/>
                <w:b w:val="1"/>
                <w:bCs w:val="1"/>
                <w:color w:val="auto"/>
                <w:w w:val="93"/>
                <w:vertAlign w:val="superscript"/>
              </w:rPr>
              <w:t>(3)</w:t>
            </w:r>
          </w:p>
        </w:tc>
        <w:tc>
          <w:tcPr>
            <w:tcW w:w="16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1"/>
              </w:rPr>
              <w:t xml:space="preserve">Unit </w:t>
            </w:r>
            <w:r>
              <w:rPr>
                <w:rFonts w:ascii="Arial" w:cs="Arial" w:eastAsia="Arial" w:hAnsi="Arial"/>
                <w:sz w:val="21"/>
                <w:szCs w:val="21"/>
                <w:b w:val="1"/>
                <w:bCs w:val="1"/>
                <w:color w:val="auto"/>
                <w:w w:val="91"/>
                <w:vertAlign w:val="superscript"/>
              </w:rPr>
              <w:t>(4)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Credit Facility</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7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7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60" w:type="dxa"/>
            <w:vAlign w:val="bottom"/>
            <w:gridSpan w:val="2"/>
          </w:tcPr>
          <w:p>
            <w:pPr>
              <w:spacing w:after="0"/>
              <w:rPr>
                <w:sz w:val="20"/>
                <w:szCs w:val="20"/>
                <w:color w:val="auto"/>
              </w:rPr>
            </w:pPr>
            <w:r>
              <w:rPr>
                <w:rFonts w:ascii="Arial" w:cs="Arial" w:eastAsia="Arial" w:hAnsi="Arial"/>
                <w:sz w:val="14"/>
                <w:szCs w:val="14"/>
                <w:color w:val="auto"/>
              </w:rPr>
              <w:t>Fiscal 2012 (as of March 31, 2012)</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w w:val="86"/>
              </w:rPr>
              <w:t>$47,800</w:t>
            </w:r>
          </w:p>
        </w:tc>
        <w:tc>
          <w:tcPr>
            <w:tcW w:w="12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83"/>
              </w:rPr>
              <w:t>$3,018</w:t>
            </w:r>
          </w:p>
        </w:tc>
        <w:tc>
          <w:tcPr>
            <w:tcW w:w="120" w:type="dxa"/>
            <w:vAlign w:val="bottom"/>
          </w:tcPr>
          <w:p>
            <w:pPr>
              <w:spacing w:after="0"/>
              <w:rPr>
                <w:sz w:val="14"/>
                <w:szCs w:val="14"/>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N/A</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Fiscal 2011 (as of September 30, 2011)</w:t>
            </w: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$24,650</w:t>
            </w:r>
          </w:p>
        </w:tc>
        <w:tc>
          <w:tcPr>
            <w:tcW w:w="12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3"/>
              </w:rPr>
              <w:t>$4,735</w:t>
            </w:r>
          </w:p>
        </w:tc>
        <w:tc>
          <w:tcPr>
            <w:tcW w:w="120" w:type="dxa"/>
            <w:vAlign w:val="bottom"/>
            <w:shd w:val="clear" w:color="auto" w:fill="CCEEFF"/>
          </w:tcPr>
          <w:p>
            <w:pPr>
              <w:spacing w:after="0"/>
              <w:rPr>
                <w:sz w:val="14"/>
                <w:szCs w:val="14"/>
                <w:color w:val="auto"/>
              </w:rPr>
            </w:pPr>
          </w:p>
        </w:tc>
        <w:tc>
          <w:tcPr>
            <w:tcW w:w="18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4"/>
              </w:rPr>
              <w:t>N/A</w:t>
            </w: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70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0" w:type="dxa"/>
            <w:vAlign w:val="bottom"/>
            <w:gridSpan w:val="2"/>
            <w:vMerge w:val="continue"/>
            <w:shd w:val="clear" w:color="auto" w:fill="CCEEFF"/>
          </w:tcPr>
          <w:p>
            <w:pPr>
              <w:spacing w:after="0"/>
              <w:rPr>
                <w:sz w:val="3"/>
                <w:szCs w:val="3"/>
                <w:color w:val="auto"/>
              </w:rPr>
            </w:pPr>
          </w:p>
        </w:tc>
        <w:tc>
          <w:tcPr>
            <w:tcW w:w="160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5176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cost of each class of senior securities outstanding at the end of the period presented in thousands (000s).</w:t>
      </w:r>
    </w:p>
    <w:p>
      <w:pPr>
        <w:ind w:left="460" w:right="280" w:hanging="452"/>
        <w:spacing w:after="0" w:line="258" w:lineRule="auto"/>
        <w:tabs>
          <w:tab w:leader="none" w:pos="4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ind w:left="460" w:hanging="452"/>
        <w:spacing w:after="0" w:line="221" w:lineRule="auto"/>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 to which such class of senior security would be entitled upon the involuntary liquidation of the issuer in preference to any security junior to it.</w:t>
      </w:r>
    </w:p>
    <w:p>
      <w:pPr>
        <w:ind w:left="460" w:hanging="45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Not applicable, as senior securities are not registered for public trading.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OBLIGATIONS AND INDEBTEDNESS</w:t>
      </w:r>
    </w:p>
    <w:p>
      <w:pPr>
        <w:spacing w:after="0" w:line="152"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In connection with our initial public offering of our common stock, the Investment Adviser paid to the underwriters 2% of the sales load, or $2.1 million in the aggregate.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PRICE RANGE OF COMMON STOCK</w:t>
      </w:r>
    </w:p>
    <w:p>
      <w:pPr>
        <w:spacing w:after="0" w:line="152"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Our common stock is traded on the NASDAQ Global Select Market under the symbol “PFLT.” The following table lists the high and low closing sale price for our common stock, the closing sale price as a percentage of NAV, and quarterly dividends per share since shares of our common stock began being regularly quoted on the NASDAQ Global Select Market. On July 24, 2012, the last reported closing price of our common stock was $12.14 per share.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Closing Sales Price</w:t>
            </w:r>
          </w:p>
        </w:tc>
        <w:tc>
          <w:tcPr>
            <w:tcW w:w="1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Discount of High Sales</w:t>
            </w:r>
          </w:p>
        </w:tc>
        <w:tc>
          <w:tcPr>
            <w:tcW w:w="1920" w:type="dxa"/>
            <w:vAlign w:val="bottom"/>
          </w:tcPr>
          <w:p>
            <w:pPr>
              <w:jc w:val="right"/>
              <w:ind w:right="433"/>
              <w:spacing w:after="0"/>
              <w:rPr>
                <w:sz w:val="20"/>
                <w:szCs w:val="20"/>
                <w:color w:val="auto"/>
              </w:rPr>
            </w:pPr>
            <w:r>
              <w:rPr>
                <w:rFonts w:ascii="Arial" w:cs="Arial" w:eastAsia="Arial" w:hAnsi="Arial"/>
                <w:sz w:val="14"/>
                <w:szCs w:val="14"/>
                <w:b w:val="1"/>
                <w:bCs w:val="1"/>
                <w:color w:val="auto"/>
                <w:w w:val="93"/>
              </w:rPr>
              <w:t>Discount of Low Sales</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3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1840" w:type="dxa"/>
            <w:vAlign w:val="bottom"/>
            <w:gridSpan w:val="2"/>
            <w:vMerge w:val="restart"/>
          </w:tcPr>
          <w:p>
            <w:pPr>
              <w:jc w:val="right"/>
              <w:ind w:right="820"/>
              <w:spacing w:after="0" w:line="135" w:lineRule="exact"/>
              <w:rPr>
                <w:sz w:val="20"/>
                <w:szCs w:val="20"/>
                <w:color w:val="auto"/>
              </w:rPr>
            </w:pPr>
            <w:r>
              <w:rPr>
                <w:rFonts w:ascii="Arial" w:cs="Arial" w:eastAsia="Arial" w:hAnsi="Arial"/>
                <w:sz w:val="14"/>
                <w:szCs w:val="14"/>
                <w:b w:val="1"/>
                <w:bCs w:val="1"/>
                <w:color w:val="auto"/>
              </w:rPr>
              <w:t>Price to</w:t>
            </w:r>
          </w:p>
        </w:tc>
        <w:tc>
          <w:tcPr>
            <w:tcW w:w="1920" w:type="dxa"/>
            <w:vAlign w:val="bottom"/>
            <w:vMerge w:val="restart"/>
          </w:tcPr>
          <w:p>
            <w:pPr>
              <w:jc w:val="right"/>
              <w:ind w:right="853"/>
              <w:spacing w:after="0" w:line="135" w:lineRule="exact"/>
              <w:rPr>
                <w:sz w:val="20"/>
                <w:szCs w:val="20"/>
                <w:color w:val="auto"/>
              </w:rPr>
            </w:pPr>
            <w:r>
              <w:rPr>
                <w:rFonts w:ascii="Arial" w:cs="Arial" w:eastAsia="Arial" w:hAnsi="Arial"/>
                <w:sz w:val="14"/>
                <w:szCs w:val="14"/>
                <w:b w:val="1"/>
                <w:bCs w:val="1"/>
                <w:color w:val="auto"/>
              </w:rPr>
              <w:t>Price to</w:t>
            </w:r>
          </w:p>
        </w:tc>
        <w:tc>
          <w:tcPr>
            <w:tcW w:w="82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48"/>
        </w:trPr>
        <w:tc>
          <w:tcPr>
            <w:tcW w:w="3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vMerge w:val="restart"/>
          </w:tcPr>
          <w:p>
            <w:pPr>
              <w:jc w:val="right"/>
              <w:ind w:right="312"/>
              <w:spacing w:after="0" w:line="223" w:lineRule="exact"/>
              <w:rPr>
                <w:sz w:val="20"/>
                <w:szCs w:val="20"/>
                <w:color w:val="auto"/>
              </w:rPr>
            </w:pPr>
            <w:r>
              <w:rPr>
                <w:rFonts w:ascii="Arial" w:cs="Arial" w:eastAsia="Arial" w:hAnsi="Arial"/>
                <w:sz w:val="14"/>
                <w:szCs w:val="14"/>
                <w:b w:val="1"/>
                <w:bCs w:val="1"/>
                <w:color w:val="auto"/>
              </w:rPr>
              <w:t xml:space="preserve">NAV </w:t>
            </w:r>
            <w:r>
              <w:rPr>
                <w:rFonts w:ascii="Arial" w:cs="Arial" w:eastAsia="Arial" w:hAnsi="Arial"/>
                <w:sz w:val="22"/>
                <w:szCs w:val="22"/>
                <w:b w:val="1"/>
                <w:bCs w:val="1"/>
                <w:color w:val="auto"/>
                <w:vertAlign w:val="superscript"/>
              </w:rPr>
              <w:t>(1)</w:t>
            </w:r>
          </w:p>
        </w:tc>
        <w:tc>
          <w:tcPr>
            <w:tcW w:w="86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192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160" w:type="dxa"/>
            <w:vAlign w:val="bottom"/>
            <w:vMerge w:val="continue"/>
          </w:tcPr>
          <w:p>
            <w:pPr>
              <w:spacing w:after="0"/>
              <w:rPr>
                <w:sz w:val="15"/>
                <w:szCs w:val="15"/>
                <w:color w:val="auto"/>
              </w:rPr>
            </w:pPr>
          </w:p>
        </w:tc>
        <w:tc>
          <w:tcPr>
            <w:tcW w:w="860" w:type="dxa"/>
            <w:vAlign w:val="bottom"/>
          </w:tcPr>
          <w:p>
            <w:pPr>
              <w:jc w:val="right"/>
              <w:ind w:right="292"/>
              <w:spacing w:after="0"/>
              <w:rPr>
                <w:sz w:val="20"/>
                <w:szCs w:val="20"/>
                <w:color w:val="auto"/>
              </w:rPr>
            </w:pPr>
            <w:r>
              <w:rPr>
                <w:rFonts w:ascii="Arial" w:cs="Arial" w:eastAsia="Arial" w:hAnsi="Arial"/>
                <w:sz w:val="14"/>
                <w:szCs w:val="14"/>
                <w:b w:val="1"/>
                <w:bCs w:val="1"/>
                <w:color w:val="auto"/>
              </w:rPr>
              <w:t>High</w:t>
            </w:r>
          </w:p>
        </w:tc>
        <w:tc>
          <w:tcPr>
            <w:tcW w:w="860" w:type="dxa"/>
            <w:vAlign w:val="bottom"/>
            <w:gridSpan w:val="2"/>
          </w:tcPr>
          <w:p>
            <w:pPr>
              <w:ind w:left="220"/>
              <w:spacing w:after="0"/>
              <w:rPr>
                <w:sz w:val="20"/>
                <w:szCs w:val="20"/>
                <w:color w:val="auto"/>
              </w:rPr>
            </w:pPr>
            <w:r>
              <w:rPr>
                <w:rFonts w:ascii="Arial" w:cs="Arial" w:eastAsia="Arial" w:hAnsi="Arial"/>
                <w:sz w:val="14"/>
                <w:szCs w:val="14"/>
                <w:b w:val="1"/>
                <w:bCs w:val="1"/>
                <w:color w:val="auto"/>
              </w:rPr>
              <w:t>Low</w:t>
            </w:r>
          </w:p>
        </w:tc>
        <w:tc>
          <w:tcPr>
            <w:tcW w:w="1840" w:type="dxa"/>
            <w:vAlign w:val="bottom"/>
            <w:gridSpan w:val="2"/>
          </w:tcPr>
          <w:p>
            <w:pPr>
              <w:jc w:val="right"/>
              <w:ind w:right="820"/>
              <w:spacing w:after="0" w:line="176" w:lineRule="exact"/>
              <w:rPr>
                <w:sz w:val="20"/>
                <w:szCs w:val="20"/>
                <w:color w:val="auto"/>
              </w:rPr>
            </w:pPr>
            <w:r>
              <w:rPr>
                <w:rFonts w:ascii="Arial" w:cs="Arial" w:eastAsia="Arial" w:hAnsi="Arial"/>
                <w:sz w:val="13"/>
                <w:szCs w:val="13"/>
                <w:b w:val="1"/>
                <w:bCs w:val="1"/>
                <w:color w:val="auto"/>
              </w:rPr>
              <w:t xml:space="preserve">NAV </w:t>
            </w:r>
            <w:r>
              <w:rPr>
                <w:rFonts w:ascii="Arial" w:cs="Arial" w:eastAsia="Arial" w:hAnsi="Arial"/>
                <w:sz w:val="20"/>
                <w:szCs w:val="20"/>
                <w:b w:val="1"/>
                <w:bCs w:val="1"/>
                <w:color w:val="auto"/>
                <w:vertAlign w:val="superscript"/>
              </w:rPr>
              <w:t>(2)</w:t>
            </w:r>
          </w:p>
        </w:tc>
        <w:tc>
          <w:tcPr>
            <w:tcW w:w="1920" w:type="dxa"/>
            <w:vAlign w:val="bottom"/>
          </w:tcPr>
          <w:p>
            <w:pPr>
              <w:jc w:val="right"/>
              <w:ind w:right="853"/>
              <w:spacing w:after="0" w:line="176" w:lineRule="exact"/>
              <w:rPr>
                <w:sz w:val="20"/>
                <w:szCs w:val="20"/>
                <w:color w:val="auto"/>
              </w:rPr>
            </w:pPr>
            <w:r>
              <w:rPr>
                <w:rFonts w:ascii="Arial" w:cs="Arial" w:eastAsia="Arial" w:hAnsi="Arial"/>
                <w:sz w:val="13"/>
                <w:szCs w:val="13"/>
                <w:b w:val="1"/>
                <w:bCs w:val="1"/>
                <w:color w:val="auto"/>
              </w:rPr>
              <w:t xml:space="preserve">NAV </w:t>
            </w:r>
            <w:r>
              <w:rPr>
                <w:rFonts w:ascii="Arial" w:cs="Arial" w:eastAsia="Arial" w:hAnsi="Arial"/>
                <w:sz w:val="20"/>
                <w:szCs w:val="20"/>
                <w:b w:val="1"/>
                <w:bCs w:val="1"/>
                <w:color w:val="auto"/>
                <w:vertAlign w:val="superscript"/>
              </w:rPr>
              <w:t>(2)</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142"/>
        </w:trPr>
        <w:tc>
          <w:tcPr>
            <w:tcW w:w="38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Fiscal Year Ending September 30, 2012</w:t>
            </w: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9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Fourth Fiscal Quarter (July 24, 2012)</w:t>
            </w:r>
          </w:p>
        </w:tc>
        <w:tc>
          <w:tcPr>
            <w:tcW w:w="11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N/A</w:t>
            </w: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12.18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11.85</w:t>
            </w:r>
          </w:p>
        </w:tc>
        <w:tc>
          <w:tcPr>
            <w:tcW w:w="180" w:type="dxa"/>
            <w:vAlign w:val="bottom"/>
          </w:tcPr>
          <w:p>
            <w:pPr>
              <w:spacing w:after="0"/>
              <w:rPr>
                <w:sz w:val="12"/>
                <w:szCs w:val="12"/>
                <w:color w:val="auto"/>
              </w:rPr>
            </w:pPr>
          </w:p>
        </w:tc>
        <w:tc>
          <w:tcPr>
            <w:tcW w:w="1840" w:type="dxa"/>
            <w:vAlign w:val="bottom"/>
            <w:gridSpan w:val="2"/>
          </w:tcPr>
          <w:p>
            <w:pPr>
              <w:ind w:left="1340"/>
              <w:spacing w:after="0" w:line="149" w:lineRule="exact"/>
              <w:rPr>
                <w:sz w:val="20"/>
                <w:szCs w:val="20"/>
                <w:color w:val="auto"/>
              </w:rPr>
            </w:pPr>
            <w:r>
              <w:rPr>
                <w:rFonts w:ascii="Arial" w:cs="Arial" w:eastAsia="Arial" w:hAnsi="Arial"/>
                <w:sz w:val="14"/>
                <w:szCs w:val="14"/>
                <w:color w:val="auto"/>
              </w:rPr>
              <w:t>N/A%</w:t>
            </w:r>
          </w:p>
        </w:tc>
        <w:tc>
          <w:tcPr>
            <w:tcW w:w="1920" w:type="dxa"/>
            <w:vAlign w:val="bottom"/>
          </w:tcPr>
          <w:p>
            <w:pPr>
              <w:ind w:left="1320"/>
              <w:spacing w:after="0" w:line="149" w:lineRule="exact"/>
              <w:rPr>
                <w:sz w:val="20"/>
                <w:szCs w:val="20"/>
                <w:color w:val="auto"/>
              </w:rPr>
            </w:pPr>
            <w:r>
              <w:rPr>
                <w:rFonts w:ascii="Arial" w:cs="Arial" w:eastAsia="Arial" w:hAnsi="Arial"/>
                <w:sz w:val="14"/>
                <w:szCs w:val="14"/>
                <w:color w:val="auto"/>
              </w:rPr>
              <w:t>N/A%  $</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1"/>
                <w:szCs w:val="11"/>
                <w:color w:val="auto"/>
              </w:rPr>
              <w:t>0.080</w:t>
            </w:r>
            <w:r>
              <w:rPr>
                <w:rFonts w:ascii="Arial" w:cs="Arial" w:eastAsia="Arial" w:hAnsi="Arial"/>
                <w:sz w:val="17"/>
                <w:szCs w:val="17"/>
                <w:color w:val="auto"/>
                <w:vertAlign w:val="superscript"/>
              </w:rPr>
              <w:t>(3)</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Third Fiscal Quarter</w:t>
            </w:r>
          </w:p>
        </w:tc>
        <w:tc>
          <w:tcPr>
            <w:tcW w:w="11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N/A</w:t>
            </w:r>
          </w:p>
        </w:tc>
        <w:tc>
          <w:tcPr>
            <w:tcW w:w="8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11.93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11.46</w:t>
            </w:r>
          </w:p>
        </w:tc>
        <w:tc>
          <w:tcPr>
            <w:tcW w:w="18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1340"/>
              <w:spacing w:after="0" w:line="149" w:lineRule="exact"/>
              <w:rPr>
                <w:sz w:val="20"/>
                <w:szCs w:val="20"/>
                <w:color w:val="auto"/>
              </w:rPr>
            </w:pPr>
            <w:r>
              <w:rPr>
                <w:rFonts w:ascii="Arial" w:cs="Arial" w:eastAsia="Arial" w:hAnsi="Arial"/>
                <w:sz w:val="14"/>
                <w:szCs w:val="14"/>
                <w:color w:val="auto"/>
              </w:rPr>
              <w:t>N/A</w:t>
            </w:r>
          </w:p>
        </w:tc>
        <w:tc>
          <w:tcPr>
            <w:tcW w:w="1920" w:type="dxa"/>
            <w:vAlign w:val="bottom"/>
            <w:shd w:val="clear" w:color="auto" w:fill="CCEEFF"/>
          </w:tcPr>
          <w:p>
            <w:pPr>
              <w:ind w:left="1320"/>
              <w:spacing w:after="0" w:line="149" w:lineRule="exact"/>
              <w:rPr>
                <w:sz w:val="20"/>
                <w:szCs w:val="20"/>
                <w:color w:val="auto"/>
              </w:rPr>
            </w:pPr>
            <w:r>
              <w:rPr>
                <w:rFonts w:ascii="Arial" w:cs="Arial" w:eastAsia="Arial" w:hAnsi="Arial"/>
                <w:sz w:val="14"/>
                <w:szCs w:val="14"/>
                <w:color w:val="auto"/>
              </w:rPr>
              <w:t>N/A</w:t>
            </w:r>
          </w:p>
        </w:tc>
        <w:tc>
          <w:tcPr>
            <w:tcW w:w="760" w:type="dxa"/>
            <w:vAlign w:val="bottom"/>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rPr>
              <w:t>0.235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Second Fiscal Quarter</w:t>
            </w:r>
          </w:p>
        </w:tc>
        <w:tc>
          <w:tcPr>
            <w:tcW w:w="11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14.12</w:t>
            </w: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12.10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10.52</w:t>
            </w:r>
          </w:p>
        </w:tc>
        <w:tc>
          <w:tcPr>
            <w:tcW w:w="180" w:type="dxa"/>
            <w:vAlign w:val="bottom"/>
          </w:tcPr>
          <w:p>
            <w:pPr>
              <w:spacing w:after="0"/>
              <w:rPr>
                <w:sz w:val="12"/>
                <w:szCs w:val="12"/>
                <w:color w:val="auto"/>
              </w:rPr>
            </w:pPr>
          </w:p>
        </w:tc>
        <w:tc>
          <w:tcPr>
            <w:tcW w:w="1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19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(25)</w:t>
            </w: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0.225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 Fiscal Quarter</w:t>
            </w:r>
          </w:p>
        </w:tc>
        <w:tc>
          <w:tcPr>
            <w:tcW w:w="11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13.68</w:t>
            </w:r>
          </w:p>
        </w:tc>
        <w:tc>
          <w:tcPr>
            <w:tcW w:w="8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11.03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w:t>
            </w:r>
          </w:p>
        </w:tc>
        <w:tc>
          <w:tcPr>
            <w:tcW w:w="18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w:t>
            </w:r>
          </w:p>
        </w:tc>
        <w:tc>
          <w:tcPr>
            <w:tcW w:w="1920" w:type="dxa"/>
            <w:vAlign w:val="bottom"/>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(27)</w:t>
            </w:r>
          </w:p>
        </w:tc>
        <w:tc>
          <w:tcPr>
            <w:tcW w:w="760" w:type="dxa"/>
            <w:vAlign w:val="bottom"/>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rPr>
              <w:t>0.210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Fiscal Year Ending September 30, 2011</w:t>
            </w: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Fourth Fiscal Quarter</w:t>
            </w:r>
          </w:p>
        </w:tc>
        <w:tc>
          <w:tcPr>
            <w:tcW w:w="11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13.44</w:t>
            </w:r>
          </w:p>
        </w:tc>
        <w:tc>
          <w:tcPr>
            <w:tcW w:w="8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12.85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10.34</w:t>
            </w:r>
          </w:p>
        </w:tc>
        <w:tc>
          <w:tcPr>
            <w:tcW w:w="18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w:t>
            </w:r>
          </w:p>
        </w:tc>
        <w:tc>
          <w:tcPr>
            <w:tcW w:w="1920" w:type="dxa"/>
            <w:vAlign w:val="bottom"/>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(23)</w:t>
            </w:r>
          </w:p>
        </w:tc>
        <w:tc>
          <w:tcPr>
            <w:tcW w:w="760" w:type="dxa"/>
            <w:vAlign w:val="bottom"/>
            <w:shd w:val="clear" w:color="auto" w:fill="CCEEFF"/>
          </w:tcPr>
          <w:p>
            <w:pPr>
              <w:jc w:val="right"/>
              <w:ind w:right="34"/>
              <w:spacing w:after="0" w:line="149" w:lineRule="exact"/>
              <w:rPr>
                <w:sz w:val="20"/>
                <w:szCs w:val="20"/>
                <w:color w:val="auto"/>
              </w:rPr>
            </w:pPr>
            <w:r>
              <w:rPr>
                <w:rFonts w:ascii="Arial" w:cs="Arial" w:eastAsia="Arial" w:hAnsi="Arial"/>
                <w:sz w:val="14"/>
                <w:szCs w:val="14"/>
                <w:color w:val="auto"/>
              </w:rPr>
              <w:t>0.200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3960" w:type="dxa"/>
            <w:vAlign w:val="bottom"/>
            <w:gridSpan w:val="2"/>
          </w:tcPr>
          <w:p>
            <w:pPr>
              <w:spacing w:after="0"/>
              <w:rPr>
                <w:sz w:val="20"/>
                <w:szCs w:val="20"/>
                <w:color w:val="auto"/>
              </w:rPr>
            </w:pPr>
            <w:r>
              <w:rPr>
                <w:rFonts w:ascii="Arial" w:cs="Arial" w:eastAsia="Arial" w:hAnsi="Arial"/>
                <w:sz w:val="14"/>
                <w:szCs w:val="14"/>
                <w:color w:val="auto"/>
              </w:rPr>
              <w:t>Third Fiscal Quarter</w:t>
            </w:r>
            <w:r>
              <w:rPr>
                <w:rFonts w:ascii="Arial" w:cs="Arial" w:eastAsia="Arial" w:hAnsi="Arial"/>
                <w:sz w:val="22"/>
                <w:szCs w:val="22"/>
                <w:color w:val="auto"/>
                <w:vertAlign w:val="superscript"/>
              </w:rPr>
              <w:t>(4)</w:t>
            </w:r>
          </w:p>
        </w:tc>
        <w:tc>
          <w:tcPr>
            <w:tcW w:w="1160" w:type="dxa"/>
            <w:vAlign w:val="bottom"/>
          </w:tcPr>
          <w:p>
            <w:pPr>
              <w:jc w:val="right"/>
              <w:ind w:right="172"/>
              <w:spacing w:after="0"/>
              <w:rPr>
                <w:sz w:val="20"/>
                <w:szCs w:val="20"/>
                <w:color w:val="auto"/>
              </w:rPr>
            </w:pPr>
            <w:r>
              <w:rPr>
                <w:rFonts w:ascii="Arial" w:cs="Arial" w:eastAsia="Arial" w:hAnsi="Arial"/>
                <w:sz w:val="14"/>
                <w:szCs w:val="14"/>
                <w:color w:val="auto"/>
              </w:rPr>
              <w:t>14.06</w:t>
            </w:r>
          </w:p>
        </w:tc>
        <w:tc>
          <w:tcPr>
            <w:tcW w:w="860" w:type="dxa"/>
            <w:vAlign w:val="bottom"/>
          </w:tcPr>
          <w:p>
            <w:pPr>
              <w:jc w:val="right"/>
              <w:ind w:right="152"/>
              <w:spacing w:after="0"/>
              <w:rPr>
                <w:sz w:val="20"/>
                <w:szCs w:val="20"/>
                <w:color w:val="auto"/>
              </w:rPr>
            </w:pPr>
            <w:r>
              <w:rPr>
                <w:rFonts w:ascii="Arial" w:cs="Arial" w:eastAsia="Arial" w:hAnsi="Arial"/>
                <w:sz w:val="14"/>
                <w:szCs w:val="14"/>
                <w:color w:val="auto"/>
              </w:rPr>
              <w:t>13.70</w:t>
            </w:r>
          </w:p>
        </w:tc>
        <w:tc>
          <w:tcPr>
            <w:tcW w:w="680" w:type="dxa"/>
            <w:vAlign w:val="bottom"/>
          </w:tcPr>
          <w:p>
            <w:pPr>
              <w:jc w:val="right"/>
              <w:spacing w:after="0"/>
              <w:rPr>
                <w:sz w:val="20"/>
                <w:szCs w:val="20"/>
                <w:color w:val="auto"/>
              </w:rPr>
            </w:pPr>
            <w:r>
              <w:rPr>
                <w:rFonts w:ascii="Arial" w:cs="Arial" w:eastAsia="Arial" w:hAnsi="Arial"/>
                <w:sz w:val="14"/>
                <w:szCs w:val="14"/>
                <w:color w:val="auto"/>
              </w:rPr>
              <w:t>12.27</w:t>
            </w:r>
          </w:p>
        </w:tc>
        <w:tc>
          <w:tcPr>
            <w:tcW w:w="180" w:type="dxa"/>
            <w:vAlign w:val="bottom"/>
          </w:tcPr>
          <w:p>
            <w:pPr>
              <w:spacing w:after="0"/>
              <w:rPr>
                <w:sz w:val="24"/>
                <w:szCs w:val="24"/>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4"/>
                <w:szCs w:val="14"/>
                <w:color w:val="auto"/>
              </w:rPr>
              <w:t>(3)</w:t>
            </w:r>
          </w:p>
        </w:tc>
        <w:tc>
          <w:tcPr>
            <w:tcW w:w="1920" w:type="dxa"/>
            <w:vAlign w:val="bottom"/>
          </w:tcPr>
          <w:p>
            <w:pPr>
              <w:jc w:val="right"/>
              <w:ind w:right="253"/>
              <w:spacing w:after="0"/>
              <w:rPr>
                <w:sz w:val="20"/>
                <w:szCs w:val="20"/>
                <w:color w:val="auto"/>
              </w:rPr>
            </w:pPr>
            <w:r>
              <w:rPr>
                <w:rFonts w:ascii="Arial" w:cs="Arial" w:eastAsia="Arial" w:hAnsi="Arial"/>
                <w:sz w:val="14"/>
                <w:szCs w:val="14"/>
                <w:color w:val="auto"/>
              </w:rPr>
              <w:t>(13)</w:t>
            </w:r>
          </w:p>
        </w:tc>
        <w:tc>
          <w:tcPr>
            <w:tcW w:w="760" w:type="dxa"/>
            <w:vAlign w:val="bottom"/>
          </w:tcPr>
          <w:p>
            <w:pPr>
              <w:jc w:val="right"/>
              <w:ind w:right="34"/>
              <w:spacing w:after="0"/>
              <w:rPr>
                <w:sz w:val="20"/>
                <w:szCs w:val="20"/>
                <w:color w:val="auto"/>
              </w:rPr>
            </w:pPr>
            <w:r>
              <w:rPr>
                <w:rFonts w:ascii="Arial" w:cs="Arial" w:eastAsia="Arial" w:hAnsi="Arial"/>
                <w:sz w:val="14"/>
                <w:szCs w:val="14"/>
                <w:color w:val="auto"/>
              </w:rPr>
              <w:t>0.050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5176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ind w:left="460" w:right="500" w:hanging="452"/>
        <w:spacing w:after="0" w:line="225"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this prospectus for more information.</w:t>
      </w:r>
    </w:p>
    <w:p>
      <w:pPr>
        <w:ind w:left="460" w:hanging="452"/>
        <w:spacing w:after="0" w:line="221"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Calculated as the discount (difference between NAV and relevant closing price) to the high or low closing sales price divided by the quarter end NAV.</w:t>
      </w:r>
    </w:p>
    <w:p>
      <w:pPr>
        <w:ind w:left="460" w:hanging="452"/>
        <w:spacing w:after="0" w:line="221"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Dividend of $0.080 is payable on August 1, 2012 to stockholders of record as of July 20, 2012.</w:t>
      </w:r>
    </w:p>
    <w:p>
      <w:pPr>
        <w:ind w:left="460" w:hanging="452"/>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From April 9, 2011 (commencement of trading) to June 30, 2011.</w:t>
      </w:r>
    </w:p>
    <w:p>
      <w:pPr>
        <w:spacing w:after="0" w:line="138" w:lineRule="exact"/>
        <w:rPr>
          <w:sz w:val="20"/>
          <w:szCs w:val="20"/>
          <w:color w:val="auto"/>
        </w:rPr>
      </w:pPr>
    </w:p>
    <w:p>
      <w:pPr>
        <w:ind w:right="80" w:firstLine="342"/>
        <w:spacing w:after="0" w:line="278" w:lineRule="auto"/>
        <w:rPr>
          <w:sz w:val="20"/>
          <w:szCs w:val="20"/>
          <w:color w:val="auto"/>
        </w:rPr>
      </w:pPr>
      <w:r>
        <w:rPr>
          <w:rFonts w:ascii="Arial" w:cs="Arial" w:eastAsia="Arial" w:hAnsi="Arial"/>
          <w:sz w:val="12"/>
          <w:szCs w:val="12"/>
          <w:color w:val="auto"/>
        </w:rPr>
        <w:t>Shares of BDCs may trade at a market price that is less than the NAV that is attributable to those shares. Our shares have traded and may continue to trade below our NAV. Our shares traded on the NASDAQ Global Select Market at $11.75 and $10.55 as of March 31, 2012 and September 30, 2011, respectively. Our NAV was $14.12 and $13.44, as of March 31, 2012 and September 30, 2011,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SALES OF COMMON STOCK BELOW NET ASSET VALUE</w:t>
      </w:r>
    </w:p>
    <w:p>
      <w:pPr>
        <w:spacing w:after="0" w:line="152"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58" w:lineRule="exact"/>
        <w:rPr>
          <w:sz w:val="20"/>
          <w:szCs w:val="20"/>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effect that an offering below NAV per share would have on our stockholders, including the potential dilution they would experience as a result of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amount per share by which the offering price per share and the net proceeds per share are less than the most recently determined NAV per share;</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relationship of recent market prices of our common stock to NAV per share and the potential impact of the offering on the market price per share of our common stock;</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Whether the estimated offering price would closely approximate the market value of our shares, less distributing commissions or discounts, and would not be below current market price;</w:t>
      </w:r>
    </w:p>
    <w:p>
      <w:pPr>
        <w:spacing w:after="0" w:line="91" w:lineRule="exact"/>
        <w:rPr>
          <w:rFonts w:ascii="Arial" w:cs="Arial" w:eastAsia="Arial" w:hAnsi="Arial"/>
          <w:sz w:val="12"/>
          <w:szCs w:val="12"/>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potential market impact of being able to raise capital in the current financial market;</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nature of any new investors anticipated to acquire shares in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anticipated rate of return on and quality, type and availability of investments;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leverage available to us both before and after the offering and other borrowing terms;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potential investment opportunities available relative to the potential dilutive effect of additional capital at the time of the offering.</w:t>
      </w:r>
    </w:p>
    <w:p>
      <w:pPr>
        <w:spacing w:after="0" w:line="150" w:lineRule="exact"/>
        <w:rPr>
          <w:sz w:val="20"/>
          <w:szCs w:val="20"/>
          <w:color w:val="auto"/>
        </w:rPr>
      </w:pPr>
    </w:p>
    <w:p>
      <w:pPr>
        <w:ind w:right="400" w:firstLine="456"/>
        <w:spacing w:after="0" w:line="318" w:lineRule="auto"/>
        <w:rPr>
          <w:sz w:val="20"/>
          <w:szCs w:val="20"/>
          <w:color w:val="auto"/>
        </w:rPr>
      </w:pPr>
      <w:r>
        <w:rPr>
          <w:rFonts w:ascii="Arial" w:cs="Arial" w:eastAsia="Arial" w:hAnsi="Arial"/>
          <w:sz w:val="12"/>
          <w:szCs w:val="12"/>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us or from the offering of common stock at premium to NAV per share.</w:t>
      </w:r>
    </w:p>
    <w:p>
      <w:pPr>
        <w:spacing w:after="0" w:line="94"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Sales by us of our common stock at a discount from NAV pose potential risks for our existing stockholders whether or not they participate in the offering, as well as for new investors who participate in the offering.</w:t>
      </w:r>
    </w:p>
    <w:p>
      <w:pPr>
        <w:spacing w:after="0" w:line="139" w:lineRule="exact"/>
        <w:rPr>
          <w:sz w:val="20"/>
          <w:szCs w:val="20"/>
          <w:color w:val="auto"/>
        </w:rPr>
      </w:pPr>
    </w:p>
    <w:p>
      <w:pPr>
        <w:ind w:firstLine="342"/>
        <w:spacing w:after="0" w:line="262" w:lineRule="auto"/>
        <w:rPr>
          <w:sz w:val="20"/>
          <w:szCs w:val="20"/>
          <w:color w:val="auto"/>
        </w:rPr>
      </w:pPr>
      <w:r>
        <w:rPr>
          <w:rFonts w:ascii="Arial" w:cs="Arial" w:eastAsia="Arial" w:hAnsi="Arial"/>
          <w:sz w:val="12"/>
          <w:szCs w:val="12"/>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w:t>
      </w:r>
    </w:p>
    <w:p>
      <w:pPr>
        <w:spacing w:after="0" w:line="2" w:lineRule="exact"/>
        <w:rPr>
          <w:sz w:val="20"/>
          <w:szCs w:val="20"/>
          <w:color w:val="auto"/>
        </w:rPr>
      </w:pPr>
    </w:p>
    <w:p>
      <w:pPr>
        <w:ind w:right="40"/>
        <w:spacing w:after="0" w:line="227" w:lineRule="auto"/>
        <w:rPr>
          <w:sz w:val="20"/>
          <w:szCs w:val="20"/>
          <w:color w:val="auto"/>
        </w:rPr>
      </w:pPr>
      <w:r>
        <w:rPr>
          <w:rFonts w:ascii="Arial" w:cs="Arial" w:eastAsia="Arial" w:hAnsi="Arial"/>
          <w:sz w:val="14"/>
          <w:szCs w:val="14"/>
          <w:color w:val="auto"/>
        </w:rPr>
        <w:t>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39" w:lineRule="exact"/>
        <w:rPr>
          <w:sz w:val="20"/>
          <w:szCs w:val="20"/>
          <w:color w:val="auto"/>
        </w:rPr>
      </w:pPr>
    </w:p>
    <w:p>
      <w:pPr>
        <w:ind w:right="180" w:firstLine="342"/>
        <w:spacing w:after="0" w:line="239" w:lineRule="auto"/>
        <w:rPr>
          <w:sz w:val="20"/>
          <w:szCs w:val="20"/>
          <w:color w:val="auto"/>
        </w:rPr>
      </w:pPr>
      <w:r>
        <w:rPr>
          <w:rFonts w:ascii="Arial" w:cs="Arial" w:eastAsia="Arial" w:hAnsi="Arial"/>
          <w:sz w:val="14"/>
          <w:szCs w:val="14"/>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8"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existing stockholders who do not purchase any shares in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existing stockholders who purchase a relatively small amount of shares in the offering or a relatively large amount of shares in the offering;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new investors who become stockholders by purchasing shares in the offering.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Existing Stockholders who do not Participate in the Offering</w:t>
      </w:r>
    </w:p>
    <w:p>
      <w:pPr>
        <w:spacing w:after="0" w:line="6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Our existing stockholders who do not participate, or who are not given the opportunity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0"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94"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1</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9"/>
              </w:rPr>
              <w:t>Example 2</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3</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10% Offering</w:t>
            </w:r>
          </w:p>
        </w:tc>
        <w:tc>
          <w:tcPr>
            <w:tcW w:w="100" w:type="dxa"/>
            <w:vAlign w:val="bottom"/>
          </w:tcPr>
          <w:p>
            <w:pPr>
              <w:spacing w:after="0"/>
              <w:rPr>
                <w:sz w:val="12"/>
                <w:szCs w:val="12"/>
                <w:color w:val="auto"/>
              </w:rPr>
            </w:pPr>
          </w:p>
        </w:tc>
        <w:tc>
          <w:tcPr>
            <w:tcW w:w="16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Prior to Sale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at 5% Discount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at 10% Discount</w:t>
            </w:r>
          </w:p>
        </w:tc>
        <w:tc>
          <w:tcPr>
            <w:tcW w:w="100" w:type="dxa"/>
            <w:vAlign w:val="bottom"/>
          </w:tcPr>
          <w:p>
            <w:pPr>
              <w:spacing w:after="0"/>
              <w:rPr>
                <w:sz w:val="14"/>
                <w:szCs w:val="14"/>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4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Below NAV</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3"/>
              </w:rPr>
              <w:t>Sale</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0" w:type="dxa"/>
            <w:vAlign w:val="bottom"/>
            <w:tcBorders>
              <w:top w:val="single" w:sz="8" w:color="CCEEFF"/>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b w:val="1"/>
                <w:bCs w:val="1"/>
                <w:i w:val="1"/>
                <w:iCs w:val="1"/>
                <w:color w:val="auto"/>
              </w:rPr>
              <w:t>Offering Price</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9.52</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8.47</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offering proceeds per share to issuer</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9.50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Decrease to NAV</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1,050,000</w:t>
            </w: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5.00 %</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1,100,000</w:t>
            </w: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1,200,000</w:t>
            </w: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20.00 %</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NAV per share</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(0.20)%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9.91</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 to Stockholder A</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0.95%</w:t>
            </w: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0.91%</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1"/>
              </w:rPr>
              <w:t>(17.00)%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NAV held by stockholder A</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100,000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99,800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(0.20)%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99,100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96,700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w w:val="93"/>
              </w:rPr>
              <w:t>Total investment by stockholder A (assumed to be $10.00 per share)</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4"/>
                <w:szCs w:val="14"/>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dilution to stockholder A (total NAV less total investment)</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NAV per share held by stockholder A</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9.91</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9.67</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tcPr>
          <w:p>
            <w:pPr>
              <w:ind w:left="420"/>
              <w:spacing w:after="0" w:line="138" w:lineRule="exact"/>
              <w:rPr>
                <w:sz w:val="20"/>
                <w:szCs w:val="20"/>
                <w:color w:val="auto"/>
              </w:rPr>
            </w:pPr>
            <w:r>
              <w:rPr>
                <w:rFonts w:ascii="Arial" w:cs="Arial" w:eastAsia="Arial" w:hAnsi="Arial"/>
                <w:sz w:val="14"/>
                <w:szCs w:val="14"/>
                <w:color w:val="auto"/>
                <w:w w:val="89"/>
              </w:rPr>
              <w:t>Investment per share held by stockholder A (assumed to be $10.00 per</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rPr>
              <w:t>share on shares held prior to sale)</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Dilution per share held by stockholder A (NAV per share less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investment per share)</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tcPr>
          <w:p>
            <w:pPr>
              <w:ind w:left="420"/>
              <w:spacing w:after="0" w:line="138" w:lineRule="exact"/>
              <w:rPr>
                <w:sz w:val="20"/>
                <w:szCs w:val="20"/>
                <w:color w:val="auto"/>
              </w:rPr>
            </w:pPr>
            <w:r>
              <w:rPr>
                <w:rFonts w:ascii="Arial" w:cs="Arial" w:eastAsia="Arial" w:hAnsi="Arial"/>
                <w:sz w:val="14"/>
                <w:szCs w:val="14"/>
                <w:color w:val="auto"/>
                <w:w w:val="97"/>
              </w:rPr>
              <w:t>Percentage dilution to stockholder A (dilution per share divided by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rPr>
              <w:t>investment per share)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restart"/>
          </w:tcPr>
          <w:p>
            <w:pPr>
              <w:jc w:val="right"/>
              <w:ind w:right="4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Pr>
          <w:p>
            <w:pPr>
              <w:spacing w:after="0"/>
              <w:rPr>
                <w:sz w:val="14"/>
                <w:szCs w:val="14"/>
                <w:color w:val="auto"/>
              </w:rPr>
            </w:pPr>
          </w:p>
        </w:tc>
        <w:tc>
          <w:tcPr>
            <w:tcW w:w="106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42</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Existing Stockholders who Participate in the Offering</w:t>
      </w:r>
    </w:p>
    <w:p>
      <w:pPr>
        <w:spacing w:after="0" w:line="69"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w:t>
      </w:r>
    </w:p>
    <w:p>
      <w:pPr>
        <w:spacing w:after="0" w:line="1" w:lineRule="exact"/>
        <w:rPr>
          <w:sz w:val="20"/>
          <w:szCs w:val="20"/>
          <w:color w:val="auto"/>
        </w:rPr>
      </w:pPr>
    </w:p>
    <w:p>
      <w:pPr>
        <w:ind w:firstLine="8"/>
        <w:spacing w:after="0" w:line="277" w:lineRule="auto"/>
        <w:tabs>
          <w:tab w:leader="none" w:pos="191" w:val="left"/>
        </w:tabs>
        <w:numPr>
          <w:ilvl w:val="0"/>
          <w:numId w:val="23"/>
        </w:numPr>
        <w:rPr>
          <w:rFonts w:ascii="Arial" w:cs="Arial" w:eastAsia="Arial" w:hAnsi="Arial"/>
          <w:sz w:val="12"/>
          <w:szCs w:val="12"/>
          <w:color w:val="auto"/>
        </w:rPr>
      </w:pPr>
      <w:r>
        <w:rPr>
          <w:rFonts w:ascii="Arial" w:cs="Arial" w:eastAsia="Arial" w:hAnsi="Arial"/>
          <w:sz w:val="12"/>
          <w:szCs w:val="12"/>
          <w:color w:val="auto"/>
        </w:rPr>
        <w:t>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Price per share to public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proceeds per share to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Increases in Shares and Decrease to NAV</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NAV per share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(Dilution)/Accretion to Participating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Shares held by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 Values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NAV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Total investment by stockholder A (assumed to be $10.00 per share on shares held prior to sale)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(dilution)/accretion to stockholder A (total NAV less total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Amounts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NAV per share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Investment per share held by stockholder A (assumed to be $10.00 per share on shares held prior to sale)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(Dilution)/accretion per share held by stockholder A (NAV per share less investment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8" w:lineRule="exact"/>
        <w:rPr>
          <w:sz w:val="20"/>
          <w:szCs w:val="20"/>
          <w:color w:val="auto"/>
        </w:rPr>
      </w:pPr>
    </w:p>
    <w:p>
      <w:pPr>
        <w:ind w:left="440" w:right="60"/>
        <w:spacing w:after="0" w:line="239" w:lineRule="auto"/>
        <w:rPr>
          <w:sz w:val="20"/>
          <w:szCs w:val="20"/>
          <w:color w:val="auto"/>
        </w:rPr>
      </w:pPr>
      <w:r>
        <w:rPr>
          <w:rFonts w:ascii="Arial" w:cs="Arial" w:eastAsia="Arial" w:hAnsi="Arial"/>
          <w:sz w:val="14"/>
          <w:szCs w:val="14"/>
          <w:color w:val="auto"/>
        </w:rPr>
        <w:t>Percentage (dilution)/accretion to stockholder A (dilution/accretion per share divided by investment per share)</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17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50% Participation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8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Below NAV</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7"/>
              </w:rPr>
              <w:t>Change</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425"/>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3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1,200,000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1,200,000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(3.30)%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11,000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13,000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0.92%</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1.08%</w:t>
            </w:r>
          </w:p>
        </w:tc>
        <w:tc>
          <w:tcPr>
            <w:tcW w:w="580" w:type="dxa"/>
            <w:vAlign w:val="bottom"/>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432"/>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106,370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6.37%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125,710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25.71%</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108,470</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8.47%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125,410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(2,100)</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300</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3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9.86</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(1.40)%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9.65</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(0.19)</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0.02</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(1.93)%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bl>
    <w:p>
      <w:pPr>
        <w:sectPr>
          <w:pgSz w:w="11900" w:h="16838" w:orient="portrait"/>
          <w:cols w:equalWidth="0" w:num="2">
            <w:col w:w="6100" w:space="440"/>
            <w:col w:w="488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New Investors</w:t>
      </w:r>
    </w:p>
    <w:p>
      <w:pPr>
        <w:spacing w:after="0" w:line="69"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94"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27"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Offering Price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Price per share to public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offering proceeds per share to issuer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Decrease to NAV</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shares outstanding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NAV per share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Dilution to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Shares held by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held by stockholder A</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 Values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NAV held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investment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dilution to stockholder A (total NAV less total investment)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Amounts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NAV per share held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 per share held by stockholder A</w:t>
      </w:r>
    </w:p>
    <w:p>
      <w:pPr>
        <w:spacing w:after="0" w:line="55" w:lineRule="exact"/>
        <w:rPr>
          <w:sz w:val="20"/>
          <w:szCs w:val="20"/>
          <w:color w:val="auto"/>
        </w:rPr>
      </w:pPr>
    </w:p>
    <w:p>
      <w:pPr>
        <w:ind w:left="440"/>
        <w:spacing w:after="0" w:line="239" w:lineRule="auto"/>
        <w:rPr>
          <w:sz w:val="20"/>
          <w:szCs w:val="20"/>
          <w:color w:val="auto"/>
        </w:rPr>
      </w:pPr>
      <w:r>
        <w:rPr>
          <w:rFonts w:ascii="Arial" w:cs="Arial" w:eastAsia="Arial" w:hAnsi="Arial"/>
          <w:sz w:val="14"/>
          <w:szCs w:val="14"/>
          <w:color w:val="auto"/>
        </w:rPr>
        <w:t>Dilution per share held by stockholder A (NAV per share less investment per share)</w:t>
      </w:r>
    </w:p>
    <w:p>
      <w:pPr>
        <w:spacing w:after="0" w:line="44" w:lineRule="exact"/>
        <w:rPr>
          <w:sz w:val="20"/>
          <w:szCs w:val="20"/>
          <w:color w:val="auto"/>
        </w:rPr>
      </w:pPr>
    </w:p>
    <w:p>
      <w:pPr>
        <w:ind w:left="440" w:right="320"/>
        <w:spacing w:after="0" w:line="239" w:lineRule="auto"/>
        <w:rPr>
          <w:sz w:val="20"/>
          <w:szCs w:val="20"/>
          <w:color w:val="auto"/>
        </w:rPr>
      </w:pPr>
      <w:r>
        <w:rPr>
          <w:rFonts w:ascii="Arial" w:cs="Arial" w:eastAsia="Arial" w:hAnsi="Arial"/>
          <w:sz w:val="14"/>
          <w:szCs w:val="14"/>
          <w:color w:val="auto"/>
        </w:rPr>
        <w:t>Percentage dilution to stockholder A (dilution per share divided by investment per share)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1</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2</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72"/>
              <w:spacing w:after="0"/>
              <w:rPr>
                <w:sz w:val="20"/>
                <w:szCs w:val="20"/>
                <w:color w:val="auto"/>
              </w:rPr>
            </w:pPr>
            <w:r>
              <w:rPr>
                <w:rFonts w:ascii="Arial" w:cs="Arial" w:eastAsia="Arial" w:hAnsi="Arial"/>
                <w:sz w:val="14"/>
                <w:szCs w:val="14"/>
                <w:b w:val="1"/>
                <w:bCs w:val="1"/>
                <w:color w:val="auto"/>
                <w:w w:val="89"/>
              </w:rPr>
              <w:t>Example 3</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8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2"/>
              </w:rPr>
              <w:t>Prior to Sale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7"/>
              </w:rPr>
              <w:t>at 5% Discount</w:t>
            </w:r>
          </w:p>
        </w:tc>
        <w:tc>
          <w:tcPr>
            <w:tcW w:w="10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at 10% Discount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Following</w:t>
            </w:r>
          </w:p>
        </w:tc>
        <w:tc>
          <w:tcPr>
            <w:tcW w:w="54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9"/>
              </w:rPr>
              <w:t>Below NAV</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Sale</w:t>
            </w: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42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9.52</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9.50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1,050,000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w w:val="99"/>
              </w:rPr>
              <w:t>1,100,000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7"/>
              </w:rPr>
              <w:t>10.00 %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1,200,000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20.00 %</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(0.20)%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(0.90)%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500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1,000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2,000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0.09%</w:t>
            </w: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0.17%</w:t>
            </w: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4,990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19,340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5,025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9,952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16,940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390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2,400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9.52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(0.07)</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0.39</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4.10 %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14.17 %</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44</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-2854960</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-2580640</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-2305685</wp:posOffset>
            </wp:positionV>
            <wp:extent cx="72466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-2031365</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-1757045</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-1482725</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-1208405</wp:posOffset>
            </wp:positionV>
            <wp:extent cx="72466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-934085</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-659130</wp:posOffset>
            </wp:positionV>
            <wp:extent cx="7246620" cy="2317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ectPr>
          <w:pgSz w:w="11900" w:h="16838" w:orient="portrait"/>
          <w:cols w:equalWidth="0" w:num="2">
            <w:col w:w="4380" w:space="280"/>
            <w:col w:w="6760"/>
          </w:cols>
          <w:pgMar w:left="240" w:top="459"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DISTRIBUTIONS</w:t>
      </w:r>
    </w:p>
    <w:p>
      <w:pPr>
        <w:spacing w:after="0" w:line="152"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Record Dates</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161"/>
        </w:trPr>
        <w:tc>
          <w:tcPr>
            <w:tcW w:w="6480" w:type="dxa"/>
            <w:vAlign w:val="bottom"/>
            <w:gridSpan w:val="2"/>
            <w:vMerge w:val="continue"/>
          </w:tcPr>
          <w:p>
            <w:pPr>
              <w:spacing w:after="0"/>
              <w:rPr>
                <w:sz w:val="14"/>
                <w:szCs w:val="14"/>
                <w:color w:val="auto"/>
              </w:rPr>
            </w:pPr>
          </w:p>
        </w:tc>
        <w:tc>
          <w:tcPr>
            <w:tcW w:w="2180" w:type="dxa"/>
            <w:vAlign w:val="bottom"/>
            <w:gridSpan w:val="2"/>
          </w:tcPr>
          <w:p>
            <w:pPr>
              <w:ind w:left="200"/>
              <w:spacing w:after="0"/>
              <w:rPr>
                <w:sz w:val="20"/>
                <w:szCs w:val="20"/>
                <w:color w:val="auto"/>
              </w:rPr>
            </w:pPr>
            <w:r>
              <w:rPr>
                <w:rFonts w:ascii="Arial" w:cs="Arial" w:eastAsia="Arial" w:hAnsi="Arial"/>
                <w:sz w:val="14"/>
                <w:szCs w:val="14"/>
                <w:b w:val="1"/>
                <w:bCs w:val="1"/>
                <w:color w:val="auto"/>
              </w:rPr>
              <w:t>Payment Dates</w:t>
            </w: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Declared</w:t>
            </w:r>
          </w:p>
        </w:tc>
        <w:tc>
          <w:tcPr>
            <w:tcW w:w="0" w:type="dxa"/>
            <w:vAlign w:val="bottom"/>
          </w:tcPr>
          <w:p>
            <w:pPr>
              <w:spacing w:after="0"/>
              <w:rPr>
                <w:sz w:val="1"/>
                <w:szCs w:val="1"/>
                <w:color w:val="auto"/>
              </w:rPr>
            </w:pPr>
          </w:p>
        </w:tc>
      </w:tr>
      <w:tr>
        <w:trPr>
          <w:trHeight w:val="190"/>
        </w:trPr>
        <w:tc>
          <w:tcPr>
            <w:tcW w:w="55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Fiscal year ending September 30, 2012</w:t>
            </w: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July 20, 2012</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August 1, 2012</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June 21, 2012</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July 2, 2012</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0.080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May 22, 2012</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June 1, 2012</w:t>
            </w:r>
          </w:p>
        </w:tc>
        <w:tc>
          <w:tcPr>
            <w:tcW w:w="140" w:type="dxa"/>
            <w:vAlign w:val="bottom"/>
          </w:tcPr>
          <w:p>
            <w:pPr>
              <w:spacing w:after="0"/>
              <w:rPr>
                <w:sz w:val="14"/>
                <w:szCs w:val="14"/>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April 20, 2012</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May 1, 2012</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0.075</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March 22, 2012</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April 1, 2012</w:t>
            </w:r>
          </w:p>
        </w:tc>
        <w:tc>
          <w:tcPr>
            <w:tcW w:w="140" w:type="dxa"/>
            <w:vAlign w:val="bottom"/>
          </w:tcPr>
          <w:p>
            <w:pPr>
              <w:spacing w:after="0"/>
              <w:rPr>
                <w:sz w:val="14"/>
                <w:szCs w:val="14"/>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February 20, 2012</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March 1,2012</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0.075</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January 20, 2012</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February 1, 2012</w:t>
            </w:r>
          </w:p>
        </w:tc>
        <w:tc>
          <w:tcPr>
            <w:tcW w:w="140" w:type="dxa"/>
            <w:vAlign w:val="bottom"/>
          </w:tcPr>
          <w:p>
            <w:pPr>
              <w:spacing w:after="0"/>
              <w:rPr>
                <w:sz w:val="14"/>
                <w:szCs w:val="14"/>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December 23, 2011</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January 3, 2012</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0.070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November 21, 2011</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December 1, 2011</w:t>
            </w:r>
          </w:p>
        </w:tc>
        <w:tc>
          <w:tcPr>
            <w:tcW w:w="140" w:type="dxa"/>
            <w:vAlign w:val="bottom"/>
          </w:tcPr>
          <w:p>
            <w:pPr>
              <w:spacing w:after="0"/>
              <w:rPr>
                <w:sz w:val="14"/>
                <w:szCs w:val="14"/>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October 21, 2011</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November 1, 2011</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0.070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8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color w:val="auto"/>
              </w:rPr>
              <w:t>0.750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5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Fiscal year ending September 30, 2011*</w:t>
            </w:r>
          </w:p>
        </w:tc>
        <w:tc>
          <w:tcPr>
            <w:tcW w:w="1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September 23, 2011</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October 3, 2011</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August 22, 2011</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September 1, 2011</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0.070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July 22, 2011</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August 1, 2011</w:t>
            </w:r>
          </w:p>
        </w:tc>
        <w:tc>
          <w:tcPr>
            <w:tcW w:w="140" w:type="dxa"/>
            <w:vAlign w:val="bottom"/>
          </w:tcPr>
          <w:p>
            <w:pPr>
              <w:spacing w:after="0"/>
              <w:rPr>
                <w:sz w:val="14"/>
                <w:szCs w:val="14"/>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June 24, 2011</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July 1, 2011</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0.050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8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color w:val="auto"/>
              </w:rPr>
              <w:t>0.250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55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43478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07"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See note 7 to our Consolidated Financial Statements as of September 30, 2011.</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continue to distribute monthly distributions to our stockholders. Our monthly distributions, if any, are determined by our board of directors.</w:t>
      </w:r>
    </w:p>
    <w:p>
      <w:pPr>
        <w:spacing w:after="0" w:line="150"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22"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39"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39" w:lineRule="exact"/>
        <w:rPr>
          <w:sz w:val="20"/>
          <w:szCs w:val="20"/>
          <w:color w:val="auto"/>
        </w:rPr>
      </w:pPr>
    </w:p>
    <w:p>
      <w:pPr>
        <w:jc w:val="both"/>
        <w:ind w:right="140" w:firstLine="456"/>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BUSINESS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 Park Floating Rate Capital Ltd.</w:t>
      </w:r>
    </w:p>
    <w:p>
      <w:pPr>
        <w:spacing w:after="0" w:line="71"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58"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believe that Floating Rate Loans to private middle-market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42" w:lineRule="exact"/>
        <w:rPr>
          <w:sz w:val="20"/>
          <w:szCs w:val="20"/>
          <w:color w:val="auto"/>
        </w:rPr>
      </w:pPr>
    </w:p>
    <w:p>
      <w:pPr>
        <w:ind w:right="100" w:firstLine="456"/>
        <w:spacing w:after="0" w:line="22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other instruments bearing a variable rate of interest which may, from time to time, include variable 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generally range between $1 million and $10 million, on average, although we expect that this investment size will vary proportionately with the size of our capital base.</w:t>
      </w:r>
    </w:p>
    <w:p>
      <w:pPr>
        <w:spacing w:after="0" w:line="59"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proceeds from the rotation of our portfolio and proceeds from public and private offerings of securities to finance our investment objectives.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PennantPark Floating Rate Capital Ltd., a Maryland corporation organized on October 28, 2010, is a closed-end, externally managed, non-diversified investment company that has elected to be treated as BDC under the 1940 Act. In addition, for tax purposes we have elected to be treated, and intend to qualify annually, as a RIC under the Code.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firstLine="456"/>
        <w:spacing w:after="0" w:line="269" w:lineRule="auto"/>
        <w:rPr>
          <w:sz w:val="20"/>
          <w:szCs w:val="20"/>
          <w:color w:val="auto"/>
        </w:rPr>
      </w:pPr>
      <w:r>
        <w:rPr>
          <w:rFonts w:ascii="Arial" w:cs="Arial" w:eastAsia="Arial" w:hAnsi="Arial"/>
          <w:sz w:val="12"/>
          <w:szCs w:val="12"/>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$1.4 billion in debt and equity capital and has invested over $1.8 billion in 182 companies with over 100 different financial sponsors through its managed funds.</w:t>
      </w:r>
    </w:p>
    <w:p>
      <w:pPr>
        <w:spacing w:after="0" w:line="193"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 —Risks Relating to our Business and Structure—There are significant potential conflicts of interest which could impact our investment returns” for more information.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Opportunity</w:t>
      </w:r>
    </w:p>
    <w:p>
      <w:pPr>
        <w:spacing w:after="0" w:line="71" w:lineRule="exact"/>
        <w:rPr>
          <w:sz w:val="20"/>
          <w:szCs w:val="20"/>
          <w:color w:val="auto"/>
        </w:rPr>
      </w:pPr>
    </w:p>
    <w:p>
      <w:pPr>
        <w:ind w:right="440" w:firstLine="456"/>
        <w:spacing w:after="0" w:line="239" w:lineRule="auto"/>
        <w:rPr>
          <w:sz w:val="20"/>
          <w:szCs w:val="20"/>
          <w:color w:val="auto"/>
        </w:rPr>
      </w:pPr>
      <w:r>
        <w:rPr>
          <w:rFonts w:ascii="Arial" w:cs="Arial" w:eastAsia="Arial" w:hAnsi="Arial"/>
          <w:sz w:val="14"/>
          <w:szCs w:val="14"/>
          <w:color w:val="auto"/>
        </w:rPr>
        <w:t>We believe that the limited amount of capital available to the middle-market companies, coupled with the desire of these companies for flexible sources of capital, creates an attractive investment environment for us.</w:t>
      </w:r>
    </w:p>
    <w:p>
      <w:pPr>
        <w:spacing w:after="0" w:line="55" w:lineRule="exact"/>
        <w:rPr>
          <w:sz w:val="20"/>
          <w:szCs w:val="20"/>
          <w:color w:val="auto"/>
        </w:rPr>
      </w:pPr>
    </w:p>
    <w:p>
      <w:pPr>
        <w:jc w:val="both"/>
        <w:ind w:left="540" w:right="220" w:hanging="316"/>
        <w:spacing w:after="0" w:line="234"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increasing difficulty in raising debt through the capital markets. </w:t>
      </w:r>
      <w:r>
        <w:rPr>
          <w:rFonts w:ascii="Arial" w:cs="Arial" w:eastAsia="Arial" w:hAnsi="Arial"/>
          <w:sz w:val="14"/>
          <w:szCs w:val="14"/>
          <w:color w:val="auto"/>
        </w:rPr>
        <w:t>While many middle-market companies formerly were able to raise funds by</w:t>
      </w:r>
      <w:r>
        <w:rPr>
          <w:rFonts w:ascii="Arial" w:cs="Arial" w:eastAsia="Arial" w:hAnsi="Arial"/>
          <w:sz w:val="14"/>
          <w:szCs w:val="14"/>
          <w:b w:val="1"/>
          <w:bCs w:val="1"/>
          <w:color w:val="auto"/>
        </w:rPr>
        <w:t xml:space="preserve"> </w:t>
      </w:r>
      <w:r>
        <w:rPr>
          <w:rFonts w:ascii="Arial" w:cs="Arial" w:eastAsia="Arial" w:hAnsi="Arial"/>
          <w:sz w:val="14"/>
          <w:szCs w:val="14"/>
          <w:color w:val="auto"/>
        </w:rPr>
        <w:t>issuing high-yield bonds, we believe this approach to financing has become more difficult as institutional investors have sought to invest in larger, more liquid offerings. We believe this has made it harder for middle-market companies to raise funds by issuing high-yield bonds.</w:t>
      </w:r>
    </w:p>
    <w:p>
      <w:pPr>
        <w:spacing w:after="0" w:line="55" w:lineRule="exact"/>
        <w:rPr>
          <w:rFonts w:ascii="Arial" w:cs="Arial" w:eastAsia="Arial" w:hAnsi="Arial"/>
          <w:sz w:val="14"/>
          <w:szCs w:val="14"/>
          <w:color w:val="auto"/>
        </w:rPr>
      </w:pPr>
    </w:p>
    <w:p>
      <w:pPr>
        <w:ind w:left="540" w:hanging="316"/>
        <w:spacing w:after="0" w:line="241"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raising debt in private markets. </w:t>
      </w:r>
      <w:r>
        <w:rPr>
          <w:rFonts w:ascii="Arial" w:cs="Arial" w:eastAsia="Arial" w:hAnsi="Arial"/>
          <w:sz w:val="14"/>
          <w:szCs w:val="14"/>
          <w:color w:val="auto"/>
        </w:rPr>
        <w:t>Banks, finance companies, hedge funds and CLO funds have withdrawn capital from the middle-market</w:t>
      </w:r>
      <w:r>
        <w:rPr>
          <w:rFonts w:ascii="Arial" w:cs="Arial" w:eastAsia="Arial" w:hAnsi="Arial"/>
          <w:sz w:val="14"/>
          <w:szCs w:val="14"/>
          <w:b w:val="1"/>
          <w:bCs w:val="1"/>
          <w:color w:val="auto"/>
        </w:rPr>
        <w:t xml:space="preserve"> </w:t>
      </w:r>
      <w:r>
        <w:rPr>
          <w:rFonts w:ascii="Arial" w:cs="Arial" w:eastAsia="Arial" w:hAnsi="Arial"/>
          <w:sz w:val="14"/>
          <w:szCs w:val="14"/>
          <w:color w:val="auto"/>
        </w:rPr>
        <w:t>resulting in opportunities for alternative funding sources.</w:t>
      </w:r>
    </w:p>
    <w:p>
      <w:pPr>
        <w:spacing w:after="0" w:line="54" w:lineRule="exact"/>
        <w:rPr>
          <w:rFonts w:ascii="Arial" w:cs="Arial" w:eastAsia="Arial" w:hAnsi="Arial"/>
          <w:sz w:val="14"/>
          <w:szCs w:val="14"/>
          <w:color w:val="auto"/>
        </w:rPr>
      </w:pPr>
    </w:p>
    <w:p>
      <w:pPr>
        <w:ind w:left="540" w:right="280" w:hanging="316"/>
        <w:spacing w:after="0" w:line="234"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that the current credit market dislocation for middle-market companies improves the risk-adjusted returns of our investments. </w:t>
      </w:r>
      <w:r>
        <w:rPr>
          <w:rFonts w:ascii="Arial" w:cs="Arial" w:eastAsia="Arial" w:hAnsi="Arial"/>
          <w:sz w:val="14"/>
          <w:szCs w:val="14"/>
          <w:color w:val="auto"/>
        </w:rPr>
        <w:t>In the current credit environment, market</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participants have reduced lending to middle-market and non-investment grade borrowers. As a result, there is less competition in our market, more conservative capital structures, higher yields and stronger covenants.</w:t>
      </w:r>
    </w:p>
    <w:p>
      <w:pPr>
        <w:spacing w:after="0" w:line="55" w:lineRule="exact"/>
        <w:rPr>
          <w:rFonts w:ascii="Arial" w:cs="Arial" w:eastAsia="Arial" w:hAnsi="Arial"/>
          <w:sz w:val="14"/>
          <w:szCs w:val="14"/>
          <w:color w:val="auto"/>
        </w:rPr>
      </w:pPr>
    </w:p>
    <w:p>
      <w:pPr>
        <w:ind w:left="540" w:right="100" w:hanging="316"/>
        <w:spacing w:after="0" w:line="231"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4"/>
          <w:szCs w:val="14"/>
          <w:color w:val="auto"/>
        </w:rPr>
        <w:t>We expect that private</w:t>
      </w:r>
      <w:r>
        <w:rPr>
          <w:rFonts w:ascii="Arial" w:cs="Arial" w:eastAsia="Arial" w:hAnsi="Arial"/>
          <w:sz w:val="14"/>
          <w:szCs w:val="14"/>
          <w:b w:val="1"/>
          <w:bCs w:val="1"/>
          <w:color w:val="auto"/>
        </w:rPr>
        <w:t xml:space="preserve"> </w:t>
      </w:r>
      <w:r>
        <w:rPr>
          <w:rFonts w:ascii="Arial" w:cs="Arial" w:eastAsia="Arial" w:hAnsi="Arial"/>
          <w:sz w:val="14"/>
          <w:szCs w:val="14"/>
          <w:color w:val="auto"/>
        </w:rPr>
        <w:t>equity firms will continue to be active investors in middle-market companies. These 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5" w:lineRule="exact"/>
        <w:rPr>
          <w:rFonts w:ascii="Arial" w:cs="Arial" w:eastAsia="Arial" w:hAnsi="Arial"/>
          <w:sz w:val="14"/>
          <w:szCs w:val="14"/>
          <w:color w:val="auto"/>
        </w:rPr>
      </w:pPr>
    </w:p>
    <w:p>
      <w:pPr>
        <w:ind w:left="540" w:right="60" w:hanging="316"/>
        <w:spacing w:after="0" w:line="241"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substantial supply of opportunities resulting from refinancing. </w:t>
      </w:r>
      <w:r>
        <w:rPr>
          <w:rFonts w:ascii="Arial" w:cs="Arial" w:eastAsia="Arial" w:hAnsi="Arial"/>
          <w:sz w:val="14"/>
          <w:szCs w:val="14"/>
          <w:color w:val="auto"/>
        </w:rPr>
        <w:t>A high volume of financings were completed between the years 2004 and 2007, which will come due in the next</w:t>
      </w:r>
      <w:r>
        <w:rPr>
          <w:rFonts w:ascii="Arial" w:cs="Arial" w:eastAsia="Arial" w:hAnsi="Arial"/>
          <w:sz w:val="14"/>
          <w:szCs w:val="14"/>
          <w:b w:val="1"/>
          <w:bCs w:val="1"/>
          <w:color w:val="auto"/>
        </w:rPr>
        <w:t xml:space="preserve"> </w:t>
      </w:r>
      <w:r>
        <w:rPr>
          <w:rFonts w:ascii="Arial" w:cs="Arial" w:eastAsia="Arial" w:hAnsi="Arial"/>
          <w:sz w:val="14"/>
          <w:szCs w:val="14"/>
          <w:color w:val="auto"/>
        </w:rPr>
        <w:t>few years. We believe this supply of opportunities coupled with a lack of demand offers attractive risk-adjusted returns to investors.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believe that we have the following competitive advantages over other capital providers in middle-market companies:</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a) Experienced Management Team</w:t>
      </w:r>
    </w:p>
    <w:p>
      <w:pPr>
        <w:spacing w:after="0" w:line="69"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b) Disciplined Investment Approach with Strong Value Orientation</w:t>
      </w:r>
    </w:p>
    <w:p>
      <w:pPr>
        <w:spacing w:after="0" w:line="69"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2"/>
          <w:szCs w:val="12"/>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3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 – Investment Selection Criteria” for more information.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69" w:lineRule="exact"/>
        <w:rPr>
          <w:sz w:val="20"/>
          <w:szCs w:val="20"/>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strong competitive positions;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positive cash flow that is steady and stable;</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experienced management teams with strong track records;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potential for growth and viable exit strategies;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capital structures offering appropriate risk-adjusted terms and covenants.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c) Ability to Source and Evaluate Transactions through our Investment Adviser’s Research Capability and Established Network</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d) Flexible Transaction Structuring</w:t>
      </w:r>
    </w:p>
    <w:p>
      <w:pPr>
        <w:spacing w:after="0" w:line="69"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2"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58"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e) Longer Investment Horizon with Attractive Publicly-Traded Model</w:t>
      </w:r>
    </w:p>
    <w:p>
      <w:pPr>
        <w:spacing w:after="0" w:line="69"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Unlike private equity and venture capital funds, we are not subject to standard periodic capital return requirements. Such requirements typically stipulate that funds raised by a private equity or venture capital firms,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Our primary competitors provide financing to middle-market companies and include other BDCs, commercial and investment banks, commercial finance companies, CLOs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36" w:lineRule="exact"/>
        <w:rPr>
          <w:sz w:val="20"/>
          <w:szCs w:val="20"/>
          <w:color w:val="auto"/>
        </w:rPr>
      </w:pPr>
    </w:p>
    <w:p>
      <w:pPr>
        <w:jc w:val="both"/>
        <w:ind w:right="60" w:firstLine="456"/>
        <w:spacing w:after="0" w:line="278" w:lineRule="auto"/>
        <w:rPr>
          <w:sz w:val="20"/>
          <w:szCs w:val="20"/>
          <w:color w:val="auto"/>
        </w:rPr>
      </w:pPr>
      <w:r>
        <w:rPr>
          <w:rFonts w:ascii="Arial" w:cs="Arial" w:eastAsia="Arial" w:hAnsi="Arial"/>
          <w:sz w:val="12"/>
          <w:szCs w:val="12"/>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ind w:right="100" w:firstLine="342"/>
        <w:spacing w:after="0" w:line="265" w:lineRule="auto"/>
        <w:rPr>
          <w:sz w:val="20"/>
          <w:szCs w:val="20"/>
          <w:color w:val="auto"/>
        </w:rPr>
      </w:pPr>
      <w:r>
        <w:rPr>
          <w:rFonts w:ascii="Arial" w:cs="Arial" w:eastAsia="Arial" w:hAnsi="Arial"/>
          <w:sz w:val="12"/>
          <w:szCs w:val="12"/>
          <w:color w:val="auto"/>
        </w:rPr>
        <w:t>We maintain a five-year, $100.0 million Credit Facility, which matures on June 23, 2016, with SunTrust Robinson Humphrey, Inc., or STRH. 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under which we had drawn $47.8 million outstanding with a weighted average interest rate of 2.54%, excluding the unused commitment fee of</w:t>
      </w:r>
    </w:p>
    <w:p>
      <w:pPr>
        <w:spacing w:after="0" w:line="1" w:lineRule="exact"/>
        <w:rPr>
          <w:sz w:val="20"/>
          <w:szCs w:val="20"/>
          <w:color w:val="auto"/>
        </w:rPr>
      </w:pPr>
    </w:p>
    <w:p>
      <w:pPr>
        <w:ind w:right="200"/>
        <w:spacing w:after="0" w:line="230" w:lineRule="auto"/>
        <w:rPr>
          <w:sz w:val="20"/>
          <w:szCs w:val="20"/>
          <w:color w:val="auto"/>
        </w:rPr>
      </w:pPr>
      <w:r>
        <w:rPr>
          <w:rFonts w:ascii="Arial" w:cs="Arial" w:eastAsia="Arial" w:hAnsi="Arial"/>
          <w:sz w:val="14"/>
          <w:szCs w:val="14"/>
          <w:color w:val="auto"/>
        </w:rPr>
        <w:t>0.50%, as of March 31, 2012.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INVESTMENT OBJECTIVES AND POLICIES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Policy Overview</w:t>
      </w:r>
    </w:p>
    <w:p>
      <w:pPr>
        <w:spacing w:after="0" w:line="7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seek to create a diversified portfolio primarily of Floating Rate Loans by generally targeting an investment size of $1 million to $10 million in securities, on average, of U.S. middle-market private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39" w:lineRule="exact"/>
        <w:rPr>
          <w:sz w:val="20"/>
          <w:szCs w:val="20"/>
          <w:color w:val="auto"/>
        </w:rPr>
      </w:pPr>
    </w:p>
    <w:p>
      <w:pPr>
        <w:ind w:right="100" w:firstLine="456"/>
        <w:spacing w:after="0" w:line="228" w:lineRule="auto"/>
        <w:rPr>
          <w:sz w:val="20"/>
          <w:szCs w:val="20"/>
          <w:color w:val="auto"/>
        </w:rPr>
      </w:pPr>
      <w:r>
        <w:rPr>
          <w:rFonts w:ascii="Arial" w:cs="Arial" w:eastAsia="Arial" w:hAnsi="Arial"/>
          <w:sz w:val="14"/>
          <w:szCs w:val="14"/>
          <w:color w:val="auto"/>
        </w:rPr>
        <w:t>Over time, we expect that our portfolio will continue to consist primarily of Floating Rate Loans in qualifying assets such as private or thinly traded or small market-capitalization, public U.S.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Objectives and Policies—Investment Selection Criteria” for more information.</w:t>
      </w:r>
    </w:p>
    <w:p>
      <w:pPr>
        <w:spacing w:after="0" w:line="140"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Selection Criteria</w:t>
      </w:r>
    </w:p>
    <w:p>
      <w:pPr>
        <w:spacing w:after="0" w:line="71"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We are committed to a value oriented philosophy used by the senior investment professionals who manage our portfolio and seek to minimize the risk of capital loss without foregoing potential for capital appreciation.</w:t>
      </w:r>
    </w:p>
    <w:p>
      <w:pPr>
        <w:spacing w:after="0" w:line="139"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quickly and effectively.</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Leading and defensible competitive market positions</w:t>
      </w:r>
    </w:p>
    <w:p>
      <w:pPr>
        <w:spacing w:after="0" w:line="6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in stable borrowers with positive cash flow</w:t>
      </w:r>
    </w:p>
    <w:p>
      <w:pPr>
        <w:spacing w:after="0" w:line="69" w:lineRule="exact"/>
        <w:rPr>
          <w:sz w:val="20"/>
          <w:szCs w:val="20"/>
          <w:color w:val="auto"/>
        </w:rPr>
      </w:pPr>
    </w:p>
    <w:p>
      <w:pPr>
        <w:ind w:right="220" w:firstLine="456"/>
        <w:spacing w:after="0" w:line="288" w:lineRule="auto"/>
        <w:rPr>
          <w:sz w:val="20"/>
          <w:szCs w:val="20"/>
          <w:color w:val="auto"/>
        </w:rPr>
      </w:pPr>
      <w:r>
        <w:rPr>
          <w:rFonts w:ascii="Arial" w:cs="Arial" w:eastAsia="Arial" w:hAnsi="Arial"/>
          <w:sz w:val="12"/>
          <w:szCs w:val="12"/>
          <w:color w:val="auto"/>
        </w:rPr>
        <w:t>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Proven management teams</w:t>
      </w:r>
    </w:p>
    <w:p>
      <w:pPr>
        <w:spacing w:after="0" w:line="69"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Private equity sponsorship</w:t>
      </w:r>
    </w:p>
    <w:p>
      <w:pPr>
        <w:spacing w:after="0" w:line="69" w:lineRule="exact"/>
        <w:rPr>
          <w:sz w:val="20"/>
          <w:szCs w:val="20"/>
          <w:color w:val="auto"/>
        </w:rPr>
      </w:pPr>
    </w:p>
    <w:p>
      <w:pPr>
        <w:ind w:right="120" w:firstLine="456"/>
        <w:spacing w:after="0" w:line="288" w:lineRule="auto"/>
        <w:rPr>
          <w:sz w:val="20"/>
          <w:szCs w:val="20"/>
          <w:color w:val="auto"/>
        </w:rPr>
      </w:pPr>
      <w:r>
        <w:rPr>
          <w:rFonts w:ascii="Arial" w:cs="Arial" w:eastAsia="Arial" w:hAnsi="Arial"/>
          <w:sz w:val="12"/>
          <w:szCs w:val="12"/>
          <w:color w:val="auto"/>
        </w:rPr>
        <w:t>The Investment Adviser may seek to cause us to participate in transactions sponsored by what it believes to be high-quality private equity firms. The Investment Adviser believes that a private equity sponsor’s willingness to invest significant equity capital in a company is an implicit endorsement of the quality of that company. Further, private equity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 in different borrowers and industries</w:t>
      </w:r>
    </w:p>
    <w:p>
      <w:pPr>
        <w:spacing w:after="0" w:line="6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Investment Adviser seeks to invest our assets broadly among portfolio companies and across industries. The Investment Adviser believes that this diversified approach may reduce the risk that a downturn in any one company or industry will have a disproportionate impact on the value of our portfolio.</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Viable exit strategy</w:t>
      </w:r>
    </w:p>
    <w:p>
      <w:pPr>
        <w:spacing w:after="0" w:line="6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seek to invest in portfolio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markets transaction.</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Due Diligence</w:t>
      </w:r>
    </w:p>
    <w:p>
      <w:pPr>
        <w:spacing w:after="0" w:line="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due diligence typically includes:</w:t>
      </w:r>
    </w:p>
    <w:p>
      <w:pPr>
        <w:spacing w:after="0" w:line="69" w:lineRule="exact"/>
        <w:rPr>
          <w:sz w:val="20"/>
          <w:szCs w:val="20"/>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review of loan documents;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background checks;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research relating to the company’s management, industry, markets, products and services and competitors.</w:t>
      </w:r>
    </w:p>
    <w:p>
      <w:pPr>
        <w:spacing w:after="0" w:line="150" w:lineRule="exact"/>
        <w:rPr>
          <w:sz w:val="20"/>
          <w:szCs w:val="20"/>
          <w:color w:val="auto"/>
        </w:rPr>
      </w:pPr>
    </w:p>
    <w:p>
      <w:pPr>
        <w:jc w:val="both"/>
        <w:ind w:right="320" w:firstLine="456"/>
        <w:spacing w:after="0" w:line="288" w:lineRule="auto"/>
        <w:rPr>
          <w:sz w:val="20"/>
          <w:szCs w:val="20"/>
          <w:color w:val="auto"/>
        </w:rPr>
      </w:pPr>
      <w:r>
        <w:rPr>
          <w:rFonts w:ascii="Arial" w:cs="Arial" w:eastAsia="Arial" w:hAnsi="Arial"/>
          <w:sz w:val="12"/>
          <w:szCs w:val="12"/>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11"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independent auditors prior to the closing of the investment, as well as other outside advisers, as appropriate.</w:t>
      </w:r>
    </w:p>
    <w:p>
      <w:pPr>
        <w:spacing w:after="0" w:line="139" w:lineRule="exact"/>
        <w:rPr>
          <w:sz w:val="20"/>
          <w:szCs w:val="20"/>
          <w:color w:val="auto"/>
        </w:rPr>
      </w:pPr>
    </w:p>
    <w:p>
      <w:pPr>
        <w:ind w:right="160" w:firstLine="456"/>
        <w:spacing w:after="0" w:line="265" w:lineRule="auto"/>
        <w:rPr>
          <w:sz w:val="20"/>
          <w:szCs w:val="20"/>
          <w:color w:val="auto"/>
        </w:rPr>
      </w:pPr>
      <w:r>
        <w:rPr>
          <w:rFonts w:ascii="Arial" w:cs="Arial" w:eastAsia="Arial" w:hAnsi="Arial"/>
          <w:sz w:val="12"/>
          <w:szCs w:val="12"/>
          <w:color w:val="auto"/>
        </w:rPr>
        <w:t>The Investment Adviser monitors credit risk of each portfolio company regularly and periodically with a goal toward identifying early, and when able and appropriate selling, Floating Rate Loans and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spacing w:after="0" w:line="1" w:lineRule="exact"/>
        <w:rPr>
          <w:sz w:val="20"/>
          <w:szCs w:val="20"/>
          <w:color w:val="auto"/>
        </w:rPr>
      </w:pPr>
    </w:p>
    <w:p>
      <w:pPr>
        <w:ind w:right="40" w:firstLine="8"/>
        <w:spacing w:after="0" w:line="230" w:lineRule="auto"/>
        <w:tabs>
          <w:tab w:leader="none" w:pos="191"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39" w:lineRule="exact"/>
        <w:rPr>
          <w:sz w:val="20"/>
          <w:szCs w:val="20"/>
          <w:color w:val="auto"/>
        </w:rPr>
      </w:pPr>
    </w:p>
    <w:p>
      <w:pPr>
        <w:ind w:right="220" w:firstLine="456"/>
        <w:spacing w:after="0" w:line="318" w:lineRule="auto"/>
        <w:rPr>
          <w:sz w:val="20"/>
          <w:szCs w:val="20"/>
          <w:color w:val="auto"/>
        </w:rPr>
      </w:pPr>
      <w:r>
        <w:rPr>
          <w:rFonts w:ascii="Arial" w:cs="Arial" w:eastAsia="Arial" w:hAnsi="Arial"/>
          <w:sz w:val="12"/>
          <w:szCs w:val="12"/>
          <w:color w:val="auto"/>
        </w:rPr>
        <w:t>Under normal market conditions, we expect that at least 80%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94" w:lineRule="exact"/>
        <w:rPr>
          <w:sz w:val="20"/>
          <w:szCs w:val="20"/>
          <w:color w:val="auto"/>
        </w:rPr>
      </w:pPr>
    </w:p>
    <w:p>
      <w:pPr>
        <w:ind w:firstLine="456"/>
        <w:spacing w:after="0" w:line="269" w:lineRule="auto"/>
        <w:rPr>
          <w:sz w:val="20"/>
          <w:szCs w:val="20"/>
          <w:color w:val="auto"/>
        </w:rPr>
      </w:pPr>
      <w:r>
        <w:rPr>
          <w:rFonts w:ascii="Arial" w:cs="Arial" w:eastAsia="Arial" w:hAnsi="Arial"/>
          <w:sz w:val="12"/>
          <w:szCs w:val="12"/>
          <w:color w:val="auto"/>
        </w:rPr>
        <w:t>The Investment Adviser seeks to achieve our investment objectives through a disciplined approach to the selection of credit investments and its evaluation of portfolio companies. The Investment Adviser also gains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274"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While our investment objectives are to seek high current income and capital appreciation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Structure</w:t>
      </w:r>
    </w:p>
    <w:p>
      <w:pPr>
        <w:spacing w:after="0" w:line="71"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94" w:lineRule="exact"/>
        <w:rPr>
          <w:sz w:val="20"/>
          <w:szCs w:val="20"/>
          <w:color w:val="auto"/>
        </w:rPr>
      </w:pPr>
    </w:p>
    <w:p>
      <w:pPr>
        <w:ind w:right="140" w:firstLine="342"/>
        <w:spacing w:after="0" w:line="239" w:lineRule="auto"/>
        <w:rPr>
          <w:sz w:val="20"/>
          <w:szCs w:val="20"/>
          <w:color w:val="auto"/>
        </w:rPr>
      </w:pPr>
      <w:r>
        <w:rPr>
          <w:rFonts w:ascii="Arial" w:cs="Arial" w:eastAsia="Arial" w:hAnsi="Arial"/>
          <w:sz w:val="14"/>
          <w:szCs w:val="14"/>
          <w:color w:val="auto"/>
        </w:rPr>
        <w:t>We expect our Floating Rate Loans to have terms of three to ten years. We may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320" w:firstLine="342"/>
        <w:spacing w:after="0" w:line="288" w:lineRule="auto"/>
        <w:rPr>
          <w:sz w:val="20"/>
          <w:szCs w:val="20"/>
          <w:color w:val="auto"/>
        </w:rPr>
      </w:pPr>
      <w:r>
        <w:rPr>
          <w:rFonts w:ascii="Arial" w:cs="Arial" w:eastAsia="Arial" w:hAnsi="Arial"/>
          <w:sz w:val="12"/>
          <w:szCs w:val="12"/>
          <w:color w:val="auto"/>
        </w:rPr>
        <w:t>Certain Floating Rate Loans may have interest-only payments in the early years, cash or PIK payments with amortization of principal deferred to the later years.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11" w:lineRule="exact"/>
        <w:rPr>
          <w:sz w:val="20"/>
          <w:szCs w:val="20"/>
          <w:color w:val="auto"/>
        </w:rPr>
      </w:pPr>
    </w:p>
    <w:p>
      <w:pPr>
        <w:ind w:right="100" w:firstLine="342"/>
        <w:spacing w:after="0" w:line="233" w:lineRule="auto"/>
        <w:rPr>
          <w:sz w:val="20"/>
          <w:szCs w:val="20"/>
          <w:color w:val="auto"/>
        </w:rPr>
      </w:pPr>
      <w:r>
        <w:rPr>
          <w:rFonts w:ascii="Arial" w:cs="Arial" w:eastAsia="Arial" w:hAnsi="Arial"/>
          <w:sz w:val="14"/>
          <w:szCs w:val="14"/>
          <w:color w:val="auto"/>
        </w:rPr>
        <w:t>In the case of our Floating Rate Loans,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58" w:lineRule="exact"/>
        <w:rPr>
          <w:sz w:val="20"/>
          <w:szCs w:val="20"/>
          <w:color w:val="auto"/>
        </w:rPr>
      </w:pPr>
    </w:p>
    <w:p>
      <w:pPr>
        <w:ind w:left="540" w:hanging="316"/>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requiring a total return on our investments (including both interest and potential equity appreciation) that compensates us for credit risk;</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incorporating “put” rights and call protection into the investment structure; and</w:t>
      </w:r>
    </w:p>
    <w:p>
      <w:pPr>
        <w:spacing w:after="0" w:line="68" w:lineRule="exact"/>
        <w:rPr>
          <w:rFonts w:ascii="Arial" w:cs="Arial" w:eastAsia="Arial" w:hAnsi="Arial"/>
          <w:sz w:val="14"/>
          <w:szCs w:val="14"/>
          <w:color w:val="auto"/>
        </w:rPr>
      </w:pPr>
    </w:p>
    <w:p>
      <w:pPr>
        <w:jc w:val="both"/>
        <w:ind w:left="540" w:right="160" w:hanging="316"/>
        <w:spacing w:after="0" w:line="318" w:lineRule="auto"/>
        <w:tabs>
          <w:tab w:leader="none" w:pos="5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94"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7"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Ongoing Relationships with Portfolio Companies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Monitoring</w:t>
      </w:r>
    </w:p>
    <w:p>
      <w:pPr>
        <w:spacing w:after="0" w:line="6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69" w:lineRule="exact"/>
        <w:rPr>
          <w:sz w:val="20"/>
          <w:szCs w:val="20"/>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Assessment of success in adhering to portfolio company’s business plan and compliance with covenants;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Periodic or regular contact with portfolio company management and, if appropriate, the financial or strategic sponsor, to discuss financial position, requirement and accomplishments;</w:t>
      </w:r>
    </w:p>
    <w:p>
      <w:pPr>
        <w:spacing w:after="0" w:line="91" w:lineRule="exact"/>
        <w:rPr>
          <w:rFonts w:ascii="Arial" w:cs="Arial" w:eastAsia="Arial" w:hAnsi="Arial"/>
          <w:sz w:val="12"/>
          <w:szCs w:val="12"/>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Comparisons to other portfolio companies in the industry, if any;</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Attendance at and participation in board meetings or presentations by portfolio companies;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Review of monthly and quarterly financial statements and financial projections of portfolio companies.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6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We offer managerial assistance to our portfolio companies. As a BDC, we are required to make available such managerial assistance within the meaning of section 55 of the 1940 Act. See “Regulation” for more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Staffing</w:t>
      </w:r>
    </w:p>
    <w:p>
      <w:pPr>
        <w:spacing w:after="0" w:line="69"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Consolidated Portfolio</w:t>
      </w:r>
    </w:p>
    <w:p>
      <w:pPr>
        <w:spacing w:after="0" w:line="71" w:lineRule="exact"/>
        <w:rPr>
          <w:sz w:val="20"/>
          <w:szCs w:val="20"/>
          <w:color w:val="auto"/>
        </w:rPr>
      </w:pPr>
    </w:p>
    <w:p>
      <w:pPr>
        <w:ind w:firstLine="456"/>
        <w:spacing w:after="0" w:line="318" w:lineRule="auto"/>
        <w:rPr>
          <w:sz w:val="20"/>
          <w:szCs w:val="20"/>
          <w:color w:val="auto"/>
        </w:rPr>
      </w:pPr>
      <w:r>
        <w:rPr>
          <w:rFonts w:ascii="Arial" w:cs="Arial" w:eastAsia="Arial" w:hAnsi="Arial"/>
          <w:sz w:val="12"/>
          <w:szCs w:val="12"/>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60"/>
              <w:spacing w:after="0"/>
              <w:rPr>
                <w:sz w:val="20"/>
                <w:szCs w:val="20"/>
                <w:color w:val="auto"/>
              </w:rPr>
            </w:pPr>
            <w:r>
              <w:rPr>
                <w:rFonts w:ascii="Arial" w:cs="Arial" w:eastAsia="Arial" w:hAnsi="Arial"/>
                <w:sz w:val="14"/>
                <w:szCs w:val="14"/>
                <w:color w:val="auto"/>
              </w:rPr>
              <w:t>Aerospace and Defense</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Energy / Utilities</w:t>
            </w:r>
          </w:p>
        </w:tc>
      </w:tr>
      <w:tr>
        <w:trPr>
          <w:trHeight w:val="270"/>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60"/>
              <w:spacing w:after="0"/>
              <w:rPr>
                <w:sz w:val="20"/>
                <w:szCs w:val="20"/>
                <w:color w:val="auto"/>
              </w:rPr>
            </w:pPr>
            <w:r>
              <w:rPr>
                <w:rFonts w:ascii="Arial" w:cs="Arial" w:eastAsia="Arial" w:hAnsi="Arial"/>
                <w:sz w:val="14"/>
                <w:szCs w:val="14"/>
                <w:color w:val="auto"/>
              </w:rPr>
              <w:t>Auto Sector</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Environmental Services</w:t>
            </w:r>
          </w:p>
        </w:tc>
      </w:tr>
      <w:tr>
        <w:trPr>
          <w:trHeight w:val="270"/>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Broadcasting and Entertainment</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Financial Services</w:t>
            </w:r>
          </w:p>
        </w:tc>
      </w:tr>
      <w:tr>
        <w:trPr>
          <w:trHeight w:val="270"/>
        </w:trPr>
        <w:tc>
          <w:tcPr>
            <w:tcW w:w="3860" w:type="dxa"/>
            <w:vAlign w:val="bottom"/>
            <w:gridSpan w:val="2"/>
          </w:tcPr>
          <w:p>
            <w:pPr>
              <w:spacing w:after="0"/>
              <w:rPr>
                <w:sz w:val="20"/>
                <w:szCs w:val="20"/>
                <w:color w:val="auto"/>
              </w:rPr>
            </w:pPr>
            <w:r>
              <w:rPr>
                <w:rFonts w:ascii="Arial" w:cs="Arial" w:eastAsia="Arial" w:hAnsi="Arial"/>
                <w:sz w:val="14"/>
                <w:szCs w:val="14"/>
                <w:color w:val="auto"/>
              </w:rPr>
              <w:t>•  Buildings and Real Estate</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Grocery</w:t>
            </w:r>
          </w:p>
        </w:tc>
      </w:tr>
      <w:tr>
        <w:trPr>
          <w:trHeight w:val="270"/>
        </w:trPr>
        <w:tc>
          <w:tcPr>
            <w:tcW w:w="3860" w:type="dxa"/>
            <w:vAlign w:val="bottom"/>
            <w:gridSpan w:val="2"/>
          </w:tcPr>
          <w:p>
            <w:pPr>
              <w:spacing w:after="0"/>
              <w:rPr>
                <w:sz w:val="20"/>
                <w:szCs w:val="20"/>
                <w:color w:val="auto"/>
              </w:rPr>
            </w:pPr>
            <w:r>
              <w:rPr>
                <w:rFonts w:ascii="Arial" w:cs="Arial" w:eastAsia="Arial" w:hAnsi="Arial"/>
                <w:sz w:val="14"/>
                <w:szCs w:val="14"/>
                <w:color w:val="auto"/>
              </w:rPr>
              <w:t>•  Beverage, Food and Tobacco</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Healthcare, Education and Childcare</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Business Services</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High Tech Industries</w:t>
            </w:r>
          </w:p>
        </w:tc>
      </w:tr>
      <w:tr>
        <w:trPr>
          <w:trHeight w:val="270"/>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Cable Television</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w w:val="88"/>
              </w:rPr>
              <w:t>Home &amp; Office Furnishings, Housewares &amp; Durable Consumer Products</w:t>
            </w:r>
          </w:p>
        </w:tc>
      </w:tr>
      <w:tr>
        <w:trPr>
          <w:trHeight w:val="270"/>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Cargo Transportation</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Hotels, Motels, Inns and Gaming</w:t>
            </w:r>
          </w:p>
        </w:tc>
      </w:tr>
      <w:tr>
        <w:trPr>
          <w:trHeight w:val="270"/>
        </w:trPr>
        <w:tc>
          <w:tcPr>
            <w:tcW w:w="3860" w:type="dxa"/>
            <w:vAlign w:val="bottom"/>
            <w:gridSpan w:val="2"/>
          </w:tcPr>
          <w:p>
            <w:pPr>
              <w:spacing w:after="0"/>
              <w:rPr>
                <w:sz w:val="20"/>
                <w:szCs w:val="20"/>
                <w:color w:val="auto"/>
              </w:rPr>
            </w:pPr>
            <w:r>
              <w:rPr>
                <w:rFonts w:ascii="Arial" w:cs="Arial" w:eastAsia="Arial" w:hAnsi="Arial"/>
                <w:sz w:val="14"/>
                <w:szCs w:val="14"/>
                <w:color w:val="auto"/>
              </w:rPr>
              <w:t>•  Chemicals, Plastics and Rubber</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Insurance</w:t>
            </w:r>
          </w:p>
        </w:tc>
      </w:tr>
      <w:tr>
        <w:trPr>
          <w:trHeight w:val="270"/>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Communications</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Leisure, Amusement, Motion Picture, Entertainment</w:t>
            </w:r>
          </w:p>
        </w:tc>
      </w:tr>
      <w:tr>
        <w:trPr>
          <w:trHeight w:val="270"/>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Consumer Goods: Durable</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Logistics</w:t>
            </w:r>
          </w:p>
        </w:tc>
      </w:tr>
      <w:tr>
        <w:trPr>
          <w:trHeight w:val="270"/>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Consumer Goods: Non-Durable</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Manufacturing / Basic Industries</w:t>
            </w:r>
          </w:p>
        </w:tc>
      </w:tr>
      <w:tr>
        <w:trPr>
          <w:trHeight w:val="257"/>
        </w:trPr>
        <w:tc>
          <w:tcPr>
            <w:tcW w:w="3860" w:type="dxa"/>
            <w:vAlign w:val="bottom"/>
            <w:gridSpan w:val="2"/>
          </w:tcPr>
          <w:p>
            <w:pPr>
              <w:spacing w:after="0"/>
              <w:rPr>
                <w:sz w:val="20"/>
                <w:szCs w:val="20"/>
                <w:color w:val="auto"/>
              </w:rPr>
            </w:pPr>
            <w:r>
              <w:rPr>
                <w:rFonts w:ascii="Arial" w:cs="Arial" w:eastAsia="Arial" w:hAnsi="Arial"/>
                <w:sz w:val="14"/>
                <w:szCs w:val="14"/>
                <w:color w:val="auto"/>
              </w:rPr>
              <w:t>•  Containers Packaging &amp; Glass</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Media</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Distribution</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Oil and Gas</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Diversified/Conglomerate Manufacturing</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Personal, Food and Miscellaneous Services</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Diversified/Conglomerate Services</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Printing and Publishing</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Education</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Retail Stores</w:t>
            </w:r>
          </w:p>
        </w:tc>
      </w:tr>
      <w:tr>
        <w:trPr>
          <w:trHeight w:val="257"/>
        </w:trPr>
        <w:tc>
          <w:tcPr>
            <w:tcW w:w="1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Telecommunications</w:t>
            </w:r>
          </w:p>
        </w:tc>
      </w:tr>
      <w:tr>
        <w:trPr>
          <w:trHeight w:val="297"/>
        </w:trPr>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300" w:type="dxa"/>
            <w:vAlign w:val="bottom"/>
          </w:tcPr>
          <w:p>
            <w:pPr>
              <w:ind w:left="1440"/>
              <w:spacing w:after="0"/>
              <w:rPr>
                <w:sz w:val="20"/>
                <w:szCs w:val="20"/>
                <w:color w:val="auto"/>
              </w:rPr>
            </w:pPr>
            <w:r>
              <w:rPr>
                <w:rFonts w:ascii="Arial" w:cs="Arial" w:eastAsia="Arial" w:hAnsi="Arial"/>
                <w:sz w:val="14"/>
                <w:szCs w:val="14"/>
                <w:color w:val="auto"/>
              </w:rPr>
              <w:t>52</w:t>
            </w:r>
          </w:p>
        </w:tc>
        <w:tc>
          <w:tcPr>
            <w:tcW w:w="404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color w:val="auto"/>
        </w:rPr>
        <w:t>Listed below are our top ten portfolio companies and industries represented as a percentage of our consolidated portfolio assets (excluding cash equivalents) as of:</w:t>
      </w:r>
    </w:p>
    <w:p>
      <w:pPr>
        <w:sectPr>
          <w:pgSz w:w="11900" w:h="16838" w:orient="portrait"/>
          <w:cols w:equalWidth="0" w:num="1">
            <w:col w:w="11420"/>
          </w:cols>
          <w:pgMar w:left="240" w:top="459" w:right="239" w:bottom="1440" w:gutter="0" w:footer="0" w:header="0"/>
        </w:sectPr>
      </w:pP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0" w:type="dxa"/>
            <w:vAlign w:val="bottom"/>
          </w:tcPr>
          <w:p>
            <w:pPr>
              <w:spacing w:after="0"/>
              <w:rPr>
                <w:sz w:val="1"/>
                <w:szCs w:val="1"/>
                <w:color w:val="auto"/>
              </w:rPr>
            </w:pPr>
          </w:p>
        </w:tc>
      </w:tr>
      <w:tr>
        <w:trPr>
          <w:trHeight w:val="161"/>
        </w:trPr>
        <w:tc>
          <w:tcPr>
            <w:tcW w:w="4540" w:type="dxa"/>
            <w:vAlign w:val="bottom"/>
            <w:gridSpan w:val="3"/>
            <w:vMerge w:val="continue"/>
          </w:tcPr>
          <w:p>
            <w:pPr>
              <w:spacing w:after="0"/>
              <w:rPr>
                <w:sz w:val="14"/>
                <w:szCs w:val="14"/>
                <w:color w:val="auto"/>
              </w:rPr>
            </w:pPr>
          </w:p>
        </w:tc>
        <w:tc>
          <w:tcPr>
            <w:tcW w:w="740" w:type="dxa"/>
            <w:vAlign w:val="bottom"/>
          </w:tcPr>
          <w:p>
            <w:pPr>
              <w:ind w:left="240"/>
              <w:spacing w:after="0"/>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4"/>
                <w:szCs w:val="14"/>
                <w:color w:val="auto"/>
              </w:rPr>
            </w:pPr>
          </w:p>
        </w:tc>
        <w:tc>
          <w:tcPr>
            <w:tcW w:w="3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960" w:type="dxa"/>
            <w:vAlign w:val="bottom"/>
          </w:tcPr>
          <w:p>
            <w:pPr>
              <w:spacing w:after="0"/>
              <w:rPr>
                <w:sz w:val="20"/>
                <w:szCs w:val="20"/>
                <w:color w:val="auto"/>
              </w:rPr>
            </w:pPr>
            <w:r>
              <w:rPr>
                <w:rFonts w:ascii="Arial" w:cs="Arial" w:eastAsia="Arial" w:hAnsi="Arial"/>
                <w:sz w:val="14"/>
                <w:szCs w:val="14"/>
                <w:color w:val="auto"/>
              </w:rPr>
              <w:t>Instant Web, Inc.</w:t>
            </w:r>
          </w:p>
        </w:tc>
        <w:tc>
          <w:tcPr>
            <w:tcW w:w="560" w:type="dxa"/>
            <w:vAlign w:val="bottom"/>
            <w:vMerge w:val="continue"/>
          </w:tcPr>
          <w:p>
            <w:pPr>
              <w:spacing w:after="0"/>
              <w:rPr>
                <w:sz w:val="14"/>
                <w:szCs w:val="14"/>
                <w:color w:val="auto"/>
              </w:rPr>
            </w:pPr>
          </w:p>
        </w:tc>
        <w:tc>
          <w:tcPr>
            <w:tcW w:w="1460" w:type="dxa"/>
            <w:vAlign w:val="bottom"/>
            <w:gridSpan w:val="2"/>
          </w:tcPr>
          <w:p>
            <w:pPr>
              <w:ind w:left="660"/>
              <w:spacing w:after="0"/>
              <w:rPr>
                <w:sz w:val="20"/>
                <w:szCs w:val="20"/>
                <w:color w:val="auto"/>
              </w:rPr>
            </w:pPr>
            <w:r>
              <w:rPr>
                <w:rFonts w:ascii="Arial" w:cs="Arial" w:eastAsia="Arial" w:hAnsi="Arial"/>
                <w:sz w:val="14"/>
                <w:szCs w:val="14"/>
                <w:color w:val="auto"/>
              </w:rPr>
              <w:t>4%</w:t>
            </w:r>
          </w:p>
        </w:tc>
        <w:tc>
          <w:tcPr>
            <w:tcW w:w="3740" w:type="dxa"/>
            <w:vAlign w:val="bottom"/>
          </w:tcPr>
          <w:p>
            <w:pPr>
              <w:spacing w:after="0"/>
              <w:rPr>
                <w:sz w:val="20"/>
                <w:szCs w:val="20"/>
                <w:color w:val="auto"/>
              </w:rPr>
            </w:pPr>
            <w:r>
              <w:rPr>
                <w:rFonts w:ascii="Arial" w:cs="Arial" w:eastAsia="Arial" w:hAnsi="Arial"/>
                <w:sz w:val="14"/>
                <w:szCs w:val="14"/>
                <w:color w:val="auto"/>
              </w:rPr>
              <w:t>Ernest Health, Inc.</w:t>
            </w:r>
          </w:p>
        </w:tc>
        <w:tc>
          <w:tcPr>
            <w:tcW w:w="0" w:type="dxa"/>
            <w:vAlign w:val="bottom"/>
          </w:tcPr>
          <w:p>
            <w:pPr>
              <w:spacing w:after="0"/>
              <w:rPr>
                <w:sz w:val="1"/>
                <w:szCs w:val="1"/>
                <w:color w:val="auto"/>
              </w:rPr>
            </w:pPr>
          </w:p>
        </w:tc>
      </w:tr>
      <w:tr>
        <w:trPr>
          <w:trHeight w:val="178"/>
        </w:trPr>
        <w:tc>
          <w:tcPr>
            <w:tcW w:w="4540" w:type="dxa"/>
            <w:vAlign w:val="bottom"/>
            <w:gridSpan w:val="3"/>
          </w:tcPr>
          <w:p>
            <w:pPr>
              <w:spacing w:after="0"/>
              <w:rPr>
                <w:sz w:val="20"/>
                <w:szCs w:val="20"/>
                <w:color w:val="auto"/>
              </w:rPr>
            </w:pPr>
            <w:r>
              <w:rPr>
                <w:rFonts w:ascii="Arial" w:cs="Arial" w:eastAsia="Arial" w:hAnsi="Arial"/>
                <w:sz w:val="14"/>
                <w:szCs w:val="14"/>
                <w:color w:val="auto"/>
              </w:rPr>
              <w:t>K2 Pure Solutions NoCal, L.P.</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4</w:t>
            </w:r>
          </w:p>
        </w:tc>
        <w:tc>
          <w:tcPr>
            <w:tcW w:w="72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Instant Web, Inc.</w:t>
            </w:r>
          </w:p>
        </w:tc>
        <w:tc>
          <w:tcPr>
            <w:tcW w:w="0" w:type="dxa"/>
            <w:vAlign w:val="bottom"/>
          </w:tcPr>
          <w:p>
            <w:pPr>
              <w:spacing w:after="0"/>
              <w:rPr>
                <w:sz w:val="1"/>
                <w:szCs w:val="1"/>
                <w:color w:val="auto"/>
              </w:rPr>
            </w:pPr>
          </w:p>
        </w:tc>
      </w:tr>
      <w:tr>
        <w:trPr>
          <w:trHeight w:val="189"/>
        </w:trPr>
        <w:tc>
          <w:tcPr>
            <w:tcW w:w="4540" w:type="dxa"/>
            <w:vAlign w:val="bottom"/>
            <w:gridSpan w:val="3"/>
          </w:tcPr>
          <w:p>
            <w:pPr>
              <w:spacing w:after="0"/>
              <w:rPr>
                <w:sz w:val="20"/>
                <w:szCs w:val="20"/>
                <w:color w:val="auto"/>
              </w:rPr>
            </w:pPr>
            <w:r>
              <w:rPr>
                <w:rFonts w:ascii="Arial" w:cs="Arial" w:eastAsia="Arial" w:hAnsi="Arial"/>
                <w:sz w:val="14"/>
                <w:szCs w:val="14"/>
                <w:color w:val="auto"/>
              </w:rPr>
              <w:t>Mood Media Corporation</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4</w:t>
            </w:r>
          </w:p>
        </w:tc>
        <w:tc>
          <w:tcPr>
            <w:tcW w:w="72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K2 Pure Solutions NoCal, L.P.</w:t>
            </w:r>
          </w:p>
        </w:tc>
        <w:tc>
          <w:tcPr>
            <w:tcW w:w="0" w:type="dxa"/>
            <w:vAlign w:val="bottom"/>
          </w:tcPr>
          <w:p>
            <w:pPr>
              <w:spacing w:after="0"/>
              <w:rPr>
                <w:sz w:val="1"/>
                <w:szCs w:val="1"/>
                <w:color w:val="auto"/>
              </w:rPr>
            </w:pPr>
          </w:p>
        </w:tc>
      </w:tr>
      <w:tr>
        <w:trPr>
          <w:trHeight w:val="189"/>
        </w:trPr>
        <w:tc>
          <w:tcPr>
            <w:tcW w:w="4540" w:type="dxa"/>
            <w:vAlign w:val="bottom"/>
            <w:gridSpan w:val="3"/>
          </w:tcPr>
          <w:p>
            <w:pPr>
              <w:spacing w:after="0"/>
              <w:rPr>
                <w:sz w:val="20"/>
                <w:szCs w:val="20"/>
                <w:color w:val="auto"/>
              </w:rPr>
            </w:pPr>
            <w:r>
              <w:rPr>
                <w:rFonts w:ascii="Arial" w:cs="Arial" w:eastAsia="Arial" w:hAnsi="Arial"/>
                <w:sz w:val="14"/>
                <w:szCs w:val="14"/>
                <w:color w:val="auto"/>
              </w:rPr>
              <w:t>Trusthouse Services Group, Inc.</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4</w:t>
            </w:r>
          </w:p>
        </w:tc>
        <w:tc>
          <w:tcPr>
            <w:tcW w:w="72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Mood Media Corporation</w:t>
            </w: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4"/>
                <w:szCs w:val="14"/>
                <w:color w:val="auto"/>
              </w:rPr>
              <w:t>KIK Custom Products Inc.</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3</w:t>
            </w:r>
          </w:p>
        </w:tc>
        <w:tc>
          <w:tcPr>
            <w:tcW w:w="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Trusthouse Services Group, Inc.</w:t>
            </w: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4"/>
                <w:szCs w:val="14"/>
                <w:color w:val="auto"/>
              </w:rPr>
              <w:t>Penton Media Inc.</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3</w:t>
            </w:r>
          </w:p>
        </w:tc>
        <w:tc>
          <w:tcPr>
            <w:tcW w:w="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C.H.I. Overhead Doors, Inc.</w:t>
            </w:r>
          </w:p>
        </w:tc>
        <w:tc>
          <w:tcPr>
            <w:tcW w:w="0" w:type="dxa"/>
            <w:vAlign w:val="bottom"/>
          </w:tcPr>
          <w:p>
            <w:pPr>
              <w:spacing w:after="0"/>
              <w:rPr>
                <w:sz w:val="1"/>
                <w:szCs w:val="1"/>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4"/>
                <w:szCs w:val="14"/>
                <w:color w:val="auto"/>
              </w:rPr>
              <w:t>National Healing Corporation</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3</w:t>
            </w:r>
          </w:p>
        </w:tc>
        <w:tc>
          <w:tcPr>
            <w:tcW w:w="7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KIK Custom Products Inc.</w:t>
            </w:r>
          </w:p>
        </w:tc>
        <w:tc>
          <w:tcPr>
            <w:tcW w:w="0" w:type="dxa"/>
            <w:vAlign w:val="bottom"/>
          </w:tcPr>
          <w:p>
            <w:pPr>
              <w:spacing w:after="0"/>
              <w:rPr>
                <w:sz w:val="1"/>
                <w:szCs w:val="1"/>
                <w:color w:val="auto"/>
              </w:rPr>
            </w:pPr>
          </w:p>
        </w:tc>
      </w:tr>
      <w:tr>
        <w:trPr>
          <w:trHeight w:val="243"/>
        </w:trPr>
        <w:tc>
          <w:tcPr>
            <w:tcW w:w="4540" w:type="dxa"/>
            <w:vAlign w:val="bottom"/>
            <w:gridSpan w:val="3"/>
          </w:tcPr>
          <w:p>
            <w:pPr>
              <w:spacing w:after="0"/>
              <w:rPr>
                <w:sz w:val="20"/>
                <w:szCs w:val="20"/>
                <w:color w:val="auto"/>
              </w:rPr>
            </w:pPr>
            <w:r>
              <w:rPr>
                <w:rFonts w:ascii="Arial" w:cs="Arial" w:eastAsia="Arial" w:hAnsi="Arial"/>
                <w:sz w:val="14"/>
                <w:szCs w:val="14"/>
                <w:color w:val="auto"/>
              </w:rPr>
              <w:t>Rocket Software, Inc.</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3</w:t>
            </w:r>
          </w:p>
        </w:tc>
        <w:tc>
          <w:tcPr>
            <w:tcW w:w="72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Triple Point Technology, Inc.</w:t>
            </w:r>
          </w:p>
        </w:tc>
        <w:tc>
          <w:tcPr>
            <w:tcW w:w="0" w:type="dxa"/>
            <w:vAlign w:val="bottom"/>
          </w:tcPr>
          <w:p>
            <w:pPr>
              <w:spacing w:after="0"/>
              <w:rPr>
                <w:sz w:val="1"/>
                <w:szCs w:val="1"/>
                <w:color w:val="auto"/>
              </w:rPr>
            </w:pPr>
          </w:p>
        </w:tc>
      </w:tr>
      <w:tr>
        <w:trPr>
          <w:trHeight w:val="189"/>
        </w:trPr>
        <w:tc>
          <w:tcPr>
            <w:tcW w:w="4540" w:type="dxa"/>
            <w:vAlign w:val="bottom"/>
            <w:gridSpan w:val="3"/>
          </w:tcPr>
          <w:p>
            <w:pPr>
              <w:spacing w:after="0"/>
              <w:rPr>
                <w:sz w:val="20"/>
                <w:szCs w:val="20"/>
                <w:color w:val="auto"/>
              </w:rPr>
            </w:pPr>
            <w:r>
              <w:rPr>
                <w:rFonts w:ascii="Arial" w:cs="Arial" w:eastAsia="Arial" w:hAnsi="Arial"/>
                <w:sz w:val="14"/>
                <w:szCs w:val="14"/>
                <w:color w:val="auto"/>
              </w:rPr>
              <w:t>Viamedia Services Corp.</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3</w:t>
            </w:r>
          </w:p>
        </w:tc>
        <w:tc>
          <w:tcPr>
            <w:tcW w:w="72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Viamedia Services Corp.</w:t>
            </w:r>
          </w:p>
        </w:tc>
        <w:tc>
          <w:tcPr>
            <w:tcW w:w="0" w:type="dxa"/>
            <w:vAlign w:val="bottom"/>
          </w:tcPr>
          <w:p>
            <w:pPr>
              <w:spacing w:after="0"/>
              <w:rPr>
                <w:sz w:val="1"/>
                <w:szCs w:val="1"/>
                <w:color w:val="auto"/>
              </w:rPr>
            </w:pPr>
          </w:p>
        </w:tc>
      </w:tr>
      <w:tr>
        <w:trPr>
          <w:trHeight w:val="189"/>
        </w:trPr>
        <w:tc>
          <w:tcPr>
            <w:tcW w:w="4540" w:type="dxa"/>
            <w:vAlign w:val="bottom"/>
            <w:gridSpan w:val="3"/>
          </w:tcPr>
          <w:p>
            <w:pPr>
              <w:spacing w:after="0"/>
              <w:rPr>
                <w:sz w:val="20"/>
                <w:szCs w:val="20"/>
                <w:color w:val="auto"/>
              </w:rPr>
            </w:pPr>
            <w:r>
              <w:rPr>
                <w:rFonts w:ascii="Arial" w:cs="Arial" w:eastAsia="Arial" w:hAnsi="Arial"/>
                <w:sz w:val="14"/>
                <w:szCs w:val="14"/>
                <w:color w:val="auto"/>
              </w:rPr>
              <w:t>Yonkers Racing Corporation</w:t>
            </w:r>
          </w:p>
        </w:tc>
        <w:tc>
          <w:tcPr>
            <w:tcW w:w="740" w:type="dxa"/>
            <w:vAlign w:val="bottom"/>
          </w:tcPr>
          <w:p>
            <w:pPr>
              <w:ind w:left="660"/>
              <w:spacing w:after="0"/>
              <w:rPr>
                <w:sz w:val="20"/>
                <w:szCs w:val="20"/>
                <w:color w:val="auto"/>
              </w:rPr>
            </w:pPr>
            <w:r>
              <w:rPr>
                <w:rFonts w:ascii="Arial" w:cs="Arial" w:eastAsia="Arial" w:hAnsi="Arial"/>
                <w:sz w:val="14"/>
                <w:szCs w:val="14"/>
                <w:color w:val="auto"/>
                <w:w w:val="76"/>
              </w:rPr>
              <w:t>3</w:t>
            </w:r>
          </w:p>
        </w:tc>
        <w:tc>
          <w:tcPr>
            <w:tcW w:w="72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Yonkers Racing 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-1028065</wp:posOffset>
            </wp:positionV>
            <wp:extent cx="7246620" cy="1200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2466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246620" cy="1200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-1276985</wp:posOffset>
            </wp:positionV>
            <wp:extent cx="7246620"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w:t>
            </w:r>
          </w:p>
        </w:tc>
        <w:tc>
          <w:tcPr>
            <w:tcW w:w="14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9"/>
              </w:rPr>
              <w:t>March 31,</w:t>
            </w:r>
          </w:p>
        </w:tc>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Industry</w:t>
            </w:r>
          </w:p>
        </w:tc>
        <w:tc>
          <w:tcPr>
            <w:tcW w:w="0" w:type="dxa"/>
            <w:vAlign w:val="bottom"/>
          </w:tcPr>
          <w:p>
            <w:pPr>
              <w:spacing w:after="0"/>
              <w:rPr>
                <w:sz w:val="1"/>
                <w:szCs w:val="1"/>
                <w:color w:val="auto"/>
              </w:rPr>
            </w:pPr>
          </w:p>
        </w:tc>
      </w:tr>
      <w:tr>
        <w:trPr>
          <w:trHeight w:val="161"/>
        </w:trPr>
        <w:tc>
          <w:tcPr>
            <w:tcW w:w="4520" w:type="dxa"/>
            <w:vAlign w:val="bottom"/>
            <w:gridSpan w:val="3"/>
            <w:vMerge w:val="continue"/>
          </w:tcPr>
          <w:p>
            <w:pPr>
              <w:spacing w:after="0"/>
              <w:rPr>
                <w:sz w:val="14"/>
                <w:szCs w:val="14"/>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4"/>
                <w:szCs w:val="14"/>
                <w:color w:val="auto"/>
              </w:rPr>
            </w:pPr>
          </w:p>
        </w:tc>
        <w:tc>
          <w:tcPr>
            <w:tcW w:w="3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Business Services</w:t>
            </w:r>
          </w:p>
        </w:tc>
        <w:tc>
          <w:tcPr>
            <w:tcW w:w="560" w:type="dxa"/>
            <w:vAlign w:val="bottom"/>
            <w:vMerge w:val="continue"/>
          </w:tcPr>
          <w:p>
            <w:pPr>
              <w:spacing w:after="0"/>
              <w:rPr>
                <w:sz w:val="14"/>
                <w:szCs w:val="14"/>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4"/>
                <w:szCs w:val="14"/>
                <w:color w:val="auto"/>
              </w:rPr>
              <w:t>10%</w:t>
            </w:r>
          </w:p>
        </w:tc>
        <w:tc>
          <w:tcPr>
            <w:tcW w:w="3780" w:type="dxa"/>
            <w:vAlign w:val="bottom"/>
          </w:tcPr>
          <w:p>
            <w:pPr>
              <w:spacing w:after="0"/>
              <w:rPr>
                <w:sz w:val="20"/>
                <w:szCs w:val="20"/>
                <w:color w:val="auto"/>
              </w:rPr>
            </w:pPr>
            <w:r>
              <w:rPr>
                <w:rFonts w:ascii="Arial" w:cs="Arial" w:eastAsia="Arial" w:hAnsi="Arial"/>
                <w:sz w:val="14"/>
                <w:szCs w:val="14"/>
                <w:color w:val="auto"/>
              </w:rPr>
              <w:t>Business Services</w:t>
            </w:r>
          </w:p>
        </w:tc>
        <w:tc>
          <w:tcPr>
            <w:tcW w:w="0" w:type="dxa"/>
            <w:vAlign w:val="bottom"/>
          </w:tcPr>
          <w:p>
            <w:pPr>
              <w:spacing w:after="0"/>
              <w:rPr>
                <w:sz w:val="1"/>
                <w:szCs w:val="1"/>
                <w:color w:val="auto"/>
              </w:rPr>
            </w:pPr>
          </w:p>
        </w:tc>
      </w:tr>
      <w:tr>
        <w:trPr>
          <w:trHeight w:val="178"/>
        </w:trPr>
        <w:tc>
          <w:tcPr>
            <w:tcW w:w="4520" w:type="dxa"/>
            <w:vAlign w:val="bottom"/>
            <w:gridSpan w:val="3"/>
          </w:tcPr>
          <w:p>
            <w:pPr>
              <w:spacing w:after="0"/>
              <w:rPr>
                <w:sz w:val="20"/>
                <w:szCs w:val="20"/>
                <w:color w:val="auto"/>
              </w:rPr>
            </w:pPr>
            <w:r>
              <w:rPr>
                <w:rFonts w:ascii="Arial" w:cs="Arial" w:eastAsia="Arial" w:hAnsi="Arial"/>
                <w:sz w:val="14"/>
                <w:szCs w:val="14"/>
                <w:color w:val="auto"/>
              </w:rPr>
              <w:t>Beverage, Food and Tobacco</w:t>
            </w:r>
          </w:p>
        </w:tc>
        <w:tc>
          <w:tcPr>
            <w:tcW w:w="720" w:type="dxa"/>
            <w:vAlign w:val="bottom"/>
          </w:tcPr>
          <w:p>
            <w:pPr>
              <w:jc w:val="right"/>
              <w:spacing w:after="0"/>
              <w:rPr>
                <w:sz w:val="20"/>
                <w:szCs w:val="20"/>
                <w:color w:val="auto"/>
              </w:rPr>
            </w:pPr>
            <w:r>
              <w:rPr>
                <w:rFonts w:ascii="Arial" w:cs="Arial" w:eastAsia="Arial" w:hAnsi="Arial"/>
                <w:sz w:val="14"/>
                <w:szCs w:val="14"/>
                <w:color w:val="auto"/>
              </w:rPr>
              <w:t>8</w:t>
            </w:r>
          </w:p>
        </w:tc>
        <w:tc>
          <w:tcPr>
            <w:tcW w:w="7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Healthcare and Pharmaceuticals</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High Tech Industries</w:t>
            </w:r>
          </w:p>
        </w:tc>
        <w:tc>
          <w:tcPr>
            <w:tcW w:w="720" w:type="dxa"/>
            <w:vAlign w:val="bottom"/>
          </w:tcPr>
          <w:p>
            <w:pPr>
              <w:jc w:val="right"/>
              <w:spacing w:after="0"/>
              <w:rPr>
                <w:sz w:val="20"/>
                <w:szCs w:val="20"/>
                <w:color w:val="auto"/>
              </w:rPr>
            </w:pPr>
            <w:r>
              <w:rPr>
                <w:rFonts w:ascii="Arial" w:cs="Arial" w:eastAsia="Arial" w:hAnsi="Arial"/>
                <w:sz w:val="14"/>
                <w:szCs w:val="14"/>
                <w:color w:val="auto"/>
              </w:rPr>
              <w:t>8</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Media: Advertising, Printing and Publishing</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Media: Advertising, Printing and Publishing</w:t>
            </w: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Hotel, Gaming and Leisure</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Media: Diversified and Production</w:t>
            </w: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Consumer Goods: Durable</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Telecommunications</w:t>
            </w: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Media: Diversified and Production</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Consumer Goods: Non-Durable</w:t>
            </w: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Beverage, Food and Tobacco</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Chemicals, Plastics and Rubber</w:t>
            </w: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Chemicals, Plastics and Rubber</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Healthcare and Pharmaceuticals</w:t>
            </w: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Telecommunications</w:t>
            </w:r>
          </w:p>
        </w:tc>
        <w:tc>
          <w:tcPr>
            <w:tcW w:w="0" w:type="dxa"/>
            <w:vAlign w:val="bottom"/>
          </w:tcPr>
          <w:p>
            <w:pPr>
              <w:spacing w:after="0"/>
              <w:rPr>
                <w:sz w:val="1"/>
                <w:szCs w:val="1"/>
                <w:color w:val="auto"/>
              </w:rPr>
            </w:pPr>
          </w:p>
        </w:tc>
      </w:tr>
      <w:tr>
        <w:trPr>
          <w:trHeight w:val="189"/>
        </w:trPr>
        <w:tc>
          <w:tcPr>
            <w:tcW w:w="4520" w:type="dxa"/>
            <w:vAlign w:val="bottom"/>
            <w:gridSpan w:val="3"/>
          </w:tcPr>
          <w:p>
            <w:pPr>
              <w:spacing w:after="0"/>
              <w:rPr>
                <w:sz w:val="20"/>
                <w:szCs w:val="20"/>
                <w:color w:val="auto"/>
              </w:rPr>
            </w:pPr>
            <w:r>
              <w:rPr>
                <w:rFonts w:ascii="Arial" w:cs="Arial" w:eastAsia="Arial" w:hAnsi="Arial"/>
                <w:sz w:val="14"/>
                <w:szCs w:val="14"/>
                <w:color w:val="auto"/>
              </w:rPr>
              <w:t>Hotel, Gaming and Leisure</w:t>
            </w: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7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Automotive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-942340</wp:posOffset>
            </wp:positionV>
            <wp:extent cx="7246620" cy="1200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200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246620" cy="1200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246620" cy="1200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724662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220"/>
        <w:spacing w:after="0"/>
        <w:rPr>
          <w:sz w:val="20"/>
          <w:szCs w:val="20"/>
          <w:color w:val="auto"/>
        </w:rPr>
      </w:pPr>
      <w:r>
        <w:rPr>
          <w:rFonts w:ascii="Arial" w:cs="Arial" w:eastAsia="Arial" w:hAnsi="Arial"/>
          <w:sz w:val="11"/>
          <w:szCs w:val="11"/>
          <w:b w:val="1"/>
          <w:bCs w:val="1"/>
          <w:color w:val="auto"/>
        </w:rPr>
        <w:t>September 30,</w:t>
      </w:r>
    </w:p>
    <w:p>
      <w:pPr>
        <w:spacing w:after="0" w:line="35"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2011</w:t>
      </w:r>
    </w:p>
    <w:p>
      <w:pPr>
        <w:ind w:left="820"/>
        <w:spacing w:after="0"/>
        <w:rPr>
          <w:sz w:val="20"/>
          <w:szCs w:val="20"/>
          <w:color w:val="auto"/>
        </w:rPr>
      </w:pPr>
      <w:r>
        <w:rPr>
          <w:rFonts w:ascii="Arial" w:cs="Arial" w:eastAsia="Arial" w:hAnsi="Arial"/>
          <w:sz w:val="12"/>
          <w:szCs w:val="12"/>
          <w:color w:val="auto"/>
        </w:rPr>
        <w:t>6%</w:t>
      </w:r>
    </w:p>
    <w:p>
      <w:pPr>
        <w:spacing w:after="0" w:line="41" w:lineRule="exact"/>
        <w:rPr>
          <w:sz w:val="20"/>
          <w:szCs w:val="20"/>
          <w:color w:val="auto"/>
        </w:rPr>
      </w:pPr>
    </w:p>
    <w:p>
      <w:pPr>
        <w:ind w:left="820"/>
        <w:spacing w:after="0"/>
        <w:rPr>
          <w:sz w:val="20"/>
          <w:szCs w:val="20"/>
          <w:color w:val="auto"/>
        </w:rPr>
      </w:pPr>
      <w:r>
        <w:rPr>
          <w:rFonts w:ascii="Arial" w:cs="Arial" w:eastAsia="Arial" w:hAnsi="Arial"/>
          <w:sz w:val="14"/>
          <w:szCs w:val="14"/>
          <w:color w:val="auto"/>
        </w:rPr>
        <w:t>6</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5</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5</w:t>
      </w:r>
    </w:p>
    <w:p>
      <w:pPr>
        <w:spacing w:after="0" w:line="55" w:lineRule="exact"/>
        <w:rPr>
          <w:sz w:val="20"/>
          <w:szCs w:val="20"/>
          <w:color w:val="auto"/>
        </w:rPr>
      </w:pPr>
    </w:p>
    <w:p>
      <w:pPr>
        <w:ind w:left="820"/>
        <w:spacing w:after="0"/>
        <w:rPr>
          <w:sz w:val="20"/>
          <w:szCs w:val="20"/>
          <w:color w:val="auto"/>
        </w:rPr>
      </w:pPr>
      <w:r>
        <w:rPr>
          <w:rFonts w:ascii="Arial" w:cs="Arial" w:eastAsia="Arial" w:hAnsi="Arial"/>
          <w:sz w:val="14"/>
          <w:szCs w:val="14"/>
          <w:color w:val="auto"/>
        </w:rPr>
        <w:t>5</w:t>
      </w:r>
    </w:p>
    <w:p>
      <w:pPr>
        <w:spacing w:after="0" w:line="55" w:lineRule="exact"/>
        <w:rPr>
          <w:sz w:val="20"/>
          <w:szCs w:val="20"/>
          <w:color w:val="auto"/>
        </w:rPr>
      </w:pPr>
    </w:p>
    <w:p>
      <w:pPr>
        <w:ind w:left="820"/>
        <w:spacing w:after="0"/>
        <w:rPr>
          <w:sz w:val="20"/>
          <w:szCs w:val="20"/>
          <w:color w:val="auto"/>
        </w:rPr>
      </w:pPr>
      <w:r>
        <w:rPr>
          <w:rFonts w:ascii="Arial" w:cs="Arial" w:eastAsia="Arial" w:hAnsi="Arial"/>
          <w:sz w:val="14"/>
          <w:szCs w:val="14"/>
          <w:color w:val="auto"/>
        </w:rPr>
        <w:t>4</w:t>
      </w:r>
    </w:p>
    <w:p>
      <w:pPr>
        <w:spacing w:after="0" w:line="55" w:lineRule="exact"/>
        <w:rPr>
          <w:sz w:val="20"/>
          <w:szCs w:val="20"/>
          <w:color w:val="auto"/>
        </w:rPr>
      </w:pPr>
    </w:p>
    <w:p>
      <w:pPr>
        <w:ind w:left="820"/>
        <w:spacing w:after="0"/>
        <w:rPr>
          <w:sz w:val="20"/>
          <w:szCs w:val="20"/>
          <w:color w:val="auto"/>
        </w:rPr>
      </w:pPr>
      <w:r>
        <w:rPr>
          <w:rFonts w:ascii="Arial" w:cs="Arial" w:eastAsia="Arial" w:hAnsi="Arial"/>
          <w:sz w:val="14"/>
          <w:szCs w:val="14"/>
          <w:color w:val="auto"/>
        </w:rPr>
        <w:t>4</w:t>
      </w:r>
    </w:p>
    <w:p>
      <w:pPr>
        <w:spacing w:after="0" w:line="8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4</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4</w:t>
      </w:r>
    </w:p>
    <w:p>
      <w:pPr>
        <w:spacing w:after="0" w:line="69" w:lineRule="exact"/>
        <w:rPr>
          <w:sz w:val="20"/>
          <w:szCs w:val="20"/>
          <w:color w:val="auto"/>
        </w:rPr>
      </w:pPr>
    </w:p>
    <w:p>
      <w:pPr>
        <w:ind w:left="820"/>
        <w:spacing w:after="0"/>
        <w:rPr>
          <w:sz w:val="20"/>
          <w:szCs w:val="20"/>
          <w:color w:val="auto"/>
        </w:rPr>
      </w:pPr>
      <w:r>
        <w:rPr>
          <w:rFonts w:ascii="Arial" w:cs="Arial" w:eastAsia="Arial" w:hAnsi="Arial"/>
          <w:sz w:val="14"/>
          <w:szCs w:val="14"/>
          <w:color w:val="auto"/>
        </w:rPr>
        <w:t>4</w:t>
      </w:r>
    </w:p>
    <w:p>
      <w:pPr>
        <w:spacing w:after="0" w:line="188" w:lineRule="exact"/>
        <w:rPr>
          <w:sz w:val="20"/>
          <w:szCs w:val="20"/>
          <w:color w:val="auto"/>
        </w:rPr>
      </w:pPr>
    </w:p>
    <w:p>
      <w:pPr>
        <w:jc w:val="center"/>
        <w:ind w:right="220"/>
        <w:spacing w:after="0"/>
        <w:rPr>
          <w:sz w:val="20"/>
          <w:szCs w:val="20"/>
          <w:color w:val="auto"/>
        </w:rPr>
      </w:pPr>
      <w:r>
        <w:rPr>
          <w:rFonts w:ascii="Arial" w:cs="Arial" w:eastAsia="Arial" w:hAnsi="Arial"/>
          <w:sz w:val="11"/>
          <w:szCs w:val="11"/>
          <w:b w:val="1"/>
          <w:bCs w:val="1"/>
          <w:color w:val="auto"/>
        </w:rPr>
        <w:t>September 30,</w:t>
      </w:r>
    </w:p>
    <w:p>
      <w:pPr>
        <w:spacing w:after="0" w:line="35"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2011</w:t>
      </w:r>
    </w:p>
    <w:p>
      <w:pPr>
        <w:jc w:val="right"/>
        <w:ind w:right="40"/>
        <w:spacing w:after="0"/>
        <w:rPr>
          <w:sz w:val="20"/>
          <w:szCs w:val="20"/>
          <w:color w:val="auto"/>
        </w:rPr>
      </w:pPr>
      <w:r>
        <w:rPr>
          <w:rFonts w:ascii="Arial" w:cs="Arial" w:eastAsia="Arial" w:hAnsi="Arial"/>
          <w:sz w:val="14"/>
          <w:szCs w:val="14"/>
          <w:color w:val="auto"/>
        </w:rPr>
        <w:t>10%</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4"/>
          <w:szCs w:val="14"/>
          <w:color w:val="auto"/>
        </w:rPr>
        <w:t>10</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10</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9</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8</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8</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7</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5</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5</w:t>
      </w:r>
    </w:p>
    <w:p>
      <w:pPr>
        <w:spacing w:after="0" w:line="69" w:lineRule="exact"/>
        <w:rPr>
          <w:sz w:val="20"/>
          <w:szCs w:val="20"/>
          <w:color w:val="auto"/>
        </w:rPr>
      </w:pPr>
    </w:p>
    <w:p>
      <w:pPr>
        <w:ind w:left="820"/>
        <w:spacing w:after="0"/>
        <w:rPr>
          <w:sz w:val="20"/>
          <w:szCs w:val="20"/>
          <w:color w:val="auto"/>
        </w:rPr>
      </w:pPr>
      <w:r>
        <w:rPr>
          <w:rFonts w:ascii="Arial" w:cs="Arial" w:eastAsia="Arial" w:hAnsi="Arial"/>
          <w:sz w:val="14"/>
          <w:szCs w:val="14"/>
          <w:color w:val="auto"/>
        </w:rPr>
        <w:t>4</w:t>
      </w:r>
    </w:p>
    <w:p>
      <w:pPr>
        <w:spacing w:after="0" w:line="150" w:lineRule="exact"/>
        <w:rPr>
          <w:sz w:val="20"/>
          <w:szCs w:val="20"/>
          <w:color w:val="auto"/>
        </w:rPr>
      </w:pPr>
    </w:p>
    <w:p>
      <w:pPr>
        <w:sectPr>
          <w:pgSz w:w="11900" w:h="16838" w:orient="portrait"/>
          <w:cols w:equalWidth="0" w:num="2">
            <w:col w:w="9740" w:space="640"/>
            <w:col w:w="1040"/>
          </w:cols>
          <w:pgMar w:left="240" w:top="459" w:right="239" w:bottom="1440" w:gutter="0" w:footer="0" w:header="0"/>
          <w:type w:val="continuous"/>
        </w:sectPr>
      </w:pPr>
    </w:p>
    <w:p>
      <w:pPr>
        <w:ind w:firstLine="456"/>
        <w:spacing w:after="0" w:line="265" w:lineRule="auto"/>
        <w:rPr>
          <w:sz w:val="20"/>
          <w:szCs w:val="20"/>
          <w:color w:val="auto"/>
        </w:rPr>
      </w:pPr>
      <w:r>
        <w:rPr>
          <w:rFonts w:ascii="Arial" w:cs="Arial" w:eastAsia="Arial" w:hAnsi="Arial"/>
          <w:sz w:val="12"/>
          <w:szCs w:val="12"/>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Accordingly, they may have obligations to investors in PennantPark Investment Corporation,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8"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ours, subject to compliance with applicable regulations and our trade allocation procedures. Some types of negotiated co-investments may be made only if we receive an order from the SEC permitting us to do so. We have not sought, and there can be no assurance that we would obtain, any such order.</w:t>
      </w:r>
    </w:p>
    <w:p>
      <w:pPr>
        <w:spacing w:after="0" w:line="139"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As of March 31, 2012, our portfolio consisted of 51 companies and was invested 86% in senior secured loans, 5% in second lien secured debt and 9% in subordinated debt and preferred and common equity investments.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March 31, 2012, there was no portfolio company in which we have made an investment that represents greater than 5% of our total assets.</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459"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PORTFOLIO COMPANIES</w:t>
      </w:r>
    </w:p>
    <w:p>
      <w:pPr>
        <w:spacing w:after="0" w:line="152" w:lineRule="exact"/>
        <w:rPr>
          <w:sz w:val="20"/>
          <w:szCs w:val="20"/>
          <w:color w:val="auto"/>
        </w:rPr>
      </w:pPr>
    </w:p>
    <w:p>
      <w:pPr>
        <w:ind w:right="180" w:firstLine="456"/>
        <w:spacing w:after="0" w:line="230" w:lineRule="auto"/>
        <w:rPr>
          <w:sz w:val="20"/>
          <w:szCs w:val="20"/>
          <w:color w:val="auto"/>
        </w:rPr>
      </w:pPr>
      <w:r>
        <w:rPr>
          <w:rFonts w:ascii="Arial" w:cs="Arial" w:eastAsia="Arial" w:hAnsi="Arial"/>
          <w:sz w:val="14"/>
          <w:szCs w:val="14"/>
          <w:color w:val="auto"/>
        </w:rPr>
        <w:t>The following is a listing of each portfolio company or its affiliate, together referred to as portfolio companies, in which we had an investment at March 31, 2012.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or accretion. For additional information see our “Consolidated Schedule of Investments” in our Consolidated Financial Statements included elsewhere in this prospectus.</w:t>
      </w:r>
    </w:p>
    <w:p>
      <w:pPr>
        <w:spacing w:after="0" w:line="139" w:lineRule="exact"/>
        <w:rPr>
          <w:sz w:val="20"/>
          <w:szCs w:val="20"/>
          <w:color w:val="auto"/>
        </w:rPr>
      </w:pPr>
    </w:p>
    <w:p>
      <w:pPr>
        <w:ind w:right="120" w:firstLine="456"/>
        <w:spacing w:after="0" w:line="270" w:lineRule="auto"/>
        <w:rPr>
          <w:sz w:val="20"/>
          <w:szCs w:val="20"/>
          <w:color w:val="auto"/>
        </w:rPr>
      </w:pPr>
      <w:r>
        <w:rPr>
          <w:rFonts w:ascii="Arial" w:cs="Arial" w:eastAsia="Arial" w:hAnsi="Arial"/>
          <w:sz w:val="12"/>
          <w:szCs w:val="12"/>
          <w:color w:val="auto"/>
        </w:rPr>
        <w:t>The portfolio companies are presented in three categories: “Companies 5% or less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All of Funding I’s investments are pledged as collateral under our Credit Facility. Unless otherwise noted, we held no voting board membership on any of our portfolio companies.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96"/>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16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Ownership </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Borders>
              <w:top w:val="single" w:sz="8" w:color="auto"/>
              <w:bottom w:val="single" w:sz="8" w:color="CCEEFF"/>
            </w:tcBorders>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Companies 5% or Less Owned</w:t>
            </w:r>
          </w:p>
        </w:tc>
        <w:tc>
          <w:tcPr>
            <w:tcW w:w="2160" w:type="dxa"/>
            <w:vAlign w:val="bottom"/>
            <w:tcBorders>
              <w:top w:val="single" w:sz="8" w:color="CCEEFF"/>
              <w:bottom w:val="single" w:sz="8" w:color="CCEEFF"/>
            </w:tcBorders>
            <w:shd w:val="clear" w:color="auto" w:fill="CCEEFF"/>
          </w:tcPr>
          <w:p>
            <w:pPr>
              <w:spacing w:after="0"/>
              <w:rPr>
                <w:sz w:val="14"/>
                <w:szCs w:val="14"/>
                <w:color w:val="auto"/>
              </w:rPr>
            </w:pPr>
          </w:p>
        </w:tc>
        <w:tc>
          <w:tcPr>
            <w:tcW w:w="24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70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Affinion Group Holdings,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100 Connecticut Avenue</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Norwalk, CT 06850</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Airvana Network Solutions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19 Alpha Road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Chelmsford, MA 01824</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Aspen Dental Management,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281 Sanders Creek Parkway</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East Syracuse, NY 13057</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Autoparts Holdings Limited</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39 Old Ridgebury Road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Danbury, CT 06810</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Blue Coat Systems,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420 North Mary Ave</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Sunnyvale, CA 94085</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C.H.I. Overhead Doors,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Consumer Goods: Durable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1485 Sunrise Drive</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Arthur, IL 61911</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DCS Business Services,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333 North Canyon Parkway, Suite 100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Livermore, CA 94551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Document Technologies,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7"/>
              </w:rPr>
              <w:t>First Lien Secured Debt Subordinated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Two Ravinia Dr. Suite 850</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Atlanta, GA 30346</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DS Waters Of America,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5660 New Northside Drive, Suite 500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Atlanta, GA 30328</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EAG,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810 Kifer Road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Sunnyvale, CA 94086</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Fundtech (US FT HOLDCO,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30 Montgomery St., Suite 501</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Jersey City, NJ 07302</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Global Tel*Link Corporation</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12021 Sunset Hills Road, Suite 100</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Reston, VA 20190</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Gundle/SLT Environmental,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Environmental Industries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19103 Gundle Road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Houston, TX 77073</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80" w:type="dxa"/>
            <w:vAlign w:val="bottom"/>
            <w:gridSpan w:val="2"/>
          </w:tcPr>
          <w:p>
            <w:pPr>
              <w:jc w:val="right"/>
              <w:ind w:right="1272"/>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Harmony Foods Corporation</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5"/>
              </w:rPr>
              <w:t>Beverage, Food and Tobacco</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2200 Delaware Avenue</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Santa Cruz, CA 95060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HMK Intermediate Holding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Retail</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1000 South Oyster Bay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Hicksville, NY 11801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IDQ Holdings,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2901 West Kingsley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Garland, TX 75041</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Insight Global,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4170 Ashford Dunwoody Road Suite 580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Atlanta, GA 30319</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Instant Web, Inc.</w:t>
            </w:r>
          </w:p>
        </w:tc>
        <w:tc>
          <w:tcPr>
            <w:tcW w:w="252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shd w:val="clear" w:color="auto" w:fill="CCEEFF"/>
          </w:tcPr>
          <w:p>
            <w:pPr>
              <w:jc w:val="center"/>
              <w:ind w:right="120"/>
              <w:spacing w:after="0" w:line="139"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7951 Powers Boulevard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Chanhassen, MN 55317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K2 Pure Solutions NoCal, L.P.</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Chemicals, Plastics and Rubber</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Soho Centre,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260 Queen St.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W. Toronto, Canada</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KIK Custom Products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101 Macintosh Boulevard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Concord, ON L4K 4L5</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Canada</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Lonestar Intermediate Super Holdings,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648 Grassmere Park, Suite 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Nasville, TN 37211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Medpace Intermediateco,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4620 Wesley Avenue</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Cincinnati, OH 45212</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Mood Media Corporation</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Media: Diversified and Production</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20 York Mills Road, 6th Floor</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Toronto, ON M2P 2C2</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Canada</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MOSAID Technologies Incorporated</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 Hines Road, Suite 203</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Ottawa, Ontario, Canada</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K2K 2X1</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Wound Care (National Healing Corporation)</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4850 T-Rex Avenue, Suite 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Boca Raton, FL 33431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6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Penton Media, Inc.</w:t>
            </w:r>
          </w:p>
        </w:tc>
        <w:tc>
          <w:tcPr>
            <w:tcW w:w="252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4"/>
                <w:szCs w:val="14"/>
                <w:color w:val="auto"/>
                <w:w w:val="88"/>
              </w:rPr>
              <w:t>Media: Diversified and Production</w:t>
            </w:r>
          </w:p>
        </w:tc>
        <w:tc>
          <w:tcPr>
            <w:tcW w:w="2500" w:type="dxa"/>
            <w:vAlign w:val="bottom"/>
            <w:gridSpan w:val="2"/>
            <w:shd w:val="clear" w:color="auto" w:fill="CCEEFF"/>
          </w:tcPr>
          <w:p>
            <w:pPr>
              <w:jc w:val="center"/>
              <w:ind w:right="120"/>
              <w:spacing w:after="0" w:line="122"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80" w:type="dxa"/>
            <w:vAlign w:val="bottom"/>
            <w:gridSpan w:val="2"/>
            <w:shd w:val="clear" w:color="auto" w:fill="CCEEFF"/>
          </w:tcPr>
          <w:p>
            <w:pPr>
              <w:spacing w:after="0" w:line="165" w:lineRule="exact"/>
              <w:rPr>
                <w:sz w:val="20"/>
                <w:szCs w:val="20"/>
                <w:color w:val="auto"/>
              </w:rPr>
            </w:pPr>
            <w:r>
              <w:rPr>
                <w:rFonts w:ascii="Arial" w:cs="Arial" w:eastAsia="Arial" w:hAnsi="Arial"/>
                <w:sz w:val="12"/>
                <w:szCs w:val="12"/>
                <w:color w:val="auto"/>
              </w:rPr>
              <w:t>249 W. 17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10011</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Potter’s Holdings II, L.P.</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Containers, Packaging and Glass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300 Lindenwood Drive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Valleybrooke Corporate Center</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Malvern, PA 19355-1740</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Pro Mach,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Capital Equipment</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6279 Tri-Ridge Boulevard Suite 410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Loveland, OH 45140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Renaissance Learning,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Media: Broadcasting and Subscription</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2911 Peach Street, PO Box 8036</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Wisconsin Rapids, WI</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580" w:type="dxa"/>
            <w:vAlign w:val="bottom"/>
            <w:gridSpan w:val="2"/>
          </w:tcPr>
          <w:p>
            <w:pPr>
              <w:spacing w:after="0"/>
              <w:rPr>
                <w:sz w:val="20"/>
                <w:szCs w:val="20"/>
                <w:color w:val="auto"/>
              </w:rPr>
            </w:pPr>
            <w:r>
              <w:rPr>
                <w:rFonts w:ascii="Arial" w:cs="Arial" w:eastAsia="Arial" w:hAnsi="Arial"/>
                <w:sz w:val="14"/>
                <w:szCs w:val="14"/>
                <w:color w:val="auto"/>
              </w:rPr>
              <w:t>54495-8036</w:t>
            </w: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ROC Finance LLC and ROC Finance 1 Corp.</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Hotels, Gaming and Leisure</w:t>
            </w:r>
          </w:p>
        </w:tc>
        <w:tc>
          <w:tcPr>
            <w:tcW w:w="2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Campus Maritus, 1086</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Woodward Avenue, Detroit, MI 48226</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right"/>
              <w:ind w:right="1272"/>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Rocket Software, Inc.</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High Tech Industries</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275 Grove Street</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Newton, MA 02466</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Securus Technologies,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14651 Dallas Parkway, Suite 600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Dallas, TX 75254</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Sensus USA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0"/>
              </w:rPr>
              <w:t>Utilities: Water</w:t>
            </w:r>
          </w:p>
        </w:tc>
        <w:tc>
          <w:tcPr>
            <w:tcW w:w="2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8609 Six Forks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Raleigh, NC 27615</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80" w:type="dxa"/>
            <w:vAlign w:val="bottom"/>
            <w:gridSpan w:val="2"/>
          </w:tcPr>
          <w:p>
            <w:pPr>
              <w:spacing w:after="0" w:line="122" w:lineRule="exact"/>
              <w:rPr>
                <w:sz w:val="20"/>
                <w:szCs w:val="20"/>
                <w:color w:val="auto"/>
              </w:rPr>
            </w:pPr>
            <w:r>
              <w:rPr>
                <w:rFonts w:ascii="Arial" w:cs="Arial" w:eastAsia="Arial" w:hAnsi="Arial"/>
                <w:sz w:val="14"/>
                <w:szCs w:val="14"/>
                <w:color w:val="auto"/>
              </w:rPr>
              <w:t>Seven Seas Cruises</w:t>
            </w:r>
          </w:p>
        </w:tc>
        <w:tc>
          <w:tcPr>
            <w:tcW w:w="2520" w:type="dxa"/>
            <w:vAlign w:val="bottom"/>
            <w:gridSpan w:val="2"/>
          </w:tcPr>
          <w:p>
            <w:pPr>
              <w:jc w:val="center"/>
              <w:ind w:right="100"/>
              <w:spacing w:after="0" w:line="122"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tcPr>
          <w:p>
            <w:pPr>
              <w:jc w:val="center"/>
              <w:ind w:right="100"/>
              <w:spacing w:after="0" w:line="122"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tcPr>
          <w:p>
            <w:pPr>
              <w:jc w:val="center"/>
              <w:spacing w:after="0" w:line="12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5"/>
        </w:trPr>
        <w:tc>
          <w:tcPr>
            <w:tcW w:w="4700" w:type="dxa"/>
            <w:vAlign w:val="bottom"/>
            <w:gridSpan w:val="3"/>
          </w:tcPr>
          <w:p>
            <w:pPr>
              <w:spacing w:after="0" w:line="165" w:lineRule="exact"/>
              <w:rPr>
                <w:sz w:val="20"/>
                <w:szCs w:val="20"/>
                <w:color w:val="auto"/>
              </w:rPr>
            </w:pPr>
            <w:r>
              <w:rPr>
                <w:rFonts w:ascii="Arial" w:cs="Arial" w:eastAsia="Arial" w:hAnsi="Arial"/>
                <w:sz w:val="12"/>
                <w:szCs w:val="12"/>
                <w:color w:val="auto"/>
              </w:rPr>
              <w:t>R.L., 8300 NW 33</w:t>
            </w:r>
            <w:r>
              <w:rPr>
                <w:rFonts w:ascii="Arial" w:cs="Arial" w:eastAsia="Arial" w:hAnsi="Arial"/>
                <w:sz w:val="19"/>
                <w:szCs w:val="19"/>
                <w:color w:val="auto"/>
                <w:vertAlign w:val="superscript"/>
              </w:rPr>
              <w:t>rd</w:t>
            </w:r>
            <w:r>
              <w:rPr>
                <w:rFonts w:ascii="Arial" w:cs="Arial" w:eastAsia="Arial" w:hAnsi="Arial"/>
                <w:sz w:val="12"/>
                <w:szCs w:val="12"/>
                <w:color w:val="auto"/>
              </w:rPr>
              <w:t xml:space="preserve"> Street, Suite 308</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Miami, FL 33122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Sotera Defense Solutions,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3"/>
              </w:rPr>
              <w:t>Aerospace and Defense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1501 Farm Credit Drive, Suite 2300,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McLean, VA 22102</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Tank Intermediate Holding Corp.</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Containers, Packaging and Glass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4365 Steiner Stret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St. Bonifacius, MN 55375</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Tekelec Global,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5200 Paramount Parkway</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Common Equity</w:t>
            </w: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Morrisville, NC 27560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Terex Corporation</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Capital Equipment</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200 Nyala Farm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Westport, CT 06880</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Triple Point Technology,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301 Riverside Avenue</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Westport, CT 06880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87"/>
              </w:rPr>
              <w:t>0.2%</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2201 Water Ridge Parkway, Suite 320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Preferred Equity</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Charlotte, NC 28217</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Common Equity</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Unifrax I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Capital Equipment</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2351 Whirlpool Street,</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Niagara Falls, NY 14305-2413</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Univita Health,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8601 North Scottsdale Road, Suite 335,</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Scottsdale, AZ 85253</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U.S. HealthWorks Holding Company,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25124 Springfield Ct., Suite 200,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Valencia, CA 91355</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Valitas Health Services,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12647 Olive Boulevard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St. Louis, MO 63141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Vantage Specialties,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Chemicals, Plastic and Rubber</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3938 Porett Drive</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Gurnee, IL 60031</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Viamedia Services Corp.</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220 Lexington Green Circle, Suite 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Lexington, KY 40503</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Virtual Radiologic Corporation</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11995 Singletree Lane, Suite 500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Eden Prairie, MN 55344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right"/>
              <w:ind w:right="1272"/>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W3 CO.</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7"/>
              </w:rPr>
              <w:t>Energy: Oil and Gas</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ind w:left="540"/>
              <w:spacing w:after="0" w:line="131" w:lineRule="exact"/>
              <w:rPr>
                <w:sz w:val="20"/>
                <w:szCs w:val="20"/>
                <w:color w:val="auto"/>
              </w:rPr>
            </w:pPr>
            <w:r>
              <w:rPr>
                <w:rFonts w:ascii="Arial" w:cs="Arial" w:eastAsia="Arial" w:hAnsi="Arial"/>
                <w:sz w:val="14"/>
                <w:szCs w:val="14"/>
                <w:color w:val="auto"/>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11111 Wilcrest Green Drive, Suite 300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Houston, TX 77042</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Water Pik,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Consumer Goods: Durable</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1730 East Prospect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Fort Collins, CO 80553</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WCA Waste Corporation</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Environmental Industries</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1330 Post Oak Blvd, 30th Floor</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Yonkers Racing Corporation</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Hotels, Gaming and Leisure</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810 Yonkers Avenue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Yonkers, NY 10704</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5176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(1) Voting ownership percentage refers only to common equity, preferred equity and warrants held, if any.</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equivalents) in such industries as of March 31, 2012 and September 30, 2011.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Industry Classification</w:t>
            </w:r>
          </w:p>
        </w:tc>
        <w:tc>
          <w:tcPr>
            <w:tcW w:w="3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6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88"/>
              </w:rPr>
              <w:t>March 31, 2012</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September 30, 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Business Services</w:t>
            </w:r>
          </w:p>
        </w:tc>
        <w:tc>
          <w:tcPr>
            <w:tcW w:w="30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gridSpan w:val="2"/>
            <w:shd w:val="clear" w:color="auto" w:fill="CCEEFF"/>
          </w:tcPr>
          <w:p>
            <w:pPr>
              <w:jc w:val="right"/>
              <w:ind w:right="1040"/>
              <w:spacing w:after="0"/>
              <w:rPr>
                <w:sz w:val="20"/>
                <w:szCs w:val="20"/>
                <w:color w:val="auto"/>
              </w:rPr>
            </w:pPr>
            <w:r>
              <w:rPr>
                <w:rFonts w:ascii="Arial" w:cs="Arial" w:eastAsia="Arial" w:hAnsi="Arial"/>
                <w:sz w:val="14"/>
                <w:szCs w:val="14"/>
                <w:color w:val="auto"/>
              </w:rPr>
              <w:t>10%</w:t>
            </w: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Beverage, Food and Tobacco</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8</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High Tech Industries</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8</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Media: Advertising, Printing and Publishing</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7</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Media: Diversified and Production</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7</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Telecommunications</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7</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Consumer Goods: Non-Durable</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6</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Chemicals, Plastics and Rubber</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6</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Healthcare and Pharmaceuticals</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6</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Hotel, Gaming and Leisure</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6</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Consumer Goods: Durable</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5</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Consumer Services</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5</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Capital Equipment</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4</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Automotive</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3</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Containers, Packaging and Glass</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3</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Environmental Industries</w:t>
            </w:r>
          </w:p>
        </w:tc>
        <w:tc>
          <w:tcPr>
            <w:tcW w:w="6140" w:type="dxa"/>
            <w:vAlign w:val="bottom"/>
            <w:gridSpan w:val="4"/>
            <w:vMerge w:val="restart"/>
          </w:tcPr>
          <w:p>
            <w:pPr>
              <w:jc w:val="right"/>
              <w:ind w:right="1160"/>
              <w:spacing w:after="0"/>
              <w:rPr>
                <w:sz w:val="20"/>
                <w:szCs w:val="20"/>
                <w:color w:val="auto"/>
              </w:rPr>
            </w:pPr>
            <w:r>
              <w:rPr>
                <w:rFonts w:ascii="Arial" w:cs="Arial" w:eastAsia="Arial" w:hAnsi="Arial"/>
                <w:sz w:val="14"/>
                <w:szCs w:val="14"/>
                <w:color w:val="auto"/>
              </w:rPr>
              <w:t>3</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140" w:type="dxa"/>
            <w:vAlign w:val="bottom"/>
            <w:gridSpan w:val="4"/>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Aerospace and Defense</w:t>
            </w:r>
          </w:p>
        </w:tc>
        <w:tc>
          <w:tcPr>
            <w:tcW w:w="6140" w:type="dxa"/>
            <w:vAlign w:val="bottom"/>
            <w:tcBorders>
              <w:bottom w:val="single" w:sz="8" w:color="CCEEFF"/>
            </w:tcBorders>
            <w:gridSpan w:val="4"/>
            <w:shd w:val="clear" w:color="auto" w:fill="CCEEFF"/>
          </w:tcPr>
          <w:p>
            <w:pPr>
              <w:jc w:val="right"/>
              <w:ind w:right="1160"/>
              <w:spacing w:after="0"/>
              <w:rPr>
                <w:sz w:val="20"/>
                <w:szCs w:val="20"/>
                <w:color w:val="auto"/>
              </w:rPr>
            </w:pPr>
            <w:r>
              <w:rPr>
                <w:rFonts w:ascii="Arial" w:cs="Arial" w:eastAsia="Arial" w:hAnsi="Arial"/>
                <w:sz w:val="14"/>
                <w:szCs w:val="14"/>
                <w:color w:val="auto"/>
              </w:rPr>
              <w:t>2</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All Other</w:t>
            </w:r>
          </w:p>
        </w:tc>
        <w:tc>
          <w:tcPr>
            <w:tcW w:w="4080" w:type="dxa"/>
            <w:vAlign w:val="bottom"/>
            <w:gridSpan w:val="2"/>
          </w:tcPr>
          <w:p>
            <w:pPr>
              <w:spacing w:after="0"/>
              <w:rPr>
                <w:sz w:val="12"/>
                <w:szCs w:val="12"/>
                <w:color w:val="auto"/>
              </w:rPr>
            </w:pPr>
          </w:p>
        </w:tc>
        <w:tc>
          <w:tcPr>
            <w:tcW w:w="2060" w:type="dxa"/>
            <w:vAlign w:val="bottom"/>
            <w:gridSpan w:val="2"/>
          </w:tcPr>
          <w:p>
            <w:pPr>
              <w:jc w:val="right"/>
              <w:ind w:right="1160"/>
              <w:spacing w:after="0" w:line="149" w:lineRule="exact"/>
              <w:rPr>
                <w:sz w:val="20"/>
                <w:szCs w:val="20"/>
                <w:color w:val="auto"/>
              </w:rPr>
            </w:pPr>
            <w:r>
              <w:rPr>
                <w:rFonts w:ascii="Arial" w:cs="Arial" w:eastAsia="Arial" w:hAnsi="Arial"/>
                <w:sz w:val="14"/>
                <w:szCs w:val="14"/>
                <w:color w:val="auto"/>
              </w:rPr>
              <w:t>4</w:t>
            </w:r>
          </w:p>
        </w:tc>
        <w:tc>
          <w:tcPr>
            <w:tcW w:w="1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4080" w:type="dxa"/>
            <w:vAlign w:val="bottom"/>
            <w:gridSpan w:val="2"/>
            <w:shd w:val="clear" w:color="auto" w:fill="CCEEFF"/>
          </w:tcPr>
          <w:p>
            <w:pPr>
              <w:spacing w:after="0"/>
              <w:rPr>
                <w:sz w:val="12"/>
                <w:szCs w:val="12"/>
                <w:color w:val="auto"/>
              </w:rPr>
            </w:pPr>
          </w:p>
        </w:tc>
        <w:tc>
          <w:tcPr>
            <w:tcW w:w="2060" w:type="dxa"/>
            <w:vAlign w:val="bottom"/>
            <w:gridSpan w:val="2"/>
            <w:shd w:val="clear" w:color="auto" w:fill="CCEEFF"/>
          </w:tcPr>
          <w:p>
            <w:pPr>
              <w:jc w:val="right"/>
              <w:ind w:right="1040"/>
              <w:spacing w:after="0" w:line="149" w:lineRule="exact"/>
              <w:rPr>
                <w:sz w:val="20"/>
                <w:szCs w:val="20"/>
                <w:color w:val="auto"/>
              </w:rPr>
            </w:pPr>
            <w:r>
              <w:rPr>
                <w:rFonts w:ascii="Arial" w:cs="Arial" w:eastAsia="Arial" w:hAnsi="Arial"/>
                <w:sz w:val="14"/>
                <w:szCs w:val="14"/>
                <w:color w:val="auto"/>
              </w:rPr>
              <w:t>100%</w:t>
            </w:r>
          </w:p>
        </w:tc>
        <w:tc>
          <w:tcPr>
            <w:tcW w:w="1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80" w:type="dxa"/>
            <w:vAlign w:val="bottom"/>
            <w:vMerge w:val="restart"/>
          </w:tcPr>
          <w:p>
            <w:pPr>
              <w:jc w:val="right"/>
              <w:ind w:right="1252"/>
              <w:spacing w:after="0"/>
              <w:rPr>
                <w:sz w:val="20"/>
                <w:szCs w:val="20"/>
                <w:color w:val="auto"/>
              </w:rPr>
            </w:pPr>
            <w:r>
              <w:rPr>
                <w:rFonts w:ascii="Arial" w:cs="Arial" w:eastAsia="Arial" w:hAnsi="Arial"/>
                <w:sz w:val="14"/>
                <w:szCs w:val="14"/>
                <w:color w:val="auto"/>
              </w:rPr>
              <w:t>57</w:t>
            </w:r>
          </w:p>
        </w:tc>
        <w:tc>
          <w:tcPr>
            <w:tcW w:w="1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w:t>
      </w:r>
    </w:p>
    <w:p>
      <w:pPr>
        <w:spacing w:after="0" w:line="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Our business and affairs are managed under the direction of our board of directors. The board of directors currently consists of five members,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of Directors</w:t>
      </w:r>
    </w:p>
    <w:p>
      <w:pPr>
        <w:spacing w:after="0" w:line="71"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Information regarding the board of directors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Director</w:t>
            </w:r>
          </w:p>
        </w:tc>
        <w:tc>
          <w:tcPr>
            <w:tcW w:w="840" w:type="dxa"/>
            <w:vAlign w:val="bottom"/>
          </w:tcPr>
          <w:p>
            <w:pPr>
              <w:jc w:val="right"/>
              <w:ind w:right="132"/>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75"/>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44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Since</w:t>
            </w: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Independent Directors</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Adam K. Bernstein</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48</w:t>
            </w:r>
          </w:p>
        </w:tc>
        <w:tc>
          <w:tcPr>
            <w:tcW w:w="444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Marshall Brozost</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44</w:t>
            </w:r>
          </w:p>
        </w:tc>
        <w:tc>
          <w:tcPr>
            <w:tcW w:w="44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Jeffrey Flug</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444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Samuel L. Katz</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46</w:t>
            </w:r>
          </w:p>
        </w:tc>
        <w:tc>
          <w:tcPr>
            <w:tcW w:w="44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Interested director</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Arthur H. Penn</w:t>
            </w: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48</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Chairman of the Board and Chief Executive Officer</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 Who is Not a Director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pertains to our executive officer who is not a director of PennantPark Floating Rate Capital Ltd.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536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16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Aviv Efrat</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48</w:t>
            </w:r>
          </w:p>
        </w:tc>
        <w:tc>
          <w:tcPr>
            <w:tcW w:w="10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Chief Financial Officer and Treasurer</w:t>
            </w:r>
          </w:p>
        </w:tc>
      </w:tr>
      <w:tr>
        <w:trPr>
          <w:trHeight w:val="44"/>
        </w:trPr>
        <w:tc>
          <w:tcPr>
            <w:tcW w:w="55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60" w:type="dxa"/>
            <w:vAlign w:val="bottom"/>
            <w:shd w:val="clear" w:color="auto" w:fill="CCEEFF"/>
          </w:tcPr>
          <w:p>
            <w:pPr>
              <w:spacing w:after="0"/>
              <w:rPr>
                <w:sz w:val="3"/>
                <w:szCs w:val="3"/>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Officer Who is Not a Director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pertains to our officer who is not a director of PennantPark Floating Rate Capital Ltd.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2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6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Guy F. Talarico</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56</w:t>
            </w:r>
          </w:p>
        </w:tc>
        <w:tc>
          <w:tcPr>
            <w:tcW w:w="12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Chief Compliance Officer</w:t>
            </w:r>
          </w:p>
        </w:tc>
      </w:tr>
      <w:tr>
        <w:trPr>
          <w:trHeight w:val="44"/>
        </w:trPr>
        <w:tc>
          <w:tcPr>
            <w:tcW w:w="5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6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executive offices are located at 590 Madison Avenue, 15th Floor, New York, New York 10022.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of Directors Composition and Leadership Structure</w:t>
      </w:r>
    </w:p>
    <w:p>
      <w:pPr>
        <w:spacing w:after="0" w:line="69"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1940 Act requires that at least a majority of our directors not be “interested persons” (as defined in the 1940 Act) of the Company. Currently, four of our five directors are Independent Directors; however the Chairman of our board of directors is our Chief Executive Officer and therefore an interested person of us. The Independent Directors believe that the combined positions of our Chief Executive Officer and Chairman of the board of directors results in greater efficiencies in managing us by eliminating the need to transfer substantial information quickly and repeatedly between the Chief Executive Officer and the Chairman and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Administrator, is appropriate in light of the services that the Investment Adviser and the Administrator provides us and the potential conflicts of interest that could arise from these relationships.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of Directors’ Risk Oversight Role</w:t>
      </w:r>
    </w:p>
    <w:p>
      <w:pPr>
        <w:spacing w:after="0" w:line="6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The board of directors performs its risk oversight function primarily through (1) its two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58"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As described below in more detail under “Audit Committee” and “Nominating and Corporate Governance Committee,” the board of directors’ Audit Committee and Nominating and Corporate Governance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Both the Audit Committee and the Nominating and Corporate Governance Committee consist solely of Independent Directors.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80" w:firstLine="456"/>
        <w:spacing w:after="0" w:line="265" w:lineRule="auto"/>
        <w:rPr>
          <w:sz w:val="20"/>
          <w:szCs w:val="20"/>
          <w:color w:val="auto"/>
        </w:rPr>
      </w:pPr>
      <w:r>
        <w:rPr>
          <w:rFonts w:ascii="Arial" w:cs="Arial" w:eastAsia="Arial" w:hAnsi="Arial"/>
          <w:sz w:val="12"/>
          <w:szCs w:val="12"/>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w:t>
      </w:r>
    </w:p>
    <w:p>
      <w:pPr>
        <w:spacing w:after="0" w:line="1" w:lineRule="exact"/>
        <w:rPr>
          <w:sz w:val="20"/>
          <w:szCs w:val="20"/>
          <w:color w:val="auto"/>
        </w:rPr>
      </w:pPr>
    </w:p>
    <w:p>
      <w:pPr>
        <w:jc w:val="both"/>
        <w:ind w:right="80" w:firstLine="8"/>
        <w:spacing w:after="0" w:line="227" w:lineRule="auto"/>
        <w:tabs>
          <w:tab w:leader="none" w:pos="191"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on a periodic basis, generally quarterly.</w:t>
      </w:r>
    </w:p>
    <w:p>
      <w:pPr>
        <w:spacing w:after="0" w:line="58"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We believe that the board of directors’ role in risk oversight is effective and appropriate given the extensive regulation to which we are already subject ro as a BDC. Specifically, as a BDC, we must comply with certain regulatory requirements that control the levels of risk in its business and operations. For example, our ability to incur indebtedness is limited such that its asset coverage must equal at least 200% immediately after each time we incur indebtedness,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36"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We believe that the extent of the board of directors’ and its committees’ roles in risk oversight complements the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the our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36"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believe that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administers their respective risk oversight functions, including through formal annual assessments of, to ensure that they meet our needs.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Biographical Information</w:t>
      </w:r>
    </w:p>
    <w:p>
      <w:pPr>
        <w:spacing w:after="0" w:line="71" w:lineRule="exact"/>
        <w:rPr>
          <w:sz w:val="20"/>
          <w:szCs w:val="20"/>
          <w:color w:val="auto"/>
        </w:rPr>
      </w:pPr>
    </w:p>
    <w:p>
      <w:pPr>
        <w:jc w:val="both"/>
        <w:ind w:right="320" w:firstLine="456"/>
        <w:spacing w:after="0" w:line="288" w:lineRule="auto"/>
        <w:rPr>
          <w:sz w:val="20"/>
          <w:szCs w:val="20"/>
          <w:color w:val="auto"/>
        </w:rPr>
      </w:pPr>
      <w:r>
        <w:rPr>
          <w:rFonts w:ascii="Arial" w:cs="Arial" w:eastAsia="Arial" w:hAnsi="Arial"/>
          <w:sz w:val="12"/>
          <w:szCs w:val="12"/>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section 2(a)(19) of the 1940 Act.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Independent Directors</w:t>
      </w:r>
    </w:p>
    <w:p>
      <w:pPr>
        <w:spacing w:after="0" w:line="69"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Adam K. Bernstein (48), Director. Mr. Bernstein became a Director of PennantPark Floating Rate Capital Ltd. and PennantPark Investment Corporation in October 2010 and February 2007, respectively.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58"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Marshall Brozost (44), Director. Mr. Brozost became a Director of PennantPark Floating Rate Capital Ltd. and PennantPark Investment Corporation in October 2010 and February 2007, respectively. Mr. Brozost is a Partner at Schulte Roth &amp; Zabel, LLP, where he practices in the real estate and private equity groups. Prior to Schulte Roth &amp; Zabel, which began in 2012, Mr. Brozost practiced law at O’Melveny &amp; Myers LLP from 2001 to 2004 and Solomon &amp; Weinberg LLP from 2004 to 2005 and Dewey &amp; LeBoeuf LLP from 2005 to 2012. Mr. Brozost also served as a Vice President of Nomura Asset Capital Corporation from 1997 through 2000.</w:t>
      </w:r>
    </w:p>
    <w:p>
      <w:pPr>
        <w:spacing w:after="0" w:line="58"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Jeffrey Flug (49), Director. Mr. Flug became a Director of PennantPark Floating Rate Capital Ltd. and PennantPark Investment Corporation in October 2010 and February 2007, respectively. Since 2009, Mr. Flug is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36"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Samuel L. Katz (46), Director. Mr. Katz became a Director of PennantPark Floating Rate Capital Ltd. and PennantPark Investment Corporation in October 2010 and February 2007, respectively.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Interested Director</w:t>
      </w:r>
    </w:p>
    <w:p>
      <w:pPr>
        <w:spacing w:after="0" w:line="69"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Arthur H. Penn (48), Founder, Chief Executive Officer and Chairman of the board of directors. Mr. Penn became the Chief Executive Officer and a Director of PennantPark Floating Rate Capital Ltd. and PennantPark Investment Corporation at their inception in October 2010 and January 2007,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Executive Officer and Officer who are not Directors</w:t>
      </w:r>
    </w:p>
    <w:p>
      <w:pPr>
        <w:spacing w:after="0" w:line="69"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Aviv Efrat (48),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36" w:lineRule="exact"/>
        <w:rPr>
          <w:sz w:val="20"/>
          <w:szCs w:val="20"/>
          <w:color w:val="auto"/>
        </w:rPr>
      </w:pPr>
    </w:p>
    <w:p>
      <w:pPr>
        <w:ind w:right="240" w:firstLine="456"/>
        <w:spacing w:after="0" w:line="228" w:lineRule="auto"/>
        <w:rPr>
          <w:sz w:val="20"/>
          <w:szCs w:val="20"/>
          <w:color w:val="auto"/>
        </w:rPr>
      </w:pPr>
      <w:r>
        <w:rPr>
          <w:rFonts w:ascii="Arial" w:cs="Arial" w:eastAsia="Arial" w:hAnsi="Arial"/>
          <w:sz w:val="14"/>
          <w:szCs w:val="14"/>
          <w:color w:val="auto"/>
        </w:rPr>
        <w:t>Guy F. Talarico (56), Chief Compliance Officer. Mr. Talarico became the Chief Compliance Officer of PennantPark Floating Rate Capital Ltd. and PennantPark Investment Corporation in 2011 and 2008, respectively.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Committees of the Board of Directors</w:t>
      </w:r>
    </w:p>
    <w:p>
      <w:pPr>
        <w:spacing w:after="0" w:line="71" w:lineRule="exact"/>
        <w:rPr>
          <w:sz w:val="20"/>
          <w:szCs w:val="20"/>
          <w:color w:val="auto"/>
        </w:rPr>
      </w:pPr>
    </w:p>
    <w:p>
      <w:pPr>
        <w:ind w:right="380" w:firstLine="456"/>
        <w:spacing w:after="0" w:line="233" w:lineRule="auto"/>
        <w:rPr>
          <w:sz w:val="20"/>
          <w:szCs w:val="20"/>
          <w:color w:val="auto"/>
        </w:rPr>
      </w:pPr>
      <w:r>
        <w:rPr>
          <w:rFonts w:ascii="Arial" w:cs="Arial" w:eastAsia="Arial" w:hAnsi="Arial"/>
          <w:sz w:val="14"/>
          <w:szCs w:val="14"/>
          <w:color w:val="auto"/>
        </w:rPr>
        <w:t>For the partial fiscal year ended September 30, 2011, we held four board of directors’ meetings and two Audit Committee meetings. All directors attended at least 75% of the aggregate number of meetings of the board of directors and of the respective committees on which they served. We requires each director to make a diligent effort to attend all board of directors and committee meetings, and encourage directors to attend the annual meeting of stockholders.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w:t>
      </w:r>
    </w:p>
    <w:p>
      <w:pPr>
        <w:spacing w:after="0" w:line="71"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 xml:space="preserve">The members of the Audit Committee are Messrs. Bernstein, Brozost, Flug and Katz, each of whom is independent for purposes of the 1940 Act and the NASDAQ corporate governance rules. Messrs. Flug and Katz serve as Co-Chairman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our auditors the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Nominating and Corporate Governance Committee</w:t>
      </w:r>
    </w:p>
    <w:p>
      <w:pPr>
        <w:spacing w:after="0" w:line="71"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2"/>
          <w:szCs w:val="12"/>
          <w:i w:val="1"/>
          <w:iCs w:val="1"/>
          <w:u w:val="single" w:color="auto"/>
          <w:color w:val="auto"/>
        </w:rPr>
        <w:t>www.pennantpark.com</w:t>
      </w:r>
      <w:r>
        <w:rPr>
          <w:rFonts w:ascii="Arial" w:cs="Arial" w:eastAsia="Arial" w:hAnsi="Arial"/>
          <w:sz w:val="12"/>
          <w:szCs w:val="12"/>
          <w:i w:val="1"/>
          <w:iCs w:val="1"/>
          <w:color w:val="auto"/>
        </w:rPr>
        <w:t>.</w:t>
      </w:r>
    </w:p>
    <w:p>
      <w:pPr>
        <w:spacing w:after="0" w:line="120" w:lineRule="exact"/>
        <w:rPr>
          <w:sz w:val="20"/>
          <w:szCs w:val="20"/>
          <w:color w:val="auto"/>
        </w:rPr>
      </w:pPr>
    </w:p>
    <w:p>
      <w:pPr>
        <w:ind w:right="120" w:firstLine="456"/>
        <w:spacing w:after="0" w:line="270" w:lineRule="auto"/>
        <w:rPr>
          <w:sz w:val="20"/>
          <w:szCs w:val="20"/>
          <w:color w:val="auto"/>
        </w:rPr>
      </w:pPr>
      <w:r>
        <w:rPr>
          <w:rFonts w:ascii="Arial" w:cs="Arial" w:eastAsia="Arial" w:hAnsi="Arial"/>
          <w:sz w:val="12"/>
          <w:szCs w:val="12"/>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Floating Rate Capital Ltd.,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22"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Charters;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69" w:lineRule="exact"/>
        <w:rPr>
          <w:sz w:val="20"/>
          <w:szCs w:val="20"/>
          <w:color w:val="auto"/>
        </w:rPr>
      </w:pPr>
    </w:p>
    <w:p>
      <w:pPr>
        <w:ind w:right="640" w:firstLine="456"/>
        <w:spacing w:after="0" w:line="239" w:lineRule="auto"/>
        <w:rPr>
          <w:sz w:val="20"/>
          <w:szCs w:val="20"/>
          <w:color w:val="auto"/>
        </w:rPr>
      </w:pPr>
      <w:r>
        <w:rPr>
          <w:rFonts w:ascii="Arial" w:cs="Arial" w:eastAsia="Arial" w:hAnsi="Arial"/>
          <w:sz w:val="14"/>
          <w:szCs w:val="14"/>
          <w:color w:val="auto"/>
        </w:rPr>
        <w:t>We do not have a compensation committee because our executive officers do not receive compensation from us. Our board of directors, as a whole, participates in the consideration of director compensation and decisions are based on a review of data of comparable companies, amongst other factors.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of Directors</w:t>
      </w:r>
    </w:p>
    <w:p>
      <w:pPr>
        <w:spacing w:after="0" w:line="6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The following table shows information regarding the compensation paid by the Company, to our directors for the partial fiscal year ended September 30, 2011. No compensation is paid directly by the Company to any interested director or executive officer of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9"/>
              </w:rPr>
              <w:t>PennantPark Floating Rate Capital Ltd.</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6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40" w:type="dxa"/>
            <w:vAlign w:val="bottom"/>
            <w:gridSpan w:val="2"/>
          </w:tcPr>
          <w:p>
            <w:pPr>
              <w:jc w:val="center"/>
              <w:ind w:right="960"/>
              <w:spacing w:after="0" w:line="129" w:lineRule="exact"/>
              <w:rPr>
                <w:sz w:val="20"/>
                <w:szCs w:val="20"/>
                <w:color w:val="auto"/>
              </w:rPr>
            </w:pPr>
            <w:r>
              <w:rPr>
                <w:rFonts w:ascii="Arial" w:cs="Arial" w:eastAsia="Arial" w:hAnsi="Arial"/>
                <w:sz w:val="14"/>
                <w:szCs w:val="14"/>
                <w:b w:val="1"/>
                <w:bCs w:val="1"/>
                <w:color w:val="auto"/>
                <w:w w:val="85"/>
              </w:rPr>
              <w:t>Pension or</w:t>
            </w: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6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Aggregate</w:t>
            </w:r>
          </w:p>
        </w:tc>
        <w:tc>
          <w:tcPr>
            <w:tcW w:w="800" w:type="dxa"/>
            <w:vAlign w:val="bottom"/>
          </w:tcPr>
          <w:p>
            <w:pPr>
              <w:spacing w:after="0"/>
              <w:rPr>
                <w:sz w:val="12"/>
                <w:szCs w:val="12"/>
                <w:color w:val="auto"/>
              </w:rPr>
            </w:pPr>
          </w:p>
        </w:tc>
        <w:tc>
          <w:tcPr>
            <w:tcW w:w="19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0"/>
              </w:rPr>
              <w:t>retirement</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800" w:type="dxa"/>
            <w:vAlign w:val="bottom"/>
          </w:tcPr>
          <w:p>
            <w:pPr>
              <w:spacing w:after="0"/>
              <w:rPr>
                <w:sz w:val="12"/>
                <w:szCs w:val="12"/>
                <w:color w:val="auto"/>
              </w:rPr>
            </w:pPr>
          </w:p>
        </w:tc>
        <w:tc>
          <w:tcPr>
            <w:tcW w:w="19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benefits</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6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from the</w:t>
            </w:r>
          </w:p>
        </w:tc>
        <w:tc>
          <w:tcPr>
            <w:tcW w:w="800" w:type="dxa"/>
            <w:vAlign w:val="bottom"/>
          </w:tcPr>
          <w:p>
            <w:pPr>
              <w:spacing w:after="0"/>
              <w:rPr>
                <w:sz w:val="11"/>
                <w:szCs w:val="11"/>
                <w:color w:val="auto"/>
              </w:rPr>
            </w:pPr>
          </w:p>
        </w:tc>
        <w:tc>
          <w:tcPr>
            <w:tcW w:w="1940" w:type="dxa"/>
            <w:vAlign w:val="bottom"/>
            <w:gridSpan w:val="2"/>
          </w:tcPr>
          <w:p>
            <w:pPr>
              <w:jc w:val="center"/>
              <w:ind w:right="960"/>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9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76"/>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Company</w:t>
            </w:r>
          </w:p>
        </w:tc>
        <w:tc>
          <w:tcPr>
            <w:tcW w:w="800" w:type="dxa"/>
            <w:vAlign w:val="bottom"/>
          </w:tcPr>
          <w:p>
            <w:pPr>
              <w:spacing w:after="0"/>
              <w:rPr>
                <w:sz w:val="15"/>
                <w:szCs w:val="15"/>
                <w:color w:val="auto"/>
              </w:rPr>
            </w:pPr>
          </w:p>
        </w:tc>
        <w:tc>
          <w:tcPr>
            <w:tcW w:w="1940" w:type="dxa"/>
            <w:vAlign w:val="bottom"/>
            <w:gridSpan w:val="2"/>
          </w:tcPr>
          <w:p>
            <w:pPr>
              <w:jc w:val="right"/>
              <w:ind w:right="960"/>
              <w:spacing w:after="0" w:line="176" w:lineRule="exact"/>
              <w:rPr>
                <w:sz w:val="20"/>
                <w:szCs w:val="20"/>
                <w:color w:val="auto"/>
              </w:rPr>
            </w:pPr>
            <w:r>
              <w:rPr>
                <w:rFonts w:ascii="Arial" w:cs="Arial" w:eastAsia="Arial" w:hAnsi="Arial"/>
                <w:sz w:val="13"/>
                <w:szCs w:val="13"/>
                <w:b w:val="1"/>
                <w:bCs w:val="1"/>
                <w:color w:val="auto"/>
                <w:w w:val="88"/>
              </w:rPr>
              <w:t>of our expense</w:t>
            </w:r>
            <w:r>
              <w:rPr>
                <w:rFonts w:ascii="Arial" w:cs="Arial" w:eastAsia="Arial" w:hAnsi="Arial"/>
                <w:sz w:val="20"/>
                <w:szCs w:val="20"/>
                <w:b w:val="1"/>
                <w:bCs w:val="1"/>
                <w:color w:val="auto"/>
                <w:w w:val="88"/>
                <w:vertAlign w:val="superscript"/>
              </w:rPr>
              <w:t>(1)</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6"/>
              </w:rPr>
              <w:t>director/officer</w:t>
            </w:r>
          </w:p>
        </w:tc>
      </w:tr>
      <w:tr>
        <w:trPr>
          <w:trHeight w:val="142"/>
        </w:trPr>
        <w:tc>
          <w:tcPr>
            <w:tcW w:w="6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Independent directors</w:t>
            </w:r>
          </w:p>
        </w:tc>
        <w:tc>
          <w:tcPr>
            <w:tcW w:w="7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6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Adam K. Bernstein</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$30,625</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4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$30,625</w:t>
            </w:r>
          </w:p>
        </w:tc>
        <w:tc>
          <w:tcPr>
            <w:tcW w:w="60" w:type="dxa"/>
            <w:vAlign w:val="bottom"/>
          </w:tcPr>
          <w:p>
            <w:pPr>
              <w:spacing w:after="0"/>
              <w:rPr>
                <w:sz w:val="12"/>
                <w:szCs w:val="12"/>
                <w:color w:val="auto"/>
              </w:rPr>
            </w:pPr>
          </w:p>
        </w:tc>
      </w:tr>
      <w:tr>
        <w:trPr>
          <w:trHeight w:val="149"/>
        </w:trPr>
        <w:tc>
          <w:tcPr>
            <w:tcW w:w="6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Marshall Brozost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$30,625</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$30,625</w:t>
            </w:r>
          </w:p>
        </w:tc>
        <w:tc>
          <w:tcPr>
            <w:tcW w:w="60" w:type="dxa"/>
            <w:vAlign w:val="bottom"/>
            <w:shd w:val="clear" w:color="auto" w:fill="CCEEFF"/>
          </w:tcPr>
          <w:p>
            <w:pPr>
              <w:spacing w:after="0"/>
              <w:rPr>
                <w:sz w:val="12"/>
                <w:szCs w:val="12"/>
                <w:color w:val="auto"/>
              </w:rPr>
            </w:pPr>
          </w:p>
        </w:tc>
      </w:tr>
      <w:tr>
        <w:trPr>
          <w:trHeight w:val="149"/>
        </w:trPr>
        <w:tc>
          <w:tcPr>
            <w:tcW w:w="6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Jeffrey Flug</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$31,875</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4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$31,875</w:t>
            </w:r>
          </w:p>
        </w:tc>
        <w:tc>
          <w:tcPr>
            <w:tcW w:w="60" w:type="dxa"/>
            <w:vAlign w:val="bottom"/>
          </w:tcPr>
          <w:p>
            <w:pPr>
              <w:spacing w:after="0"/>
              <w:rPr>
                <w:sz w:val="12"/>
                <w:szCs w:val="12"/>
                <w:color w:val="auto"/>
              </w:rPr>
            </w:pPr>
          </w:p>
        </w:tc>
      </w:tr>
      <w:tr>
        <w:trPr>
          <w:trHeight w:val="149"/>
        </w:trPr>
        <w:tc>
          <w:tcPr>
            <w:tcW w:w="6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Samuel L. Katz</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$30,625</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$30,625</w:t>
            </w:r>
          </w:p>
        </w:tc>
        <w:tc>
          <w:tcPr>
            <w:tcW w:w="60" w:type="dxa"/>
            <w:vAlign w:val="bottom"/>
            <w:shd w:val="clear" w:color="auto" w:fill="CCEEFF"/>
          </w:tcPr>
          <w:p>
            <w:pPr>
              <w:spacing w:after="0"/>
              <w:rPr>
                <w:sz w:val="12"/>
                <w:szCs w:val="12"/>
                <w:color w:val="auto"/>
              </w:rPr>
            </w:pPr>
          </w:p>
        </w:tc>
      </w:tr>
      <w:tr>
        <w:trPr>
          <w:trHeight w:val="149"/>
        </w:trPr>
        <w:tc>
          <w:tcPr>
            <w:tcW w:w="6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Interested director</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Arthur H. Penn</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None</w:t>
            </w:r>
          </w:p>
        </w:tc>
        <w:tc>
          <w:tcPr>
            <w:tcW w:w="8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None</w:t>
            </w:r>
          </w:p>
        </w:tc>
      </w:tr>
      <w:tr>
        <w:trPr>
          <w:trHeight w:val="149"/>
        </w:trPr>
        <w:tc>
          <w:tcPr>
            <w:tcW w:w="6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Executive officer</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1"/>
                <w:szCs w:val="11"/>
                <w:color w:val="auto"/>
              </w:rPr>
              <w:t>Aviv Efrat</w:t>
            </w:r>
            <w:r>
              <w:rPr>
                <w:rFonts w:ascii="Arial" w:cs="Arial" w:eastAsia="Arial" w:hAnsi="Arial"/>
                <w:sz w:val="17"/>
                <w:szCs w:val="17"/>
                <w:color w:val="auto"/>
                <w:vertAlign w:val="superscript"/>
              </w:rPr>
              <w:t>(2)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None</w:t>
            </w:r>
          </w:p>
        </w:tc>
        <w:tc>
          <w:tcPr>
            <w:tcW w:w="8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752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17"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do not have a profit sharing or retirement plan, and directors do not receive any pension or retirement benefits from us.</w:t>
      </w:r>
    </w:p>
    <w:p>
      <w:pPr>
        <w:ind w:left="460" w:hanging="452"/>
        <w:spacing w:after="0"/>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Efrat is an employee of PennantPark Investment Administration, LLC.</w:t>
      </w:r>
    </w:p>
    <w:p>
      <w:pPr>
        <w:spacing w:after="0" w:line="138" w:lineRule="exact"/>
        <w:rPr>
          <w:sz w:val="20"/>
          <w:szCs w:val="20"/>
          <w:color w:val="auto"/>
        </w:rPr>
      </w:pPr>
    </w:p>
    <w:p>
      <w:pPr>
        <w:ind w:right="120" w:firstLine="342"/>
        <w:spacing w:after="0" w:line="270" w:lineRule="auto"/>
        <w:rPr>
          <w:sz w:val="20"/>
          <w:szCs w:val="20"/>
          <w:color w:val="auto"/>
        </w:rPr>
      </w:pPr>
      <w:r>
        <w:rPr>
          <w:rFonts w:ascii="Arial" w:cs="Arial" w:eastAsia="Arial" w:hAnsi="Arial"/>
          <w:sz w:val="12"/>
          <w:szCs w:val="12"/>
          <w:color w:val="auto"/>
        </w:rPr>
        <w:t>Each Independent Director receives an annual payment of $50,000 for services performed on behalf of us as a director. The Independent Directors also receive $1,250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Portfolio Managers, or Senior Investment Professionals, Biographical Information.</w:t>
      </w:r>
    </w:p>
    <w:p>
      <w:pPr>
        <w:spacing w:after="0" w:line="6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Our Investment Adviser has three experienced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22"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2"/>
          <w:szCs w:val="12"/>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1"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3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ectPr>
          <w:pgSz w:w="11900" w:h="16838" w:orient="portrait"/>
          <w:cols w:equalWidth="0" w:num="1">
            <w:col w:w="11420"/>
          </w:cols>
          <w:pgMar w:left="240" w:top="459" w:right="239" w:bottom="1440" w:gutter="0" w:footer="0" w:header="0"/>
        </w:sectPr>
      </w:pP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to managing our investments, as of March 31, 2012 our portfolio managers also managed investments on behalf of the following entity:</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ind w:left="40"/>
              <w:spacing w:after="0"/>
              <w:rPr>
                <w:sz w:val="20"/>
                <w:szCs w:val="20"/>
                <w:color w:val="auto"/>
              </w:rPr>
            </w:pPr>
            <w:r>
              <w:rPr>
                <w:rFonts w:ascii="Arial" w:cs="Arial" w:eastAsia="Arial" w:hAnsi="Arial"/>
                <w:sz w:val="14"/>
                <w:szCs w:val="14"/>
                <w:b w:val="1"/>
                <w:bCs w:val="1"/>
                <w:color w:val="auto"/>
              </w:rPr>
              <w:t>Entity</w:t>
            </w:r>
          </w:p>
        </w:tc>
        <w:tc>
          <w:tcPr>
            <w:tcW w:w="120" w:type="dxa"/>
            <w:vAlign w:val="bottom"/>
          </w:tcPr>
          <w:p>
            <w:pPr>
              <w:spacing w:after="0"/>
              <w:rPr>
                <w:sz w:val="15"/>
                <w:szCs w:val="15"/>
                <w:color w:val="auto"/>
              </w:rPr>
            </w:pPr>
          </w:p>
        </w:tc>
        <w:tc>
          <w:tcPr>
            <w:tcW w:w="5820" w:type="dxa"/>
            <w:vAlign w:val="bottom"/>
          </w:tcPr>
          <w:p>
            <w:pPr>
              <w:jc w:val="right"/>
              <w:ind w:right="4712"/>
              <w:spacing w:after="0"/>
              <w:rPr>
                <w:sz w:val="20"/>
                <w:szCs w:val="20"/>
                <w:color w:val="auto"/>
              </w:rPr>
            </w:pPr>
            <w:r>
              <w:rPr>
                <w:rFonts w:ascii="Arial" w:cs="Arial" w:eastAsia="Arial" w:hAnsi="Arial"/>
                <w:sz w:val="14"/>
                <w:szCs w:val="14"/>
                <w:b w:val="1"/>
                <w:bCs w:val="1"/>
                <w:color w:val="auto"/>
                <w:w w:val="85"/>
              </w:rPr>
              <w:t>Investment Focus</w:t>
            </w:r>
          </w:p>
        </w:tc>
        <w:tc>
          <w:tcPr>
            <w:tcW w:w="0" w:type="dxa"/>
            <w:vAlign w:val="bottom"/>
          </w:tcPr>
          <w:p>
            <w:pPr>
              <w:spacing w:after="0"/>
              <w:rPr>
                <w:sz w:val="1"/>
                <w:szCs w:val="1"/>
                <w:color w:val="auto"/>
              </w:rPr>
            </w:pPr>
          </w:p>
        </w:tc>
      </w:tr>
      <w:tr>
        <w:trPr>
          <w:trHeight w:val="28"/>
        </w:trPr>
        <w:tc>
          <w:tcPr>
            <w:tcW w:w="31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00" w:type="dxa"/>
            <w:vAlign w:val="bottom"/>
          </w:tcPr>
          <w:p>
            <w:pPr>
              <w:ind w:left="40"/>
              <w:spacing w:after="0" w:line="131" w:lineRule="exact"/>
              <w:rPr>
                <w:sz w:val="20"/>
                <w:szCs w:val="20"/>
                <w:color w:val="auto"/>
              </w:rPr>
            </w:pPr>
            <w:r>
              <w:rPr>
                <w:rFonts w:ascii="Arial" w:cs="Arial" w:eastAsia="Arial" w:hAnsi="Arial"/>
                <w:sz w:val="10"/>
                <w:szCs w:val="10"/>
                <w:color w:val="auto"/>
              </w:rPr>
              <w:t>PennantPark Investment Corporation</w:t>
            </w:r>
            <w:r>
              <w:rPr>
                <w:rFonts w:ascii="Arial" w:cs="Arial" w:eastAsia="Arial" w:hAnsi="Arial"/>
                <w:sz w:val="15"/>
                <w:szCs w:val="15"/>
                <w:color w:val="auto"/>
                <w:vertAlign w:val="superscript"/>
              </w:rPr>
              <w:t>(1)</w:t>
            </w:r>
          </w:p>
        </w:tc>
        <w:tc>
          <w:tcPr>
            <w:tcW w:w="100" w:type="dxa"/>
            <w:vAlign w:val="bottom"/>
            <w:vMerge w:val="continue"/>
          </w:tcPr>
          <w:p>
            <w:pPr>
              <w:spacing w:after="0"/>
              <w:rPr>
                <w:sz w:val="11"/>
                <w:szCs w:val="11"/>
                <w:color w:val="auto"/>
              </w:rPr>
            </w:pPr>
          </w:p>
        </w:tc>
        <w:tc>
          <w:tcPr>
            <w:tcW w:w="1260" w:type="dxa"/>
            <w:vAlign w:val="bottom"/>
          </w:tcPr>
          <w:p>
            <w:pPr>
              <w:ind w:left="40"/>
              <w:spacing w:after="0" w:line="131" w:lineRule="exact"/>
              <w:rPr>
                <w:sz w:val="20"/>
                <w:szCs w:val="20"/>
                <w:color w:val="auto"/>
              </w:rPr>
            </w:pPr>
            <w:r>
              <w:rPr>
                <w:rFonts w:ascii="Arial" w:cs="Arial" w:eastAsia="Arial" w:hAnsi="Arial"/>
                <w:sz w:val="14"/>
                <w:szCs w:val="14"/>
                <w:color w:val="auto"/>
                <w:w w:val="85"/>
              </w:rPr>
              <w:t>Business development</w:t>
            </w:r>
          </w:p>
        </w:tc>
        <w:tc>
          <w:tcPr>
            <w:tcW w:w="120" w:type="dxa"/>
            <w:vAlign w:val="bottom"/>
          </w:tcPr>
          <w:p>
            <w:pPr>
              <w:spacing w:after="0"/>
              <w:rPr>
                <w:sz w:val="11"/>
                <w:szCs w:val="11"/>
                <w:color w:val="auto"/>
              </w:rPr>
            </w:pPr>
          </w:p>
        </w:tc>
        <w:tc>
          <w:tcPr>
            <w:tcW w:w="5820" w:type="dxa"/>
            <w:vAlign w:val="bottom"/>
          </w:tcPr>
          <w:p>
            <w:pPr>
              <w:jc w:val="right"/>
              <w:ind w:right="272"/>
              <w:spacing w:after="0" w:line="131" w:lineRule="exact"/>
              <w:rPr>
                <w:sz w:val="20"/>
                <w:szCs w:val="20"/>
                <w:color w:val="auto"/>
              </w:rPr>
            </w:pPr>
            <w:r>
              <w:rPr>
                <w:rFonts w:ascii="Arial" w:cs="Arial" w:eastAsia="Arial" w:hAnsi="Arial"/>
                <w:sz w:val="14"/>
                <w:szCs w:val="14"/>
                <w:color w:val="auto"/>
                <w:w w:val="88"/>
              </w:rPr>
              <w:t>Primarily in U.S. middle-market companies in the form of senior secured loans, mezzanine debt and</w:t>
            </w: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Arial" w:cs="Arial" w:eastAsia="Arial" w:hAnsi="Arial"/>
                <w:sz w:val="14"/>
                <w:szCs w:val="14"/>
                <w:color w:val="auto"/>
              </w:rPr>
              <w:t>company</w:t>
            </w:r>
          </w:p>
        </w:tc>
        <w:tc>
          <w:tcPr>
            <w:tcW w:w="5940" w:type="dxa"/>
            <w:vAlign w:val="bottom"/>
            <w:gridSpan w:val="2"/>
          </w:tcPr>
          <w:p>
            <w:pPr>
              <w:jc w:val="right"/>
              <w:ind w:right="4712"/>
              <w:spacing w:after="0"/>
              <w:rPr>
                <w:sz w:val="20"/>
                <w:szCs w:val="20"/>
                <w:color w:val="auto"/>
              </w:rPr>
            </w:pPr>
            <w:r>
              <w:rPr>
                <w:rFonts w:ascii="Arial" w:cs="Arial" w:eastAsia="Arial" w:hAnsi="Arial"/>
                <w:sz w:val="14"/>
                <w:szCs w:val="14"/>
                <w:color w:val="auto"/>
                <w:w w:val="95"/>
              </w:rPr>
              <w:t>equity investments.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1974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59" w:lineRule="exact"/>
        <w:rPr>
          <w:sz w:val="20"/>
          <w:szCs w:val="20"/>
          <w:color w:val="auto"/>
        </w:rPr>
      </w:pPr>
    </w:p>
    <w:p>
      <w:pPr>
        <w:ind w:left="5640" w:right="1260" w:hanging="5632"/>
        <w:spacing w:after="0" w:line="459" w:lineRule="auto"/>
        <w:tabs>
          <w:tab w:leader="none" w:pos="218"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management and incentive fees for PennantPark Investment Corporation are based on the gross assets and performance of PennantPark Investment Corporation. 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both"/>
        <w:ind w:right="80" w:firstLine="37"/>
        <w:spacing w:after="0" w:line="306" w:lineRule="auto"/>
        <w:rPr>
          <w:sz w:val="20"/>
          <w:szCs w:val="20"/>
          <w:color w:val="auto"/>
        </w:rPr>
      </w:pPr>
      <w:r>
        <w:rPr>
          <w:rFonts w:ascii="Arial" w:cs="Arial" w:eastAsia="Arial" w:hAnsi="Arial"/>
          <w:sz w:val="11"/>
          <w:szCs w:val="11"/>
          <w:b w:val="1"/>
          <w:bCs w:val="1"/>
          <w:color w:val="auto"/>
        </w:rPr>
        <w:t>Gross Assets ($ in millions)</w:t>
      </w:r>
    </w:p>
    <w:p>
      <w:pPr>
        <w:ind w:left="480"/>
        <w:spacing w:after="0"/>
        <w:rPr>
          <w:sz w:val="20"/>
          <w:szCs w:val="20"/>
          <w:color w:val="auto"/>
        </w:rPr>
      </w:pPr>
      <w:r>
        <w:rPr>
          <w:rFonts w:ascii="Arial" w:cs="Arial" w:eastAsia="Arial" w:hAnsi="Arial"/>
          <w:sz w:val="12"/>
          <w:szCs w:val="12"/>
          <w:color w:val="auto"/>
        </w:rPr>
        <w:t>$936</w:t>
      </w:r>
    </w:p>
    <w:p>
      <w:pPr>
        <w:sectPr>
          <w:pgSz w:w="11900" w:h="16838" w:orient="portrait"/>
          <w:cols w:equalWidth="0" w:num="2">
            <w:col w:w="10400" w:space="160"/>
            <w:col w:w="86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CONTROL PERSONS AND PRINCIPAL STOCKHOLDERS</w:t>
      </w:r>
    </w:p>
    <w:p>
      <w:pPr>
        <w:spacing w:after="0" w:line="152"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following table sets forth, as of July 24, 2012,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right"/>
              <w:ind w:right="472"/>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20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22"/>
                <w:szCs w:val="22"/>
                <w:b w:val="1"/>
                <w:bCs w:val="1"/>
                <w:color w:val="auto"/>
                <w:vertAlign w:val="superscript"/>
              </w:rPr>
              <w:t>(2)</w:t>
            </w:r>
          </w:p>
        </w:tc>
        <w:tc>
          <w:tcPr>
            <w:tcW w:w="1940" w:type="dxa"/>
            <w:vAlign w:val="bottom"/>
            <w:gridSpan w:val="2"/>
          </w:tcPr>
          <w:p>
            <w:pPr>
              <w:ind w:left="700"/>
              <w:spacing w:after="0" w:line="149" w:lineRule="exact"/>
              <w:rPr>
                <w:sz w:val="20"/>
                <w:szCs w:val="20"/>
                <w:color w:val="auto"/>
              </w:rPr>
            </w:pPr>
            <w:r>
              <w:rPr>
                <w:rFonts w:ascii="Arial" w:cs="Arial" w:eastAsia="Arial" w:hAnsi="Arial"/>
                <w:sz w:val="14"/>
                <w:szCs w:val="14"/>
                <w:b w:val="1"/>
                <w:bCs w:val="1"/>
                <w:color w:val="auto"/>
              </w:rPr>
              <w:t>Shares</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02"/>
        </w:trPr>
        <w:tc>
          <w:tcPr>
            <w:tcW w:w="5620" w:type="dxa"/>
            <w:vAlign w:val="bottom"/>
            <w:gridSpan w:val="3"/>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940" w:type="dxa"/>
            <w:vAlign w:val="bottom"/>
            <w:gridSpan w:val="2"/>
          </w:tcPr>
          <w:p>
            <w:pPr>
              <w:ind w:left="720"/>
              <w:spacing w:after="0"/>
              <w:rPr>
                <w:sz w:val="20"/>
                <w:szCs w:val="20"/>
                <w:color w:val="auto"/>
              </w:rPr>
            </w:pPr>
            <w:r>
              <w:rPr>
                <w:rFonts w:ascii="Arial" w:cs="Arial" w:eastAsia="Arial" w:hAnsi="Arial"/>
                <w:sz w:val="14"/>
                <w:szCs w:val="14"/>
                <w:b w:val="1"/>
                <w:bCs w:val="1"/>
                <w:color w:val="auto"/>
              </w:rPr>
              <w:t>owned</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Morgan Stanley and Co. Inc.</w:t>
            </w:r>
          </w:p>
        </w:tc>
        <w:tc>
          <w:tcPr>
            <w:tcW w:w="12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1585 Broadway</w:t>
            </w:r>
          </w:p>
        </w:tc>
        <w:tc>
          <w:tcPr>
            <w:tcW w:w="204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447,729</w:t>
            </w:r>
          </w:p>
        </w:tc>
        <w:tc>
          <w:tcPr>
            <w:tcW w:w="12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New York, NY 10036-8293</w:t>
            </w:r>
          </w:p>
        </w:tc>
        <w:tc>
          <w:tcPr>
            <w:tcW w:w="1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00" w:type="dxa"/>
            <w:vAlign w:val="bottom"/>
            <w:gridSpan w:val="2"/>
          </w:tcPr>
          <w:p>
            <w:pPr>
              <w:spacing w:after="0" w:line="138" w:lineRule="exact"/>
              <w:rPr>
                <w:sz w:val="20"/>
                <w:szCs w:val="20"/>
                <w:color w:val="auto"/>
              </w:rPr>
            </w:pPr>
            <w:r>
              <w:rPr>
                <w:rFonts w:ascii="Arial" w:cs="Arial" w:eastAsia="Arial" w:hAnsi="Arial"/>
                <w:sz w:val="14"/>
                <w:szCs w:val="14"/>
                <w:color w:val="auto"/>
              </w:rPr>
              <w:t>Sherleigh Associates</w:t>
            </w:r>
          </w:p>
        </w:tc>
        <w:tc>
          <w:tcPr>
            <w:tcW w:w="2040" w:type="dxa"/>
            <w:vAlign w:val="bottom"/>
            <w:gridSpan w:val="2"/>
            <w:vMerge w:val="restart"/>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vMerge w:val="restart"/>
          </w:tcPr>
          <w:p>
            <w:pPr>
              <w:jc w:val="right"/>
              <w:spacing w:after="0"/>
              <w:rPr>
                <w:sz w:val="20"/>
                <w:szCs w:val="20"/>
                <w:color w:val="auto"/>
              </w:rPr>
            </w:pPr>
            <w:r>
              <w:rPr>
                <w:rFonts w:ascii="Arial" w:cs="Arial" w:eastAsia="Arial" w:hAnsi="Arial"/>
                <w:sz w:val="14"/>
                <w:szCs w:val="14"/>
                <w:color w:val="auto"/>
              </w:rPr>
              <w:t>354,893</w:t>
            </w:r>
          </w:p>
        </w:tc>
        <w:tc>
          <w:tcPr>
            <w:tcW w:w="120" w:type="dxa"/>
            <w:vAlign w:val="bottom"/>
          </w:tcPr>
          <w:p>
            <w:pPr>
              <w:spacing w:after="0"/>
              <w:rPr>
                <w:sz w:val="11"/>
                <w:szCs w:val="11"/>
                <w:color w:val="auto"/>
              </w:rPr>
            </w:pPr>
          </w:p>
        </w:tc>
        <w:tc>
          <w:tcPr>
            <w:tcW w:w="1820" w:type="dxa"/>
            <w:vAlign w:val="bottom"/>
            <w:vMerge w:val="restart"/>
          </w:tcPr>
          <w:p>
            <w:pPr>
              <w:jc w:val="right"/>
              <w:ind w:right="72"/>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18"/>
        </w:trPr>
        <w:tc>
          <w:tcPr>
            <w:tcW w:w="5620" w:type="dxa"/>
            <w:vAlign w:val="bottom"/>
            <w:gridSpan w:val="3"/>
            <w:vMerge w:val="restart"/>
          </w:tcPr>
          <w:p>
            <w:pPr>
              <w:spacing w:after="0"/>
              <w:rPr>
                <w:sz w:val="20"/>
                <w:szCs w:val="20"/>
                <w:color w:val="auto"/>
              </w:rPr>
            </w:pPr>
            <w:r>
              <w:rPr>
                <w:rFonts w:ascii="Arial" w:cs="Arial" w:eastAsia="Arial" w:hAnsi="Arial"/>
                <w:sz w:val="14"/>
                <w:szCs w:val="14"/>
                <w:color w:val="auto"/>
              </w:rPr>
              <w:t>Profit Sharing Plan</w:t>
            </w:r>
          </w:p>
        </w:tc>
        <w:tc>
          <w:tcPr>
            <w:tcW w:w="2040" w:type="dxa"/>
            <w:vAlign w:val="bottom"/>
            <w:gridSpan w:val="2"/>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5620" w:type="dxa"/>
            <w:vAlign w:val="bottom"/>
            <w:gridSpan w:val="3"/>
            <w:vMerge w:val="continue"/>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Independent Directors</w:t>
            </w: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gridSpan w:val="2"/>
          </w:tcPr>
          <w:p>
            <w:pPr>
              <w:ind w:left="420"/>
              <w:spacing w:after="0"/>
              <w:rPr>
                <w:sz w:val="20"/>
                <w:szCs w:val="20"/>
                <w:color w:val="auto"/>
              </w:rPr>
            </w:pPr>
            <w:r>
              <w:rPr>
                <w:rFonts w:ascii="Arial" w:cs="Arial" w:eastAsia="Arial" w:hAnsi="Arial"/>
                <w:sz w:val="14"/>
                <w:szCs w:val="14"/>
                <w:color w:val="auto"/>
              </w:rPr>
              <w:t>Adam K. Bernstein</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Marshall Brozost</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gridSpan w:val="2"/>
          </w:tcPr>
          <w:p>
            <w:pPr>
              <w:ind w:left="420"/>
              <w:spacing w:after="0"/>
              <w:rPr>
                <w:sz w:val="20"/>
                <w:szCs w:val="20"/>
                <w:color w:val="auto"/>
              </w:rPr>
            </w:pPr>
            <w:r>
              <w:rPr>
                <w:rFonts w:ascii="Arial" w:cs="Arial" w:eastAsia="Arial" w:hAnsi="Arial"/>
                <w:sz w:val="14"/>
                <w:szCs w:val="14"/>
                <w:color w:val="auto"/>
              </w:rPr>
              <w:t>Jeffrey Flug</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Samuel L. Katz</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29,500</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Interested director</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gridSpan w:val="2"/>
            <w:shd w:val="clear" w:color="auto" w:fill="CCEEFF"/>
          </w:tcPr>
          <w:p>
            <w:pPr>
              <w:ind w:left="420"/>
              <w:spacing w:after="0" w:line="197" w:lineRule="exact"/>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(3),(4)</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Aviv Efrat</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5,750</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0" w:type="dxa"/>
            <w:vAlign w:val="bottom"/>
            <w:gridSpan w:val="2"/>
          </w:tcPr>
          <w:p>
            <w:pPr>
              <w:spacing w:after="0"/>
              <w:rPr>
                <w:sz w:val="20"/>
                <w:szCs w:val="20"/>
                <w:color w:val="auto"/>
              </w:rPr>
            </w:pPr>
            <w:r>
              <w:rPr>
                <w:rFonts w:ascii="Arial" w:cs="Arial" w:eastAsia="Arial" w:hAnsi="Arial"/>
                <w:sz w:val="14"/>
                <w:szCs w:val="14"/>
                <w:color w:val="auto"/>
              </w:rPr>
              <w:t>All directors and executive officer as a group (6 persons)</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40,917</w:t>
            </w:r>
          </w:p>
        </w:tc>
        <w:tc>
          <w:tcPr>
            <w:tcW w:w="1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5176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address for each officer and director is c/o PennantPark Floating Rate Capital Ltd., 590 Madison Avenue, 15th Floor, New York, New York 10022.</w:t>
      </w:r>
    </w:p>
    <w:p>
      <w:pPr>
        <w:ind w:left="420" w:hanging="412"/>
        <w:spacing w:after="0" w:line="221" w:lineRule="auto"/>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Sole Voting Power.</w:t>
      </w:r>
    </w:p>
    <w:p>
      <w:pPr>
        <w:ind w:left="420" w:hanging="4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Mr. Penn is the Managing Member of PennantPark Investment Advisers, LLC and may therefore be deemed to own beneficially the 667 shares held by PennantPark Investment Advisers, LLC.</w:t>
      </w:r>
    </w:p>
    <w:p>
      <w:pPr>
        <w:spacing w:after="0" w:line="10" w:lineRule="exact"/>
        <w:rPr>
          <w:rFonts w:ascii="Arial" w:cs="Arial" w:eastAsia="Arial" w:hAnsi="Arial"/>
          <w:sz w:val="12"/>
          <w:szCs w:val="12"/>
          <w:color w:val="auto"/>
        </w:rPr>
      </w:pPr>
    </w:p>
    <w:p>
      <w:pPr>
        <w:ind w:left="420" w:right="100" w:hanging="412"/>
        <w:spacing w:after="0" w:line="225" w:lineRule="auto"/>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Investment Adviser paid to the Company’s underwriters 2% of the sales load, or $2.1 million in the aggregate, with respect to the initial public offering and exercise of the over-allotment option of shares of the Company’s common stock. PennantPark Floating Rate Capital, Ltd., and indirectly our stockholders, is obligated to repay this amount if certain conditions occur. If one or more of these conditions does not occur on or before April 7, 2014, we will not be obligated to repay this amount. We will repay such amount to the Investment Adviser in cash, and the Investment Adviser has agreed to use such payment to purchase shares of common stock of the Company in the secondary market.</w:t>
      </w:r>
    </w:p>
    <w:p>
      <w:pPr>
        <w:spacing w:after="0" w:line="46"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Dollar Range of Securities Beneficially Owned by Directors, Officers and Senior Investment Professionals</w:t>
      </w:r>
    </w:p>
    <w:p>
      <w:pPr>
        <w:spacing w:after="0" w:line="150" w:lineRule="exact"/>
        <w:rPr>
          <w:sz w:val="20"/>
          <w:szCs w:val="20"/>
          <w:color w:val="auto"/>
        </w:rPr>
      </w:pPr>
    </w:p>
    <w:p>
      <w:pPr>
        <w:ind w:right="220" w:firstLine="456"/>
        <w:spacing w:after="0" w:line="318" w:lineRule="auto"/>
        <w:rPr>
          <w:sz w:val="20"/>
          <w:szCs w:val="20"/>
          <w:color w:val="auto"/>
        </w:rPr>
      </w:pPr>
      <w:r>
        <w:rPr>
          <w:rFonts w:ascii="Arial" w:cs="Arial" w:eastAsia="Arial" w:hAnsi="Arial"/>
          <w:sz w:val="12"/>
          <w:szCs w:val="12"/>
          <w:color w:val="auto"/>
        </w:rPr>
        <w:t>The following table sets forth the dollar range of our common stock beneficially owned by each of our directors, officers and senior investment professionals as of July 24, 2012. Information as to the beneficial ownerships is based on information furnished to us by such persons. We are not part of a “family of investment companies,” as that term is defined in the 1940 Act.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Directors</w:t>
            </w:r>
          </w:p>
        </w:tc>
        <w:tc>
          <w:tcPr>
            <w:tcW w:w="600" w:type="dxa"/>
            <w:vAlign w:val="bottom"/>
          </w:tcPr>
          <w:p>
            <w:pPr>
              <w:spacing w:after="0"/>
              <w:rPr>
                <w:sz w:val="22"/>
                <w:szCs w:val="22"/>
                <w:color w:val="auto"/>
              </w:rPr>
            </w:pPr>
          </w:p>
        </w:tc>
        <w:tc>
          <w:tcPr>
            <w:tcW w:w="4320" w:type="dxa"/>
            <w:vAlign w:val="bottom"/>
            <w:gridSpan w:val="7"/>
          </w:tcPr>
          <w:p>
            <w:pPr>
              <w:jc w:val="right"/>
              <w:ind w:right="412"/>
              <w:spacing w:after="0"/>
              <w:rPr>
                <w:sz w:val="20"/>
                <w:szCs w:val="20"/>
                <w:color w:val="auto"/>
              </w:rPr>
            </w:pPr>
            <w:r>
              <w:rPr>
                <w:rFonts w:ascii="Arial" w:cs="Arial" w:eastAsia="Arial" w:hAnsi="Arial"/>
                <w:sz w:val="14"/>
                <w:szCs w:val="14"/>
                <w:b w:val="1"/>
                <w:bCs w:val="1"/>
                <w:color w:val="auto"/>
              </w:rPr>
              <w:t>Dollar Range of the Common Stock of each Company</w:t>
            </w:r>
            <w:r>
              <w:rPr>
                <w:rFonts w:ascii="Arial" w:cs="Arial" w:eastAsia="Arial" w:hAnsi="Arial"/>
                <w:sz w:val="22"/>
                <w:szCs w:val="22"/>
                <w:b w:val="1"/>
                <w:bCs w:val="1"/>
                <w:color w:val="auto"/>
                <w:vertAlign w:val="superscript"/>
              </w:rPr>
              <w:t>(1)</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220" w:type="dxa"/>
            <w:vAlign w:val="bottom"/>
          </w:tcPr>
          <w:p>
            <w:pPr>
              <w:spacing w:after="0"/>
              <w:rPr>
                <w:sz w:val="11"/>
                <w:szCs w:val="11"/>
                <w:color w:val="auto"/>
              </w:rPr>
            </w:pPr>
          </w:p>
        </w:tc>
        <w:tc>
          <w:tcPr>
            <w:tcW w:w="1840" w:type="dxa"/>
            <w:vAlign w:val="bottom"/>
            <w:tcBorders>
              <w:top w:val="single" w:sz="8" w:color="auto"/>
            </w:tcBorders>
            <w:gridSpan w:val="3"/>
          </w:tcPr>
          <w:p>
            <w:pPr>
              <w:jc w:val="center"/>
              <w:ind w:right="540"/>
              <w:spacing w:after="0" w:line="136" w:lineRule="exact"/>
              <w:rPr>
                <w:sz w:val="20"/>
                <w:szCs w:val="20"/>
                <w:color w:val="auto"/>
              </w:rPr>
            </w:pPr>
            <w:r>
              <w:rPr>
                <w:rFonts w:ascii="Arial" w:cs="Arial" w:eastAsia="Arial" w:hAnsi="Arial"/>
                <w:sz w:val="14"/>
                <w:szCs w:val="14"/>
                <w:b w:val="1"/>
                <w:bCs w:val="1"/>
                <w:color w:val="auto"/>
                <w:w w:val="87"/>
              </w:rPr>
              <w:t>PennantPark Floating</w:t>
            </w:r>
          </w:p>
        </w:tc>
        <w:tc>
          <w:tcPr>
            <w:tcW w:w="2000" w:type="dxa"/>
            <w:vAlign w:val="bottom"/>
            <w:tcBorders>
              <w:top w:val="single" w:sz="8" w:color="auto"/>
            </w:tcBorders>
            <w:gridSpan w:val="4"/>
          </w:tcPr>
          <w:p>
            <w:pPr>
              <w:jc w:val="center"/>
              <w:ind w:right="560"/>
              <w:spacing w:after="0" w:line="136" w:lineRule="exact"/>
              <w:rPr>
                <w:sz w:val="20"/>
                <w:szCs w:val="20"/>
                <w:color w:val="auto"/>
              </w:rPr>
            </w:pPr>
            <w:r>
              <w:rPr>
                <w:rFonts w:ascii="Arial" w:cs="Arial" w:eastAsia="Arial" w:hAnsi="Arial"/>
                <w:sz w:val="14"/>
                <w:szCs w:val="14"/>
                <w:b w:val="1"/>
                <w:bCs w:val="1"/>
                <w:color w:val="auto"/>
                <w:w w:val="88"/>
              </w:rPr>
              <w:t>PennantPark Investment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Independent Directors</w:t>
            </w:r>
          </w:p>
        </w:tc>
        <w:tc>
          <w:tcPr>
            <w:tcW w:w="18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Rate Capital Ltd.</w:t>
            </w:r>
          </w:p>
        </w:tc>
        <w:tc>
          <w:tcPr>
            <w:tcW w:w="20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9"/>
              </w:rPr>
              <w:t>Corporation</w:t>
            </w:r>
          </w:p>
        </w:tc>
        <w:tc>
          <w:tcPr>
            <w:tcW w:w="108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top w:val="single" w:sz="8" w:color="CCEEFF"/>
            </w:tcBorders>
            <w:gridSpan w:val="2"/>
            <w:shd w:val="clear" w:color="auto" w:fill="CCEEFF"/>
          </w:tcPr>
          <w:p>
            <w:pPr>
              <w:ind w:left="420"/>
              <w:spacing w:after="0" w:line="142" w:lineRule="exact"/>
              <w:rPr>
                <w:sz w:val="20"/>
                <w:szCs w:val="20"/>
                <w:color w:val="auto"/>
              </w:rPr>
            </w:pPr>
            <w:r>
              <w:rPr>
                <w:rFonts w:ascii="Arial" w:cs="Arial" w:eastAsia="Arial" w:hAnsi="Arial"/>
                <w:sz w:val="11"/>
                <w:szCs w:val="11"/>
                <w:color w:val="auto"/>
              </w:rPr>
              <w:t>Adam K. Bernstein</w:t>
            </w:r>
            <w:r>
              <w:rPr>
                <w:rFonts w:ascii="Arial" w:cs="Arial" w:eastAsia="Arial" w:hAnsi="Arial"/>
                <w:sz w:val="16"/>
                <w:szCs w:val="16"/>
                <w:color w:val="auto"/>
                <w:vertAlign w:val="superscript"/>
              </w:rPr>
              <w:t>(2)</w:t>
            </w:r>
          </w:p>
        </w:tc>
        <w:tc>
          <w:tcPr>
            <w:tcW w:w="1300" w:type="dxa"/>
            <w:vAlign w:val="bottom"/>
            <w:tcBorders>
              <w:top w:val="single" w:sz="8" w:color="auto"/>
            </w:tcBorders>
            <w:gridSpan w:val="2"/>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$ 50,001 - $ 100,000</w:t>
            </w:r>
          </w:p>
        </w:tc>
        <w:tc>
          <w:tcPr>
            <w:tcW w:w="5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$500,001 - $</w:t>
            </w:r>
          </w:p>
        </w:tc>
        <w:tc>
          <w:tcPr>
            <w:tcW w:w="66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86"/>
              </w:rPr>
              <w:t>1,000,000</w:t>
            </w:r>
          </w:p>
        </w:tc>
        <w:tc>
          <w:tcPr>
            <w:tcW w:w="54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auto"/>
            </w:tcBorders>
            <w:gridSpan w:val="2"/>
            <w:shd w:val="clear" w:color="auto" w:fill="CCEEFF"/>
          </w:tcPr>
          <w:p>
            <w:pPr>
              <w:jc w:val="right"/>
              <w:ind w:right="372"/>
              <w:spacing w:after="0" w:line="142" w:lineRule="exact"/>
              <w:rPr>
                <w:sz w:val="20"/>
                <w:szCs w:val="20"/>
                <w:color w:val="auto"/>
              </w:rPr>
            </w:pPr>
            <w:r>
              <w:rPr>
                <w:rFonts w:ascii="Arial" w:cs="Arial" w:eastAsia="Arial" w:hAnsi="Arial"/>
                <w:sz w:val="14"/>
                <w:szCs w:val="14"/>
                <w:color w:val="auto"/>
              </w:rPr>
              <w:t>Over $1,000,000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Marshall Brozost</w:t>
            </w:r>
          </w:p>
        </w:tc>
        <w:tc>
          <w:tcPr>
            <w:tcW w:w="1840" w:type="dxa"/>
            <w:vAlign w:val="bottom"/>
            <w:gridSpan w:val="3"/>
          </w:tcPr>
          <w:p>
            <w:pPr>
              <w:jc w:val="center"/>
              <w:ind w:right="540"/>
              <w:spacing w:after="0" w:line="149" w:lineRule="exact"/>
              <w:rPr>
                <w:sz w:val="20"/>
                <w:szCs w:val="20"/>
                <w:color w:val="auto"/>
              </w:rPr>
            </w:pPr>
            <w:r>
              <w:rPr>
                <w:rFonts w:ascii="Arial" w:cs="Arial" w:eastAsia="Arial" w:hAnsi="Arial"/>
                <w:sz w:val="14"/>
                <w:szCs w:val="14"/>
                <w:color w:val="auto"/>
                <w:w w:val="89"/>
              </w:rPr>
              <w:t>None</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$100,001 - $</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500,000</w:t>
            </w:r>
          </w:p>
        </w:tc>
        <w:tc>
          <w:tcPr>
            <w:tcW w:w="540" w:type="dxa"/>
            <w:vAlign w:val="bottom"/>
          </w:tcPr>
          <w:p>
            <w:pPr>
              <w:spacing w:after="0"/>
              <w:rPr>
                <w:sz w:val="12"/>
                <w:szCs w:val="12"/>
                <w:color w:val="auto"/>
              </w:rPr>
            </w:pPr>
          </w:p>
        </w:tc>
        <w:tc>
          <w:tcPr>
            <w:tcW w:w="18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$100,001 - $  500,000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Jeffrey Flug</w:t>
            </w:r>
          </w:p>
        </w:tc>
        <w:tc>
          <w:tcPr>
            <w:tcW w:w="1840" w:type="dxa"/>
            <w:vAlign w:val="bottom"/>
            <w:gridSpan w:val="3"/>
            <w:shd w:val="clear" w:color="auto" w:fill="CCEEFF"/>
          </w:tcPr>
          <w:p>
            <w:pPr>
              <w:jc w:val="center"/>
              <w:ind w:right="540"/>
              <w:spacing w:after="0" w:line="149" w:lineRule="exact"/>
              <w:rPr>
                <w:sz w:val="20"/>
                <w:szCs w:val="20"/>
                <w:color w:val="auto"/>
              </w:rPr>
            </w:pPr>
            <w:r>
              <w:rPr>
                <w:rFonts w:ascii="Arial" w:cs="Arial" w:eastAsia="Arial" w:hAnsi="Arial"/>
                <w:sz w:val="14"/>
                <w:szCs w:val="14"/>
                <w:color w:val="auto"/>
                <w:w w:val="89"/>
              </w:rPr>
              <w:t>None</w:t>
            </w:r>
          </w:p>
        </w:tc>
        <w:tc>
          <w:tcPr>
            <w:tcW w:w="2000" w:type="dxa"/>
            <w:vAlign w:val="bottom"/>
            <w:gridSpan w:val="4"/>
            <w:shd w:val="clear" w:color="auto" w:fill="CCEEFF"/>
          </w:tcPr>
          <w:p>
            <w:pPr>
              <w:jc w:val="center"/>
              <w:ind w:right="540"/>
              <w:spacing w:after="0" w:line="149" w:lineRule="exact"/>
              <w:rPr>
                <w:sz w:val="20"/>
                <w:szCs w:val="20"/>
                <w:color w:val="auto"/>
              </w:rPr>
            </w:pPr>
            <w:r>
              <w:rPr>
                <w:rFonts w:ascii="Arial" w:cs="Arial" w:eastAsia="Arial" w:hAnsi="Arial"/>
                <w:sz w:val="14"/>
                <w:szCs w:val="14"/>
                <w:color w:val="auto"/>
                <w:w w:val="86"/>
              </w:rPr>
              <w:t>Over $1,000,000</w:t>
            </w:r>
          </w:p>
        </w:tc>
        <w:tc>
          <w:tcPr>
            <w:tcW w:w="1800" w:type="dxa"/>
            <w:vAlign w:val="bottom"/>
            <w:gridSpan w:val="2"/>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Over $1,000,000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gridSpan w:val="2"/>
          </w:tcPr>
          <w:p>
            <w:pPr>
              <w:ind w:left="420"/>
              <w:spacing w:after="0"/>
              <w:rPr>
                <w:sz w:val="20"/>
                <w:szCs w:val="20"/>
                <w:color w:val="auto"/>
              </w:rPr>
            </w:pPr>
            <w:r>
              <w:rPr>
                <w:rFonts w:ascii="Arial" w:cs="Arial" w:eastAsia="Arial" w:hAnsi="Arial"/>
                <w:sz w:val="14"/>
                <w:szCs w:val="14"/>
                <w:color w:val="auto"/>
              </w:rPr>
              <w:t>Samuel L. Katz</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88"/>
              </w:rPr>
              <w:t>$ 100,001-$ 500,000</w:t>
            </w:r>
          </w:p>
        </w:tc>
        <w:tc>
          <w:tcPr>
            <w:tcW w:w="540" w:type="dxa"/>
            <w:vAlign w:val="bottom"/>
          </w:tcPr>
          <w:p>
            <w:pPr>
              <w:spacing w:after="0"/>
              <w:rPr>
                <w:sz w:val="14"/>
                <w:szCs w:val="14"/>
                <w:color w:val="auto"/>
              </w:rPr>
            </w:pPr>
          </w:p>
        </w:tc>
        <w:tc>
          <w:tcPr>
            <w:tcW w:w="2000" w:type="dxa"/>
            <w:vAlign w:val="bottom"/>
            <w:gridSpan w:val="4"/>
          </w:tcPr>
          <w:p>
            <w:pPr>
              <w:jc w:val="center"/>
              <w:ind w:right="540"/>
              <w:spacing w:after="0"/>
              <w:rPr>
                <w:sz w:val="20"/>
                <w:szCs w:val="20"/>
                <w:color w:val="auto"/>
              </w:rPr>
            </w:pPr>
            <w:r>
              <w:rPr>
                <w:rFonts w:ascii="Arial" w:cs="Arial" w:eastAsia="Arial" w:hAnsi="Arial"/>
                <w:sz w:val="14"/>
                <w:szCs w:val="14"/>
                <w:color w:val="auto"/>
                <w:w w:val="86"/>
              </w:rPr>
              <w:t>Over $1,000,000</w:t>
            </w:r>
          </w:p>
        </w:tc>
        <w:tc>
          <w:tcPr>
            <w:tcW w:w="1800" w:type="dxa"/>
            <w:vAlign w:val="bottom"/>
            <w:gridSpan w:val="2"/>
          </w:tcPr>
          <w:p>
            <w:pPr>
              <w:jc w:val="right"/>
              <w:ind w:right="372"/>
              <w:spacing w:after="0"/>
              <w:rPr>
                <w:sz w:val="20"/>
                <w:szCs w:val="20"/>
                <w:color w:val="auto"/>
              </w:rPr>
            </w:pPr>
            <w:r>
              <w:rPr>
                <w:rFonts w:ascii="Arial" w:cs="Arial" w:eastAsia="Arial" w:hAnsi="Arial"/>
                <w:sz w:val="14"/>
                <w:szCs w:val="14"/>
                <w:color w:val="auto"/>
              </w:rPr>
              <w:t>Over $1,000,000</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5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Interested director</w:t>
            </w: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60" w:type="dxa"/>
            <w:vAlign w:val="bottom"/>
            <w:gridSpan w:val="2"/>
          </w:tcPr>
          <w:p>
            <w:pPr>
              <w:ind w:left="420"/>
              <w:spacing w:after="0"/>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(3),(4)</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88"/>
              </w:rPr>
              <w:t>$1 - $10,000</w:t>
            </w:r>
          </w:p>
        </w:tc>
        <w:tc>
          <w:tcPr>
            <w:tcW w:w="540" w:type="dxa"/>
            <w:vAlign w:val="bottom"/>
          </w:tcPr>
          <w:p>
            <w:pPr>
              <w:spacing w:after="0"/>
              <w:rPr>
                <w:sz w:val="22"/>
                <w:szCs w:val="22"/>
                <w:color w:val="auto"/>
              </w:rPr>
            </w:pPr>
          </w:p>
        </w:tc>
        <w:tc>
          <w:tcPr>
            <w:tcW w:w="2000" w:type="dxa"/>
            <w:vAlign w:val="bottom"/>
            <w:gridSpan w:val="4"/>
          </w:tcPr>
          <w:p>
            <w:pPr>
              <w:jc w:val="center"/>
              <w:ind w:right="540"/>
              <w:spacing w:after="0"/>
              <w:rPr>
                <w:sz w:val="20"/>
                <w:szCs w:val="20"/>
                <w:color w:val="auto"/>
              </w:rPr>
            </w:pPr>
            <w:r>
              <w:rPr>
                <w:rFonts w:ascii="Arial" w:cs="Arial" w:eastAsia="Arial" w:hAnsi="Arial"/>
                <w:sz w:val="14"/>
                <w:szCs w:val="14"/>
                <w:color w:val="auto"/>
                <w:w w:val="86"/>
              </w:rPr>
              <w:t>Over $1,000,000</w:t>
            </w:r>
          </w:p>
        </w:tc>
        <w:tc>
          <w:tcPr>
            <w:tcW w:w="1800" w:type="dxa"/>
            <w:vAlign w:val="bottom"/>
            <w:gridSpan w:val="2"/>
          </w:tcPr>
          <w:p>
            <w:pPr>
              <w:jc w:val="right"/>
              <w:ind w:right="372"/>
              <w:spacing w:after="0"/>
              <w:rPr>
                <w:sz w:val="20"/>
                <w:szCs w:val="20"/>
                <w:color w:val="auto"/>
              </w:rPr>
            </w:pPr>
            <w:r>
              <w:rPr>
                <w:rFonts w:ascii="Arial" w:cs="Arial" w:eastAsia="Arial" w:hAnsi="Arial"/>
                <w:sz w:val="14"/>
                <w:szCs w:val="14"/>
                <w:color w:val="auto"/>
              </w:rPr>
              <w:t>Over $1,000,000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Executive Officer</w:t>
            </w: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gridSpan w:val="2"/>
          </w:tcPr>
          <w:p>
            <w:pPr>
              <w:ind w:left="420"/>
              <w:spacing w:after="0"/>
              <w:rPr>
                <w:sz w:val="20"/>
                <w:szCs w:val="20"/>
                <w:color w:val="auto"/>
              </w:rPr>
            </w:pPr>
            <w:r>
              <w:rPr>
                <w:rFonts w:ascii="Arial" w:cs="Arial" w:eastAsia="Arial" w:hAnsi="Arial"/>
                <w:sz w:val="14"/>
                <w:szCs w:val="14"/>
                <w:color w:val="auto"/>
              </w:rPr>
              <w:t>Aviv Efrat</w:t>
            </w:r>
          </w:p>
        </w:tc>
        <w:tc>
          <w:tcPr>
            <w:tcW w:w="600" w:type="dxa"/>
            <w:vAlign w:val="bottom"/>
          </w:tcPr>
          <w:p>
            <w:pPr>
              <w:jc w:val="right"/>
              <w:spacing w:after="0"/>
              <w:rPr>
                <w:sz w:val="20"/>
                <w:szCs w:val="20"/>
                <w:color w:val="auto"/>
              </w:rPr>
            </w:pPr>
            <w:r>
              <w:rPr>
                <w:rFonts w:ascii="Arial" w:cs="Arial" w:eastAsia="Arial" w:hAnsi="Arial"/>
                <w:sz w:val="14"/>
                <w:szCs w:val="14"/>
                <w:color w:val="auto"/>
              </w:rPr>
              <w:t>$ 50,001</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w w:val="84"/>
              </w:rPr>
              <w:t>- $ 100,000</w:t>
            </w:r>
          </w:p>
        </w:tc>
        <w:tc>
          <w:tcPr>
            <w:tcW w:w="5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9"/>
              </w:rPr>
              <w:t>$100,001</w:t>
            </w:r>
          </w:p>
        </w:tc>
        <w:tc>
          <w:tcPr>
            <w:tcW w:w="180" w:type="dxa"/>
            <w:vAlign w:val="bottom"/>
          </w:tcPr>
          <w:p>
            <w:pPr>
              <w:jc w:val="right"/>
              <w:spacing w:after="0"/>
              <w:rPr>
                <w:sz w:val="20"/>
                <w:szCs w:val="20"/>
                <w:color w:val="auto"/>
              </w:rPr>
            </w:pPr>
            <w:r>
              <w:rPr>
                <w:rFonts w:ascii="Arial" w:cs="Arial" w:eastAsia="Arial" w:hAnsi="Arial"/>
                <w:sz w:val="14"/>
                <w:szCs w:val="14"/>
                <w:color w:val="auto"/>
                <w:w w:val="85"/>
              </w:rPr>
              <w:t>- $</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500,000</w:t>
            </w:r>
          </w:p>
        </w:tc>
        <w:tc>
          <w:tcPr>
            <w:tcW w:w="540" w:type="dxa"/>
            <w:vAlign w:val="bottom"/>
          </w:tcPr>
          <w:p>
            <w:pPr>
              <w:spacing w:after="0"/>
              <w:rPr>
                <w:sz w:val="14"/>
                <w:szCs w:val="14"/>
                <w:color w:val="auto"/>
              </w:rPr>
            </w:pPr>
          </w:p>
        </w:tc>
        <w:tc>
          <w:tcPr>
            <w:tcW w:w="1800" w:type="dxa"/>
            <w:vAlign w:val="bottom"/>
            <w:gridSpan w:val="2"/>
          </w:tcPr>
          <w:p>
            <w:pPr>
              <w:jc w:val="right"/>
              <w:ind w:right="192"/>
              <w:spacing w:after="0"/>
              <w:rPr>
                <w:sz w:val="20"/>
                <w:szCs w:val="20"/>
                <w:color w:val="auto"/>
              </w:rPr>
            </w:pPr>
            <w:r>
              <w:rPr>
                <w:rFonts w:ascii="Arial" w:cs="Arial" w:eastAsia="Arial" w:hAnsi="Arial"/>
                <w:sz w:val="14"/>
                <w:szCs w:val="14"/>
                <w:color w:val="auto"/>
              </w:rPr>
              <w:t>$500,001 - $ 1,000,000</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5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Investment Professionals</w:t>
            </w: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Jose A. Briones</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5"/>
              </w:rPr>
              <w:t>$100,001</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4"/>
              </w:rPr>
              <w:t>- $ 500,000</w:t>
            </w:r>
          </w:p>
        </w:tc>
        <w:tc>
          <w:tcPr>
            <w:tcW w:w="5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9"/>
              </w:rPr>
              <w:t>$100,001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85"/>
              </w:rPr>
              <w:t>- $</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500,000</w:t>
            </w:r>
          </w:p>
        </w:tc>
        <w:tc>
          <w:tcPr>
            <w:tcW w:w="54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$100,001 - $</w:t>
            </w:r>
          </w:p>
        </w:tc>
        <w:tc>
          <w:tcPr>
            <w:tcW w:w="72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86"/>
              </w:rPr>
              <w:t>500,000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Salvatore Giannetti III</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$100,001</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4"/>
              </w:rPr>
              <w:t>- $ 500,000</w:t>
            </w: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$100,001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w:t>
            </w:r>
          </w:p>
        </w:tc>
        <w:tc>
          <w:tcPr>
            <w:tcW w:w="6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500,000</w:t>
            </w: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$100,001 - $</w:t>
            </w:r>
          </w:p>
        </w:tc>
        <w:tc>
          <w:tcPr>
            <w:tcW w:w="7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86"/>
              </w:rPr>
              <w:t>500,000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gridSpan w:val="2"/>
          </w:tcPr>
          <w:p>
            <w:pPr>
              <w:ind w:left="420"/>
              <w:spacing w:after="0"/>
              <w:rPr>
                <w:sz w:val="20"/>
                <w:szCs w:val="20"/>
                <w:color w:val="auto"/>
              </w:rPr>
            </w:pPr>
            <w:r>
              <w:rPr>
                <w:rFonts w:ascii="Arial" w:cs="Arial" w:eastAsia="Arial" w:hAnsi="Arial"/>
                <w:sz w:val="14"/>
                <w:szCs w:val="14"/>
                <w:color w:val="auto"/>
              </w:rPr>
              <w:t>P. Whitridge Williams, Jr.</w:t>
            </w:r>
          </w:p>
        </w:tc>
        <w:tc>
          <w:tcPr>
            <w:tcW w:w="600" w:type="dxa"/>
            <w:vAlign w:val="bottom"/>
          </w:tcPr>
          <w:p>
            <w:pPr>
              <w:jc w:val="right"/>
              <w:spacing w:after="0"/>
              <w:rPr>
                <w:sz w:val="20"/>
                <w:szCs w:val="20"/>
                <w:color w:val="auto"/>
              </w:rPr>
            </w:pPr>
            <w:r>
              <w:rPr>
                <w:rFonts w:ascii="Arial" w:cs="Arial" w:eastAsia="Arial" w:hAnsi="Arial"/>
                <w:sz w:val="14"/>
                <w:szCs w:val="14"/>
                <w:color w:val="auto"/>
                <w:w w:val="95"/>
              </w:rPr>
              <w:t>$100,001</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w w:val="84"/>
              </w:rPr>
              <w:t>- $ 500,000</w:t>
            </w:r>
          </w:p>
        </w:tc>
        <w:tc>
          <w:tcPr>
            <w:tcW w:w="5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9"/>
              </w:rPr>
              <w:t>$500,001</w:t>
            </w:r>
          </w:p>
        </w:tc>
        <w:tc>
          <w:tcPr>
            <w:tcW w:w="180" w:type="dxa"/>
            <w:vAlign w:val="bottom"/>
          </w:tcPr>
          <w:p>
            <w:pPr>
              <w:jc w:val="right"/>
              <w:spacing w:after="0"/>
              <w:rPr>
                <w:sz w:val="20"/>
                <w:szCs w:val="20"/>
                <w:color w:val="auto"/>
              </w:rPr>
            </w:pPr>
            <w:r>
              <w:rPr>
                <w:rFonts w:ascii="Arial" w:cs="Arial" w:eastAsia="Arial" w:hAnsi="Arial"/>
                <w:sz w:val="14"/>
                <w:szCs w:val="14"/>
                <w:color w:val="auto"/>
                <w:w w:val="85"/>
              </w:rPr>
              <w:t>- $</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w w:val="86"/>
              </w:rPr>
              <w:t>1,000,000</w:t>
            </w:r>
          </w:p>
        </w:tc>
        <w:tc>
          <w:tcPr>
            <w:tcW w:w="540" w:type="dxa"/>
            <w:vAlign w:val="bottom"/>
          </w:tcPr>
          <w:p>
            <w:pPr>
              <w:spacing w:after="0"/>
              <w:rPr>
                <w:sz w:val="14"/>
                <w:szCs w:val="14"/>
                <w:color w:val="auto"/>
              </w:rPr>
            </w:pPr>
          </w:p>
        </w:tc>
        <w:tc>
          <w:tcPr>
            <w:tcW w:w="1800" w:type="dxa"/>
            <w:vAlign w:val="bottom"/>
            <w:gridSpan w:val="2"/>
          </w:tcPr>
          <w:p>
            <w:pPr>
              <w:jc w:val="right"/>
              <w:ind w:right="192"/>
              <w:spacing w:after="0"/>
              <w:rPr>
                <w:sz w:val="20"/>
                <w:szCs w:val="20"/>
                <w:color w:val="auto"/>
              </w:rPr>
            </w:pPr>
            <w:r>
              <w:rPr>
                <w:rFonts w:ascii="Arial" w:cs="Arial" w:eastAsia="Arial" w:hAnsi="Arial"/>
                <w:sz w:val="14"/>
                <w:szCs w:val="14"/>
                <w:color w:val="auto"/>
              </w:rPr>
              <w:t>$500,001 - $ 1,000,000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23152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7"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$100,001-$500,000; $500,001-$1,000,000; or over $1,000,000.</w:t>
      </w:r>
    </w:p>
    <w:p>
      <w:pPr>
        <w:ind w:left="220" w:hanging="212"/>
        <w:spacing w:after="0" w:line="221" w:lineRule="auto"/>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Also reflects holdings of JAM Investments, LLC.</w:t>
      </w:r>
    </w:p>
    <w:p>
      <w:pPr>
        <w:ind w:left="220" w:hanging="212"/>
        <w:spacing w:after="0" w:line="221" w:lineRule="auto"/>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Also reflects holdings of PennantPark Investment Advisers, LLC.</w:t>
      </w:r>
    </w:p>
    <w:p>
      <w:pPr>
        <w:ind w:left="220" w:hanging="212"/>
        <w:spacing w:after="0" w:line="225" w:lineRule="auto"/>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Investment Adviser paid to the Company’s underwriters 2% of the sales load, or $2.1 million in the aggregate, with respect to the initial public offering and exercise of the over-allotment option of shares of the Company’s common stock. PennantPark Floating Rate Capital, Ltd., and indirectly our stockholders, is obligated to repay this amount if certain conditions occur. If one or more of these conditions does not occur on or before April 7, 2014, we will not be obligated to repay this amount. We will repay such amount to the Investment Adviser in cash, and the Investment Adviser has agreed to use such payment to purchase shares of common stock of the Company in the secondary market.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CERTAIN RELATIONSHIPS AND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Management Agreement</w:t>
      </w:r>
    </w:p>
    <w:p>
      <w:pPr>
        <w:spacing w:after="0" w:line="71" w:lineRule="exact"/>
        <w:rPr>
          <w:sz w:val="20"/>
          <w:szCs w:val="20"/>
          <w:color w:val="auto"/>
        </w:rPr>
      </w:pPr>
    </w:p>
    <w:p>
      <w:pPr>
        <w:jc w:val="both"/>
        <w:ind w:right="60" w:firstLine="456"/>
        <w:spacing w:after="0" w:line="273" w:lineRule="auto"/>
        <w:rPr>
          <w:sz w:val="20"/>
          <w:szCs w:val="20"/>
          <w:color w:val="auto"/>
        </w:rPr>
      </w:pPr>
      <w:r>
        <w:rPr>
          <w:rFonts w:ascii="Arial" w:cs="Arial" w:eastAsia="Arial" w:hAnsi="Arial"/>
          <w:sz w:val="12"/>
          <w:szCs w:val="12"/>
          <w:color w:val="auto"/>
        </w:rPr>
        <w:t>PennantPark Floating Rate Capital Ltd. has entered into the Investment Management Agreement with the Investment Adviser under which the Investment Adviser, subject to the overall supervision of Company’s board of directors, manages the day-to-day operations of and provides investment advisory services to the Company. Mr. Penn, our Chairman and Chief Executive Officer, is the managing member and a senior investment professional of, and has a financial and controlling interests in PennantPark Investment Advisers. The Company, through the Investment Adviser, manages day-to-day operations of and provides investment advisory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39" w:lineRule="exact"/>
        <w:rPr>
          <w:sz w:val="20"/>
          <w:szCs w:val="20"/>
          <w:color w:val="auto"/>
        </w:rPr>
      </w:pPr>
    </w:p>
    <w:p>
      <w:pPr>
        <w:ind w:left="540" w:hanging="316"/>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closes and monitors the investments we make.</w:t>
      </w:r>
    </w:p>
    <w:p>
      <w:pPr>
        <w:spacing w:after="0" w:line="150"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us, consisting of two components-a base management fee and an incentive fee, collectively, Management Fees.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 Fees</w:t>
      </w:r>
    </w:p>
    <w:p>
      <w:pPr>
        <w:spacing w:after="0" w:line="69" w:lineRule="exact"/>
        <w:rPr>
          <w:sz w:val="20"/>
          <w:szCs w:val="20"/>
          <w:color w:val="auto"/>
        </w:rPr>
      </w:pPr>
    </w:p>
    <w:p>
      <w:pPr>
        <w:ind w:right="60" w:firstLine="456"/>
        <w:spacing w:after="0" w:line="265" w:lineRule="auto"/>
        <w:rPr>
          <w:sz w:val="20"/>
          <w:szCs w:val="20"/>
          <w:color w:val="auto"/>
        </w:rPr>
      </w:pPr>
      <w:r>
        <w:rPr>
          <w:rFonts w:ascii="Arial" w:cs="Arial" w:eastAsia="Arial" w:hAnsi="Arial"/>
          <w:sz w:val="12"/>
          <w:szCs w:val="12"/>
          <w:color w:val="auto"/>
        </w:rPr>
        <w:t>The base management fee is calculated at an annual rate of 1.00% of our gross assets (net of U.S. Treasury Bills, temporary draws under any Credit Facility and/or repurchase agreements or other balance sheet transactions undertaken at the end of a fiscal quarter for purposes of preserving investment flexibility for the next quarter, or “average adjusted gross assets”, if any (see example below))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PennantPark Investment Advisers, however, has waived the portion of the base management fee payable on any net proceeds of the initial public offering that were not invested in portfolio investments, inclusive of any temporary investments in cash, cash equivalents, U.S. government securities and other high-quality investment grade debt investments that mature in 12 months or less from the date of investment. For the three and six months ended March 31, 2012, and for the period March 4, 2011 (commencement of operations) to September 30, 2011, the Investment Adviser earned base management fees of $0.4 million, $0.7 million and $0.4 million, respectively, from us.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is a hypothetical example of the calculation of average adjusted gross assets: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Gross assets as of December 31, 2011 = $160 million</w:t>
      </w:r>
    </w:p>
    <w:p>
      <w:pPr>
        <w:ind w:left="460"/>
        <w:spacing w:after="0" w:line="221" w:lineRule="auto"/>
        <w:rPr>
          <w:sz w:val="20"/>
          <w:szCs w:val="20"/>
          <w:color w:val="auto"/>
        </w:rPr>
      </w:pPr>
      <w:r>
        <w:rPr>
          <w:rFonts w:ascii="Arial" w:cs="Arial" w:eastAsia="Arial" w:hAnsi="Arial"/>
          <w:sz w:val="14"/>
          <w:szCs w:val="14"/>
          <w:color w:val="auto"/>
        </w:rPr>
        <w:t>U.S. Treasury bills and temporary draws on credit facilities as of December 31, 2011 = $10 million</w:t>
      </w:r>
    </w:p>
    <w:p>
      <w:pPr>
        <w:ind w:left="460"/>
        <w:spacing w:after="0"/>
        <w:rPr>
          <w:sz w:val="20"/>
          <w:szCs w:val="20"/>
          <w:color w:val="auto"/>
        </w:rPr>
      </w:pPr>
      <w:r>
        <w:rPr>
          <w:rFonts w:ascii="Arial" w:cs="Arial" w:eastAsia="Arial" w:hAnsi="Arial"/>
          <w:sz w:val="14"/>
          <w:szCs w:val="14"/>
          <w:color w:val="auto"/>
        </w:rPr>
        <w:t>Adjusted gross assets as of December 31, 2011 = $150 million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Gross assets as of March 31, 2012 = $200 million</w:t>
      </w:r>
    </w:p>
    <w:p>
      <w:pPr>
        <w:ind w:left="460"/>
        <w:spacing w:after="0" w:line="221" w:lineRule="auto"/>
        <w:rPr>
          <w:sz w:val="20"/>
          <w:szCs w:val="20"/>
          <w:color w:val="auto"/>
        </w:rPr>
      </w:pPr>
      <w:r>
        <w:rPr>
          <w:rFonts w:ascii="Arial" w:cs="Arial" w:eastAsia="Arial" w:hAnsi="Arial"/>
          <w:sz w:val="14"/>
          <w:szCs w:val="14"/>
          <w:color w:val="auto"/>
        </w:rPr>
        <w:t>U.S. Treasury bills and temporary draws on credit facilities as of March 31, 2012 = $20 million</w:t>
      </w:r>
    </w:p>
    <w:p>
      <w:pPr>
        <w:ind w:left="460"/>
        <w:spacing w:after="0"/>
        <w:rPr>
          <w:sz w:val="20"/>
          <w:szCs w:val="20"/>
          <w:color w:val="auto"/>
        </w:rPr>
      </w:pPr>
      <w:r>
        <w:rPr>
          <w:rFonts w:ascii="Arial" w:cs="Arial" w:eastAsia="Arial" w:hAnsi="Arial"/>
          <w:sz w:val="14"/>
          <w:szCs w:val="14"/>
          <w:color w:val="auto"/>
        </w:rPr>
        <w:t>Adjusted gross assets as of March 31, 2012 = $180 million</w:t>
      </w:r>
    </w:p>
    <w:p>
      <w:pPr>
        <w:spacing w:after="0" w:line="138" w:lineRule="exact"/>
        <w:rPr>
          <w:sz w:val="20"/>
          <w:szCs w:val="20"/>
          <w:color w:val="auto"/>
        </w:rPr>
      </w:pPr>
    </w:p>
    <w:p>
      <w:pPr>
        <w:ind w:left="460" w:right="40"/>
        <w:spacing w:after="0" w:line="239" w:lineRule="auto"/>
        <w:rPr>
          <w:sz w:val="20"/>
          <w:szCs w:val="20"/>
          <w:color w:val="auto"/>
        </w:rPr>
      </w:pPr>
      <w:r>
        <w:rPr>
          <w:rFonts w:ascii="Arial" w:cs="Arial" w:eastAsia="Arial" w:hAnsi="Arial"/>
          <w:sz w:val="14"/>
          <w:szCs w:val="14"/>
          <w:color w:val="auto"/>
        </w:rPr>
        <w:t>Average value of adjusted gross assets as of March 31, 2012 at the end of the two most recently completed calendar quarters, and appropriately adjusted for any share issuances or repurchases during the current calendar quarter = ($150 million + $180 million) / 2 = $165 million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ind w:right="20" w:firstLine="456"/>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three and six months ended March 31, 2012, resulted in an accrual of less than $0.1 million.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following is a graphical representation of calculation of quarterly incentive fee based on Net Investment Income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3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222885</wp:posOffset>
            </wp:positionV>
            <wp:extent cx="2195195" cy="394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9519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Percentage of pre-incentive fee net investment income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allocated to income-related portion of incentive fee</w:t>
      </w:r>
    </w:p>
    <w:p>
      <w:pPr>
        <w:spacing w:after="0" w:line="138"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These calculations will be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the Investment Adviser with respect to Pre-Incentive Fee Net Investment Income.</w:t>
      </w:r>
    </w:p>
    <w:p>
      <w:pPr>
        <w:spacing w:after="0" w:line="11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provided that, the incentive fee determined as of March 31, 2012 was calculated for a period of shorter than twelve calendar months to take into account any realized capital gains computed net of all realized capital losses and unrealized capital depreciation from our inception. The performance based incentive fee on capital gains due to our Investment Adviser as calculated under the Investment Management Agreement (as described above) for the three and six months ended March 31, 2012 and for the period from March 4, 2011 (commencement of operations) to September 30, 2011 resulted in no accrual.</w:t>
      </w:r>
    </w:p>
    <w:p>
      <w:pPr>
        <w:spacing w:after="0" w:line="122" w:lineRule="exact"/>
        <w:rPr>
          <w:sz w:val="20"/>
          <w:szCs w:val="20"/>
          <w:color w:val="auto"/>
        </w:rPr>
      </w:pPr>
    </w:p>
    <w:p>
      <w:pPr>
        <w:ind w:firstLine="456"/>
        <w:spacing w:after="0" w:line="267" w:lineRule="auto"/>
        <w:rPr>
          <w:sz w:val="20"/>
          <w:szCs w:val="20"/>
          <w:color w:val="auto"/>
        </w:rPr>
      </w:pPr>
      <w:r>
        <w:rPr>
          <w:rFonts w:ascii="Arial" w:cs="Arial" w:eastAsia="Arial" w:hAnsi="Arial"/>
          <w:sz w:val="12"/>
          <w:szCs w:val="12"/>
          <w:color w:val="auto"/>
        </w:rPr>
        <w:t>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capital gains due to our Investment Adviser as calculated under GAAP and the Investment Management Agreement (as described above) for the three and six months ended March 31, 2012 resulted in an accrual of $0.1 million. For the period from March 4, 2011 (commencement of operations) to September 30, 2011, our unrealized and realized capital gains did not exceed our cumulative realized and unrealized losses and resulted in no accrual under GAAP.</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 (including interest, distributions, fees, etc.) = 1.25%</w:t>
      </w:r>
    </w:p>
    <w:p>
      <w:pPr>
        <w:ind w:left="460"/>
        <w:spacing w:after="0" w:line="180" w:lineRule="auto"/>
        <w:rPr>
          <w:sz w:val="20"/>
          <w:szCs w:val="20"/>
          <w:color w:val="auto"/>
        </w:rPr>
      </w:pPr>
      <w:r>
        <w:rPr>
          <w:rFonts w:ascii="Arial" w:cs="Arial" w:eastAsia="Arial" w:hAnsi="Arial"/>
          <w:sz w:val="13"/>
          <w:szCs w:val="13"/>
          <w:color w:val="auto"/>
        </w:rPr>
        <w:t>Hurdle</w:t>
      </w:r>
      <w:r>
        <w:rPr>
          <w:rFonts w:ascii="Arial" w:cs="Arial" w:eastAsia="Arial" w:hAnsi="Arial"/>
          <w:sz w:val="21"/>
          <w:szCs w:val="21"/>
          <w:color w:val="auto"/>
          <w:vertAlign w:val="superscript"/>
        </w:rPr>
        <w:t>(1)</w:t>
      </w:r>
      <w:r>
        <w:rPr>
          <w:rFonts w:ascii="Arial" w:cs="Arial" w:eastAsia="Arial" w:hAnsi="Arial"/>
          <w:sz w:val="13"/>
          <w:szCs w:val="13"/>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line="212" w:lineRule="auto"/>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 0.20%</w:t>
      </w: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income—(base management fee + other expenses)) = 0.80%</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Pre-incentive net investment income does not exceed hurdle; therefore there is no incentive fee.</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 (including interest, distributions, fees, etc.) = 2.70%</w:t>
      </w:r>
    </w:p>
    <w:p>
      <w:pPr>
        <w:ind w:left="460"/>
        <w:spacing w:after="0" w:line="223" w:lineRule="auto"/>
        <w:rPr>
          <w:sz w:val="20"/>
          <w:szCs w:val="20"/>
          <w:color w:val="auto"/>
        </w:rPr>
      </w:pPr>
      <w:r>
        <w:rPr>
          <w:rFonts w:ascii="Arial" w:cs="Arial" w:eastAsia="Arial" w:hAnsi="Arial"/>
          <w:sz w:val="14"/>
          <w:szCs w:val="14"/>
          <w:color w:val="auto"/>
        </w:rPr>
        <w:t>Hurdle</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line="212" w:lineRule="auto"/>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 0.20%</w:t>
      </w: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income—(base management fee + other expenses)) = 2.25%</w:t>
      </w:r>
    </w:p>
    <w:p>
      <w:pPr>
        <w:spacing w:after="0" w:line="190" w:lineRule="exact"/>
        <w:rPr>
          <w:sz w:val="20"/>
          <w:szCs w:val="20"/>
          <w:color w:val="auto"/>
        </w:rPr>
      </w:pPr>
    </w:p>
    <w:p>
      <w:pPr>
        <w:ind w:left="920"/>
        <w:spacing w:after="0"/>
        <w:tabs>
          <w:tab w:leader="none" w:pos="246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2"/>
          <w:szCs w:val="12"/>
          <w:color w:val="auto"/>
        </w:rPr>
        <w:t>= 50% X Pre-Incentive Fee Net Investment Income, subject to “catch-up”</w:t>
      </w:r>
    </w:p>
    <w:p>
      <w:pPr>
        <w:spacing w:after="0" w:line="15" w:lineRule="exact"/>
        <w:rPr>
          <w:sz w:val="20"/>
          <w:szCs w:val="20"/>
          <w:color w:val="auto"/>
        </w:rPr>
      </w:pPr>
    </w:p>
    <w:p>
      <w:pPr>
        <w:ind w:left="2580" w:hanging="101"/>
        <w:spacing w:after="0"/>
        <w:tabs>
          <w:tab w:leader="none" w:pos="2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50% X (2.25% - 1.75%)</w:t>
      </w:r>
    </w:p>
    <w:p>
      <w:pPr>
        <w:spacing w:after="0" w:line="28" w:lineRule="exact"/>
        <w:rPr>
          <w:rFonts w:ascii="Arial" w:cs="Arial" w:eastAsia="Arial" w:hAnsi="Arial"/>
          <w:sz w:val="14"/>
          <w:szCs w:val="14"/>
          <w:color w:val="auto"/>
        </w:rPr>
      </w:pPr>
    </w:p>
    <w:p>
      <w:pPr>
        <w:ind w:left="2580" w:hanging="101"/>
        <w:spacing w:after="0"/>
        <w:tabs>
          <w:tab w:leader="none" w:pos="2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0.25%</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3</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Investment income (including interest, distributions, fees, etc.) = 4.00%</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Hurdle</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rPr>
          <w:sz w:val="20"/>
          <w:szCs w:val="20"/>
          <w:color w:val="auto"/>
        </w:rPr>
      </w:pPr>
      <w:r>
        <w:rPr>
          <w:rFonts w:ascii="Arial" w:cs="Arial" w:eastAsia="Arial" w:hAnsi="Arial"/>
          <w:sz w:val="12"/>
          <w:szCs w:val="12"/>
          <w:color w:val="auto"/>
        </w:rPr>
        <w:t>Other expenses (legal, accounting, custodian, transfer agent, etc.)</w:t>
      </w:r>
      <w:r>
        <w:rPr>
          <w:rFonts w:ascii="Arial" w:cs="Arial" w:eastAsia="Arial" w:hAnsi="Arial"/>
          <w:sz w:val="19"/>
          <w:szCs w:val="19"/>
          <w:color w:val="auto"/>
          <w:vertAlign w:val="superscript"/>
        </w:rPr>
        <w:t>(3)</w:t>
      </w:r>
      <w:r>
        <w:rPr>
          <w:rFonts w:ascii="Arial" w:cs="Arial" w:eastAsia="Arial" w:hAnsi="Arial"/>
          <w:sz w:val="12"/>
          <w:szCs w:val="12"/>
          <w:color w:val="auto"/>
        </w:rPr>
        <w:t xml:space="preserve"> = 0.20%</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(investment income—(base management fee + other expenses)) = 3.55%</w:t>
      </w:r>
    </w:p>
    <w:p>
      <w:pPr>
        <w:sectPr>
          <w:pgSz w:w="11900" w:h="16838" w:orient="portrait"/>
          <w:cols w:equalWidth="0" w:num="1">
            <w:col w:w="11360"/>
          </w:cols>
          <w:pgMar w:left="240" w:top="459" w:right="299" w:bottom="1440" w:gutter="0" w:footer="0" w:header="0"/>
        </w:sectPr>
      </w:pPr>
    </w:p>
    <w:p>
      <w:pPr>
        <w:spacing w:after="0" w:line="29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Incentive fee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2"/>
          <w:szCs w:val="12"/>
          <w:color w:val="auto"/>
        </w:rPr>
        <w:t>Incentive fee</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2914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101" w:hanging="101"/>
        <w:spacing w:after="0"/>
        <w:tabs>
          <w:tab w:leader="none" w:pos="101" w:val="left"/>
        </w:tabs>
        <w:numPr>
          <w:ilvl w:val="0"/>
          <w:numId w:val="39"/>
        </w:numPr>
        <w:rPr>
          <w:rFonts w:ascii="Arial" w:cs="Arial" w:eastAsia="Arial" w:hAnsi="Arial"/>
          <w:sz w:val="13"/>
          <w:szCs w:val="13"/>
          <w:color w:val="auto"/>
        </w:rPr>
      </w:pPr>
      <w:r>
        <w:rPr>
          <w:rFonts w:ascii="Arial" w:cs="Arial" w:eastAsia="Arial" w:hAnsi="Arial"/>
          <w:sz w:val="13"/>
          <w:szCs w:val="13"/>
          <w:color w:val="auto"/>
        </w:rPr>
        <w:t>20% X Pre-Incentive Fee Net Investment Income, subject to “catch-up”</w:t>
      </w:r>
      <w:r>
        <w:rPr>
          <w:rFonts w:ascii="Arial" w:cs="Arial" w:eastAsia="Arial" w:hAnsi="Arial"/>
          <w:sz w:val="21"/>
          <w:szCs w:val="21"/>
          <w:color w:val="auto"/>
          <w:vertAlign w:val="superscript"/>
        </w:rPr>
        <w:t>(4)</w:t>
      </w:r>
    </w:p>
    <w:p>
      <w:pPr>
        <w:ind w:left="1" w:right="4220" w:hanging="1"/>
        <w:spacing w:after="0" w:line="295" w:lineRule="auto"/>
        <w:tabs>
          <w:tab w:leader="none" w:pos="111" w:val="left"/>
        </w:tabs>
        <w:numPr>
          <w:ilvl w:val="0"/>
          <w:numId w:val="39"/>
        </w:numPr>
        <w:rPr>
          <w:rFonts w:ascii="Arial" w:cs="Arial" w:eastAsia="Arial" w:hAnsi="Arial"/>
          <w:sz w:val="14"/>
          <w:szCs w:val="14"/>
          <w:color w:val="auto"/>
        </w:rPr>
      </w:pPr>
      <w:r>
        <w:rPr>
          <w:rFonts w:ascii="Arial" w:cs="Arial" w:eastAsia="Arial" w:hAnsi="Arial"/>
          <w:sz w:val="14"/>
          <w:szCs w:val="14"/>
          <w:color w:val="auto"/>
        </w:rPr>
        <w:t>50% X “catch-up” + (20% x (Pre-Incentive Fee Net Investment Income - 2.9167%)) =2.9167%-1.75% =1.1667%</w:t>
      </w:r>
    </w:p>
    <w:p>
      <w:pPr>
        <w:spacing w:after="0" w:line="159" w:lineRule="exact"/>
        <w:rPr>
          <w:rFonts w:ascii="Arial" w:cs="Arial" w:eastAsia="Arial" w:hAnsi="Arial"/>
          <w:sz w:val="14"/>
          <w:szCs w:val="14"/>
          <w:color w:val="auto"/>
        </w:rPr>
      </w:pPr>
    </w:p>
    <w:p>
      <w:pPr>
        <w:ind w:left="1" w:right="6180"/>
        <w:spacing w:after="0" w:line="281" w:lineRule="auto"/>
        <w:rPr>
          <w:rFonts w:ascii="Arial" w:cs="Arial" w:eastAsia="Arial" w:hAnsi="Arial"/>
          <w:sz w:val="14"/>
          <w:szCs w:val="14"/>
          <w:color w:val="auto"/>
        </w:rPr>
      </w:pPr>
      <w:r>
        <w:rPr>
          <w:rFonts w:ascii="Arial" w:cs="Arial" w:eastAsia="Arial" w:hAnsi="Arial"/>
          <w:sz w:val="14"/>
          <w:szCs w:val="14"/>
          <w:color w:val="auto"/>
        </w:rPr>
        <w:t>=(50% X 1.1667%) + (20% X (3.55% -2.9167%)) =0.5833% + (20% X 0.6333%)</w:t>
      </w:r>
    </w:p>
    <w:p>
      <w:pPr>
        <w:spacing w:after="0" w:line="1" w:lineRule="exact"/>
        <w:rPr>
          <w:rFonts w:ascii="Arial" w:cs="Arial" w:eastAsia="Arial" w:hAnsi="Arial"/>
          <w:sz w:val="14"/>
          <w:szCs w:val="14"/>
          <w:color w:val="auto"/>
        </w:rPr>
      </w:pPr>
    </w:p>
    <w:p>
      <w:pPr>
        <w:ind w:left="1" w:right="7700"/>
        <w:spacing w:after="0" w:line="298" w:lineRule="auto"/>
        <w:rPr>
          <w:rFonts w:ascii="Arial" w:cs="Arial" w:eastAsia="Arial" w:hAnsi="Arial"/>
          <w:sz w:val="14"/>
          <w:szCs w:val="14"/>
          <w:color w:val="auto"/>
        </w:rPr>
      </w:pPr>
      <w:r>
        <w:rPr>
          <w:rFonts w:ascii="Arial" w:cs="Arial" w:eastAsia="Arial" w:hAnsi="Arial"/>
          <w:sz w:val="14"/>
          <w:szCs w:val="14"/>
          <w:color w:val="auto"/>
        </w:rPr>
        <w:t>=0.5833% + 0.1267% =0.71%</w:t>
      </w:r>
    </w:p>
    <w:p>
      <w:pPr>
        <w:spacing w:after="0" w:line="200" w:lineRule="exact"/>
        <w:rPr>
          <w:sz w:val="20"/>
          <w:szCs w:val="20"/>
          <w:color w:val="auto"/>
        </w:rPr>
      </w:pPr>
    </w:p>
    <w:p>
      <w:pPr>
        <w:sectPr>
          <w:pgSz w:w="11900" w:h="16838" w:orient="portrait"/>
          <w:cols w:equalWidth="0" w:num="2">
            <w:col w:w="1759" w:space="720"/>
            <w:col w:w="8881"/>
          </w:cols>
          <w:pgMar w:left="240" w:top="459" w:right="299" w:bottom="1440" w:gutter="0" w:footer="0" w:header="0"/>
          <w:type w:val="continuous"/>
        </w:sectPr>
      </w:pPr>
    </w:p>
    <w:p>
      <w:pPr>
        <w:spacing w:after="0" w:line="102" w:lineRule="exact"/>
        <w:rPr>
          <w:sz w:val="20"/>
          <w:szCs w:val="20"/>
          <w:color w:val="auto"/>
        </w:rPr>
      </w:pPr>
    </w:p>
    <w:p>
      <w:pPr>
        <w:ind w:left="380" w:hanging="325"/>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total net assets.</w:t>
      </w:r>
    </w:p>
    <w:p>
      <w:pPr>
        <w:spacing w:after="0" w:line="95"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1.0% annualized base management fee.</w:t>
      </w:r>
    </w:p>
    <w:p>
      <w:pPr>
        <w:ind w:left="380" w:hanging="372"/>
        <w:spacing w:after="0" w:line="221"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Excludes organizational and offering expenses.</w:t>
      </w:r>
    </w:p>
    <w:p>
      <w:pPr>
        <w:ind w:left="380" w:hanging="372"/>
        <w:spacing w:after="0" w:line="230"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1: $20 million investment made in Company A (“Investment A”), and $30 million investment made in Company B (“Investment B”)</w:t>
      </w:r>
    </w:p>
    <w:p>
      <w:pPr>
        <w:ind w:left="460"/>
        <w:spacing w:after="0" w:line="221" w:lineRule="auto"/>
        <w:rPr>
          <w:sz w:val="20"/>
          <w:szCs w:val="20"/>
          <w:color w:val="auto"/>
        </w:rPr>
      </w:pPr>
      <w:r>
        <w:rPr>
          <w:rFonts w:ascii="Arial" w:cs="Arial" w:eastAsia="Arial" w:hAnsi="Arial"/>
          <w:sz w:val="14"/>
          <w:szCs w:val="14"/>
          <w:color w:val="auto"/>
        </w:rPr>
        <w:t>Year 2: Investment A sold for $50 million and fair market value (“FMV”) of Investment B determined to be $32 million</w:t>
      </w:r>
    </w:p>
    <w:p>
      <w:pPr>
        <w:ind w:left="460"/>
        <w:spacing w:after="0" w:line="221" w:lineRule="auto"/>
        <w:rPr>
          <w:sz w:val="20"/>
          <w:szCs w:val="20"/>
          <w:color w:val="auto"/>
        </w:rPr>
      </w:pPr>
      <w:r>
        <w:rPr>
          <w:rFonts w:ascii="Arial" w:cs="Arial" w:eastAsia="Arial" w:hAnsi="Arial"/>
          <w:sz w:val="14"/>
          <w:szCs w:val="14"/>
          <w:color w:val="auto"/>
        </w:rPr>
        <w:t>Year 3: FMV of Investment B determined to be $25 million</w:t>
      </w:r>
    </w:p>
    <w:p>
      <w:pPr>
        <w:ind w:left="460"/>
        <w:spacing w:after="0"/>
        <w:rPr>
          <w:sz w:val="20"/>
          <w:szCs w:val="20"/>
          <w:color w:val="auto"/>
        </w:rPr>
      </w:pPr>
      <w:r>
        <w:rPr>
          <w:rFonts w:ascii="Arial" w:cs="Arial" w:eastAsia="Arial" w:hAnsi="Arial"/>
          <w:sz w:val="14"/>
          <w:szCs w:val="14"/>
          <w:color w:val="auto"/>
        </w:rPr>
        <w:t>Year 4: Investment B sold for $31 million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1: None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2: $6 million capital gains incentive fee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$30 million realized capital gains on sale of Investment A multiplied by 20%</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3: None</w:t>
      </w:r>
    </w:p>
    <w:p>
      <w:pPr>
        <w:spacing w:after="0" w:line="69" w:lineRule="exact"/>
        <w:rPr>
          <w:sz w:val="20"/>
          <w:szCs w:val="20"/>
          <w:color w:val="auto"/>
        </w:rPr>
      </w:pPr>
    </w:p>
    <w:p>
      <w:pPr>
        <w:ind w:left="460" w:right="2220"/>
        <w:spacing w:after="0" w:line="239" w:lineRule="auto"/>
        <w:rPr>
          <w:sz w:val="20"/>
          <w:szCs w:val="20"/>
          <w:color w:val="auto"/>
        </w:rPr>
      </w:pPr>
      <w:r>
        <w:rPr>
          <w:rFonts w:ascii="Arial" w:cs="Arial" w:eastAsia="Arial" w:hAnsi="Arial"/>
          <w:sz w:val="14"/>
          <w:szCs w:val="14"/>
          <w:color w:val="auto"/>
        </w:rPr>
        <w:t>$5 million cumulative fee (20% multiplied by $25 million ($30 million cumulative capital gains less $5 million cumulative capital depreciation)) less $6 million (previous capital gains fee paid in Year 2)</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4: $200,000 capital gains incentive fee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$6.2 million cumulative fee ($31 million cumulative realized capital gains multiplied by 20%) less $6 million (previous capital gains fee paid in Year 2)</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360"/>
          </w:cols>
          <w:pgMar w:left="240" w:top="459" w:right="29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Assumptions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Year 1: $20 million investment made in Company A (“Investment A”), $30 million investment made in Company B (“Investment B”) and $25 million investment made in Company C (“Investment C”)</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2: Investment A sold for $50 million, FMV of Investment B determined to be $25 million and FMV of Investment C determined to be $25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3: FMV of Investment B determined to be $27 million and Investment C sold for $30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4: FMV of Investment B determined to be $35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5: Investment B sold for $20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1: None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2: $5 million capital gains incentive fee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20% multiplied by $25 million ($30 million realized capital gains on sale of Investment A less $5 million unrealized capital depreciation on Investment B)</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3: $1.4 million capital gains incentive fee</w:t>
      </w:r>
      <w:r>
        <w:rPr>
          <w:rFonts w:ascii="Arial" w:cs="Arial" w:eastAsia="Arial" w:hAnsi="Arial"/>
          <w:sz w:val="22"/>
          <w:szCs w:val="22"/>
          <w:color w:val="auto"/>
          <w:vertAlign w:val="superscript"/>
        </w:rPr>
        <w:t>( 1)</w:t>
      </w:r>
    </w:p>
    <w:p>
      <w:pPr>
        <w:ind w:left="360"/>
        <w:spacing w:after="0" w:line="230" w:lineRule="auto"/>
        <w:rPr>
          <w:sz w:val="20"/>
          <w:szCs w:val="20"/>
          <w:color w:val="auto"/>
        </w:rPr>
      </w:pPr>
      <w:r>
        <w:rPr>
          <w:rFonts w:ascii="Arial" w:cs="Arial" w:eastAsia="Arial" w:hAnsi="Arial"/>
          <w:sz w:val="14"/>
          <w:szCs w:val="14"/>
          <w:color w:val="auto"/>
        </w:rPr>
        <w:t>$6.4 million cumulative fee (20% multiplied by $32 million ($35 million cumulative realized capital gains less $3 million unrealized capital depreciation)) less $5 million (previous capital gains fee paid in Year 2)</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4: None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5: None</w:t>
      </w:r>
    </w:p>
    <w:p>
      <w:pPr>
        <w:spacing w:after="0" w:line="69" w:lineRule="exact"/>
        <w:rPr>
          <w:sz w:val="20"/>
          <w:szCs w:val="20"/>
          <w:color w:val="auto"/>
        </w:rPr>
      </w:pPr>
    </w:p>
    <w:p>
      <w:pPr>
        <w:ind w:left="360" w:right="180"/>
        <w:spacing w:after="0" w:line="239" w:lineRule="auto"/>
        <w:rPr>
          <w:sz w:val="20"/>
          <w:szCs w:val="20"/>
          <w:color w:val="auto"/>
        </w:rPr>
      </w:pPr>
      <w:r>
        <w:rPr>
          <w:rFonts w:ascii="Arial" w:cs="Arial" w:eastAsia="Arial" w:hAnsi="Arial"/>
          <w:sz w:val="14"/>
          <w:szCs w:val="14"/>
          <w:color w:val="auto"/>
        </w:rPr>
        <w:t>$5 million cumulative fee (20% multiplied by $25 million ($35 million cumulative realized capital gains less $10 million realized capital losses)) less $6.4 million (previous cumulative capital gains fee paid in Year 2 and Year 3)</w:t>
      </w:r>
    </w:p>
    <w:p>
      <w:pPr>
        <w:spacing w:after="0" w:line="206" w:lineRule="exact"/>
        <w:rPr>
          <w:sz w:val="20"/>
          <w:szCs w:val="20"/>
          <w:color w:val="auto"/>
        </w:rPr>
      </w:pPr>
    </w:p>
    <w:p>
      <w:pPr>
        <w:ind w:left="580" w:right="40" w:hanging="572"/>
        <w:spacing w:after="0" w:line="195" w:lineRule="auto"/>
        <w:tabs>
          <w:tab w:leader="none" w:pos="58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As illustrated in Year 3 of Alternative 1 above, if PennantPark Floating Rate Capital Ltd. were to be wound up on a date other than December 31 of any year,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8661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Duration and Termination</w:t>
      </w:r>
    </w:p>
    <w:p>
      <w:pPr>
        <w:spacing w:after="0" w:line="71" w:lineRule="exact"/>
        <w:rPr>
          <w:sz w:val="20"/>
          <w:szCs w:val="20"/>
          <w:color w:val="auto"/>
        </w:rPr>
      </w:pPr>
    </w:p>
    <w:p>
      <w:pPr>
        <w:ind w:right="120" w:firstLine="456"/>
        <w:spacing w:after="0" w:line="288" w:lineRule="auto"/>
        <w:rPr>
          <w:sz w:val="20"/>
          <w:szCs w:val="20"/>
          <w:color w:val="auto"/>
        </w:rPr>
      </w:pPr>
      <w:r>
        <w:rPr>
          <w:rFonts w:ascii="Arial" w:cs="Arial" w:eastAsia="Arial" w:hAnsi="Arial"/>
          <w:sz w:val="12"/>
          <w:szCs w:val="12"/>
          <w:color w:val="auto"/>
        </w:rPr>
        <w:t>The Investment Management Agreement was approved by our board of directors, including a majority of our directors who are not interested persons of us, in March 2011. Unless terminated earlier as described below, the Investment Management Agreement will continue in effect for a period of two years through March 2013.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w:t>
      </w:r>
    </w:p>
    <w:p>
      <w:pPr>
        <w:spacing w:after="0" w:line="111" w:lineRule="exact"/>
        <w:rPr>
          <w:sz w:val="20"/>
          <w:szCs w:val="20"/>
          <w:color w:val="auto"/>
        </w:rPr>
      </w:pPr>
    </w:p>
    <w:p>
      <w:pPr>
        <w:ind w:right="60" w:firstLine="456"/>
        <w:spacing w:after="0" w:line="288" w:lineRule="auto"/>
        <w:rPr>
          <w:sz w:val="20"/>
          <w:szCs w:val="20"/>
          <w:color w:val="auto"/>
        </w:rPr>
      </w:pPr>
      <w:r>
        <w:rPr>
          <w:rFonts w:ascii="Arial" w:cs="Arial" w:eastAsia="Arial" w:hAnsi="Arial"/>
          <w:sz w:val="12"/>
          <w:szCs w:val="12"/>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69" w:lineRule="exact"/>
        <w:rPr>
          <w:sz w:val="20"/>
          <w:szCs w:val="20"/>
          <w:color w:val="auto"/>
        </w:rPr>
      </w:pPr>
    </w:p>
    <w:p>
      <w:pPr>
        <w:ind w:right="540" w:firstLine="456"/>
        <w:spacing w:after="0" w:line="239"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Administration Agreement</w:t>
      </w:r>
    </w:p>
    <w:p>
      <w:pPr>
        <w:spacing w:after="0" w:line="71"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three and six months ended March 31, 2012 and for the period March 4, 2011 (commencement of operations) to September 30, 2011, the Investment Adviser and Administrator were reimbursed $0.1 million, $0.1 million and $0.1 million,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w:t>
      </w:r>
    </w:p>
    <w:p>
      <w:pPr>
        <w:spacing w:after="0" w:line="69" w:lineRule="exact"/>
        <w:rPr>
          <w:sz w:val="20"/>
          <w:szCs w:val="20"/>
          <w:color w:val="auto"/>
        </w:rPr>
      </w:pPr>
    </w:p>
    <w:p>
      <w:pPr>
        <w:ind w:right="100" w:firstLine="456"/>
        <w:spacing w:after="0" w:line="228" w:lineRule="auto"/>
        <w:rPr>
          <w:sz w:val="20"/>
          <w:szCs w:val="20"/>
          <w:color w:val="auto"/>
        </w:rPr>
      </w:pPr>
      <w:r>
        <w:rPr>
          <w:rFonts w:ascii="Arial" w:cs="Arial" w:eastAsia="Arial" w:hAnsi="Arial"/>
          <w:sz w:val="14"/>
          <w:szCs w:val="14"/>
          <w:color w:val="auto"/>
        </w:rPr>
        <w:t>The Administration Agreement was approved by our board of directors, including a majority of our independent directors who are not interested persons of us, in March 2011. Unless terminated earlier as described below, our Administration Agreement will continue in effect for a period of two years through March 2013.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Administration Agreement may not be assigned by either party without the consent of the other party. Administration Agreement may be terminated by either party without penalty upon not more than 60 days’ written notice to the other.</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69"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License Agreement</w:t>
      </w:r>
    </w:p>
    <w:p>
      <w:pPr>
        <w:spacing w:after="0" w:line="71"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load advance</w:t>
      </w:r>
    </w:p>
    <w:p>
      <w:pPr>
        <w:spacing w:after="0" w:line="7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In connection with our initial public offering, the Investment Adviser has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DETERMINATION OF NET ASSET VALUE</w:t>
      </w:r>
    </w:p>
    <w:p>
      <w:pPr>
        <w:spacing w:after="0" w:line="71"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The net asset value per share of our outstanding shares of common stock is determined quarterly by dividing the value of total assets minus liabilities by the total number of shares outstanding.</w:t>
      </w:r>
    </w:p>
    <w:p>
      <w:pPr>
        <w:spacing w:after="0" w:line="92"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As a business development company,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value.</w:t>
      </w:r>
    </w:p>
    <w:p>
      <w:pPr>
        <w:spacing w:after="0" w:line="39" w:lineRule="exact"/>
        <w:rPr>
          <w:sz w:val="20"/>
          <w:szCs w:val="20"/>
          <w:color w:val="auto"/>
        </w:rPr>
      </w:pPr>
    </w:p>
    <w:p>
      <w:pPr>
        <w:ind w:firstLine="456"/>
        <w:spacing w:after="0" w:line="226" w:lineRule="auto"/>
        <w:rPr>
          <w:sz w:val="20"/>
          <w:szCs w:val="20"/>
          <w:color w:val="auto"/>
        </w:rPr>
      </w:pPr>
      <w:r>
        <w:rPr>
          <w:rFonts w:ascii="Arial" w:cs="Arial" w:eastAsia="Arial" w:hAnsi="Arial"/>
          <w:sz w:val="14"/>
          <w:szCs w:val="14"/>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w:t>
      </w:r>
    </w:p>
    <w:p>
      <w:pPr>
        <w:spacing w:after="0" w:line="60"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680" w:right="380" w:hanging="334"/>
        <w:spacing w:after="0" w:line="239" w:lineRule="auto"/>
        <w:tabs>
          <w:tab w:leader="none" w:pos="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jc w:val="both"/>
        <w:ind w:left="680" w:right="180" w:hanging="334"/>
        <w:spacing w:after="0" w:line="233" w:lineRule="auto"/>
        <w:tabs>
          <w:tab w:leader="none" w:pos="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7" w:lineRule="exact"/>
        <w:rPr>
          <w:rFonts w:ascii="Arial" w:cs="Arial" w:eastAsia="Arial" w:hAnsi="Arial"/>
          <w:sz w:val="14"/>
          <w:szCs w:val="14"/>
          <w:color w:val="auto"/>
        </w:rPr>
      </w:pPr>
    </w:p>
    <w:p>
      <w:pPr>
        <w:ind w:left="680" w:right="140" w:hanging="334"/>
        <w:spacing w:after="0" w:line="239" w:lineRule="auto"/>
        <w:tabs>
          <w:tab w:leader="none" w:pos="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680" w:right="440" w:hanging="334"/>
        <w:spacing w:after="0" w:line="239" w:lineRule="auto"/>
        <w:tabs>
          <w:tab w:leader="none" w:pos="6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board of directors discusses these valuations and determines the fair value of each investment in our portfolio in good faith, based on the input of our Investment Adviser, the independent valuation firms and the audit committee.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 the extent we invest in derivative instruments in the future, such instruments would be valued at fair value in accordance with our valuation policy.</w:t>
      </w:r>
    </w:p>
    <w:p>
      <w:pPr>
        <w:spacing w:after="0" w:line="15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at the reporting period date.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Determinations In Connection With Offerings</w:t>
      </w:r>
    </w:p>
    <w:p>
      <w:pPr>
        <w:spacing w:after="0" w:line="71"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0" w:lineRule="exact"/>
        <w:rPr>
          <w:sz w:val="20"/>
          <w:szCs w:val="20"/>
          <w:color w:val="auto"/>
        </w:rPr>
      </w:pPr>
    </w:p>
    <w:p>
      <w:pPr>
        <w:ind w:left="540" w:hanging="316"/>
        <w:spacing w:after="0"/>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net asset value of our common stock disclosed in the most recent periodic report that we filed with the SEC;</w:t>
      </w:r>
    </w:p>
    <w:p>
      <w:pPr>
        <w:spacing w:after="0" w:line="55" w:lineRule="exact"/>
        <w:rPr>
          <w:rFonts w:ascii="Arial" w:cs="Arial" w:eastAsia="Arial" w:hAnsi="Arial"/>
          <w:sz w:val="14"/>
          <w:szCs w:val="14"/>
          <w:color w:val="auto"/>
        </w:rPr>
      </w:pPr>
    </w:p>
    <w:p>
      <w:pPr>
        <w:ind w:left="540" w:right="160" w:hanging="316"/>
        <w:spacing w:after="0" w:line="233"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44"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and we may undertake such an offering. See “Sales Of Common Stock Below Net Asset Value” for more information.</w:t>
      </w:r>
    </w:p>
    <w:p>
      <w:pPr>
        <w:spacing w:after="0" w:line="140"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20" w:lineRule="exact"/>
        <w:rPr>
          <w:sz w:val="20"/>
          <w:szCs w:val="20"/>
          <w:color w:val="auto"/>
        </w:rPr>
      </w:pPr>
    </w:p>
    <w:p>
      <w:pPr>
        <w:ind w:firstLine="456"/>
        <w:spacing w:after="0" w:line="267" w:lineRule="auto"/>
        <w:rPr>
          <w:sz w:val="20"/>
          <w:szCs w:val="20"/>
          <w:color w:val="auto"/>
        </w:rPr>
      </w:pPr>
      <w:r>
        <w:rPr>
          <w:rFonts w:ascii="Arial" w:cs="Arial" w:eastAsia="Arial" w:hAnsi="Arial"/>
          <w:sz w:val="12"/>
          <w:szCs w:val="12"/>
          <w:color w:val="auto"/>
        </w:rPr>
        <w:t>We may, however, subject to the requirements of the 1940 Act, issue subscription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276"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DIVIDEND REINVESTMENT PLAN</w:t>
      </w:r>
    </w:p>
    <w:p>
      <w:pPr>
        <w:spacing w:after="0" w:line="152"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3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40"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Those stockholders whose shares are held by a broker or other financial intermediary may receive dividends and other distributions in cash by notifying their broker or other financial intermediary of their election.</w:t>
      </w:r>
    </w:p>
    <w:p>
      <w:pPr>
        <w:spacing w:after="0" w:line="13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Generally, we intend to issue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1" w:lineRule="exact"/>
        <w:rPr>
          <w:sz w:val="20"/>
          <w:szCs w:val="20"/>
          <w:color w:val="auto"/>
        </w:rPr>
      </w:pPr>
    </w:p>
    <w:p>
      <w:pPr>
        <w:ind w:right="180" w:firstLine="456"/>
        <w:spacing w:after="0" w:line="230" w:lineRule="auto"/>
        <w:rPr>
          <w:sz w:val="20"/>
          <w:szCs w:val="20"/>
          <w:color w:val="auto"/>
        </w:rPr>
      </w:pPr>
      <w:r>
        <w:rPr>
          <w:rFonts w:ascii="Arial" w:cs="Arial" w:eastAsia="Arial" w:hAnsi="Arial"/>
          <w:sz w:val="14"/>
          <w:szCs w:val="14"/>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3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 xml:space="preserve">Participants may terminate their accounts under the plan by notifying the plan administrator via its website at </w:t>
      </w:r>
      <w:r>
        <w:rPr>
          <w:rFonts w:ascii="Arial" w:cs="Arial" w:eastAsia="Arial" w:hAnsi="Arial"/>
          <w:sz w:val="14"/>
          <w:szCs w:val="14"/>
          <w:i w:val="1"/>
          <w:iCs w:val="1"/>
          <w:u w:val="single" w:color="auto"/>
          <w:color w:val="auto"/>
        </w:rPr>
        <w:t>www.amstock.com</w:t>
      </w:r>
      <w:r>
        <w:rPr>
          <w:rFonts w:ascii="Arial" w:cs="Arial" w:eastAsia="Arial" w:hAnsi="Arial"/>
          <w:sz w:val="14"/>
          <w:szCs w:val="14"/>
          <w:color w:val="auto"/>
        </w:rPr>
        <w:t xml:space="preserve"> or by filling out the transaction request form located at bottom of their statement and sending it to the plan administrator.</w:t>
      </w:r>
    </w:p>
    <w:p>
      <w:pPr>
        <w:spacing w:after="0" w:line="139" w:lineRule="exact"/>
        <w:rPr>
          <w:sz w:val="20"/>
          <w:szCs w:val="20"/>
          <w:color w:val="auto"/>
        </w:rPr>
      </w:pPr>
    </w:p>
    <w:p>
      <w:pPr>
        <w:ind w:right="220" w:firstLine="456"/>
        <w:spacing w:after="0" w:line="233" w:lineRule="auto"/>
        <w:rPr>
          <w:sz w:val="20"/>
          <w:szCs w:val="20"/>
          <w:color w:val="auto"/>
        </w:rPr>
      </w:pPr>
      <w:r>
        <w:rPr>
          <w:rFonts w:ascii="Arial" w:cs="Arial" w:eastAsia="Arial" w:hAnsi="Arial"/>
          <w:sz w:val="14"/>
          <w:szCs w:val="14"/>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P.O. Box 922, Wall Street Station, New York, New York 10269, or by the plan administrator’s Interactive Voice Response System at 1-877-322-4951.</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OUR CAPITAL STOCK</w:t>
      </w:r>
    </w:p>
    <w:p>
      <w:pPr>
        <w:spacing w:after="0" w:line="152"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Stock</w:t>
      </w:r>
    </w:p>
    <w:p>
      <w:pPr>
        <w:spacing w:after="0" w:line="71"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As of July 24, 2012, our authorized capital stock consisted of 100,000,000 shares of stock, par value $0.001 per share, all of which is classified as common stock. Our common stock is quoted on the NASDAQ Global Select Market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last reported closing market price of our common stock on July 24, 2012 was $12.14 per share. As of July 24, 2011, we had 4 stockholders of record.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20" w:type="dxa"/>
            <w:vAlign w:val="bottom"/>
            <w:gridSpan w:val="2"/>
          </w:tcPr>
          <w:p>
            <w:pPr>
              <w:ind w:left="460"/>
              <w:spacing w:after="0"/>
              <w:rPr>
                <w:sz w:val="20"/>
                <w:szCs w:val="20"/>
                <w:color w:val="auto"/>
              </w:rPr>
            </w:pPr>
            <w:r>
              <w:rPr>
                <w:rFonts w:ascii="Arial" w:cs="Arial" w:eastAsia="Arial" w:hAnsi="Arial"/>
                <w:sz w:val="14"/>
                <w:szCs w:val="14"/>
                <w:color w:val="auto"/>
              </w:rPr>
              <w:t>The following are our outstanding classes of securities as of July 24, 2012:</w:t>
            </w: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25"/>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 Held by</w:t>
            </w:r>
          </w:p>
        </w:tc>
        <w:tc>
          <w:tcPr>
            <w:tcW w:w="1820" w:type="dxa"/>
            <w:vAlign w:val="bottom"/>
          </w:tcPr>
          <w:p>
            <w:pPr>
              <w:spacing w:after="0"/>
              <w:rPr>
                <w:sz w:val="24"/>
                <w:szCs w:val="2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7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Class</w:t>
            </w:r>
          </w:p>
        </w:tc>
        <w:tc>
          <w:tcPr>
            <w:tcW w:w="1940" w:type="dxa"/>
            <w:vAlign w:val="bottom"/>
            <w:gridSpan w:val="2"/>
          </w:tcPr>
          <w:p>
            <w:pPr>
              <w:ind w:left="560"/>
              <w:spacing w:after="0"/>
              <w:rPr>
                <w:sz w:val="20"/>
                <w:szCs w:val="20"/>
                <w:color w:val="auto"/>
              </w:rPr>
            </w:pPr>
            <w:r>
              <w:rPr>
                <w:rFonts w:ascii="Arial" w:cs="Arial" w:eastAsia="Arial" w:hAnsi="Arial"/>
                <w:sz w:val="14"/>
                <w:szCs w:val="14"/>
                <w:b w:val="1"/>
                <w:bCs w:val="1"/>
                <w:color w:val="auto"/>
              </w:rPr>
              <w:t>Authorized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55"/>
        </w:trPr>
        <w:tc>
          <w:tcPr>
            <w:tcW w:w="5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16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par value $0.001 per share</w:t>
            </w: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100,000,000</w:t>
            </w: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6,850,667</w:t>
            </w:r>
          </w:p>
        </w:tc>
      </w:tr>
      <w:tr>
        <w:trPr>
          <w:trHeight w:val="44"/>
        </w:trPr>
        <w:tc>
          <w:tcPr>
            <w:tcW w:w="5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jc w:val="both"/>
        <w:ind w:right="280" w:firstLine="456"/>
        <w:spacing w:after="0" w:line="288" w:lineRule="auto"/>
        <w:rPr>
          <w:sz w:val="20"/>
          <w:szCs w:val="20"/>
          <w:color w:val="auto"/>
        </w:rPr>
      </w:pPr>
      <w:r>
        <w:rPr>
          <w:rFonts w:ascii="Arial" w:cs="Arial" w:eastAsia="Arial" w:hAnsi="Arial"/>
          <w:sz w:val="12"/>
          <w:szCs w:val="12"/>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71" w:lineRule="exact"/>
        <w:rPr>
          <w:sz w:val="20"/>
          <w:szCs w:val="20"/>
          <w:color w:val="auto"/>
        </w:rPr>
      </w:pPr>
    </w:p>
    <w:p>
      <w:pPr>
        <w:ind w:right="160" w:firstLine="456"/>
        <w:spacing w:after="0" w:line="266" w:lineRule="auto"/>
        <w:rPr>
          <w:sz w:val="20"/>
          <w:szCs w:val="20"/>
          <w:color w:val="auto"/>
        </w:rPr>
      </w:pPr>
      <w:r>
        <w:rPr>
          <w:rFonts w:ascii="Arial" w:cs="Arial" w:eastAsia="Arial" w:hAnsi="Arial"/>
          <w:sz w:val="12"/>
          <w:szCs w:val="12"/>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 on Liability of Directors and Officers; Indemnification and Advance of Expenses</w:t>
      </w:r>
    </w:p>
    <w:p>
      <w:pPr>
        <w:spacing w:after="0" w:line="71" w:lineRule="exact"/>
        <w:rPr>
          <w:sz w:val="20"/>
          <w:szCs w:val="20"/>
          <w:color w:val="auto"/>
        </w:rPr>
      </w:pPr>
    </w:p>
    <w:p>
      <w:pPr>
        <w:ind w:right="160" w:firstLine="456"/>
        <w:spacing w:after="0" w:line="288" w:lineRule="auto"/>
        <w:rPr>
          <w:sz w:val="20"/>
          <w:szCs w:val="20"/>
          <w:color w:val="auto"/>
        </w:rPr>
      </w:pPr>
      <w:r>
        <w:rPr>
          <w:rFonts w:ascii="Arial" w:cs="Arial" w:eastAsia="Arial" w:hAnsi="Arial"/>
          <w:sz w:val="12"/>
          <w:szCs w:val="12"/>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36"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42" w:lineRule="exact"/>
        <w:rPr>
          <w:sz w:val="20"/>
          <w:szCs w:val="20"/>
          <w:color w:val="auto"/>
        </w:rPr>
      </w:pPr>
    </w:p>
    <w:p>
      <w:pPr>
        <w:ind w:right="100" w:firstLine="456"/>
        <w:spacing w:after="0" w:line="262" w:lineRule="auto"/>
        <w:rPr>
          <w:sz w:val="20"/>
          <w:szCs w:val="20"/>
          <w:color w:val="auto"/>
        </w:rPr>
      </w:pPr>
      <w:r>
        <w:rPr>
          <w:rFonts w:ascii="Arial" w:cs="Arial" w:eastAsia="Arial" w:hAnsi="Arial"/>
          <w:sz w:val="12"/>
          <w:szCs w:val="12"/>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w:t>
      </w:r>
    </w:p>
    <w:p>
      <w:pPr>
        <w:spacing w:after="0" w:line="2" w:lineRule="exact"/>
        <w:rPr>
          <w:sz w:val="20"/>
          <w:szCs w:val="20"/>
          <w:color w:val="auto"/>
        </w:rPr>
      </w:pPr>
    </w:p>
    <w:p>
      <w:pPr>
        <w:ind w:right="40" w:firstLine="8"/>
        <w:spacing w:after="0" w:line="268" w:lineRule="auto"/>
        <w:tabs>
          <w:tab w:leader="none" w:pos="184"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Provisions of the Maryland General Corporation Law and our Charter and Bylaws</w:t>
      </w:r>
    </w:p>
    <w:p>
      <w:pPr>
        <w:spacing w:after="0" w:line="71"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Classified board of directors</w:t>
      </w:r>
    </w:p>
    <w:p>
      <w:pPr>
        <w:spacing w:after="0" w:line="69"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Our board of directors is divided into three classes of directors serving staggered three-year terms. The terms of the first, second and third classes will expire in 2013, 2013, and 2014, respectively, and in each case, those directors will serve until their successors are duly elected and qualify. Beginning in 2013, upon expiration of their current terms, directors of each will be elected to serve for three-year terms or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Election of directors</w:t>
      </w:r>
    </w:p>
    <w:p>
      <w:pPr>
        <w:spacing w:after="0" w:line="6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Our charter and bylaws provide that the affirmative vote of the holders of a majority of the outstanding shares of stock entitled to vote in the election of directors is required to elect a director. Pursuant to the charter, our board of directors may amend the bylaws to alter the vote required to elect directors.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Number of directors; vacancies; removal</w:t>
      </w:r>
    </w:p>
    <w:p>
      <w:pPr>
        <w:spacing w:after="0" w:line="6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until the next annual meeting and until a successor is elected and qualifies, subject to any applicable requirements of the 1940 Act.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Our charter provides that a director may be removed only for cause, as defined in our charter, and then only by the affirmative vote of at least two-thirds of the votes entitled to be cast in the election of directors.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Action by stockholders</w:t>
      </w:r>
    </w:p>
    <w:p>
      <w:pPr>
        <w:spacing w:after="0" w:line="69" w:lineRule="exact"/>
        <w:rPr>
          <w:sz w:val="20"/>
          <w:szCs w:val="20"/>
          <w:color w:val="auto"/>
        </w:rPr>
      </w:pPr>
    </w:p>
    <w:p>
      <w:pPr>
        <w:jc w:val="both"/>
        <w:ind w:right="320" w:firstLine="456"/>
        <w:spacing w:after="0" w:line="288" w:lineRule="auto"/>
        <w:rPr>
          <w:sz w:val="20"/>
          <w:szCs w:val="20"/>
          <w:color w:val="auto"/>
        </w:rPr>
      </w:pPr>
      <w:r>
        <w:rPr>
          <w:rFonts w:ascii="Arial" w:cs="Arial" w:eastAsia="Arial" w:hAnsi="Arial"/>
          <w:sz w:val="12"/>
          <w:szCs w:val="12"/>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Advance notice provisions for stockholder nominations and stockholder proposals</w:t>
      </w:r>
    </w:p>
    <w:p>
      <w:pPr>
        <w:spacing w:after="0" w:line="6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2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Calling of special meetings of stockholders</w:t>
      </w:r>
    </w:p>
    <w:p>
      <w:pPr>
        <w:spacing w:after="0" w:line="6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Approval of extraordinary corporate action; amendment of charter and bylaws</w:t>
      </w:r>
    </w:p>
    <w:p>
      <w:pPr>
        <w:spacing w:after="0" w:line="69"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charter and bylaws provide that the board of directors will have the exclusive power to adopt, alter or repeal any provision of our bylaws and to make new bylaws.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 appraisal rights</w:t>
      </w:r>
    </w:p>
    <w:p>
      <w:pPr>
        <w:spacing w:after="0" w:line="69" w:lineRule="exact"/>
        <w:rPr>
          <w:sz w:val="20"/>
          <w:szCs w:val="20"/>
          <w:color w:val="auto"/>
        </w:rPr>
      </w:pPr>
    </w:p>
    <w:p>
      <w:pPr>
        <w:ind w:right="380" w:firstLine="456"/>
        <w:spacing w:after="0" w:line="239" w:lineRule="auto"/>
        <w:rPr>
          <w:sz w:val="20"/>
          <w:szCs w:val="20"/>
          <w:color w:val="auto"/>
        </w:rPr>
      </w:pPr>
      <w:r>
        <w:rPr>
          <w:rFonts w:ascii="Arial" w:cs="Arial" w:eastAsia="Arial" w:hAnsi="Arial"/>
          <w:sz w:val="14"/>
          <w:szCs w:val="14"/>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Control share acquisitions</w:t>
      </w:r>
    </w:p>
    <w:p>
      <w:pPr>
        <w:spacing w:after="0" w:line="6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6" w:lineRule="exact"/>
        <w:rPr>
          <w:sz w:val="20"/>
          <w:szCs w:val="20"/>
          <w:color w:val="auto"/>
        </w:rPr>
      </w:pPr>
    </w:p>
    <w:p>
      <w:pPr>
        <w:ind w:left="540" w:hanging="316"/>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one-tenth or more but less than one-third;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one-third or more but less than a majority; or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majority or more of all voting power.</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318" w:lineRule="auto"/>
        <w:rPr>
          <w:sz w:val="20"/>
          <w:szCs w:val="20"/>
          <w:color w:val="auto"/>
        </w:rPr>
      </w:pPr>
      <w:r>
        <w:rPr>
          <w:rFonts w:ascii="Arial" w:cs="Arial" w:eastAsia="Arial" w:hAnsi="Arial"/>
          <w:sz w:val="12"/>
          <w:szCs w:val="12"/>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2" w:lineRule="exact"/>
        <w:rPr>
          <w:sz w:val="20"/>
          <w:szCs w:val="20"/>
          <w:color w:val="auto"/>
        </w:rPr>
      </w:pPr>
    </w:p>
    <w:p>
      <w:pPr>
        <w:ind w:right="340" w:firstLine="456"/>
        <w:spacing w:after="0" w:line="233" w:lineRule="auto"/>
        <w:rPr>
          <w:sz w:val="20"/>
          <w:szCs w:val="20"/>
          <w:color w:val="auto"/>
        </w:rPr>
      </w:pPr>
      <w:r>
        <w:rPr>
          <w:rFonts w:ascii="Arial" w:cs="Arial" w:eastAsia="Arial" w:hAnsi="Arial"/>
          <w:sz w:val="14"/>
          <w:szCs w:val="14"/>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58"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41"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58"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6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58" w:lineRule="exact"/>
        <w:rPr>
          <w:sz w:val="20"/>
          <w:szCs w:val="20"/>
          <w:color w:val="auto"/>
        </w:rPr>
      </w:pPr>
    </w:p>
    <w:p>
      <w:pPr>
        <w:ind w:left="540" w:hanging="316"/>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any person who beneficially owns 10% or more of the voting power of the corporation’s shares; or</w:t>
      </w:r>
    </w:p>
    <w:p>
      <w:pPr>
        <w:spacing w:after="0" w:line="55" w:lineRule="exact"/>
        <w:rPr>
          <w:rFonts w:ascii="Arial" w:cs="Arial" w:eastAsia="Arial" w:hAnsi="Arial"/>
          <w:sz w:val="14"/>
          <w:szCs w:val="14"/>
          <w:color w:val="auto"/>
        </w:rPr>
      </w:pPr>
    </w:p>
    <w:p>
      <w:pPr>
        <w:ind w:left="540" w:right="20" w:hanging="316"/>
        <w:spacing w:after="0" w:line="239"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58" w:lineRule="exact"/>
        <w:rPr>
          <w:sz w:val="20"/>
          <w:szCs w:val="20"/>
          <w:color w:val="auto"/>
        </w:rPr>
      </w:pPr>
    </w:p>
    <w:p>
      <w:pPr>
        <w:ind w:right="40" w:firstLine="456"/>
        <w:spacing w:after="0" w:line="318" w:lineRule="auto"/>
        <w:rPr>
          <w:sz w:val="20"/>
          <w:szCs w:val="20"/>
          <w:color w:val="auto"/>
        </w:rPr>
      </w:pPr>
      <w:r>
        <w:rPr>
          <w:rFonts w:ascii="Arial" w:cs="Arial" w:eastAsia="Arial" w:hAnsi="Arial"/>
          <w:sz w:val="12"/>
          <w:szCs w:val="12"/>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8" w:lineRule="exact"/>
        <w:rPr>
          <w:sz w:val="20"/>
          <w:szCs w:val="20"/>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80% of the votes entitled to be cast by holders of outstanding shares of voting stock of the corporation; and</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58"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58"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Conflict with 1940 Act</w:t>
      </w:r>
    </w:p>
    <w:p>
      <w:pPr>
        <w:spacing w:after="0" w:line="69" w:lineRule="exact"/>
        <w:rPr>
          <w:sz w:val="20"/>
          <w:szCs w:val="20"/>
          <w:color w:val="auto"/>
        </w:rPr>
      </w:pPr>
    </w:p>
    <w:p>
      <w:pPr>
        <w:ind w:right="440" w:firstLine="456"/>
        <w:spacing w:after="0" w:line="239" w:lineRule="auto"/>
        <w:rPr>
          <w:sz w:val="20"/>
          <w:szCs w:val="20"/>
          <w:color w:val="auto"/>
        </w:rPr>
      </w:pPr>
      <w:r>
        <w:rPr>
          <w:rFonts w:ascii="Arial" w:cs="Arial" w:eastAsia="Arial" w:hAnsi="Arial"/>
          <w:sz w:val="14"/>
          <w:szCs w:val="14"/>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OUR PREFERRED STOCK</w:t>
      </w:r>
    </w:p>
    <w:p>
      <w:pPr>
        <w:spacing w:after="0" w:line="152"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For any series of preferred stock that we may issue, our board of directors will determine and the prospectus supplement relating to such series will describe:</w:t>
      </w:r>
    </w:p>
    <w:p>
      <w:pPr>
        <w:spacing w:after="0" w:line="69" w:lineRule="exact"/>
        <w:rPr>
          <w:sz w:val="20"/>
          <w:szCs w:val="20"/>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designation and number of shares of such series;</w:t>
      </w:r>
    </w:p>
    <w:p>
      <w:pPr>
        <w:spacing w:after="0" w:line="55" w:lineRule="exact"/>
        <w:rPr>
          <w:rFonts w:ascii="Arial" w:cs="Arial" w:eastAsia="Arial" w:hAnsi="Arial"/>
          <w:sz w:val="14"/>
          <w:szCs w:val="14"/>
          <w:color w:val="auto"/>
        </w:rPr>
      </w:pPr>
    </w:p>
    <w:p>
      <w:pPr>
        <w:ind w:left="540" w:right="40" w:hanging="316"/>
        <w:spacing w:after="0" w:line="239"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provisions relating to convertibility or exchangeability of the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rights and preferences, if any, of holders of shares of such series upon our liquidation, dissolution or winding up of our affairs;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voting powers, if any, of the holders of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provisions relating to the redemption of the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limitations on our ability to pay dividends or make distributions on, or acquire or redeem, other securities while shares of such series are outstanding;</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conditions or restrictions on our ability to issue additional shares of such series or other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if applicable, a discussion of certain U.S. federal income tax considerations;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other relative power, preferences and participating, optional or special rights of shares of such series, and the qualifications, limitations or restrictions thereof.</w:t>
      </w:r>
    </w:p>
    <w:p>
      <w:pPr>
        <w:spacing w:after="0" w:line="150"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WARRANTS</w:t>
      </w:r>
    </w:p>
    <w:p>
      <w:pPr>
        <w:spacing w:after="0" w:line="152"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following is a general description of the terms of the warrants we may issue from time to time. Particular terms of any warrants we offer will be described in the prospectus supplement relating to such warrants.</w:t>
      </w:r>
    </w:p>
    <w:p>
      <w:pPr>
        <w:spacing w:after="0" w:line="139"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prospectus supplement will describe the particular terms of any series of warrants we may issue, including the following:</w:t>
      </w:r>
    </w:p>
    <w:p>
      <w:pPr>
        <w:spacing w:after="0" w:line="69" w:lineRule="exact"/>
        <w:rPr>
          <w:sz w:val="20"/>
          <w:szCs w:val="20"/>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title of such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aggregate number of such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price or prices at which such warrants will be issued;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currency or currencies, including composite currencies, in which the price of such warrants may be payable;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if applicable, the designation and terms of the securities with which the warrants are issued and the number of warrants issued with each such security or each principal amount of such security;</w:t>
      </w:r>
    </w:p>
    <w:p>
      <w:pPr>
        <w:spacing w:after="0" w:line="78" w:lineRule="exact"/>
        <w:rPr>
          <w:rFonts w:ascii="Arial" w:cs="Arial" w:eastAsia="Arial" w:hAnsi="Arial"/>
          <w:sz w:val="12"/>
          <w:szCs w:val="12"/>
          <w:color w:val="auto"/>
        </w:rPr>
      </w:pPr>
    </w:p>
    <w:p>
      <w:pPr>
        <w:ind w:left="540" w:right="300" w:hanging="316"/>
        <w:spacing w:after="0" w:line="239"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3" w:lineRule="exact"/>
        <w:rPr>
          <w:rFonts w:ascii="Arial" w:cs="Arial" w:eastAsia="Arial" w:hAnsi="Arial"/>
          <w:sz w:val="14"/>
          <w:szCs w:val="14"/>
          <w:color w:val="auto"/>
        </w:rPr>
      </w:pPr>
    </w:p>
    <w:p>
      <w:pPr>
        <w:ind w:left="540" w:right="200" w:hanging="316"/>
        <w:spacing w:after="0" w:line="239"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date on which the right to exercise such warrants shall commence and the date on which such right will expire;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whether such warrants will be issued in registered form or bearer form;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if applicable, the minimum or maximum amount of such warrants which may be exercised at any one time;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if applicable, the date on and after which such warrants and the related securities will be separately transferable;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information with respect to book-entry procedures, if 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terms of the securities issuable upon exercise of the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if applicable, a discussion of certain U.S. federal income tax considerations;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other terms of such warrants, including terms, procedures and limitations relating to the exchange and exercise of such warrants.</w:t>
      </w:r>
    </w:p>
    <w:p>
      <w:pPr>
        <w:spacing w:after="0" w:line="150"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39" w:lineRule="exact"/>
        <w:rPr>
          <w:sz w:val="20"/>
          <w:szCs w:val="20"/>
          <w:color w:val="auto"/>
        </w:rPr>
      </w:pPr>
    </w:p>
    <w:p>
      <w:pPr>
        <w:ind w:right="220" w:firstLine="456"/>
        <w:spacing w:after="0" w:line="288" w:lineRule="auto"/>
        <w:rPr>
          <w:sz w:val="20"/>
          <w:szCs w:val="20"/>
          <w:color w:val="auto"/>
        </w:rPr>
      </w:pPr>
      <w:r>
        <w:rPr>
          <w:rFonts w:ascii="Arial" w:cs="Arial" w:eastAsia="Arial" w:hAnsi="Arial"/>
          <w:sz w:val="12"/>
          <w:szCs w:val="12"/>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1"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SUBSCRIPTION RIGHTS</w:t>
      </w:r>
    </w:p>
    <w:p>
      <w:pPr>
        <w:spacing w:after="0" w:line="152"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applicable prospectus supplement would describe the following terms of subscription rights in respect of which this prospectus is being delivered:</w:t>
      </w:r>
    </w:p>
    <w:p>
      <w:pPr>
        <w:spacing w:after="0" w:line="69" w:lineRule="exact"/>
        <w:rPr>
          <w:sz w:val="20"/>
          <w:szCs w:val="20"/>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title of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exercise price or a formula for the determination of the exercise price for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number or a formula for the determination of the number of such subscription rights issued to each stockholder;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extent to which such subscription rights are transferable;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if applicable, a discussion of the material U.S. federal income tax considerations applicable to the issuance or exercise of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date on which the right to exercise such subscription rights would commence, and the date on which such rights shall expire (subject to any extension);</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extent to which such subscription rights include an over-subscription privilege with respect to unsubscribed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if applicable, the material terms of any standby underwriting or other purchase arrangement that we may enter into in connection with the subscription rights offering;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any other terms of such subscription rights, including terms, procedures and limitations relating to the exchange and exercise of such subscription rights.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Exercise of Subscription Rights</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39"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DEBT SECURITIES</w:t>
      </w:r>
    </w:p>
    <w:p>
      <w:pPr>
        <w:spacing w:after="0" w:line="152"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39"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Securities—Events of Default.” Second, the trustee performs certain administrative duties for us, such as sending interest and principal payments to holders.</w:t>
      </w:r>
    </w:p>
    <w:p>
      <w:pPr>
        <w:spacing w:after="0" w:line="117"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prospectus supplement, which will accompany this prospectus, will describe the particular series of debt securities being offered by including:</w:t>
      </w:r>
    </w:p>
    <w:p>
      <w:pPr>
        <w:spacing w:after="0" w:line="55" w:lineRule="exact"/>
        <w:rPr>
          <w:sz w:val="20"/>
          <w:szCs w:val="20"/>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designation or title of the series of debt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total principal amount of the series of debt securities and whether or not the offering may be reopened for additional securities of that series and on what terms;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percentage of the principal amount at which the series of debt securities will be offered;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date or dates on which principal will be payable;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rate or rates (which may be either fixed or variable) and/or the method of determining such rate or rates of interest, if any;</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date or dates from which any interest will accrue, or the method of determining such date or dates, and the date or dates on which any interest will be payable;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terms for redemption, extension or early repayment, if any;</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currencies in which the series of debt securities are issued and payable;</w:t>
      </w:r>
    </w:p>
    <w:p>
      <w:pPr>
        <w:spacing w:after="0" w:line="14" w:lineRule="exact"/>
        <w:rPr>
          <w:rFonts w:ascii="Arial" w:cs="Arial" w:eastAsia="Arial" w:hAnsi="Arial"/>
          <w:sz w:val="14"/>
          <w:szCs w:val="14"/>
          <w:color w:val="auto"/>
        </w:rPr>
      </w:pPr>
    </w:p>
    <w:p>
      <w:pPr>
        <w:ind w:left="540" w:right="20" w:hanging="316"/>
        <w:spacing w:after="0" w:line="239" w:lineRule="auto"/>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3"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place or places, if any, other than or in addition to The City of New York, of payment, transfer, conversion and/or exchange of the debt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denominations in which the offered debt securities will be issued;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provision for any sinking fund;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restrictive covenants;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Events of Default;</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whether the series of debt securities are issuable in certificated form;</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provisions for defeasance or covenant defeasance;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special federal income tax implications, including, if applicable, federal income tax considerations relating to original issue discount;</w:t>
      </w:r>
    </w:p>
    <w:p>
      <w:pPr>
        <w:spacing w:after="0" w:line="14"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3"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provisions for convertibility or exchangeability of the debt securities into or for any other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whether the debt securities are subject to subordination and the terms of such subordination;</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listing, if any, on a securities exchange; and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other terms.</w:t>
      </w:r>
    </w:p>
    <w:p>
      <w:pPr>
        <w:spacing w:after="0" w:line="150"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The debt securities may be secured or unsecured obligations. Under the provisions of the 1940 Act, we are permitted, as a BDC,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71"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For purposes of this prospectus, any reference to the payment of principal of, or premium or interest, if any, on, debt securities will include additional amounts if required by the terms of the debt securities.</w:t>
      </w:r>
    </w:p>
    <w:p>
      <w:pPr>
        <w:spacing w:after="0" w:line="13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indenture does not contain any provisions that give you protection in the event we issue a large amount of debt or we are acquired by another entity.</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58"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58"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 and Exchange</w:t>
      </w:r>
    </w:p>
    <w:p>
      <w:pPr>
        <w:spacing w:after="0" w:line="71"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in Registered Form</w:t>
      </w:r>
    </w:p>
    <w:p>
      <w:pPr>
        <w:spacing w:after="0" w:line="71" w:lineRule="exact"/>
        <w:rPr>
          <w:sz w:val="20"/>
          <w:szCs w:val="20"/>
          <w:color w:val="auto"/>
        </w:rPr>
      </w:pPr>
    </w:p>
    <w:p>
      <w:pPr>
        <w:ind w:right="580" w:firstLine="456"/>
        <w:spacing w:after="0" w:line="239" w:lineRule="auto"/>
        <w:rPr>
          <w:sz w:val="20"/>
          <w:szCs w:val="20"/>
          <w:color w:val="auto"/>
        </w:rPr>
      </w:pPr>
      <w:r>
        <w:rPr>
          <w:rFonts w:ascii="Arial" w:cs="Arial" w:eastAsia="Arial" w:hAnsi="Arial"/>
          <w:sz w:val="14"/>
          <w:szCs w:val="14"/>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Book-Entry Holders</w:t>
      </w:r>
    </w:p>
    <w:p>
      <w:pPr>
        <w:spacing w:after="0" w:line="6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1" w:lineRule="exact"/>
        <w:rPr>
          <w:sz w:val="20"/>
          <w:szCs w:val="20"/>
          <w:color w:val="auto"/>
        </w:rPr>
      </w:pPr>
    </w:p>
    <w:p>
      <w:pPr>
        <w:ind w:right="240" w:firstLine="456"/>
        <w:spacing w:after="0" w:line="230" w:lineRule="auto"/>
        <w:rPr>
          <w:sz w:val="20"/>
          <w:szCs w:val="20"/>
          <w:color w:val="auto"/>
        </w:rPr>
      </w:pPr>
      <w:r>
        <w:rPr>
          <w:rFonts w:ascii="Arial" w:cs="Arial" w:eastAsia="Arial" w:hAnsi="Arial"/>
          <w:sz w:val="14"/>
          <w:szCs w:val="14"/>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39"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Street Name Holders</w:t>
      </w:r>
    </w:p>
    <w:p>
      <w:pPr>
        <w:spacing w:after="0" w:line="6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39"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2"/>
          <w:szCs w:val="12"/>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Holders</w:t>
      </w:r>
    </w:p>
    <w:p>
      <w:pPr>
        <w:spacing w:after="0" w:line="69" w:lineRule="exact"/>
        <w:rPr>
          <w:sz w:val="20"/>
          <w:szCs w:val="20"/>
          <w:color w:val="auto"/>
        </w:rPr>
      </w:pPr>
    </w:p>
    <w:p>
      <w:pPr>
        <w:jc w:val="both"/>
        <w:ind w:right="180" w:firstLine="456"/>
        <w:spacing w:after="0" w:line="233" w:lineRule="auto"/>
        <w:rPr>
          <w:sz w:val="20"/>
          <w:szCs w:val="20"/>
          <w:color w:val="auto"/>
        </w:rPr>
      </w:pPr>
      <w:r>
        <w:rPr>
          <w:rFonts w:ascii="Arial" w:cs="Arial" w:eastAsia="Arial" w:hAnsi="Arial"/>
          <w:sz w:val="14"/>
          <w:szCs w:val="14"/>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39"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3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Considerations for Indirect Holders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you hold debt securities through a bank, broker or other financial institution, either in book-entry form or in street name, we urge you to check with that institution to find out:</w:t>
      </w:r>
    </w:p>
    <w:p>
      <w:pPr>
        <w:spacing w:after="0" w:line="69" w:lineRule="exact"/>
        <w:rPr>
          <w:sz w:val="20"/>
          <w:szCs w:val="20"/>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how it handles securities payments and notices;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whether it imposes fees or charges;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how it would handle a request for the holders’ consent, if ever required;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whether and how you can instruct it to send you debt securities registered in your own name so you can be a holder, if that is permitted in the future for a particular series of debt securities;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how it would exercise rights under the debt securities if there were a default or other event triggering the need for holders to act to protect their interests;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if the debt securities are in book-entry form, how the depositary’s rules and procedures will affect these matters.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Global Securities</w:t>
      </w:r>
    </w:p>
    <w:p>
      <w:pPr>
        <w:spacing w:after="0" w:line="71"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39" w:lineRule="exact"/>
        <w:rPr>
          <w:sz w:val="20"/>
          <w:szCs w:val="20"/>
          <w:color w:val="auto"/>
        </w:rPr>
      </w:pPr>
    </w:p>
    <w:p>
      <w:pPr>
        <w:jc w:val="both"/>
        <w:ind w:right="200" w:firstLine="456"/>
        <w:spacing w:after="0" w:line="233" w:lineRule="auto"/>
        <w:rPr>
          <w:sz w:val="20"/>
          <w:szCs w:val="20"/>
          <w:color w:val="auto"/>
        </w:rPr>
      </w:pPr>
      <w:r>
        <w:rPr>
          <w:rFonts w:ascii="Arial" w:cs="Arial" w:eastAsia="Arial" w:hAnsi="Arial"/>
          <w:sz w:val="14"/>
          <w:szCs w:val="14"/>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39"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Considerations for Global Securities</w:t>
      </w:r>
    </w:p>
    <w:p>
      <w:pPr>
        <w:spacing w:after="0" w:line="6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debt securities are issued only in the form of a global security, an investor should be aware of the following:</w:t>
      </w:r>
    </w:p>
    <w:p>
      <w:pPr>
        <w:spacing w:after="0" w:line="69" w:lineRule="exact"/>
        <w:rPr>
          <w:sz w:val="20"/>
          <w:szCs w:val="20"/>
          <w:color w:val="auto"/>
        </w:rPr>
      </w:pPr>
    </w:p>
    <w:p>
      <w:pPr>
        <w:ind w:left="540" w:right="340" w:hanging="316"/>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investor cannot cause the debt securities to be registered in his or her name and cannot obtain certificates for his or her interest in the debt securities, except in the special situations we describe below;</w:t>
      </w:r>
    </w:p>
    <w:p>
      <w:pPr>
        <w:spacing w:after="0" w:line="43" w:lineRule="exact"/>
        <w:rPr>
          <w:rFonts w:ascii="Arial" w:cs="Arial" w:eastAsia="Arial" w:hAnsi="Arial"/>
          <w:sz w:val="14"/>
          <w:szCs w:val="14"/>
          <w:color w:val="auto"/>
        </w:rPr>
      </w:pPr>
    </w:p>
    <w:p>
      <w:pPr>
        <w:ind w:left="540" w:right="280" w:hanging="316"/>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an investor may not be able to sell interests in the debt securities to some insurance companies and other institutions that are required by law to own their securities in non-book-entry form;</w:t>
      </w:r>
    </w:p>
    <w:p>
      <w:pPr>
        <w:spacing w:after="0" w:line="78" w:lineRule="exact"/>
        <w:rPr>
          <w:rFonts w:ascii="Arial" w:cs="Arial" w:eastAsia="Arial" w:hAnsi="Arial"/>
          <w:sz w:val="12"/>
          <w:szCs w:val="12"/>
          <w:color w:val="auto"/>
        </w:rPr>
      </w:pPr>
    </w:p>
    <w:p>
      <w:pPr>
        <w:ind w:left="540" w:right="20" w:hanging="316"/>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43" w:lineRule="exact"/>
        <w:rPr>
          <w:rFonts w:ascii="Arial" w:cs="Arial" w:eastAsia="Arial" w:hAnsi="Arial"/>
          <w:sz w:val="14"/>
          <w:szCs w:val="14"/>
          <w:color w:val="auto"/>
        </w:rPr>
      </w:pPr>
    </w:p>
    <w:p>
      <w:pPr>
        <w:ind w:left="540" w:right="260" w:hanging="316"/>
        <w:spacing w:after="0" w:line="317" w:lineRule="auto"/>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ind w:left="540" w:hanging="316"/>
        <w:spacing w:after="0"/>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if we redeem less than all the debt securities of a particular series being redeemed, DTC’s practice is to determine by lot the amount to be redeemed from each of its participants holding that series;</w:t>
      </w:r>
    </w:p>
    <w:p>
      <w:pPr>
        <w:spacing w:after="0" w:line="78" w:lineRule="exact"/>
        <w:rPr>
          <w:rFonts w:ascii="Arial" w:cs="Arial" w:eastAsia="Arial" w:hAnsi="Arial"/>
          <w:sz w:val="12"/>
          <w:szCs w:val="12"/>
          <w:color w:val="auto"/>
        </w:rPr>
      </w:pPr>
    </w:p>
    <w:p>
      <w:pPr>
        <w:ind w:left="540" w:right="400" w:hanging="316"/>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3" w:lineRule="exact"/>
        <w:rPr>
          <w:rFonts w:ascii="Arial" w:cs="Arial" w:eastAsia="Arial" w:hAnsi="Arial"/>
          <w:sz w:val="14"/>
          <w:szCs w:val="14"/>
          <w:color w:val="auto"/>
        </w:rPr>
      </w:pPr>
    </w:p>
    <w:p>
      <w:pPr>
        <w:ind w:left="540" w:right="460" w:hanging="316"/>
        <w:spacing w:after="0" w:line="23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3" w:lineRule="exact"/>
        <w:rPr>
          <w:rFonts w:ascii="Arial" w:cs="Arial" w:eastAsia="Arial" w:hAnsi="Arial"/>
          <w:sz w:val="14"/>
          <w:szCs w:val="14"/>
          <w:color w:val="auto"/>
        </w:rPr>
      </w:pPr>
    </w:p>
    <w:p>
      <w:pPr>
        <w:ind w:left="540" w:right="100" w:hanging="316"/>
        <w:spacing w:after="0" w:line="233"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Situations when a Global Security Will Be Terminated</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special situations for termination of a global security are as follows:</w:t>
      </w:r>
    </w:p>
    <w:p>
      <w:pPr>
        <w:spacing w:after="0" w:line="69" w:lineRule="exact"/>
        <w:rPr>
          <w:sz w:val="20"/>
          <w:szCs w:val="20"/>
          <w:color w:val="auto"/>
        </w:rPr>
      </w:pPr>
    </w:p>
    <w:p>
      <w:pPr>
        <w:ind w:left="540" w:hanging="316"/>
        <w:spacing w:after="0"/>
        <w:tabs>
          <w:tab w:leader="none" w:pos="5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if the depositary notifies us that it is unwilling, unable or no longer qualified to continue as depositary for that global security, and we are unable to appoint another institution to act as depositary;</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if we notify the trustee that we wish to terminate that global security; or</w:t>
      </w:r>
    </w:p>
    <w:p>
      <w:pPr>
        <w:spacing w:after="0" w:line="55" w:lineRule="exact"/>
        <w:rPr>
          <w:rFonts w:ascii="Arial" w:cs="Arial" w:eastAsia="Arial" w:hAnsi="Arial"/>
          <w:sz w:val="14"/>
          <w:szCs w:val="14"/>
          <w:color w:val="auto"/>
        </w:rPr>
      </w:pPr>
    </w:p>
    <w:p>
      <w:pPr>
        <w:ind w:left="540" w:right="380" w:hanging="316"/>
        <w:spacing w:after="0" w:line="239"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20"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Payment and Paying Agents</w:t>
      </w:r>
    </w:p>
    <w:p>
      <w:pPr>
        <w:spacing w:after="0" w:line="71" w:lineRule="exact"/>
        <w:rPr>
          <w:sz w:val="20"/>
          <w:szCs w:val="20"/>
          <w:color w:val="auto"/>
        </w:rPr>
      </w:pPr>
    </w:p>
    <w:p>
      <w:pPr>
        <w:jc w:val="both"/>
        <w:ind w:right="40" w:firstLine="456"/>
        <w:spacing w:after="0" w:line="278" w:lineRule="auto"/>
        <w:rPr>
          <w:sz w:val="20"/>
          <w:szCs w:val="20"/>
          <w:color w:val="auto"/>
        </w:rPr>
      </w:pPr>
      <w:r>
        <w:rPr>
          <w:rFonts w:ascii="Arial" w:cs="Arial" w:eastAsia="Arial" w:hAnsi="Arial"/>
          <w:sz w:val="12"/>
          <w:szCs w:val="12"/>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Payments on Global Securities</w:t>
      </w:r>
    </w:p>
    <w:p>
      <w:pPr>
        <w:spacing w:after="0" w:line="69" w:lineRule="exact"/>
        <w:rPr>
          <w:sz w:val="20"/>
          <w:szCs w:val="20"/>
          <w:color w:val="auto"/>
        </w:rPr>
      </w:pPr>
    </w:p>
    <w:p>
      <w:pPr>
        <w:jc w:val="both"/>
        <w:ind w:right="420" w:firstLine="456"/>
        <w:spacing w:after="0" w:line="233" w:lineRule="auto"/>
        <w:rPr>
          <w:sz w:val="20"/>
          <w:szCs w:val="20"/>
          <w:color w:val="auto"/>
        </w:rPr>
      </w:pPr>
      <w:r>
        <w:rPr>
          <w:rFonts w:ascii="Arial" w:cs="Arial" w:eastAsia="Arial" w:hAnsi="Arial"/>
          <w:sz w:val="14"/>
          <w:szCs w:val="14"/>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Payments on Certificated Securities</w:t>
      </w:r>
    </w:p>
    <w:p>
      <w:pPr>
        <w:spacing w:after="0" w:line="6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 When Offices Are Closed</w:t>
      </w:r>
    </w:p>
    <w:p>
      <w:pPr>
        <w:spacing w:after="0" w:line="69"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2"/>
          <w:szCs w:val="12"/>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Book-entry and other indirect holders should consult their banks or brokers for information on how they will receive payments on their debt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Events of Default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You will have rights if an Event of Default occurs in respect of the debt securities of your series and is not cured, as described later in this subsection.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term “Event of Default” in respect of the debt securities of your series means any of the following:</w:t>
      </w:r>
    </w:p>
    <w:p>
      <w:pPr>
        <w:spacing w:after="0" w:line="69" w:lineRule="exact"/>
        <w:rPr>
          <w:sz w:val="20"/>
          <w:szCs w:val="20"/>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do not pay the principal of, or any premium on, a debt security of the series within five days of its due date;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do not pay interest on a debt security of the series within 30 days of its due date;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do not deposit any sinking fund payment in respect of debt securities of the series on its due date and we do not cure this default within five days;</w:t>
      </w:r>
    </w:p>
    <w:p>
      <w:pPr>
        <w:spacing w:after="0" w:line="55" w:lineRule="exact"/>
        <w:rPr>
          <w:rFonts w:ascii="Arial" w:cs="Arial" w:eastAsia="Arial" w:hAnsi="Arial"/>
          <w:sz w:val="14"/>
          <w:szCs w:val="14"/>
          <w:color w:val="auto"/>
        </w:rPr>
      </w:pPr>
    </w:p>
    <w:p>
      <w:pPr>
        <w:ind w:left="540" w:right="80" w:hanging="316"/>
        <w:spacing w:after="0" w:line="239" w:lineRule="auto"/>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file for bankruptcy or certain other events of bankruptcy, insolvency or reorganization occur;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any other Event of Default in respect of debt securities of the series described in the prospectus supplement occurs.</w:t>
      </w:r>
    </w:p>
    <w:p>
      <w:pPr>
        <w:spacing w:after="0" w:line="150"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Remedies if an Event of Default Occurs</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40" w:firstLine="456"/>
        <w:spacing w:after="0" w:line="278" w:lineRule="auto"/>
        <w:rPr>
          <w:sz w:val="20"/>
          <w:szCs w:val="20"/>
          <w:color w:val="auto"/>
        </w:rPr>
      </w:pPr>
      <w:r>
        <w:rPr>
          <w:rFonts w:ascii="Arial" w:cs="Arial" w:eastAsia="Arial" w:hAnsi="Arial"/>
          <w:sz w:val="12"/>
          <w:szCs w:val="12"/>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7"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8" w:lineRule="exact"/>
        <w:rPr>
          <w:sz w:val="20"/>
          <w:szCs w:val="20"/>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you must give the trustee written notice that an Event of Default has occurred and remains uncured;</w:t>
      </w:r>
    </w:p>
    <w:p>
      <w:pPr>
        <w:spacing w:after="0" w:line="55" w:lineRule="exact"/>
        <w:rPr>
          <w:rFonts w:ascii="Arial" w:cs="Arial" w:eastAsia="Arial" w:hAnsi="Arial"/>
          <w:sz w:val="14"/>
          <w:szCs w:val="14"/>
          <w:color w:val="auto"/>
        </w:rPr>
      </w:pPr>
    </w:p>
    <w:p>
      <w:pPr>
        <w:ind w:left="540" w:right="360" w:hanging="316"/>
        <w:spacing w:after="0" w:line="239"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trustee must not have taken action for 60 days after receipt of the above notice and offer of indemnity;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holders of a majority in principal amount of the debt securities must not have given the trustee a direction inconsistent with the above notice during that 60-day period.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However, you are entitled at any time to bring a lawsuit for the payment of money due on your debt securities on or after the due date.</w:t>
      </w:r>
    </w:p>
    <w:p>
      <w:pPr>
        <w:spacing w:after="0" w:line="148" w:lineRule="exact"/>
        <w:rPr>
          <w:sz w:val="20"/>
          <w:szCs w:val="20"/>
          <w:color w:val="auto"/>
        </w:rPr>
      </w:pPr>
    </w:p>
    <w:p>
      <w:pPr>
        <w:ind w:firstLine="456"/>
        <w:spacing w:after="0" w:line="241" w:lineRule="auto"/>
        <w:rPr>
          <w:sz w:val="20"/>
          <w:szCs w:val="20"/>
          <w:color w:val="auto"/>
        </w:rPr>
      </w:pPr>
      <w:r>
        <w:rPr>
          <w:rFonts w:ascii="Arial" w:cs="Arial" w:eastAsia="Arial" w:hAnsi="Arial"/>
          <w:sz w:val="14"/>
          <w:szCs w:val="14"/>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38"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Waiver of Default</w:t>
      </w:r>
    </w:p>
    <w:p>
      <w:pPr>
        <w:spacing w:after="0" w:line="6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Merger or Consolidation</w:t>
      </w:r>
    </w:p>
    <w:p>
      <w:pPr>
        <w:spacing w:after="0" w:line="7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8" w:lineRule="exact"/>
        <w:rPr>
          <w:sz w:val="20"/>
          <w:szCs w:val="20"/>
          <w:color w:val="auto"/>
        </w:rPr>
      </w:pPr>
    </w:p>
    <w:p>
      <w:pPr>
        <w:ind w:left="540" w:right="40" w:hanging="316"/>
        <w:spacing w:after="0" w:line="278" w:lineRule="auto"/>
        <w:tabs>
          <w:tab w:leader="none" w:pos="5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5" w:lineRule="exact"/>
        <w:rPr>
          <w:rFonts w:ascii="Arial" w:cs="Arial" w:eastAsia="Arial" w:hAnsi="Arial"/>
          <w:sz w:val="12"/>
          <w:szCs w:val="12"/>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alternatively, we must be the surviving company;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immediately after the transaction no event of default will exist;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we must deliver certain certificates and documents to the trustee;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we must satisfy any other requirements specified in the prospectus supplement relating to a particular series of debt securities.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or Waiver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There are three types of changes we can make to the indenture and the debt securities issued thereunder.</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Requiring Your Approval</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First, there are changes that we cannot make to your debt securities without your specific approval. The following is a list of those types of changes:</w:t>
      </w:r>
    </w:p>
    <w:p>
      <w:pPr>
        <w:spacing w:after="0" w:line="55" w:lineRule="exact"/>
        <w:rPr>
          <w:sz w:val="20"/>
          <w:szCs w:val="20"/>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change the stated maturity of the principal of or interest on a debt security;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reduce any amounts due on a debt security;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reduce the amount of principal payable upon acceleration of the maturity of a security following a default;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at any time after a change of control has occurred, reduce the premium payable upon a change of control;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change the place or currency of payment on a debt security (except as otherwise described in the prospectus or prospectus supplement);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impair your right to sue for payment;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adversely affect any right to convert or exchange a debt security in accordance with its terms;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reduce the percentage of holders of debt securities whose consent is needed to modify or amend the indenture;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reduce the percentage of holders of debt securities whose consent is needed to waive compliance with certain provisions of the indenture or to waive certain defaults;</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change any obligation we have to pay additional amounts.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Not Requiring Approval</w:t>
      </w:r>
    </w:p>
    <w:p>
      <w:pPr>
        <w:spacing w:after="0" w:line="69" w:lineRule="exact"/>
        <w:rPr>
          <w:sz w:val="20"/>
          <w:szCs w:val="20"/>
          <w:color w:val="auto"/>
        </w:rPr>
      </w:pPr>
    </w:p>
    <w:p>
      <w:pPr>
        <w:ind w:right="140" w:firstLine="456"/>
        <w:spacing w:after="0" w:line="318" w:lineRule="auto"/>
        <w:rPr>
          <w:sz w:val="20"/>
          <w:szCs w:val="20"/>
          <w:color w:val="auto"/>
        </w:rPr>
      </w:pPr>
      <w:r>
        <w:rPr>
          <w:rFonts w:ascii="Arial" w:cs="Arial" w:eastAsia="Arial" w:hAnsi="Arial"/>
          <w:sz w:val="12"/>
          <w:szCs w:val="12"/>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Requiring Majority Approval</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Any other change to the indenture and the debt securities would require the following approval:</w:t>
      </w:r>
    </w:p>
    <w:p>
      <w:pPr>
        <w:spacing w:after="0" w:line="55" w:lineRule="exact"/>
        <w:rPr>
          <w:sz w:val="20"/>
          <w:szCs w:val="20"/>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if the change affects only one series of debt securities, it must be approved by the holders of a majority in principal amount of that series; and</w:t>
      </w:r>
    </w:p>
    <w:p>
      <w:pPr>
        <w:spacing w:after="0" w:line="55" w:lineRule="exact"/>
        <w:rPr>
          <w:rFonts w:ascii="Arial" w:cs="Arial" w:eastAsia="Arial" w:hAnsi="Arial"/>
          <w:sz w:val="14"/>
          <w:szCs w:val="14"/>
          <w:color w:val="auto"/>
        </w:rPr>
      </w:pPr>
    </w:p>
    <w:p>
      <w:pPr>
        <w:ind w:left="540" w:right="180" w:hanging="316"/>
        <w:spacing w:after="0" w:line="239"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each case, the required approval must be given by written consent.</w:t>
      </w:r>
    </w:p>
    <w:p>
      <w:pPr>
        <w:spacing w:after="0" w:line="15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 Modification or Waiver—Changes Requiring Your Approval.”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280"/>
          </w:cols>
          <w:pgMar w:left="240" w:top="459" w:right="3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Further Details Concerning Voting</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When taking a vote, we will use the following rules to decide how much principal to attribute to a debt security:</w:t>
      </w:r>
    </w:p>
    <w:p>
      <w:pPr>
        <w:spacing w:after="0" w:line="69" w:lineRule="exact"/>
        <w:rPr>
          <w:sz w:val="20"/>
          <w:szCs w:val="20"/>
          <w:color w:val="auto"/>
        </w:rPr>
      </w:pPr>
    </w:p>
    <w:p>
      <w:pPr>
        <w:ind w:left="540" w:right="40" w:hanging="316"/>
        <w:spacing w:after="0" w:line="239" w:lineRule="auto"/>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for original issue discount securities, we will use the principal amount that would be due and payable on the voting date if the maturity of these debt securities were accelerated to that date because of a default;</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for debt securities whose principal amount is not known (for example, because it is based on an index), we will use a special rule for that debt security described in the prospectus supplement; and</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for debt securities denominated in one or more foreign currencies, we will use the U.S. dollar equivalent.</w:t>
      </w:r>
    </w:p>
    <w:p>
      <w:pPr>
        <w:spacing w:after="0" w:line="150"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8" w:lineRule="exact"/>
        <w:rPr>
          <w:sz w:val="20"/>
          <w:szCs w:val="20"/>
          <w:color w:val="auto"/>
        </w:rPr>
      </w:pPr>
    </w:p>
    <w:p>
      <w:pPr>
        <w:ind w:right="460" w:firstLine="456"/>
        <w:spacing w:after="0" w:line="241" w:lineRule="auto"/>
        <w:rPr>
          <w:sz w:val="20"/>
          <w:szCs w:val="20"/>
          <w:color w:val="auto"/>
        </w:rPr>
      </w:pPr>
      <w:r>
        <w:rPr>
          <w:rFonts w:ascii="Arial" w:cs="Arial" w:eastAsia="Arial" w:hAnsi="Arial"/>
          <w:sz w:val="14"/>
          <w:szCs w:val="14"/>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Defeasance</w:t>
      </w:r>
    </w:p>
    <w:p>
      <w:pPr>
        <w:spacing w:after="0" w:line="71"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Covenant Defeasance</w:t>
      </w:r>
    </w:p>
    <w:p>
      <w:pPr>
        <w:spacing w:after="0" w:line="69"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58" w:lineRule="exact"/>
        <w:rPr>
          <w:sz w:val="20"/>
          <w:szCs w:val="20"/>
          <w:color w:val="auto"/>
        </w:rPr>
      </w:pPr>
    </w:p>
    <w:p>
      <w:pPr>
        <w:ind w:left="540" w:right="100" w:hanging="316"/>
        <w:spacing w:after="0" w:line="317" w:lineRule="auto"/>
        <w:tabs>
          <w:tab w:leader="none" w:pos="5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ind w:left="540" w:right="120" w:hanging="316"/>
        <w:spacing w:after="0" w:line="239"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39"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3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Full Defeasance</w:t>
      </w:r>
    </w:p>
    <w:p>
      <w:pPr>
        <w:spacing w:after="0" w:line="69" w:lineRule="exact"/>
        <w:rPr>
          <w:sz w:val="20"/>
          <w:szCs w:val="20"/>
          <w:color w:val="auto"/>
        </w:rPr>
      </w:pPr>
    </w:p>
    <w:p>
      <w:pPr>
        <w:ind w:right="660" w:firstLine="456"/>
        <w:spacing w:after="0" w:line="239" w:lineRule="auto"/>
        <w:rPr>
          <w:sz w:val="20"/>
          <w:szCs w:val="20"/>
          <w:color w:val="auto"/>
        </w:rPr>
      </w:pPr>
      <w:r>
        <w:rPr>
          <w:rFonts w:ascii="Arial" w:cs="Arial" w:eastAsia="Arial" w:hAnsi="Arial"/>
          <w:sz w:val="14"/>
          <w:szCs w:val="14"/>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8" w:lineRule="exact"/>
        <w:rPr>
          <w:sz w:val="20"/>
          <w:szCs w:val="20"/>
          <w:color w:val="auto"/>
        </w:rPr>
      </w:pPr>
    </w:p>
    <w:p>
      <w:pPr>
        <w:ind w:left="540" w:right="100" w:hanging="316"/>
        <w:spacing w:after="0" w:line="317" w:lineRule="auto"/>
        <w:tabs>
          <w:tab w:leader="none" w:pos="5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ind w:left="540" w:right="80" w:hanging="316"/>
        <w:spacing w:after="0" w:line="278" w:lineRule="auto"/>
        <w:tabs>
          <w:tab w:leader="none" w:pos="5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22" w:lineRule="exact"/>
        <w:rPr>
          <w:rFonts w:ascii="Arial" w:cs="Arial" w:eastAsia="Arial" w:hAnsi="Arial"/>
          <w:sz w:val="12"/>
          <w:szCs w:val="12"/>
          <w:color w:val="auto"/>
        </w:rPr>
      </w:pPr>
    </w:p>
    <w:p>
      <w:pPr>
        <w:ind w:left="540" w:right="540" w:hanging="316"/>
        <w:spacing w:after="0" w:line="239"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Form, Exchange and Transfer of Certificated Registered Securities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registered debt securities cease to be issued in book-entry form, they will be issued:</w:t>
      </w:r>
    </w:p>
    <w:p>
      <w:pPr>
        <w:spacing w:after="0" w:line="55" w:lineRule="exact"/>
        <w:rPr>
          <w:sz w:val="20"/>
          <w:szCs w:val="20"/>
          <w:color w:val="auto"/>
        </w:rPr>
      </w:pPr>
    </w:p>
    <w:p>
      <w:pPr>
        <w:ind w:left="540" w:hanging="316"/>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only in fully registered certificated form;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without interest coupons;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unless we indicate otherwise in the prospectus supplement, in denominations of $1,000 and amounts that are multiples of $1,000.</w:t>
      </w:r>
    </w:p>
    <w:p>
      <w:pPr>
        <w:spacing w:after="0" w:line="15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Holders may exchange their certificated securities for debt securities of smaller denominations or combined into fewer debt securities of larger denominations, as long as the total principal amount is not changed.</w:t>
      </w:r>
    </w:p>
    <w:p>
      <w:pPr>
        <w:spacing w:after="0" w:line="139"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3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39"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39" w:lineRule="exact"/>
        <w:rPr>
          <w:sz w:val="20"/>
          <w:szCs w:val="20"/>
          <w:color w:val="auto"/>
        </w:rPr>
      </w:pPr>
    </w:p>
    <w:p>
      <w:pPr>
        <w:ind w:right="160" w:firstLine="456"/>
        <w:spacing w:after="0" w:line="230" w:lineRule="auto"/>
        <w:rPr>
          <w:sz w:val="20"/>
          <w:szCs w:val="20"/>
          <w:color w:val="auto"/>
        </w:rPr>
      </w:pPr>
      <w:r>
        <w:rPr>
          <w:rFonts w:ascii="Arial" w:cs="Arial" w:eastAsia="Arial" w:hAnsi="Arial"/>
          <w:sz w:val="14"/>
          <w:szCs w:val="14"/>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39"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Resignation of Trustee</w:t>
      </w:r>
    </w:p>
    <w:p>
      <w:pPr>
        <w:spacing w:after="0" w:line="71" w:lineRule="exact"/>
        <w:rPr>
          <w:sz w:val="20"/>
          <w:szCs w:val="20"/>
          <w:color w:val="auto"/>
        </w:rPr>
      </w:pPr>
    </w:p>
    <w:p>
      <w:pPr>
        <w:jc w:val="both"/>
        <w:ind w:right="120" w:firstLine="456"/>
        <w:spacing w:after="0" w:line="233" w:lineRule="auto"/>
        <w:rPr>
          <w:sz w:val="20"/>
          <w:szCs w:val="20"/>
          <w:color w:val="auto"/>
        </w:rPr>
      </w:pPr>
      <w:r>
        <w:rPr>
          <w:rFonts w:ascii="Arial" w:cs="Arial" w:eastAsia="Arial" w:hAnsi="Arial"/>
          <w:sz w:val="14"/>
          <w:szCs w:val="14"/>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Indenture Provisions—Subordination</w:t>
      </w:r>
    </w:p>
    <w:p>
      <w:pPr>
        <w:spacing w:after="0" w:line="7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2"/>
          <w:szCs w:val="12"/>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By reason of this subordination, in the event of a distribution of our assets upon our insolvency, certain of our senior creditors may recover more, ratably, than holders of any subordinated debt securities.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The indenture provides that these subordination provisions will not apply to money and securities held in trust under the defeasance provisions of the indenture.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Senior Indebtedness is defined in the indenture as the principal of (and premium, if any) and unpaid interest on:</w:t>
      </w:r>
    </w:p>
    <w:p>
      <w:pPr>
        <w:spacing w:after="0" w:line="69" w:lineRule="exact"/>
        <w:rPr>
          <w:sz w:val="20"/>
          <w:szCs w:val="20"/>
          <w:color w:val="auto"/>
        </w:rPr>
      </w:pPr>
    </w:p>
    <w:p>
      <w:pPr>
        <w:ind w:left="540" w:right="100" w:hanging="316"/>
        <w:spacing w:after="0" w:line="233"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44" w:lineRule="exact"/>
        <w:rPr>
          <w:rFonts w:ascii="Arial" w:cs="Arial" w:eastAsia="Arial" w:hAnsi="Arial"/>
          <w:sz w:val="14"/>
          <w:szCs w:val="14"/>
          <w:color w:val="auto"/>
        </w:rPr>
      </w:pPr>
    </w:p>
    <w:p>
      <w:pPr>
        <w:ind w:left="540" w:hanging="316"/>
        <w:spacing w:after="0"/>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renewals, extensions, modifications and refinancings of any of this indebtedness.</w:t>
      </w:r>
    </w:p>
    <w:p>
      <w:pPr>
        <w:spacing w:after="0" w:line="150"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Trustee under the Indenture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use American Stock Transfer &amp; Trust Company, LLC to serve as the trustee under the indenture.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Certain Considerations Relating to Foreign Currencies</w:t>
      </w:r>
    </w:p>
    <w:p>
      <w:pPr>
        <w:spacing w:after="0" w:line="71"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REGULATION</w:t>
      </w:r>
    </w:p>
    <w:p>
      <w:pPr>
        <w:spacing w:after="0" w:line="152"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Qualifying Assets</w:t>
      </w:r>
    </w:p>
    <w:p>
      <w:pPr>
        <w:spacing w:after="0" w:line="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12" w:lineRule="exact"/>
        <w:rPr>
          <w:sz w:val="20"/>
          <w:szCs w:val="20"/>
          <w:color w:val="auto"/>
        </w:rPr>
      </w:pPr>
    </w:p>
    <w:p>
      <w:pPr>
        <w:ind w:left="680" w:right="20" w:hanging="334"/>
        <w:spacing w:after="0" w:line="233" w:lineRule="auto"/>
        <w:tabs>
          <w:tab w:leader="none" w:pos="6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44" w:lineRule="exact"/>
        <w:rPr>
          <w:rFonts w:ascii="Arial" w:cs="Arial" w:eastAsia="Arial" w:hAnsi="Arial"/>
          <w:sz w:val="14"/>
          <w:szCs w:val="14"/>
          <w:color w:val="auto"/>
        </w:rPr>
      </w:pPr>
    </w:p>
    <w:p>
      <w:pPr>
        <w:ind w:left="1380" w:hanging="346"/>
        <w:spacing w:after="0"/>
        <w:tabs>
          <w:tab w:leader="none" w:pos="13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55" w:lineRule="exact"/>
        <w:rPr>
          <w:rFonts w:ascii="Arial" w:cs="Arial" w:eastAsia="Arial" w:hAnsi="Arial"/>
          <w:sz w:val="14"/>
          <w:szCs w:val="14"/>
          <w:color w:val="auto"/>
        </w:rPr>
      </w:pPr>
    </w:p>
    <w:p>
      <w:pPr>
        <w:ind w:left="1380" w:hanging="346"/>
        <w:spacing w:after="0" w:line="239" w:lineRule="auto"/>
        <w:tabs>
          <w:tab w:leader="none" w:pos="13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43" w:lineRule="exact"/>
        <w:rPr>
          <w:rFonts w:ascii="Arial" w:cs="Arial" w:eastAsia="Arial" w:hAnsi="Arial"/>
          <w:sz w:val="14"/>
          <w:szCs w:val="14"/>
          <w:color w:val="auto"/>
        </w:rPr>
      </w:pPr>
    </w:p>
    <w:p>
      <w:pPr>
        <w:ind w:left="1380" w:right="520" w:hanging="346"/>
        <w:spacing w:after="0" w:line="239" w:lineRule="auto"/>
        <w:tabs>
          <w:tab w:leader="none" w:pos="13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43" w:lineRule="exact"/>
        <w:rPr>
          <w:rFonts w:ascii="Arial" w:cs="Arial" w:eastAsia="Arial" w:hAnsi="Arial"/>
          <w:sz w:val="14"/>
          <w:szCs w:val="14"/>
          <w:color w:val="auto"/>
        </w:rPr>
      </w:pPr>
    </w:p>
    <w:p>
      <w:pPr>
        <w:ind w:left="680" w:hanging="334"/>
        <w:spacing w:after="0"/>
        <w:tabs>
          <w:tab w:leader="none" w:pos="6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55" w:lineRule="exact"/>
        <w:rPr>
          <w:rFonts w:ascii="Arial" w:cs="Arial" w:eastAsia="Arial" w:hAnsi="Arial"/>
          <w:sz w:val="14"/>
          <w:szCs w:val="14"/>
          <w:color w:val="auto"/>
        </w:rPr>
      </w:pPr>
    </w:p>
    <w:p>
      <w:pPr>
        <w:ind w:left="680" w:right="60" w:hanging="334"/>
        <w:spacing w:after="0" w:line="233" w:lineRule="auto"/>
        <w:tabs>
          <w:tab w:leader="none" w:pos="6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44" w:lineRule="exact"/>
        <w:rPr>
          <w:rFonts w:ascii="Arial" w:cs="Arial" w:eastAsia="Arial" w:hAnsi="Arial"/>
          <w:sz w:val="14"/>
          <w:szCs w:val="14"/>
          <w:color w:val="auto"/>
        </w:rPr>
      </w:pPr>
    </w:p>
    <w:p>
      <w:pPr>
        <w:ind w:left="680" w:right="60" w:hanging="334"/>
        <w:spacing w:after="0" w:line="239" w:lineRule="auto"/>
        <w:tabs>
          <w:tab w:leader="none" w:pos="6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43" w:lineRule="exact"/>
        <w:rPr>
          <w:rFonts w:ascii="Arial" w:cs="Arial" w:eastAsia="Arial" w:hAnsi="Arial"/>
          <w:sz w:val="14"/>
          <w:szCs w:val="14"/>
          <w:color w:val="auto"/>
        </w:rPr>
      </w:pPr>
    </w:p>
    <w:p>
      <w:pPr>
        <w:ind w:left="680" w:hanging="334"/>
        <w:spacing w:after="0"/>
        <w:tabs>
          <w:tab w:leader="none" w:pos="6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Securities received in exchange for or distributed on or with respect to securities described in (1) through (4) above, or pursuant to the exercise of warrants or rights relating to such securities.</w:t>
      </w:r>
    </w:p>
    <w:p>
      <w:pPr>
        <w:spacing w:after="0" w:line="78" w:lineRule="exact"/>
        <w:rPr>
          <w:rFonts w:ascii="Arial" w:cs="Arial" w:eastAsia="Arial" w:hAnsi="Arial"/>
          <w:sz w:val="12"/>
          <w:szCs w:val="12"/>
          <w:color w:val="auto"/>
        </w:rPr>
      </w:pPr>
    </w:p>
    <w:p>
      <w:pPr>
        <w:ind w:left="680" w:hanging="334"/>
        <w:spacing w:after="0"/>
        <w:tabs>
          <w:tab w:leader="none" w:pos="6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15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Managerial Assistance to Portfolio Companies</w:t>
      </w:r>
    </w:p>
    <w:p>
      <w:pPr>
        <w:spacing w:after="0" w:line="71"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Temporary Investments</w:t>
      </w:r>
    </w:p>
    <w:p>
      <w:pPr>
        <w:spacing w:after="0" w:line="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Securities</w:t>
      </w:r>
    </w:p>
    <w:p>
      <w:pPr>
        <w:spacing w:after="0" w:line="7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2"/>
          <w:szCs w:val="12"/>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will affect our ability to, and the way in which we, raise additional capital.”</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Joint Code of Ethics and Code of Conduct</w:t>
      </w:r>
    </w:p>
    <w:p>
      <w:pPr>
        <w:spacing w:after="0" w:line="71"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 xml:space="preserve">We and PennantPark Investment Advisers have adopted a joint code of ethics pursuant to Rule 17j-1 under the 1940 Act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You may also obtain a copy of our joint code of ethics, after paying a duplicating fee, by electronic request at the following email address: publicinfo@sec.gov, or by writing the SEC’s Public Reference Section, 100 F Street, N.E., Washington, D.C. 20549.</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Voting Policies and Procedures</w:t>
      </w:r>
    </w:p>
    <w:p>
      <w:pPr>
        <w:spacing w:after="0" w:line="71" w:lineRule="exact"/>
        <w:rPr>
          <w:sz w:val="20"/>
          <w:szCs w:val="20"/>
          <w:color w:val="auto"/>
        </w:rPr>
      </w:pPr>
    </w:p>
    <w:p>
      <w:pPr>
        <w:ind w:right="200" w:firstLine="456"/>
        <w:spacing w:after="0" w:line="233"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Introduction</w:t>
      </w:r>
    </w:p>
    <w:p>
      <w:pPr>
        <w:spacing w:after="0" w:line="6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These policies and procedures for voting proxies for our investment advisory clients are intended to comply with Section 206 of, and Rule 206(4)-6 under, the Advisers Act.</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Proxy Policies</w:t>
      </w:r>
    </w:p>
    <w:p>
      <w:pPr>
        <w:spacing w:after="0" w:line="69"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Our proxy voting decisions are made by the senior officers who are responsible for monitoring each of clients’ investments. To ensure that our vote is not the product of a conflict of interest, we require</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that: (1) anyone involved in the decision making process disclose to our Chief Compliance Officer any potential conflict that he or she is aware of and any contact that he or she has had with any interested party</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regarding a proxy vote; and (2) employees involved in the decision making process or vote administration are prohibited from revealing how we intend to vote on a proposal in order to reduce any attempted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influence from interested parties.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Proxy Voting Records</w:t>
      </w:r>
    </w:p>
    <w:p>
      <w:pPr>
        <w:spacing w:after="0" w:line="69" w:lineRule="exact"/>
        <w:rPr>
          <w:sz w:val="20"/>
          <w:szCs w:val="20"/>
          <w:color w:val="auto"/>
        </w:rPr>
      </w:pPr>
    </w:p>
    <w:p>
      <w:pPr>
        <w:ind w:right="140" w:firstLine="456"/>
        <w:spacing w:after="0" w:line="248" w:lineRule="auto"/>
        <w:rPr>
          <w:sz w:val="20"/>
          <w:szCs w:val="20"/>
          <w:color w:val="auto"/>
        </w:rPr>
      </w:pPr>
      <w:r>
        <w:rPr>
          <w:rFonts w:ascii="Arial" w:cs="Arial" w:eastAsia="Arial" w:hAnsi="Arial"/>
          <w:sz w:val="14"/>
          <w:szCs w:val="14"/>
          <w:color w:val="auto"/>
        </w:rPr>
        <w:t>You may obtain information about how we voted proxies by calling us collect at (212) 905-1000 or by making a written request for proxy voting information to: Aviv Efrat, Chief Financial Officer and Treasurer, 590 Madison Avenue,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 New York, New York 10022.</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Privacy Protection Principles</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3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3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3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 xml:space="preserve">Our privacy protection policies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In addition, the privacy policy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filed as an exhibit to our annual report on Form 10-K (File No. 814-00891 filed on November 17, 2011). You may also obtain copies of our privacy policy, after paying a duplicating fee, by</w:t>
      </w:r>
      <w:r>
        <w:rPr>
          <w:rFonts w:ascii="Arial" w:cs="Arial" w:eastAsia="Arial" w:hAnsi="Arial"/>
          <w:sz w:val="12"/>
          <w:szCs w:val="12"/>
          <w:i w:val="1"/>
          <w:iCs w:val="1"/>
          <w:color w:val="auto"/>
        </w:rPr>
        <w:t xml:space="preserve"> </w:t>
      </w:r>
      <w:r>
        <w:rPr>
          <w:rFonts w:ascii="Arial" w:cs="Arial" w:eastAsia="Arial" w:hAnsi="Arial"/>
          <w:sz w:val="12"/>
          <w:szCs w:val="12"/>
          <w:color w:val="auto"/>
        </w:rPr>
        <w:t>electronic request at the following email address: publicinfo@sec.gov, or by writing the SEC’s Public Reference Section, 100 F Street, N.E., Washington, D.C. 20549.</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71"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independent directors and, in some cases, prior approval by the SEC.</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will be periodically examined by the SEC for compliance with the 1940 Act.</w:t>
      </w:r>
    </w:p>
    <w:p>
      <w:pPr>
        <w:spacing w:after="0" w:line="150" w:lineRule="exact"/>
        <w:rPr>
          <w:sz w:val="20"/>
          <w:szCs w:val="20"/>
          <w:color w:val="auto"/>
        </w:rPr>
      </w:pPr>
    </w:p>
    <w:p>
      <w:pPr>
        <w:jc w:val="both"/>
        <w:ind w:right="20" w:firstLine="456"/>
        <w:spacing w:after="0" w:line="233"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Floating Rate Capital Ltd. or our stockholders arising from willful misfeasance, bad faith, gross negligence or reckless disregard of the duties involved in the conduct of such person’s office.</w:t>
      </w:r>
    </w:p>
    <w:p>
      <w:pPr>
        <w:spacing w:after="0" w:line="139"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Sarbanes-Oxley Act of 2002</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Sarbanes-Oxley Act imposes several regulatory requirements on publicly held companies and their insiders. Many of these requirements affect us.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For example:</w:t>
      </w:r>
    </w:p>
    <w:p>
      <w:pPr>
        <w:spacing w:after="0" w:line="69" w:lineRule="exact"/>
        <w:rPr>
          <w:sz w:val="20"/>
          <w:szCs w:val="20"/>
          <w:color w:val="auto"/>
        </w:rPr>
      </w:pPr>
    </w:p>
    <w:p>
      <w:pPr>
        <w:ind w:left="540" w:hanging="316"/>
        <w:spacing w:after="0"/>
        <w:tabs>
          <w:tab w:leader="none" w:pos="540" w:val="left"/>
        </w:tabs>
        <w:numPr>
          <w:ilvl w:val="0"/>
          <w:numId w:val="67"/>
        </w:numPr>
        <w:rPr>
          <w:rFonts w:ascii="Arial" w:cs="Arial" w:eastAsia="Arial" w:hAnsi="Arial"/>
          <w:sz w:val="12"/>
          <w:szCs w:val="12"/>
          <w:color w:val="auto"/>
        </w:rPr>
      </w:pPr>
      <w:r>
        <w:rPr>
          <w:rFonts w:ascii="Arial" w:cs="Arial" w:eastAsia="Arial" w:hAnsi="Arial"/>
          <w:sz w:val="12"/>
          <w:szCs w:val="12"/>
          <w:color w:val="auto"/>
        </w:rPr>
        <w:t>pursuant to Rule 13a-14 of the Exchange Act, our Chief Executive Officer and Chief Financial Officer must certify the accuracy of the financial statements contained in our periodic reports;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55" w:lineRule="exact"/>
        <w:rPr>
          <w:rFonts w:ascii="Arial" w:cs="Arial" w:eastAsia="Arial" w:hAnsi="Arial"/>
          <w:sz w:val="14"/>
          <w:szCs w:val="14"/>
          <w:color w:val="auto"/>
        </w:rPr>
      </w:pPr>
    </w:p>
    <w:p>
      <w:pPr>
        <w:ind w:left="540" w:right="180" w:hanging="316"/>
        <w:spacing w:after="0" w:line="239" w:lineRule="auto"/>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43" w:lineRule="exact"/>
        <w:rPr>
          <w:rFonts w:ascii="Arial" w:cs="Arial" w:eastAsia="Arial" w:hAnsi="Arial"/>
          <w:sz w:val="14"/>
          <w:szCs w:val="14"/>
          <w:color w:val="auto"/>
        </w:rPr>
      </w:pPr>
    </w:p>
    <w:p>
      <w:pPr>
        <w:ind w:left="540" w:hanging="316"/>
        <w:spacing w:after="0" w:line="233" w:lineRule="auto"/>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220" w:lineRule="exact"/>
        <w:rPr>
          <w:sz w:val="20"/>
          <w:szCs w:val="20"/>
          <w:color w:val="auto"/>
        </w:rPr>
      </w:pPr>
    </w:p>
    <w:p>
      <w:pPr>
        <w:ind w:right="400" w:firstLine="456"/>
        <w:spacing w:after="0" w:line="318" w:lineRule="auto"/>
        <w:rPr>
          <w:sz w:val="20"/>
          <w:szCs w:val="20"/>
          <w:color w:val="auto"/>
        </w:rPr>
      </w:pPr>
      <w:r>
        <w:rPr>
          <w:rFonts w:ascii="Arial" w:cs="Arial" w:eastAsia="Arial" w:hAnsi="Arial"/>
          <w:sz w:val="12"/>
          <w:szCs w:val="12"/>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BROKERAGE ALLOCATIONS AND OTHER PRACTICES</w:t>
      </w:r>
    </w:p>
    <w:p>
      <w:pPr>
        <w:spacing w:after="0" w:line="152"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Floating Rate Capital Ltd.,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MATERIAL U.S. FEDERAL INCOME TAX CONSIDERATIONS</w:t>
      </w:r>
    </w:p>
    <w:p>
      <w:pPr>
        <w:spacing w:after="0" w:line="152"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“U.S. stockholder” generally is a beneficial owner of shares of our common stock that is for U.S. federal income tax purposes:</w:t>
      </w:r>
    </w:p>
    <w:p>
      <w:pPr>
        <w:spacing w:after="0" w:line="55" w:lineRule="exact"/>
        <w:rPr>
          <w:sz w:val="20"/>
          <w:szCs w:val="20"/>
          <w:color w:val="auto"/>
        </w:rPr>
      </w:pPr>
    </w:p>
    <w:p>
      <w:pPr>
        <w:ind w:left="540" w:hanging="316"/>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 citizen or individual resident of the United States;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8"/>
        </w:numPr>
        <w:rPr>
          <w:rFonts w:ascii="Arial" w:cs="Arial" w:eastAsia="Arial" w:hAnsi="Arial"/>
          <w:sz w:val="12"/>
          <w:szCs w:val="12"/>
          <w:color w:val="auto"/>
        </w:rPr>
      </w:pPr>
      <w:r>
        <w:rPr>
          <w:rFonts w:ascii="Arial" w:cs="Arial" w:eastAsia="Arial" w:hAnsi="Arial"/>
          <w:sz w:val="12"/>
          <w:szCs w:val="12"/>
          <w:color w:val="auto"/>
        </w:rPr>
        <w:t>a corporation, or other entity treated as a corporation for U.S. federal income tax purposes, created or organized in or under the laws of the United States or any state thereof or the District of Columbia;</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 trust or an estate, the income of which is subject to U.S. federal income taxation regardless of its source; or</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68"/>
        </w:numPr>
        <w:rPr>
          <w:rFonts w:ascii="Arial" w:cs="Arial" w:eastAsia="Arial" w:hAnsi="Arial"/>
          <w:sz w:val="12"/>
          <w:szCs w:val="12"/>
          <w:color w:val="auto"/>
        </w:rPr>
      </w:pPr>
      <w:r>
        <w:rPr>
          <w:rFonts w:ascii="Arial" w:cs="Arial" w:eastAsia="Arial" w:hAnsi="Arial"/>
          <w:sz w:val="12"/>
          <w:szCs w:val="12"/>
          <w:color w:val="auto"/>
        </w:rPr>
        <w:t>a trust over whose administration a court within the United States has primary supervision and all substantial decisions of which are under the control of one or more U.S. fiduciaries.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“Non-U.S. stockholder” is a beneficial owner of shares of our common stock that is neither a U.S. stockholder nor a partnership for U.S. federal income tax purposes.</w:t>
      </w:r>
    </w:p>
    <w:p>
      <w:pPr>
        <w:spacing w:after="0" w:line="150" w:lineRule="exact"/>
        <w:rPr>
          <w:sz w:val="20"/>
          <w:szCs w:val="20"/>
          <w:color w:val="auto"/>
        </w:rPr>
      </w:pPr>
    </w:p>
    <w:p>
      <w:pPr>
        <w:ind w:right="280" w:firstLine="456"/>
        <w:spacing w:after="0" w:line="233" w:lineRule="auto"/>
        <w:rPr>
          <w:sz w:val="20"/>
          <w:szCs w:val="20"/>
          <w:color w:val="auto"/>
        </w:rPr>
      </w:pPr>
      <w:r>
        <w:rPr>
          <w:rFonts w:ascii="Arial" w:cs="Arial" w:eastAsia="Arial" w:hAnsi="Arial"/>
          <w:sz w:val="14"/>
          <w:szCs w:val="14"/>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39" w:lineRule="exact"/>
        <w:rPr>
          <w:sz w:val="20"/>
          <w:szCs w:val="20"/>
          <w:color w:val="auto"/>
        </w:rPr>
      </w:pPr>
    </w:p>
    <w:p>
      <w:pPr>
        <w:jc w:val="both"/>
        <w:ind w:right="100" w:firstLine="456"/>
        <w:spacing w:after="0" w:line="233" w:lineRule="auto"/>
        <w:rPr>
          <w:sz w:val="20"/>
          <w:szCs w:val="20"/>
          <w:color w:val="auto"/>
        </w:rPr>
      </w:pPr>
      <w:r>
        <w:rPr>
          <w:rFonts w:ascii="Arial" w:cs="Arial" w:eastAsia="Arial" w:hAnsi="Arial"/>
          <w:sz w:val="14"/>
          <w:szCs w:val="14"/>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in Connection with Holding Securities other than our Common Stock</w:t>
      </w:r>
    </w:p>
    <w:p>
      <w:pPr>
        <w:spacing w:after="0" w:line="71" w:lineRule="exact"/>
        <w:rPr>
          <w:sz w:val="20"/>
          <w:szCs w:val="20"/>
          <w:color w:val="auto"/>
        </w:rPr>
      </w:pPr>
    </w:p>
    <w:p>
      <w:pPr>
        <w:ind w:right="200" w:firstLine="456"/>
        <w:spacing w:after="0" w:line="230" w:lineRule="auto"/>
        <w:rPr>
          <w:sz w:val="20"/>
          <w:szCs w:val="20"/>
          <w:color w:val="auto"/>
        </w:rPr>
      </w:pPr>
      <w:r>
        <w:rPr>
          <w:rFonts w:ascii="Arial" w:cs="Arial" w:eastAsia="Arial" w:hAnsi="Arial"/>
          <w:sz w:val="14"/>
          <w:szCs w:val="14"/>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Election to be Taxed as a RIC</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55" w:lineRule="exact"/>
        <w:rPr>
          <w:sz w:val="20"/>
          <w:szCs w:val="20"/>
          <w:color w:val="auto"/>
        </w:rPr>
      </w:pPr>
    </w:p>
    <w:p>
      <w:pPr>
        <w:ind w:left="540" w:hanging="316"/>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maintain an election to be treated as a BDC under the 1940 Act at all times during each taxable year;</w:t>
      </w:r>
    </w:p>
    <w:p>
      <w:pPr>
        <w:spacing w:after="0" w:line="55" w:lineRule="exact"/>
        <w:rPr>
          <w:rFonts w:ascii="Arial" w:cs="Arial" w:eastAsia="Arial" w:hAnsi="Arial"/>
          <w:sz w:val="14"/>
          <w:szCs w:val="14"/>
          <w:color w:val="auto"/>
        </w:rPr>
      </w:pPr>
    </w:p>
    <w:p>
      <w:pPr>
        <w:ind w:left="540" w:right="240" w:hanging="316"/>
        <w:spacing w:after="0" w:line="317" w:lineRule="auto"/>
        <w:tabs>
          <w:tab w:leader="none" w:pos="5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ind w:left="540" w:hanging="316"/>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diversify our holdings so that at the end of each quarter of the taxable year:</w:t>
      </w:r>
    </w:p>
    <w:p>
      <w:pPr>
        <w:spacing w:after="0" w:line="55" w:lineRule="exact"/>
        <w:rPr>
          <w:rFonts w:ascii="Arial" w:cs="Arial" w:eastAsia="Arial" w:hAnsi="Arial"/>
          <w:sz w:val="14"/>
          <w:szCs w:val="14"/>
          <w:color w:val="auto"/>
        </w:rPr>
      </w:pPr>
    </w:p>
    <w:p>
      <w:pPr>
        <w:ind w:left="1380" w:right="280" w:hanging="346"/>
        <w:spacing w:after="0" w:line="317" w:lineRule="auto"/>
        <w:tabs>
          <w:tab w:leader="none" w:pos="1380" w:val="left"/>
        </w:tabs>
        <w:numPr>
          <w:ilvl w:val="1"/>
          <w:numId w:val="69"/>
        </w:numPr>
        <w:rPr>
          <w:rFonts w:ascii="Arial" w:cs="Arial" w:eastAsia="Arial" w:hAnsi="Arial"/>
          <w:sz w:val="12"/>
          <w:szCs w:val="12"/>
          <w:color w:val="auto"/>
        </w:rPr>
      </w:pPr>
      <w:r>
        <w:rPr>
          <w:rFonts w:ascii="Arial" w:cs="Arial" w:eastAsia="Arial" w:hAnsi="Arial"/>
          <w:sz w:val="12"/>
          <w:szCs w:val="12"/>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ind w:left="1380" w:hanging="346"/>
        <w:spacing w:after="0" w:line="233" w:lineRule="auto"/>
        <w:tabs>
          <w:tab w:leader="none" w:pos="1380" w:val="left"/>
        </w:tabs>
        <w:numPr>
          <w:ilvl w:val="1"/>
          <w:numId w:val="69"/>
        </w:numPr>
        <w:rPr>
          <w:rFonts w:ascii="Arial" w:cs="Arial" w:eastAsia="Arial" w:hAnsi="Arial"/>
          <w:sz w:val="14"/>
          <w:szCs w:val="14"/>
          <w:color w:val="auto"/>
        </w:rPr>
      </w:pPr>
      <w:r>
        <w:rPr>
          <w:rFonts w:ascii="Arial" w:cs="Arial" w:eastAsia="Arial" w:hAnsi="Arial"/>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as a RIC</w:t>
      </w:r>
    </w:p>
    <w:p>
      <w:pPr>
        <w:spacing w:after="0" w:line="71"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3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40"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3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17" w:lineRule="exact"/>
        <w:rPr>
          <w:sz w:val="20"/>
          <w:szCs w:val="20"/>
          <w:color w:val="auto"/>
        </w:rPr>
      </w:pPr>
    </w:p>
    <w:p>
      <w:pPr>
        <w:jc w:val="both"/>
        <w:ind w:right="180" w:firstLine="456"/>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Failure to Qualify as a RIC</w:t>
      </w:r>
    </w:p>
    <w:p>
      <w:pPr>
        <w:spacing w:after="0" w:line="71"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3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remainder of this discussion assumes that we qualify as a RIC and have satisfied the Annual Distribution Requirement.</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of U.S. Stockholders</w:t>
      </w:r>
    </w:p>
    <w:p>
      <w:pPr>
        <w:spacing w:after="0" w:line="71" w:lineRule="exact"/>
        <w:rPr>
          <w:sz w:val="20"/>
          <w:szCs w:val="20"/>
          <w:color w:val="auto"/>
        </w:rPr>
      </w:pPr>
    </w:p>
    <w:p>
      <w:pPr>
        <w:ind w:right="60" w:firstLine="456"/>
        <w:spacing w:after="0" w:line="265" w:lineRule="auto"/>
        <w:rPr>
          <w:sz w:val="20"/>
          <w:szCs w:val="20"/>
          <w:color w:val="auto"/>
        </w:rPr>
      </w:pPr>
      <w:r>
        <w:rPr>
          <w:rFonts w:ascii="Arial" w:cs="Arial" w:eastAsia="Arial" w:hAnsi="Arial"/>
          <w:sz w:val="12"/>
          <w:szCs w:val="12"/>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for taxable years beginning before 2013 (but not for taxable years beginning thereafter unless the relevant provisions are extended by legislation),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reported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4"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Although we currently intend to distribute any long-term capital gains at least annually, we may in the future decide to retain some or all of our long-term capital gains, but report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8"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0"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3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2"/>
          <w:szCs w:val="12"/>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20"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In general, individual U.S. stockholders currently are subject to a maximum federal income tax rate of 15% on their net capital gain (through 2012), i.e., the excess of realized net long-term capital gain over realized net short-term capital loss for a taxable year, including a long-term capital gain derived from an investment in our shares. Such rate is lower than the maximum rate of 35% on ordinary income currently payable by individuals through 2012. After 2012, these maximum individual tax rates currently are scheduled to increase to 20% (for long-term capital gain) and 39.6% (for ordinary income). Furthermore, for taxable years beginning after December 31, 2012, an additional 3.8% Medicare tax will be imposed on certain net investment income (including interest, dividends, annuities, royalties, rents and net capital gains) of a U.S. stockholder that is an individual, estate or trust, to the extent that such person’s “modified adjusted gross income” (in the case of an individual) or “adjusted gross income” (in the case of an estate or trust) exceeds a threshold amount.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28"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U.S. stockholders may be subject to federal income tax withholding (“backup withholding”) currently at a rate of 28% (until 2013 when a higher rate may apply)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of Non-U.S. Stockholders</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39"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and, in the case of a corporate Non-U.S. stockholder, an additional “branch profits” tax at a 30% rate (or a lower rate if provided for by an applicable treaty). In that case, a withholding agent will not be required to withhold federal tax if the Non-U.S. stockholder complies with applicable certification and disclosure requirements. A Non-U.S. stockholder will also be subject to backup withholding unless the stockholder complies with certain certification requirements. Special certification requirements apply to a Non-U.S. stockholder that is a foreign partnership or a foreign trust, and such entities are urged to consult their own tax advisors.</w:t>
      </w:r>
    </w:p>
    <w:p>
      <w:pPr>
        <w:spacing w:after="0" w:line="123" w:lineRule="exact"/>
        <w:rPr>
          <w:sz w:val="20"/>
          <w:szCs w:val="20"/>
          <w:color w:val="auto"/>
        </w:rPr>
      </w:pPr>
    </w:p>
    <w:p>
      <w:pPr>
        <w:ind w:right="360" w:firstLine="456"/>
        <w:spacing w:after="0" w:line="230" w:lineRule="auto"/>
        <w:rPr>
          <w:sz w:val="20"/>
          <w:szCs w:val="20"/>
          <w:color w:val="auto"/>
        </w:rPr>
      </w:pPr>
      <w:r>
        <w:rPr>
          <w:rFonts w:ascii="Arial" w:cs="Arial" w:eastAsia="Arial" w:hAnsi="Arial"/>
          <w:sz w:val="14"/>
          <w:szCs w:val="14"/>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 or, in the case of an individual, the stockholder is present in the United States for 183 days or more during a taxable year.</w:t>
      </w:r>
    </w:p>
    <w:p>
      <w:pPr>
        <w:spacing w:after="0" w:line="13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After December 31, 2013, withholding at a rate of 30% on dividends in respect of, and (after 2014) gross proceeds from the sale of, our common stock held by or through certain foreign financial institutions (including investment funds will be required), unless such institution enters into an agreement with the Secretary of the Treasury to report, on an annual basis, information with respect to shares in, and accounts maintained by, the institution to the extent such shares or accounts are held by certain United States persons or by certain non-U.S. entities that are wholly or partially owned by United States persons. Accordingly, the entity through which our common stock is held will affect the determination of whether such withholding is required. Similarly, dividends in respect of, and gross proceeds from the sale of, our common stock held by an investor that is a non-financial non-U.S. entity may be subject to withholding at a rate of 30%, unless such entity either (i) certifies to us that such entity does not have any “substantial United States owners” or (ii) provides certain information regarding the entity’s “substantial United States owners,” which will in turn provide to the Secretary of the Treasury. Non-U.S. stockholders are encouraged to consult with their tax advisers regarding the possible implications of these requirements on their investment in our common stock.</w:t>
      </w:r>
    </w:p>
    <w:p>
      <w:pPr>
        <w:spacing w:after="0" w:line="123" w:lineRule="exact"/>
        <w:rPr>
          <w:sz w:val="20"/>
          <w:szCs w:val="20"/>
          <w:color w:val="auto"/>
        </w:rPr>
      </w:pPr>
    </w:p>
    <w:p>
      <w:pPr>
        <w:ind w:right="140" w:firstLine="456"/>
        <w:spacing w:after="0" w:line="288" w:lineRule="auto"/>
        <w:rPr>
          <w:sz w:val="20"/>
          <w:szCs w:val="20"/>
          <w:color w:val="auto"/>
        </w:rPr>
      </w:pPr>
      <w:r>
        <w:rPr>
          <w:rFonts w:ascii="Arial" w:cs="Arial" w:eastAsia="Arial" w:hAnsi="Arial"/>
          <w:sz w:val="12"/>
          <w:szCs w:val="12"/>
          <w:color w:val="auto"/>
        </w:rPr>
        <w:t>If we distribute our net capital gains in the form of deemed rather than actual distributions (which we may do in the future), a Non-U.S. stockholder may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w:t>
      </w:r>
    </w:p>
    <w:p>
      <w:pPr>
        <w:spacing w:after="0" w:line="111" w:lineRule="exact"/>
        <w:rPr>
          <w:sz w:val="20"/>
          <w:szCs w:val="20"/>
          <w:color w:val="auto"/>
        </w:rPr>
      </w:pPr>
    </w:p>
    <w:p>
      <w:pPr>
        <w:jc w:val="center"/>
        <w:ind w:left="380" w:right="320"/>
        <w:spacing w:after="0" w:line="459" w:lineRule="auto"/>
        <w:rPr>
          <w:sz w:val="20"/>
          <w:szCs w:val="20"/>
          <w:color w:val="auto"/>
        </w:rPr>
      </w:pPr>
      <w:r>
        <w:rPr>
          <w:rFonts w:ascii="Arial" w:cs="Arial" w:eastAsia="Arial" w:hAnsi="Arial"/>
          <w:sz w:val="14"/>
          <w:szCs w:val="14"/>
          <w:color w:val="auto"/>
        </w:rPr>
        <w:t>Non-U.S. persons should consult their own tax advisors with respect to the U.S. federal income tax and withholding tax, and state, local and foreign tax consequences of an investment in the shares. 98</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PLAN OF DISTRIBUTION</w:t>
      </w:r>
    </w:p>
    <w:p>
      <w:pPr>
        <w:spacing w:after="0" w:line="152" w:lineRule="exact"/>
        <w:rPr>
          <w:sz w:val="20"/>
          <w:szCs w:val="20"/>
          <w:color w:val="auto"/>
        </w:rPr>
      </w:pPr>
    </w:p>
    <w:p>
      <w:pPr>
        <w:jc w:val="both"/>
        <w:ind w:right="80" w:firstLine="456"/>
        <w:spacing w:after="0" w:line="233" w:lineRule="auto"/>
        <w:rPr>
          <w:sz w:val="20"/>
          <w:szCs w:val="20"/>
          <w:color w:val="auto"/>
        </w:rPr>
      </w:pPr>
      <w:r>
        <w:rPr>
          <w:rFonts w:ascii="Arial" w:cs="Arial" w:eastAsia="Arial" w:hAnsi="Arial"/>
          <w:sz w:val="14"/>
          <w:szCs w:val="14"/>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58" w:lineRule="exact"/>
        <w:rPr>
          <w:sz w:val="20"/>
          <w:szCs w:val="20"/>
          <w:color w:val="auto"/>
        </w:rPr>
      </w:pPr>
    </w:p>
    <w:p>
      <w:pPr>
        <w:ind w:left="540" w:hanging="316"/>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name or names of any underwriters, dealers or agents and the amounts of securities underwritten or purchased by each of them;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offering price of the securities and the proceeds to us and any discounts, commissions or concessions allowed or reallowed or paid to dealers;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any securities exchanges on which the securities may be listed.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Any offering price and any discounts or concessions allowed or reallowed or paid to dealers may be changed from time to time.</w:t>
      </w:r>
    </w:p>
    <w:p>
      <w:pPr>
        <w:spacing w:after="0" w:line="150"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139"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39"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may sell the securities through agents from time to time. The prospectus supplement will name any agent involved in the offer or sale of the securities and any commissions we pay to them.</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Generally, any agent will be acting on a best efforts basis for the period of its appointment.</w:t>
      </w:r>
    </w:p>
    <w:p>
      <w:pPr>
        <w:spacing w:after="0" w:line="13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2"/>
          <w:szCs w:val="12"/>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23"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SUB-ADMINISTRATOR, CUSTODIAN, TRANSFER AGENT AND TRUSTEE</w:t>
      </w:r>
    </w:p>
    <w:p>
      <w:pPr>
        <w:spacing w:after="0" w:line="152"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P.O. Box 922, Wall Street Station, New York, New York 10269, telephone number: (800) 937-5449. American Stock Transfer &amp; Trust Company, LLC may also serve as trustee for offerings of our debt securities.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LEGAL MATTERS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Certain legal matters regarding the securities offered by this prospectus will be passed upon for us by Dechert LLP, Washington, D.C., and by Venable LLP, as special Maryland counsel.</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INDEPENDENT REGISTERED PUBLIC ACCOUNTING FIRM</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KPMG LLP, our independent registered public accounting firm, is located at 345 Park Avenue, New York, New York 10154.</w:t>
      </w:r>
    </w:p>
    <w:p>
      <w:pPr>
        <w:spacing w:after="0" w:line="150"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The consolidated financial statements of PennantPark Floating Rate Capital Ltd. as of September 30, 2011, including the consolidated schedule of investments, and for the period March 4, 2011 (commencement of operations) to September 30, 2011, have been included herein in reliance upon the report of KPMG LLP, independent registered public accounting firm, appearing elsewhere herein, and upon the authority of said firm as experts in accounting and auditing.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0" w:type="dxa"/>
            <w:vAlign w:val="bottom"/>
            <w:gridSpan w:val="10"/>
          </w:tcPr>
          <w:p>
            <w:pPr>
              <w:jc w:val="center"/>
              <w:ind w:right="1320"/>
              <w:spacing w:after="0"/>
              <w:rPr>
                <w:sz w:val="20"/>
                <w:szCs w:val="20"/>
                <w:color w:val="auto"/>
              </w:rPr>
            </w:pPr>
            <w:r>
              <w:rPr>
                <w:rFonts w:ascii="Arial" w:cs="Arial" w:eastAsia="Arial" w:hAnsi="Arial"/>
                <w:sz w:val="14"/>
                <w:szCs w:val="14"/>
                <w:b w:val="1"/>
                <w:bCs w:val="1"/>
                <w:color w:val="auto"/>
                <w:w w:val="97"/>
              </w:rPr>
              <w:t>INDEX TO CONSOLIDATED FINANCIAL STATEMENTS</w:t>
            </w:r>
          </w:p>
        </w:tc>
        <w:tc>
          <w:tcPr>
            <w:tcW w:w="2080" w:type="dxa"/>
            <w:vAlign w:val="bottom"/>
          </w:tcPr>
          <w:p>
            <w:pPr>
              <w:spacing w:after="0"/>
              <w:rPr>
                <w:sz w:val="15"/>
                <w:szCs w:val="15"/>
                <w:color w:val="auto"/>
              </w:rPr>
            </w:pPr>
          </w:p>
        </w:tc>
      </w:tr>
      <w:tr>
        <w:trPr>
          <w:trHeight w:val="513"/>
        </w:trPr>
        <w:tc>
          <w:tcPr>
            <w:tcW w:w="9280" w:type="dxa"/>
            <w:vAlign w:val="bottom"/>
            <w:gridSpan w:val="14"/>
          </w:tcPr>
          <w:p>
            <w:pPr>
              <w:spacing w:after="0"/>
              <w:rPr>
                <w:sz w:val="20"/>
                <w:szCs w:val="20"/>
                <w:color w:val="auto"/>
              </w:rPr>
            </w:pPr>
            <w:r>
              <w:rPr>
                <w:rFonts w:ascii="Arial" w:cs="Arial" w:eastAsia="Arial" w:hAnsi="Arial"/>
                <w:sz w:val="14"/>
                <w:szCs w:val="14"/>
                <w:b w:val="1"/>
                <w:bCs w:val="1"/>
                <w:color w:val="auto"/>
              </w:rPr>
              <w:t>PennantPark Floating Rate Capital Ltd. and subsidiary</w:t>
            </w:r>
          </w:p>
        </w:tc>
        <w:tc>
          <w:tcPr>
            <w:tcW w:w="2080" w:type="dxa"/>
            <w:vAlign w:val="bottom"/>
          </w:tcPr>
          <w:p>
            <w:pPr>
              <w:spacing w:after="0"/>
              <w:rPr>
                <w:sz w:val="24"/>
                <w:szCs w:val="24"/>
                <w:color w:val="auto"/>
              </w:rPr>
            </w:pPr>
          </w:p>
        </w:tc>
      </w:tr>
      <w:tr>
        <w:trPr>
          <w:trHeight w:val="365"/>
        </w:trPr>
        <w:tc>
          <w:tcPr>
            <w:tcW w:w="9280" w:type="dxa"/>
            <w:vAlign w:val="bottom"/>
            <w:gridSpan w:val="14"/>
          </w:tcPr>
          <w:p>
            <w:pPr>
              <w:spacing w:after="0"/>
              <w:rPr>
                <w:sz w:val="20"/>
                <w:szCs w:val="20"/>
                <w:color w:val="auto"/>
              </w:rPr>
            </w:pPr>
            <w:r>
              <w:rPr>
                <w:rFonts w:ascii="Arial" w:cs="Arial" w:eastAsia="Arial" w:hAnsi="Arial"/>
                <w:sz w:val="14"/>
                <w:szCs w:val="14"/>
                <w:b w:val="1"/>
                <w:bCs w:val="1"/>
                <w:color w:val="auto"/>
              </w:rPr>
              <w:t>Annual Financial Statements</w:t>
            </w:r>
          </w:p>
        </w:tc>
        <w:tc>
          <w:tcPr>
            <w:tcW w:w="2080" w:type="dxa"/>
            <w:vAlign w:val="bottom"/>
          </w:tcPr>
          <w:p>
            <w:pPr>
              <w:spacing w:after="0"/>
              <w:rPr>
                <w:sz w:val="24"/>
                <w:szCs w:val="24"/>
                <w:color w:val="auto"/>
              </w:rPr>
            </w:pPr>
          </w:p>
        </w:tc>
      </w:tr>
      <w:tr>
        <w:trPr>
          <w:trHeight w:val="338"/>
        </w:trPr>
        <w:tc>
          <w:tcPr>
            <w:tcW w:w="3180" w:type="dxa"/>
            <w:vAlign w:val="bottom"/>
            <w:tcBorders>
              <w:bottom w:val="single" w:sz="8" w:color="0000EE"/>
            </w:tcBorders>
            <w:gridSpan w:val="3"/>
          </w:tcPr>
          <w:p>
            <w:pPr>
              <w:spacing w:after="0"/>
              <w:rPr>
                <w:rFonts w:ascii="Arial" w:cs="Arial" w:eastAsia="Arial" w:hAnsi="Arial"/>
                <w:sz w:val="14"/>
                <w:szCs w:val="14"/>
                <w:color w:val="0000EE"/>
                <w:w w:val="88"/>
              </w:rPr>
            </w:pPr>
            <w:hyperlink w:anchor="page107">
              <w:r>
                <w:rPr>
                  <w:rFonts w:ascii="Arial" w:cs="Arial" w:eastAsia="Arial" w:hAnsi="Arial"/>
                  <w:sz w:val="14"/>
                  <w:szCs w:val="14"/>
                  <w:color w:val="0000EE"/>
                  <w:w w:val="88"/>
                </w:rPr>
                <w:t>Report of Independent Registered Public Accounting Firm</w:t>
              </w:r>
            </w:hyperlink>
          </w:p>
        </w:tc>
        <w:tc>
          <w:tcPr>
            <w:tcW w:w="6100" w:type="dxa"/>
            <w:vAlign w:val="bottom"/>
            <w:gridSpan w:val="11"/>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w:t>
            </w:r>
          </w:p>
        </w:tc>
      </w:tr>
      <w:tr>
        <w:trPr>
          <w:trHeight w:val="345"/>
        </w:trPr>
        <w:tc>
          <w:tcPr>
            <w:tcW w:w="9280" w:type="dxa"/>
            <w:vAlign w:val="bottom"/>
            <w:gridSpan w:val="14"/>
          </w:tcPr>
          <w:p>
            <w:pPr>
              <w:spacing w:after="0"/>
              <w:rPr>
                <w:rFonts w:ascii="Arial" w:cs="Arial" w:eastAsia="Arial" w:hAnsi="Arial"/>
                <w:sz w:val="14"/>
                <w:szCs w:val="14"/>
                <w:color w:val="0000EE"/>
              </w:rPr>
            </w:pPr>
            <w:hyperlink w:anchor="page108">
              <w:r>
                <w:rPr>
                  <w:rFonts w:ascii="Arial" w:cs="Arial" w:eastAsia="Arial" w:hAnsi="Arial"/>
                  <w:sz w:val="14"/>
                  <w:szCs w:val="14"/>
                  <w:color w:val="0000EE"/>
                </w:rPr>
                <w:t>Consolidated Statement of Assets and Liabilities as of September 30, 2011</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F-3</w:t>
            </w:r>
          </w:p>
        </w:tc>
      </w:tr>
      <w:tr>
        <w:trPr>
          <w:trHeight w:val="20"/>
        </w:trPr>
        <w:tc>
          <w:tcPr>
            <w:tcW w:w="2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45"/>
        </w:trPr>
        <w:tc>
          <w:tcPr>
            <w:tcW w:w="9280" w:type="dxa"/>
            <w:vAlign w:val="bottom"/>
            <w:gridSpan w:val="14"/>
          </w:tcPr>
          <w:p>
            <w:pPr>
              <w:spacing w:after="0"/>
              <w:rPr>
                <w:rFonts w:ascii="Arial" w:cs="Arial" w:eastAsia="Arial" w:hAnsi="Arial"/>
                <w:sz w:val="14"/>
                <w:szCs w:val="14"/>
                <w:color w:val="0000EE"/>
              </w:rPr>
            </w:pPr>
            <w:hyperlink w:anchor="page109">
              <w:r>
                <w:rPr>
                  <w:rFonts w:ascii="Arial" w:cs="Arial" w:eastAsia="Arial" w:hAnsi="Arial"/>
                  <w:sz w:val="14"/>
                  <w:szCs w:val="14"/>
                  <w:color w:val="0000EE"/>
                </w:rPr>
                <w:t>Consolidated Statement of Operations for the period March 4, 2011 (commencement of operations) to September 30, 2011</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F-4</w:t>
            </w:r>
          </w:p>
        </w:tc>
      </w:tr>
      <w:tr>
        <w:trPr>
          <w:trHeight w:val="20"/>
        </w:trPr>
        <w:tc>
          <w:tcPr>
            <w:tcW w:w="2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45"/>
        </w:trPr>
        <w:tc>
          <w:tcPr>
            <w:tcW w:w="7260" w:type="dxa"/>
            <w:vAlign w:val="bottom"/>
            <w:tcBorders>
              <w:bottom w:val="single" w:sz="8" w:color="0000EE"/>
            </w:tcBorders>
            <w:gridSpan w:val="13"/>
          </w:tcPr>
          <w:p>
            <w:pPr>
              <w:spacing w:after="0"/>
              <w:rPr>
                <w:rFonts w:ascii="Arial" w:cs="Arial" w:eastAsia="Arial" w:hAnsi="Arial"/>
                <w:sz w:val="14"/>
                <w:szCs w:val="14"/>
                <w:color w:val="0000EE"/>
                <w:w w:val="86"/>
              </w:rPr>
            </w:pPr>
            <w:hyperlink w:anchor="page110">
              <w:r>
                <w:rPr>
                  <w:rFonts w:ascii="Arial" w:cs="Arial" w:eastAsia="Arial" w:hAnsi="Arial"/>
                  <w:sz w:val="14"/>
                  <w:szCs w:val="14"/>
                  <w:color w:val="0000EE"/>
                  <w:w w:val="86"/>
                </w:rPr>
                <w:t>Consolidated Statement of Changes in Net Assets for the period March 4, 2011 (commencement of operations) to September 30, 2011</w:t>
              </w:r>
            </w:hyperlink>
          </w:p>
        </w:tc>
        <w:tc>
          <w:tcPr>
            <w:tcW w:w="20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F-5</w:t>
            </w:r>
          </w:p>
        </w:tc>
      </w:tr>
      <w:tr>
        <w:trPr>
          <w:trHeight w:val="345"/>
        </w:trPr>
        <w:tc>
          <w:tcPr>
            <w:tcW w:w="6680" w:type="dxa"/>
            <w:vAlign w:val="bottom"/>
            <w:tcBorders>
              <w:bottom w:val="single" w:sz="8" w:color="0000EE"/>
            </w:tcBorders>
            <w:gridSpan w:val="12"/>
          </w:tcPr>
          <w:p>
            <w:pPr>
              <w:spacing w:after="0"/>
              <w:rPr>
                <w:rFonts w:ascii="Arial" w:cs="Arial" w:eastAsia="Arial" w:hAnsi="Arial"/>
                <w:sz w:val="14"/>
                <w:szCs w:val="14"/>
                <w:color w:val="0000EE"/>
                <w:w w:val="86"/>
              </w:rPr>
            </w:pPr>
            <w:hyperlink w:anchor="page111">
              <w:r>
                <w:rPr>
                  <w:rFonts w:ascii="Arial" w:cs="Arial" w:eastAsia="Arial" w:hAnsi="Arial"/>
                  <w:sz w:val="14"/>
                  <w:szCs w:val="14"/>
                  <w:color w:val="0000EE"/>
                  <w:w w:val="86"/>
                </w:rPr>
                <w:t>Consolidated Statement of Cash Flows for the period March 4, 2011 (commencement of operations) to September 30, 2011</w:t>
              </w:r>
            </w:hyperlink>
          </w:p>
        </w:tc>
        <w:tc>
          <w:tcPr>
            <w:tcW w:w="2600" w:type="dxa"/>
            <w:vAlign w:val="bottom"/>
            <w:gridSpan w:val="2"/>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F-6</w:t>
            </w:r>
          </w:p>
        </w:tc>
      </w:tr>
      <w:tr>
        <w:trPr>
          <w:trHeight w:val="345"/>
        </w:trPr>
        <w:tc>
          <w:tcPr>
            <w:tcW w:w="9280" w:type="dxa"/>
            <w:vAlign w:val="bottom"/>
            <w:gridSpan w:val="14"/>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Consolidated Schedule of Investments as of September 30, 2011</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F-7</w:t>
            </w:r>
          </w:p>
        </w:tc>
      </w:tr>
      <w:tr>
        <w:trPr>
          <w:trHeight w:val="345"/>
        </w:trPr>
        <w:tc>
          <w:tcPr>
            <w:tcW w:w="3480" w:type="dxa"/>
            <w:vAlign w:val="bottom"/>
            <w:tcBorders>
              <w:top w:val="single" w:sz="8" w:color="0000EE"/>
            </w:tcBorders>
            <w:gridSpan w:val="4"/>
          </w:tcPr>
          <w:p>
            <w:pPr>
              <w:spacing w:after="0"/>
              <w:rPr>
                <w:rFonts w:ascii="Arial" w:cs="Arial" w:eastAsia="Arial" w:hAnsi="Arial"/>
                <w:sz w:val="14"/>
                <w:szCs w:val="14"/>
                <w:color w:val="0000EE"/>
              </w:rPr>
            </w:pPr>
            <w:hyperlink w:anchor="page115">
              <w:r>
                <w:rPr>
                  <w:rFonts w:ascii="Arial" w:cs="Arial" w:eastAsia="Arial" w:hAnsi="Arial"/>
                  <w:sz w:val="14"/>
                  <w:szCs w:val="14"/>
                  <w:color w:val="0000EE"/>
                </w:rPr>
                <w:t>Notes to the Consolidated Financial Statements</w:t>
              </w:r>
            </w:hyperlink>
          </w:p>
        </w:tc>
        <w:tc>
          <w:tcPr>
            <w:tcW w:w="5800" w:type="dxa"/>
            <w:vAlign w:val="bottom"/>
            <w:gridSpan w:val="10"/>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F-10</w:t>
            </w:r>
          </w:p>
        </w:tc>
      </w:tr>
      <w:tr>
        <w:trPr>
          <w:trHeight w:val="371"/>
        </w:trPr>
        <w:tc>
          <w:tcPr>
            <w:tcW w:w="2560" w:type="dxa"/>
            <w:vAlign w:val="bottom"/>
            <w:tcBorders>
              <w:top w:val="single" w:sz="8" w:color="0000EE"/>
            </w:tcBorders>
          </w:tcPr>
          <w:p>
            <w:pPr>
              <w:spacing w:after="0"/>
              <w:rPr>
                <w:sz w:val="20"/>
                <w:szCs w:val="20"/>
                <w:color w:val="auto"/>
              </w:rPr>
            </w:pPr>
            <w:r>
              <w:rPr>
                <w:rFonts w:ascii="Arial" w:cs="Arial" w:eastAsia="Arial" w:hAnsi="Arial"/>
                <w:sz w:val="14"/>
                <w:szCs w:val="14"/>
                <w:b w:val="1"/>
                <w:bCs w:val="1"/>
                <w:color w:val="auto"/>
              </w:rPr>
              <w:t>Interim Financial Statements</w:t>
            </w:r>
          </w:p>
        </w:tc>
        <w:tc>
          <w:tcPr>
            <w:tcW w:w="6720" w:type="dxa"/>
            <w:vAlign w:val="bottom"/>
            <w:gridSpan w:val="13"/>
          </w:tcPr>
          <w:p>
            <w:pPr>
              <w:spacing w:after="0"/>
              <w:rPr>
                <w:sz w:val="24"/>
                <w:szCs w:val="24"/>
                <w:color w:val="auto"/>
              </w:rPr>
            </w:pPr>
          </w:p>
        </w:tc>
        <w:tc>
          <w:tcPr>
            <w:tcW w:w="2080" w:type="dxa"/>
            <w:vAlign w:val="bottom"/>
          </w:tcPr>
          <w:p>
            <w:pPr>
              <w:spacing w:after="0"/>
              <w:rPr>
                <w:sz w:val="24"/>
                <w:szCs w:val="24"/>
                <w:color w:val="auto"/>
              </w:rPr>
            </w:pPr>
          </w:p>
        </w:tc>
      </w:tr>
      <w:tr>
        <w:trPr>
          <w:trHeight w:val="338"/>
        </w:trPr>
        <w:tc>
          <w:tcPr>
            <w:tcW w:w="3180" w:type="dxa"/>
            <w:vAlign w:val="bottom"/>
            <w:tcBorders>
              <w:bottom w:val="single" w:sz="8" w:color="0000EE"/>
            </w:tcBorders>
            <w:gridSpan w:val="3"/>
          </w:tcPr>
          <w:p>
            <w:pPr>
              <w:spacing w:after="0"/>
              <w:rPr>
                <w:rFonts w:ascii="Arial" w:cs="Arial" w:eastAsia="Arial" w:hAnsi="Arial"/>
                <w:sz w:val="14"/>
                <w:szCs w:val="14"/>
                <w:color w:val="0000EE"/>
                <w:w w:val="88"/>
              </w:rPr>
            </w:pPr>
            <w:hyperlink w:anchor="page127">
              <w:r>
                <w:rPr>
                  <w:rFonts w:ascii="Arial" w:cs="Arial" w:eastAsia="Arial" w:hAnsi="Arial"/>
                  <w:sz w:val="14"/>
                  <w:szCs w:val="14"/>
                  <w:color w:val="0000EE"/>
                  <w:w w:val="88"/>
                </w:rPr>
                <w:t>Report of Independent Registered Public Accounting Firm</w:t>
              </w:r>
            </w:hyperlink>
          </w:p>
        </w:tc>
        <w:tc>
          <w:tcPr>
            <w:tcW w:w="6100" w:type="dxa"/>
            <w:vAlign w:val="bottom"/>
            <w:gridSpan w:val="11"/>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F-22</w:t>
            </w:r>
          </w:p>
        </w:tc>
      </w:tr>
      <w:tr>
        <w:trPr>
          <w:trHeight w:val="345"/>
        </w:trPr>
        <w:tc>
          <w:tcPr>
            <w:tcW w:w="5880" w:type="dxa"/>
            <w:vAlign w:val="bottom"/>
            <w:tcBorders>
              <w:bottom w:val="single" w:sz="8" w:color="0000EE"/>
            </w:tcBorders>
            <w:gridSpan w:val="10"/>
          </w:tcPr>
          <w:p>
            <w:pPr>
              <w:spacing w:after="0"/>
              <w:rPr>
                <w:rFonts w:ascii="Arial" w:cs="Arial" w:eastAsia="Arial" w:hAnsi="Arial"/>
                <w:sz w:val="14"/>
                <w:szCs w:val="14"/>
                <w:color w:val="0000EE"/>
                <w:w w:val="86"/>
              </w:rPr>
            </w:pPr>
            <w:hyperlink w:anchor="page128">
              <w:r>
                <w:rPr>
                  <w:rFonts w:ascii="Arial" w:cs="Arial" w:eastAsia="Arial" w:hAnsi="Arial"/>
                  <w:sz w:val="14"/>
                  <w:szCs w:val="14"/>
                  <w:color w:val="0000EE"/>
                  <w:w w:val="86"/>
                </w:rPr>
                <w:t>Consolidated Statements of Assets and Liabilities as of March 31, 2012 (unaudited) and September 30, 2011</w:t>
              </w:r>
            </w:hyperlink>
          </w:p>
        </w:tc>
        <w:tc>
          <w:tcPr>
            <w:tcW w:w="3400" w:type="dxa"/>
            <w:vAlign w:val="bottom"/>
            <w:gridSpan w:val="4"/>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F-23</w:t>
            </w:r>
          </w:p>
        </w:tc>
      </w:tr>
      <w:tr>
        <w:trPr>
          <w:trHeight w:val="345"/>
        </w:trPr>
        <w:tc>
          <w:tcPr>
            <w:tcW w:w="5520" w:type="dxa"/>
            <w:vAlign w:val="bottom"/>
            <w:tcBorders>
              <w:bottom w:val="single" w:sz="8" w:color="0000EE"/>
            </w:tcBorders>
            <w:gridSpan w:val="8"/>
          </w:tcPr>
          <w:p>
            <w:pPr>
              <w:spacing w:after="0"/>
              <w:rPr>
                <w:rFonts w:ascii="Arial" w:cs="Arial" w:eastAsia="Arial" w:hAnsi="Arial"/>
                <w:sz w:val="14"/>
                <w:szCs w:val="14"/>
                <w:color w:val="0000EE"/>
                <w:w w:val="86"/>
              </w:rPr>
            </w:pPr>
            <w:hyperlink w:anchor="page129">
              <w:r>
                <w:rPr>
                  <w:rFonts w:ascii="Arial" w:cs="Arial" w:eastAsia="Arial" w:hAnsi="Arial"/>
                  <w:sz w:val="14"/>
                  <w:szCs w:val="14"/>
                  <w:color w:val="0000EE"/>
                  <w:w w:val="86"/>
                </w:rPr>
                <w:t>Consolidated Statement of Operations for the three and six months ended March 31, 2012 (unaudited)</w:t>
              </w:r>
            </w:hyperlink>
          </w:p>
        </w:tc>
        <w:tc>
          <w:tcPr>
            <w:tcW w:w="3760" w:type="dxa"/>
            <w:vAlign w:val="bottom"/>
            <w:gridSpan w:val="6"/>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F-24</w:t>
            </w:r>
          </w:p>
        </w:tc>
      </w:tr>
      <w:tr>
        <w:trPr>
          <w:trHeight w:val="345"/>
        </w:trPr>
        <w:tc>
          <w:tcPr>
            <w:tcW w:w="5620" w:type="dxa"/>
            <w:vAlign w:val="bottom"/>
            <w:tcBorders>
              <w:bottom w:val="single" w:sz="8" w:color="0000EE"/>
            </w:tcBorders>
            <w:gridSpan w:val="9"/>
          </w:tcPr>
          <w:p>
            <w:pPr>
              <w:spacing w:after="0"/>
              <w:rPr>
                <w:rFonts w:ascii="Arial" w:cs="Arial" w:eastAsia="Arial" w:hAnsi="Arial"/>
                <w:sz w:val="14"/>
                <w:szCs w:val="14"/>
                <w:color w:val="0000EE"/>
                <w:w w:val="86"/>
              </w:rPr>
            </w:pPr>
            <w:hyperlink w:anchor="page130">
              <w:r>
                <w:rPr>
                  <w:rFonts w:ascii="Arial" w:cs="Arial" w:eastAsia="Arial" w:hAnsi="Arial"/>
                  <w:sz w:val="14"/>
                  <w:szCs w:val="14"/>
                  <w:color w:val="0000EE"/>
                  <w:w w:val="86"/>
                </w:rPr>
                <w:t>Consolidated Statement of Changes in Net Assets for the six months ended March 31, 2012 (unaudited)</w:t>
              </w:r>
            </w:hyperlink>
          </w:p>
        </w:tc>
        <w:tc>
          <w:tcPr>
            <w:tcW w:w="3660" w:type="dxa"/>
            <w:vAlign w:val="bottom"/>
            <w:gridSpan w:val="5"/>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F-25</w:t>
            </w:r>
          </w:p>
        </w:tc>
      </w:tr>
      <w:tr>
        <w:trPr>
          <w:trHeight w:val="345"/>
        </w:trPr>
        <w:tc>
          <w:tcPr>
            <w:tcW w:w="9280" w:type="dxa"/>
            <w:vAlign w:val="bottom"/>
            <w:gridSpan w:val="14"/>
          </w:tcPr>
          <w:p>
            <w:pPr>
              <w:spacing w:after="0"/>
              <w:rPr>
                <w:rFonts w:ascii="Arial" w:cs="Arial" w:eastAsia="Arial" w:hAnsi="Arial"/>
                <w:sz w:val="14"/>
                <w:szCs w:val="14"/>
                <w:color w:val="0000EE"/>
              </w:rPr>
            </w:pPr>
            <w:hyperlink w:anchor="page131">
              <w:r>
                <w:rPr>
                  <w:rFonts w:ascii="Arial" w:cs="Arial" w:eastAsia="Arial" w:hAnsi="Arial"/>
                  <w:sz w:val="14"/>
                  <w:szCs w:val="14"/>
                  <w:color w:val="0000EE"/>
                </w:rPr>
                <w:t>Consolidated Statement of Cash Flows for the six months ended March 31, 2012 (unaudited)</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F-26</w:t>
            </w:r>
          </w:p>
        </w:tc>
      </w:tr>
      <w:tr>
        <w:trPr>
          <w:trHeight w:val="20"/>
        </w:trPr>
        <w:tc>
          <w:tcPr>
            <w:tcW w:w="3020" w:type="dxa"/>
            <w:vAlign w:val="bottom"/>
            <w:gridSpan w:val="2"/>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45"/>
        </w:trPr>
        <w:tc>
          <w:tcPr>
            <w:tcW w:w="5320" w:type="dxa"/>
            <w:vAlign w:val="bottom"/>
            <w:tcBorders>
              <w:bottom w:val="single" w:sz="8" w:color="0000EE"/>
            </w:tcBorders>
            <w:gridSpan w:val="7"/>
          </w:tcPr>
          <w:p>
            <w:pPr>
              <w:spacing w:after="0"/>
              <w:rPr>
                <w:rFonts w:ascii="Arial" w:cs="Arial" w:eastAsia="Arial" w:hAnsi="Arial"/>
                <w:sz w:val="14"/>
                <w:szCs w:val="14"/>
                <w:color w:val="0000EE"/>
                <w:w w:val="86"/>
              </w:rPr>
            </w:pPr>
            <w:hyperlink w:anchor="page132">
              <w:r>
                <w:rPr>
                  <w:rFonts w:ascii="Arial" w:cs="Arial" w:eastAsia="Arial" w:hAnsi="Arial"/>
                  <w:sz w:val="14"/>
                  <w:szCs w:val="14"/>
                  <w:color w:val="0000EE"/>
                  <w:w w:val="86"/>
                </w:rPr>
                <w:t>Consolidated Schedules of Investments as of March 31, 2012 (unaudited) and September 30, 2011</w:t>
              </w:r>
            </w:hyperlink>
          </w:p>
        </w:tc>
        <w:tc>
          <w:tcPr>
            <w:tcW w:w="3960" w:type="dxa"/>
            <w:vAlign w:val="bottom"/>
            <w:gridSpan w:val="7"/>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F-27</w:t>
            </w:r>
          </w:p>
        </w:tc>
      </w:tr>
      <w:tr>
        <w:trPr>
          <w:trHeight w:val="345"/>
        </w:trPr>
        <w:tc>
          <w:tcPr>
            <w:tcW w:w="9280" w:type="dxa"/>
            <w:vAlign w:val="bottom"/>
            <w:gridSpan w:val="14"/>
          </w:tcPr>
          <w:p>
            <w:pPr>
              <w:spacing w:after="0"/>
              <w:rPr>
                <w:rFonts w:ascii="Arial" w:cs="Arial" w:eastAsia="Arial" w:hAnsi="Arial"/>
                <w:sz w:val="14"/>
                <w:szCs w:val="14"/>
                <w:color w:val="0000EE"/>
              </w:rPr>
            </w:pPr>
            <w:hyperlink w:anchor="page137">
              <w:r>
                <w:rPr>
                  <w:rFonts w:ascii="Arial" w:cs="Arial" w:eastAsia="Arial" w:hAnsi="Arial"/>
                  <w:sz w:val="14"/>
                  <w:szCs w:val="14"/>
                  <w:color w:val="0000EE"/>
                </w:rPr>
                <w:t>Notes to Consolidated Financial Statements (unaudited)</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F-32</w:t>
            </w:r>
          </w:p>
        </w:tc>
      </w:tr>
      <w:tr>
        <w:trPr>
          <w:trHeight w:val="304"/>
        </w:trPr>
        <w:tc>
          <w:tcPr>
            <w:tcW w:w="25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jc w:val="center"/>
              <w:ind w:right="3480"/>
              <w:spacing w:after="0"/>
              <w:rPr>
                <w:sz w:val="20"/>
                <w:szCs w:val="20"/>
                <w:color w:val="auto"/>
              </w:rPr>
            </w:pPr>
            <w:r>
              <w:rPr>
                <w:rFonts w:ascii="Arial" w:cs="Arial" w:eastAsia="Arial" w:hAnsi="Arial"/>
                <w:sz w:val="14"/>
                <w:szCs w:val="14"/>
                <w:color w:val="auto"/>
                <w:w w:val="85"/>
              </w:rPr>
              <w:t>F-1</w:t>
            </w:r>
          </w:p>
        </w:tc>
        <w:tc>
          <w:tcPr>
            <w:tcW w:w="208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38"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have audited the accompanying consolidated statement of assets and liabilities of PennantPark Floating Rate Capital Ltd. and its Subsidiary (collectively referred to as the “Company”), including the consolidated schedule of investments as of September 30, 2011, and the related consolidated statements of operations, changes in net assets, and cash flows for the period March 4, 2011 (commencement of operations) to September 30, 2011. These consolidated financial statements are the responsibility of the Company’s management. Our responsibility is to express an opinion on these consolidated financial statements based on our audit.</w:t>
      </w:r>
    </w:p>
    <w:p>
      <w:pPr>
        <w:spacing w:after="0" w:line="139"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39" w:lineRule="exact"/>
        <w:rPr>
          <w:sz w:val="20"/>
          <w:szCs w:val="20"/>
          <w:color w:val="auto"/>
        </w:rPr>
      </w:pPr>
    </w:p>
    <w:p>
      <w:pPr>
        <w:jc w:val="both"/>
        <w:ind w:right="300" w:firstLine="456"/>
        <w:spacing w:after="0" w:line="233"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Floating Rate Capital Ltd. and its Subsidiary as of September 30, 2011, and the results of their operations and their cash flows for the period March 4, 2011 (commencement of operations) to September 30, 2011, in conformity with U.S. generally accepted accounting principles.</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17, 2011</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jc w:val="center"/>
        <w:ind w:left="2340"/>
        <w:spacing w:after="0"/>
        <w:rPr>
          <w:sz w:val="20"/>
          <w:szCs w:val="20"/>
          <w:color w:val="auto"/>
        </w:rPr>
      </w:pPr>
      <w:r>
        <w:rPr>
          <w:rFonts w:ascii="Arial" w:cs="Arial" w:eastAsia="Arial" w:hAnsi="Arial"/>
          <w:sz w:val="12"/>
          <w:szCs w:val="12"/>
          <w:b w:val="1"/>
          <w:bCs w:val="1"/>
          <w:color w:val="auto"/>
        </w:rPr>
        <w:t>PENNANTPARK FLOATING RATE CAPITAL LTD. AND SUBSIDIARY</w:t>
      </w:r>
    </w:p>
    <w:p>
      <w:pPr>
        <w:spacing w:after="0" w:line="24" w:lineRule="exact"/>
        <w:rPr>
          <w:sz w:val="20"/>
          <w:szCs w:val="20"/>
          <w:color w:val="auto"/>
        </w:rPr>
      </w:pPr>
    </w:p>
    <w:p>
      <w:pPr>
        <w:jc w:val="center"/>
        <w:ind w:left="2340"/>
        <w:spacing w:after="0"/>
        <w:rPr>
          <w:sz w:val="20"/>
          <w:szCs w:val="20"/>
          <w:color w:val="auto"/>
        </w:rPr>
      </w:pPr>
      <w:r>
        <w:rPr>
          <w:rFonts w:ascii="Arial" w:cs="Arial" w:eastAsia="Arial" w:hAnsi="Arial"/>
          <w:sz w:val="14"/>
          <w:szCs w:val="14"/>
          <w:b w:val="1"/>
          <w:bCs w:val="1"/>
          <w:color w:val="auto"/>
        </w:rPr>
        <w:t>CONSOLIDATED STATEMENT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Investments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Non-controlled, non-affiliated investments, at fair value (cost—$114,829,621)</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Cash equivalents (See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Interest receivable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Receivable for investments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Prepaid expenses and other assets</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20" w:hanging="820"/>
        <w:spacing w:after="0"/>
        <w:tabs>
          <w:tab w:leader="none" w:pos="8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110,724,241</w:t>
      </w:r>
    </w:p>
    <w:p>
      <w:pPr>
        <w:spacing w:after="0" w:line="105" w:lineRule="exact"/>
        <w:rPr>
          <w:rFonts w:ascii="Arial" w:cs="Arial" w:eastAsia="Arial" w:hAnsi="Arial"/>
          <w:sz w:val="12"/>
          <w:szCs w:val="12"/>
          <w:color w:val="auto"/>
        </w:rPr>
      </w:pPr>
    </w:p>
    <w:p>
      <w:pPr>
        <w:ind w:left="960"/>
        <w:spacing w:after="0"/>
        <w:rPr>
          <w:rFonts w:ascii="Arial" w:cs="Arial" w:eastAsia="Arial" w:hAnsi="Arial"/>
          <w:sz w:val="12"/>
          <w:szCs w:val="12"/>
          <w:color w:val="auto"/>
        </w:rPr>
      </w:pPr>
      <w:r>
        <w:rPr>
          <w:rFonts w:ascii="Arial" w:cs="Arial" w:eastAsia="Arial" w:hAnsi="Arial"/>
          <w:sz w:val="12"/>
          <w:szCs w:val="12"/>
          <w:color w:val="auto"/>
        </w:rPr>
        <w:t>6,987,450</w:t>
      </w:r>
    </w:p>
    <w:p>
      <w:pPr>
        <w:spacing w:after="0" w:line="105" w:lineRule="exact"/>
        <w:rPr>
          <w:rFonts w:ascii="Arial" w:cs="Arial" w:eastAsia="Arial" w:hAnsi="Arial"/>
          <w:sz w:val="12"/>
          <w:szCs w:val="12"/>
          <w:color w:val="auto"/>
        </w:rPr>
      </w:pPr>
    </w:p>
    <w:p>
      <w:pPr>
        <w:ind w:left="1060"/>
        <w:spacing w:after="0"/>
        <w:rPr>
          <w:rFonts w:ascii="Arial" w:cs="Arial" w:eastAsia="Arial" w:hAnsi="Arial"/>
          <w:sz w:val="12"/>
          <w:szCs w:val="12"/>
          <w:color w:val="auto"/>
        </w:rPr>
      </w:pPr>
      <w:r>
        <w:rPr>
          <w:rFonts w:ascii="Arial" w:cs="Arial" w:eastAsia="Arial" w:hAnsi="Arial"/>
          <w:sz w:val="12"/>
          <w:szCs w:val="12"/>
          <w:color w:val="auto"/>
        </w:rPr>
        <w:t>732,695</w:t>
      </w:r>
    </w:p>
    <w:p>
      <w:pPr>
        <w:spacing w:after="0" w:line="105" w:lineRule="exact"/>
        <w:rPr>
          <w:rFonts w:ascii="Arial" w:cs="Arial" w:eastAsia="Arial" w:hAnsi="Arial"/>
          <w:sz w:val="12"/>
          <w:szCs w:val="12"/>
          <w:color w:val="auto"/>
        </w:rPr>
      </w:pPr>
    </w:p>
    <w:p>
      <w:pPr>
        <w:ind w:left="960"/>
        <w:spacing w:after="0"/>
        <w:rPr>
          <w:rFonts w:ascii="Arial" w:cs="Arial" w:eastAsia="Arial" w:hAnsi="Arial"/>
          <w:sz w:val="12"/>
          <w:szCs w:val="12"/>
          <w:color w:val="auto"/>
        </w:rPr>
      </w:pPr>
      <w:r>
        <w:rPr>
          <w:rFonts w:ascii="Arial" w:cs="Arial" w:eastAsia="Arial" w:hAnsi="Arial"/>
          <w:sz w:val="12"/>
          <w:szCs w:val="12"/>
          <w:color w:val="auto"/>
        </w:rPr>
        <w:t>2,467,500</w:t>
      </w:r>
    </w:p>
    <w:p>
      <w:pPr>
        <w:spacing w:after="0" w:line="105" w:lineRule="exact"/>
        <w:rPr>
          <w:rFonts w:ascii="Arial" w:cs="Arial" w:eastAsia="Arial" w:hAnsi="Arial"/>
          <w:sz w:val="12"/>
          <w:szCs w:val="12"/>
          <w:color w:val="auto"/>
        </w:rPr>
      </w:pPr>
    </w:p>
    <w:p>
      <w:pPr>
        <w:ind w:left="1060"/>
        <w:spacing w:after="0"/>
        <w:rPr>
          <w:rFonts w:ascii="Arial" w:cs="Arial" w:eastAsia="Arial" w:hAnsi="Arial"/>
          <w:sz w:val="12"/>
          <w:szCs w:val="12"/>
          <w:color w:val="auto"/>
        </w:rPr>
      </w:pPr>
      <w:r>
        <w:rPr>
          <w:rFonts w:ascii="Arial" w:cs="Arial" w:eastAsia="Arial" w:hAnsi="Arial"/>
          <w:sz w:val="12"/>
          <w:szCs w:val="12"/>
          <w:color w:val="auto"/>
        </w:rPr>
        <w:t>163,374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13335</wp:posOffset>
            </wp:positionV>
            <wp:extent cx="99504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112" w:lineRule="exact"/>
        <w:rPr>
          <w:sz w:val="20"/>
          <w:szCs w:val="20"/>
          <w:color w:val="auto"/>
        </w:rPr>
      </w:pPr>
    </w:p>
    <w:p>
      <w:pPr>
        <w:ind w:left="820"/>
        <w:spacing w:after="0"/>
        <w:rPr>
          <w:sz w:val="20"/>
          <w:szCs w:val="20"/>
          <w:color w:val="auto"/>
        </w:rPr>
      </w:pPr>
      <w:r>
        <w:rPr>
          <w:rFonts w:ascii="Arial" w:cs="Arial" w:eastAsia="Arial" w:hAnsi="Arial"/>
          <w:sz w:val="12"/>
          <w:szCs w:val="12"/>
          <w:color w:val="auto"/>
        </w:rPr>
        <w:t>121,075,260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13335</wp:posOffset>
            </wp:positionV>
            <wp:extent cx="99504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30480</wp:posOffset>
            </wp:positionV>
            <wp:extent cx="99504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334" w:lineRule="exact"/>
        <w:rPr>
          <w:sz w:val="20"/>
          <w:szCs w:val="20"/>
          <w:color w:val="auto"/>
        </w:rPr>
      </w:pPr>
    </w:p>
    <w:p>
      <w:pPr>
        <w:sectPr>
          <w:pgSz w:w="11900" w:h="16838" w:orient="portrait"/>
          <w:cols w:equalWidth="0" w:num="2">
            <w:col w:w="9100" w:space="720"/>
            <w:col w:w="1600"/>
          </w:cols>
          <w:pgMar w:left="240" w:top="459" w:right="239" w:bottom="1440" w:gutter="0" w:footer="0" w:header="0"/>
          <w:type w:val="continuous"/>
        </w:sectPr>
      </w:pPr>
    </w:p>
    <w:p>
      <w:pPr>
        <w:spacing w:after="0"/>
        <w:rPr>
          <w:sz w:val="20"/>
          <w:szCs w:val="20"/>
          <w:color w:val="auto"/>
        </w:rPr>
      </w:pPr>
      <w:r>
        <w:rPr>
          <w:rFonts w:ascii="Arial" w:cs="Arial" w:eastAsia="Arial" w:hAnsi="Arial"/>
          <w:sz w:val="14"/>
          <w:szCs w:val="14"/>
          <w:color w:val="auto"/>
        </w:rPr>
        <w:t>Distributions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Payable for investments purchased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Unfunded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auto"/>
        </w:rPr>
        <w:t>Credit facility payable (cost—$24,650,000), (See Notes 5 and 10)</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Interest payable on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Management fee payable (See Note 3)</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Accrued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Total liabilities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479,547</w:t>
      </w:r>
    </w:p>
    <w:p>
      <w:pPr>
        <w:spacing w:after="0" w:line="82"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990,000</w:t>
      </w:r>
    </w:p>
    <w:p>
      <w:pPr>
        <w:spacing w:after="0" w:line="82" w:lineRule="exact"/>
        <w:rPr>
          <w:sz w:val="20"/>
          <w:szCs w:val="20"/>
          <w:color w:val="auto"/>
        </w:rPr>
      </w:pPr>
    </w:p>
    <w:p>
      <w:pPr>
        <w:jc w:val="right"/>
        <w:ind w:right="100"/>
        <w:spacing w:after="0"/>
        <w:rPr>
          <w:sz w:val="20"/>
          <w:szCs w:val="20"/>
          <w:color w:val="auto"/>
        </w:rPr>
      </w:pPr>
      <w:r>
        <w:rPr>
          <w:rFonts w:ascii="Arial" w:cs="Arial" w:eastAsia="Arial" w:hAnsi="Arial"/>
          <w:sz w:val="12"/>
          <w:szCs w:val="12"/>
          <w:color w:val="auto"/>
        </w:rPr>
        <w:t>2,323,250</w:t>
      </w:r>
    </w:p>
    <w:p>
      <w:pPr>
        <w:spacing w:after="0" w:line="105" w:lineRule="exact"/>
        <w:rPr>
          <w:sz w:val="20"/>
          <w:szCs w:val="20"/>
          <w:color w:val="auto"/>
        </w:rPr>
      </w:pPr>
    </w:p>
    <w:p>
      <w:pPr>
        <w:jc w:val="right"/>
        <w:ind w:right="60"/>
        <w:spacing w:after="0"/>
        <w:rPr>
          <w:sz w:val="20"/>
          <w:szCs w:val="20"/>
          <w:color w:val="auto"/>
        </w:rPr>
      </w:pPr>
      <w:r>
        <w:rPr>
          <w:rFonts w:ascii="Arial" w:cs="Arial" w:eastAsia="Arial" w:hAnsi="Arial"/>
          <w:sz w:val="12"/>
          <w:szCs w:val="12"/>
          <w:color w:val="auto"/>
        </w:rPr>
        <w:t>24,650,000</w:t>
      </w:r>
    </w:p>
    <w:p>
      <w:pPr>
        <w:spacing w:after="0" w:line="10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150,246</w:t>
      </w:r>
    </w:p>
    <w:p>
      <w:pPr>
        <w:spacing w:after="0" w:line="8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266,432</w:t>
      </w:r>
    </w:p>
    <w:p>
      <w:pPr>
        <w:spacing w:after="0" w:line="8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143,680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-635</wp:posOffset>
            </wp:positionV>
            <wp:extent cx="99504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29,003,155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13335</wp:posOffset>
            </wp:positionV>
            <wp:extent cx="99504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-592455</wp:posOffset>
            </wp:positionH>
            <wp:positionV relativeFrom="paragraph">
              <wp:posOffset>30480</wp:posOffset>
            </wp:positionV>
            <wp:extent cx="99504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334" w:lineRule="exact"/>
        <w:rPr>
          <w:sz w:val="20"/>
          <w:szCs w:val="20"/>
          <w:color w:val="auto"/>
        </w:rPr>
      </w:pPr>
    </w:p>
    <w:p>
      <w:pPr>
        <w:sectPr>
          <w:pgSz w:w="11900" w:h="16838" w:orient="portrait"/>
          <w:cols w:equalWidth="0" w:num="2">
            <w:col w:w="10000" w:space="720"/>
            <w:col w:w="700"/>
          </w:cols>
          <w:pgMar w:left="240" w:top="459" w:right="239" w:bottom="1440" w:gutter="0" w:footer="0" w:header="0"/>
          <w:type w:val="continuous"/>
        </w:sectPr>
      </w:pPr>
    </w:p>
    <w:p>
      <w:pPr>
        <w:spacing w:after="0"/>
        <w:rPr>
          <w:sz w:val="20"/>
          <w:szCs w:val="20"/>
          <w:color w:val="auto"/>
        </w:rPr>
      </w:pPr>
      <w:r>
        <w:rPr>
          <w:rFonts w:ascii="Arial" w:cs="Arial" w:eastAsia="Arial" w:hAnsi="Arial"/>
          <w:sz w:val="11"/>
          <w:szCs w:val="11"/>
          <w:color w:val="auto"/>
        </w:rPr>
        <w:t>Common stock, 6,850,667 shares are issued and outstanding. Par value $0.001 per share, 100,000,000 shares authorized.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Paid-in capital in excess of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Distributions in excess of net investment income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Accumulated net realized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Net unrealized depreciation on investments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6,851</w:t>
      </w:r>
    </w:p>
    <w:p>
      <w:pPr>
        <w:spacing w:after="0" w:line="82" w:lineRule="exact"/>
        <w:rPr>
          <w:sz w:val="20"/>
          <w:szCs w:val="20"/>
          <w:color w:val="auto"/>
        </w:rPr>
      </w:pPr>
    </w:p>
    <w:p>
      <w:pPr>
        <w:jc w:val="right"/>
        <w:ind w:right="100"/>
        <w:spacing w:after="0"/>
        <w:rPr>
          <w:sz w:val="20"/>
          <w:szCs w:val="20"/>
          <w:color w:val="auto"/>
        </w:rPr>
      </w:pPr>
      <w:r>
        <w:rPr>
          <w:rFonts w:ascii="Arial" w:cs="Arial" w:eastAsia="Arial" w:hAnsi="Arial"/>
          <w:sz w:val="12"/>
          <w:szCs w:val="12"/>
          <w:color w:val="auto"/>
        </w:rPr>
        <w:t>97,251,174</w:t>
      </w:r>
    </w:p>
    <w:p>
      <w:pPr>
        <w:spacing w:after="0" w:line="105" w:lineRule="exact"/>
        <w:rPr>
          <w:sz w:val="20"/>
          <w:szCs w:val="20"/>
          <w:color w:val="auto"/>
        </w:rPr>
      </w:pPr>
    </w:p>
    <w:p>
      <w:pPr>
        <w:jc w:val="right"/>
        <w:ind w:right="60"/>
        <w:spacing w:after="0"/>
        <w:rPr>
          <w:sz w:val="20"/>
          <w:szCs w:val="20"/>
          <w:color w:val="auto"/>
        </w:rPr>
      </w:pPr>
      <w:r>
        <w:rPr>
          <w:rFonts w:ascii="Arial" w:cs="Arial" w:eastAsia="Arial" w:hAnsi="Arial"/>
          <w:sz w:val="12"/>
          <w:szCs w:val="12"/>
          <w:color w:val="auto"/>
        </w:rPr>
        <w:t>(1,392,528)</w:t>
      </w:r>
    </w:p>
    <w:p>
      <w:pPr>
        <w:spacing w:after="0" w:line="10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311,988</w:t>
      </w:r>
    </w:p>
    <w:p>
      <w:pPr>
        <w:spacing w:after="0" w:line="82" w:lineRule="exact"/>
        <w:rPr>
          <w:sz w:val="20"/>
          <w:szCs w:val="20"/>
          <w:color w:val="auto"/>
        </w:rPr>
      </w:pPr>
    </w:p>
    <w:p>
      <w:pPr>
        <w:jc w:val="right"/>
        <w:ind w:right="100"/>
        <w:spacing w:after="0"/>
        <w:rPr>
          <w:sz w:val="20"/>
          <w:szCs w:val="20"/>
          <w:color w:val="auto"/>
        </w:rPr>
      </w:pPr>
      <w:r>
        <w:rPr>
          <w:rFonts w:ascii="Arial" w:cs="Arial" w:eastAsia="Arial" w:hAnsi="Arial"/>
          <w:sz w:val="12"/>
          <w:szCs w:val="12"/>
          <w:color w:val="auto"/>
        </w:rPr>
        <w:t>(4,105,380)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13335</wp:posOffset>
            </wp:positionV>
            <wp:extent cx="99504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9960" w:space="720"/>
            <w:col w:w="7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9780" w:type="dxa"/>
            <w:vAlign w:val="bottom"/>
          </w:tcPr>
          <w:p>
            <w:pPr>
              <w:ind w:left="880"/>
              <w:spacing w:after="0"/>
              <w:rPr>
                <w:sz w:val="20"/>
                <w:szCs w:val="20"/>
                <w:color w:val="auto"/>
              </w:rPr>
            </w:pPr>
            <w:r>
              <w:rPr>
                <w:rFonts w:ascii="Arial" w:cs="Arial" w:eastAsia="Arial" w:hAnsi="Arial"/>
                <w:sz w:val="14"/>
                <w:szCs w:val="14"/>
                <w:b w:val="1"/>
                <w:bCs w:val="1"/>
                <w:color w:val="auto"/>
              </w:rPr>
              <w:t>Total net assets</w:t>
            </w:r>
          </w:p>
        </w:tc>
        <w:tc>
          <w:tcPr>
            <w:tcW w:w="48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92,072,105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97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7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b w:val="1"/>
                <w:bCs w:val="1"/>
                <w:color w:val="auto"/>
              </w:rPr>
              <w:t>Total liabilities and net assets</w:t>
            </w:r>
          </w:p>
        </w:tc>
        <w:tc>
          <w:tcPr>
            <w:tcW w:w="48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121,075,260</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780" w:type="dxa"/>
            <w:vAlign w:val="bottom"/>
            <w:vMerge w:val="continue"/>
          </w:tcPr>
          <w:p>
            <w:pPr>
              <w:spacing w:after="0"/>
              <w:rPr>
                <w:sz w:val="15"/>
                <w:szCs w:val="15"/>
                <w:color w:val="auto"/>
              </w:rPr>
            </w:pPr>
          </w:p>
        </w:tc>
        <w:tc>
          <w:tcPr>
            <w:tcW w:w="480" w:type="dxa"/>
            <w:vAlign w:val="bottom"/>
            <w:vMerge w:val="restart"/>
          </w:tcPr>
          <w:p>
            <w:pPr>
              <w:jc w:val="right"/>
              <w:ind w:right="312"/>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13.44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9780" w:type="dxa"/>
            <w:vAlign w:val="bottom"/>
          </w:tcPr>
          <w:p>
            <w:pPr>
              <w:spacing w:after="0"/>
              <w:rPr>
                <w:sz w:val="4"/>
                <w:szCs w:val="4"/>
                <w:color w:val="auto"/>
              </w:rPr>
            </w:pPr>
          </w:p>
        </w:tc>
        <w:tc>
          <w:tcPr>
            <w:tcW w:w="480" w:type="dxa"/>
            <w:vAlign w:val="bottom"/>
            <w:tcBorders>
              <w:bottom w:val="single" w:sz="8" w:color="auto"/>
            </w:tcBorders>
            <w:vMerge w:val="continue"/>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420"/>
          </w:cols>
          <w:pgMar w:left="240" w:top="459" w:right="23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2920"/>
        <w:spacing w:after="0"/>
        <w:rPr>
          <w:sz w:val="20"/>
          <w:szCs w:val="20"/>
          <w:color w:val="auto"/>
        </w:rPr>
      </w:pPr>
      <w:r>
        <w:rPr>
          <w:rFonts w:ascii="Arial" w:cs="Arial" w:eastAsia="Arial" w:hAnsi="Arial"/>
          <w:sz w:val="12"/>
          <w:szCs w:val="12"/>
          <w:b w:val="1"/>
          <w:bCs w:val="1"/>
          <w:color w:val="auto"/>
        </w:rPr>
        <w:t>PENNANTPARK FLOATING RATE CAPITAL LTD. AND SUBSIDIARY</w:t>
      </w:r>
    </w:p>
    <w:p>
      <w:pPr>
        <w:spacing w:after="0" w:line="24" w:lineRule="exact"/>
        <w:rPr>
          <w:sz w:val="20"/>
          <w:szCs w:val="20"/>
          <w:color w:val="auto"/>
        </w:rPr>
      </w:pPr>
    </w:p>
    <w:p>
      <w:pPr>
        <w:jc w:val="center"/>
        <w:ind w:left="2920"/>
        <w:spacing w:after="0"/>
        <w:rPr>
          <w:sz w:val="20"/>
          <w:szCs w:val="20"/>
          <w:color w:val="auto"/>
        </w:rPr>
      </w:pPr>
      <w:r>
        <w:rPr>
          <w:rFonts w:ascii="Arial" w:cs="Arial" w:eastAsia="Arial" w:hAnsi="Arial"/>
          <w:sz w:val="14"/>
          <w:szCs w:val="14"/>
          <w:b w:val="1"/>
          <w:bCs w:val="1"/>
          <w:color w:val="auto"/>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635000</wp:posOffset>
            </wp:positionV>
            <wp:extent cx="724662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income: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From non-controlled, non-affiliated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Interest</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Base management fee (See Note 3)</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Interest and expenses on the credit facility (See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Administrative services expenses (See Note 3)</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Expenses before debt issuance costs</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Debt issuance costs (See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Total expenses</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Realized and unrealized gain(loss) on investments: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Net realized gain on non-controlled, non-affiliated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Net unrealized (depreciation) on:</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Non-controlled, non-affiliated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realized and unrealized loss from investments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Net decrease in net assets resulting from operations per common share (See Note 6)</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Net investment income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2920"/>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left="2920"/>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19" w:right="60"/>
        <w:spacing w:after="0" w:line="289" w:lineRule="auto"/>
        <w:rPr>
          <w:sz w:val="20"/>
          <w:szCs w:val="20"/>
          <w:color w:val="auto"/>
        </w:rPr>
      </w:pPr>
      <w:r>
        <w:rPr>
          <w:rFonts w:ascii="Arial" w:cs="Arial" w:eastAsia="Arial" w:hAnsi="Arial"/>
          <w:sz w:val="12"/>
          <w:szCs w:val="12"/>
          <w:b w:val="1"/>
          <w:bCs w:val="1"/>
          <w:color w:val="auto"/>
        </w:rPr>
        <w:t>For the period March 4, 2011 (commencement of operations) to September 30, 2011</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2,946,599</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452"/>
        </w:trPr>
        <w:tc>
          <w:tcPr>
            <w:tcW w:w="7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365,433</w:t>
            </w:r>
          </w:p>
        </w:tc>
      </w:tr>
      <w:tr>
        <w:trPr>
          <w:trHeight w:val="297"/>
        </w:trPr>
        <w:tc>
          <w:tcPr>
            <w:tcW w:w="7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155,913</w:t>
            </w:r>
          </w:p>
        </w:tc>
      </w:tr>
      <w:tr>
        <w:trPr>
          <w:trHeight w:val="284"/>
        </w:trPr>
        <w:tc>
          <w:tcPr>
            <w:tcW w:w="7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182,995</w:t>
            </w:r>
          </w:p>
        </w:tc>
      </w:tr>
      <w:tr>
        <w:trPr>
          <w:trHeight w:val="243"/>
        </w:trPr>
        <w:tc>
          <w:tcPr>
            <w:tcW w:w="7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556,076</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1,260,417</w:t>
            </w:r>
          </w:p>
        </w:tc>
      </w:tr>
      <w:tr>
        <w:trPr>
          <w:trHeight w:val="243"/>
        </w:trPr>
        <w:tc>
          <w:tcPr>
            <w:tcW w:w="7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1,366,043</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2,626,460</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320,139</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506"/>
        </w:trPr>
        <w:tc>
          <w:tcPr>
            <w:tcW w:w="7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311,988</w:t>
            </w:r>
          </w:p>
        </w:tc>
      </w:tr>
      <w:tr>
        <w:trPr>
          <w:trHeight w:val="527"/>
        </w:trPr>
        <w:tc>
          <w:tcPr>
            <w:tcW w:w="7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(4,105,380)</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(3,793,392)</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(3,473,253)</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(0.51)</w:t>
            </w:r>
          </w:p>
        </w:tc>
      </w:tr>
      <w:tr>
        <w:trPr>
          <w:trHeight w:val="270"/>
        </w:trPr>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0.05</w:t>
            </w:r>
          </w:p>
        </w:tc>
      </w:tr>
    </w:tbl>
    <w:p>
      <w:pPr>
        <w:sectPr>
          <w:pgSz w:w="11900" w:h="16838" w:orient="portrait"/>
          <w:cols w:equalWidth="0" w:num="2">
            <w:col w:w="8520" w:space="720"/>
            <w:col w:w="2100"/>
          </w:cols>
          <w:pgMar w:left="240" w:top="459" w:right="3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2620"/>
        <w:spacing w:after="0"/>
        <w:rPr>
          <w:sz w:val="20"/>
          <w:szCs w:val="20"/>
          <w:color w:val="auto"/>
        </w:rPr>
      </w:pPr>
      <w:r>
        <w:rPr>
          <w:rFonts w:ascii="Arial" w:cs="Arial" w:eastAsia="Arial" w:hAnsi="Arial"/>
          <w:sz w:val="12"/>
          <w:szCs w:val="12"/>
          <w:b w:val="1"/>
          <w:bCs w:val="1"/>
          <w:color w:val="auto"/>
        </w:rPr>
        <w:t>PENNANTPARK FLOATING RATE CAPITAL LTD. AND SUBSIDIARY</w:t>
      </w:r>
    </w:p>
    <w:p>
      <w:pPr>
        <w:spacing w:after="0" w:line="24" w:lineRule="exact"/>
        <w:rPr>
          <w:sz w:val="20"/>
          <w:szCs w:val="20"/>
          <w:color w:val="auto"/>
        </w:rPr>
      </w:pPr>
    </w:p>
    <w:p>
      <w:pPr>
        <w:jc w:val="center"/>
        <w:ind w:left="2620"/>
        <w:spacing w:after="0"/>
        <w:rPr>
          <w:sz w:val="20"/>
          <w:szCs w:val="20"/>
          <w:color w:val="auto"/>
        </w:rPr>
      </w:pPr>
      <w:r>
        <w:rPr>
          <w:rFonts w:ascii="Arial" w:cs="Arial" w:eastAsia="Arial" w:hAnsi="Arial"/>
          <w:sz w:val="14"/>
          <w:szCs w:val="14"/>
          <w:b w:val="1"/>
          <w:bCs w:val="1"/>
          <w:color w:val="auto"/>
        </w:rPr>
        <w:t>CONSOLIDATED STATEMENT OF 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724662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decrease in net assets from operations: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Net realized gain on investments and cash equivalents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Net unrealized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Net decrease in net assets resulting from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4" w:lineRule="exact"/>
        <w:rPr>
          <w:sz w:val="20"/>
          <w:szCs w:val="20"/>
          <w:color w:val="auto"/>
        </w:rPr>
      </w:pPr>
    </w:p>
    <w:p>
      <w:pPr>
        <w:jc w:val="center"/>
        <w:ind w:right="7240"/>
        <w:spacing w:after="0"/>
        <w:rPr>
          <w:sz w:val="20"/>
          <w:szCs w:val="20"/>
          <w:color w:val="auto"/>
        </w:rPr>
      </w:pPr>
      <w:r>
        <w:rPr>
          <w:rFonts w:ascii="Arial" w:cs="Arial" w:eastAsia="Arial" w:hAnsi="Arial"/>
          <w:sz w:val="14"/>
          <w:szCs w:val="14"/>
          <w:color w:val="auto"/>
        </w:rPr>
        <w:t>Distributions</w:t>
      </w:r>
    </w:p>
    <w:p>
      <w:pPr>
        <w:spacing w:after="0" w:line="107" w:lineRule="exact"/>
        <w:rPr>
          <w:sz w:val="20"/>
          <w:szCs w:val="20"/>
          <w:color w:val="auto"/>
        </w:rPr>
      </w:pPr>
    </w:p>
    <w:p>
      <w:pPr>
        <w:jc w:val="center"/>
        <w:ind w:right="7260"/>
        <w:spacing w:after="0"/>
        <w:rPr>
          <w:sz w:val="20"/>
          <w:szCs w:val="20"/>
          <w:color w:val="auto"/>
        </w:rPr>
      </w:pPr>
      <w:r>
        <w:rPr>
          <w:rFonts w:ascii="Arial" w:cs="Arial" w:eastAsia="Arial" w:hAnsi="Arial"/>
          <w:sz w:val="12"/>
          <w:szCs w:val="12"/>
          <w:b w:val="1"/>
          <w:bCs w:val="1"/>
          <w:color w:val="auto"/>
        </w:rPr>
        <w:t>Capital share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Issuance of shares of common stock</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Net increase in net assets resulting from capital share transactions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increase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Assets: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End of period</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Distributions in excess of net investment income, at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Share Activity:</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Shares issued from public and private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2620"/>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left="2620"/>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line="228" w:lineRule="auto"/>
        <w:rPr>
          <w:sz w:val="20"/>
          <w:szCs w:val="20"/>
          <w:color w:val="auto"/>
        </w:rPr>
      </w:pPr>
      <w:r>
        <w:rPr>
          <w:rFonts w:ascii="Arial" w:cs="Arial" w:eastAsia="Arial" w:hAnsi="Arial"/>
          <w:sz w:val="14"/>
          <w:szCs w:val="14"/>
          <w:b w:val="1"/>
          <w:bCs w:val="1"/>
          <w:color w:val="auto"/>
        </w:rPr>
        <w:t>For the period March 4, 2011 (commencement of operations) to</w:t>
      </w:r>
    </w:p>
    <w:p>
      <w:pPr>
        <w:ind w:left="340"/>
        <w:spacing w:after="0"/>
        <w:rPr>
          <w:sz w:val="20"/>
          <w:szCs w:val="20"/>
          <w:color w:val="auto"/>
        </w:rPr>
      </w:pPr>
      <w:r>
        <w:rPr>
          <w:rFonts w:ascii="Arial" w:cs="Arial" w:eastAsia="Arial" w:hAnsi="Arial"/>
          <w:sz w:val="14"/>
          <w:szCs w:val="14"/>
          <w:b w:val="1"/>
          <w:bCs w:val="1"/>
          <w:color w:val="auto"/>
        </w:rPr>
        <w:t>September 30, 2011</w:t>
      </w:r>
    </w:p>
    <w:p>
      <w:pPr>
        <w:spacing w:after="0" w:line="314" w:lineRule="exact"/>
        <w:rPr>
          <w:sz w:val="20"/>
          <w:szCs w:val="20"/>
          <w:color w:val="auto"/>
        </w:rPr>
      </w:pPr>
    </w:p>
    <w:p>
      <w:pPr>
        <w:ind w:left="1340" w:hanging="1317"/>
        <w:spacing w:after="0"/>
        <w:tabs>
          <w:tab w:leader="none" w:pos="13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320,139</w:t>
      </w:r>
    </w:p>
    <w:p>
      <w:pPr>
        <w:spacing w:after="0" w:line="105" w:lineRule="exact"/>
        <w:rPr>
          <w:rFonts w:ascii="Arial" w:cs="Arial" w:eastAsia="Arial" w:hAnsi="Arial"/>
          <w:sz w:val="12"/>
          <w:szCs w:val="12"/>
          <w:color w:val="auto"/>
        </w:rPr>
      </w:pPr>
    </w:p>
    <w:p>
      <w:pPr>
        <w:ind w:left="1340"/>
        <w:spacing w:after="0"/>
        <w:rPr>
          <w:rFonts w:ascii="Arial" w:cs="Arial" w:eastAsia="Arial" w:hAnsi="Arial"/>
          <w:sz w:val="12"/>
          <w:szCs w:val="12"/>
          <w:color w:val="auto"/>
        </w:rPr>
      </w:pPr>
      <w:r>
        <w:rPr>
          <w:rFonts w:ascii="Arial" w:cs="Arial" w:eastAsia="Arial" w:hAnsi="Arial"/>
          <w:sz w:val="12"/>
          <w:szCs w:val="12"/>
          <w:color w:val="auto"/>
        </w:rPr>
        <w:t>311,988</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(4,105,380)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(3,473,253)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(1,712,667)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32"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102,760,000</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(5,501,975)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9"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97,258,025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115760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24"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92,072,105</w:t>
      </w:r>
    </w:p>
    <w:p>
      <w:pPr>
        <w:spacing w:after="0" w:line="360"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w:t>
      </w:r>
    </w:p>
    <w:p>
      <w:pPr>
        <w:spacing w:after="0" w:line="82" w:lineRule="exact"/>
        <w:rPr>
          <w:sz w:val="20"/>
          <w:szCs w:val="20"/>
          <w:color w:val="auto"/>
        </w:rPr>
      </w:pPr>
    </w:p>
    <w:p>
      <w:pPr>
        <w:ind w:left="1180" w:hanging="1157"/>
        <w:spacing w:after="0"/>
        <w:tabs>
          <w:tab w:leader="none" w:pos="1180" w:val="left"/>
        </w:tabs>
        <w:numPr>
          <w:ilvl w:val="0"/>
          <w:numId w:val="73"/>
        </w:numPr>
        <w:rPr>
          <w:rFonts w:ascii="Arial" w:cs="Arial" w:eastAsia="Arial" w:hAnsi="Arial"/>
          <w:sz w:val="11"/>
          <w:szCs w:val="11"/>
          <w:color w:val="auto"/>
        </w:rPr>
      </w:pPr>
      <w:r>
        <w:rPr>
          <w:rFonts w:ascii="Arial" w:cs="Arial" w:eastAsia="Arial" w:hAnsi="Arial"/>
          <w:sz w:val="11"/>
          <w:szCs w:val="11"/>
          <w:color w:val="auto"/>
        </w:rPr>
        <w:t>92,072,105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115760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38100</wp:posOffset>
            </wp:positionV>
            <wp:extent cx="115760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51" w:lineRule="exact"/>
        <w:rPr>
          <w:sz w:val="20"/>
          <w:szCs w:val="20"/>
          <w:color w:val="auto"/>
        </w:rPr>
      </w:pPr>
    </w:p>
    <w:p>
      <w:pPr>
        <w:ind w:left="1140" w:hanging="1117"/>
        <w:spacing w:after="0"/>
        <w:tabs>
          <w:tab w:leader="none" w:pos="1140" w:val="left"/>
        </w:tabs>
        <w:numPr>
          <w:ilvl w:val="0"/>
          <w:numId w:val="74"/>
        </w:numPr>
        <w:rPr>
          <w:rFonts w:ascii="Arial" w:cs="Arial" w:eastAsia="Arial" w:hAnsi="Arial"/>
          <w:sz w:val="12"/>
          <w:szCs w:val="12"/>
          <w:color w:val="auto"/>
        </w:rPr>
      </w:pPr>
      <w:r>
        <w:rPr>
          <w:rFonts w:ascii="Arial" w:cs="Arial" w:eastAsia="Arial" w:hAnsi="Arial"/>
          <w:sz w:val="12"/>
          <w:szCs w:val="12"/>
          <w:color w:val="auto"/>
        </w:rPr>
        <w:t>(1,392,528)</w:t>
      </w:r>
    </w:p>
    <w:p>
      <w:pPr>
        <w:spacing w:after="0" w:line="200" w:lineRule="exact"/>
        <w:rPr>
          <w:rFonts w:ascii="Arial" w:cs="Arial" w:eastAsia="Arial" w:hAnsi="Arial"/>
          <w:sz w:val="12"/>
          <w:szCs w:val="12"/>
          <w:color w:val="auto"/>
        </w:rPr>
      </w:pPr>
    </w:p>
    <w:p>
      <w:pPr>
        <w:spacing w:after="0" w:line="202" w:lineRule="exact"/>
        <w:rPr>
          <w:rFonts w:ascii="Arial" w:cs="Arial" w:eastAsia="Arial" w:hAnsi="Arial"/>
          <w:sz w:val="12"/>
          <w:szCs w:val="12"/>
          <w:color w:val="auto"/>
        </w:rPr>
      </w:pPr>
    </w:p>
    <w:p>
      <w:pPr>
        <w:ind w:left="1240"/>
        <w:spacing w:after="0"/>
        <w:rPr>
          <w:rFonts w:ascii="Arial" w:cs="Arial" w:eastAsia="Arial" w:hAnsi="Arial"/>
          <w:sz w:val="12"/>
          <w:szCs w:val="12"/>
          <w:color w:val="auto"/>
        </w:rPr>
      </w:pPr>
      <w:r>
        <w:rPr>
          <w:rFonts w:ascii="Arial" w:cs="Arial" w:eastAsia="Arial" w:hAnsi="Arial"/>
          <w:sz w:val="12"/>
          <w:szCs w:val="12"/>
          <w:color w:val="auto"/>
        </w:rPr>
        <w:t>6,850,667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-328930</wp:posOffset>
            </wp:positionV>
            <wp:extent cx="115760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-311785</wp:posOffset>
            </wp:positionV>
            <wp:extent cx="115760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ectPr>
          <w:pgSz w:w="11900" w:h="16838" w:orient="portrait"/>
          <w:cols w:equalWidth="0" w:num="2">
            <w:col w:w="8820" w:space="720"/>
            <w:col w:w="1780"/>
          </w:cols>
          <w:pgMar w:left="240" w:top="459"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2620"/>
        <w:spacing w:after="0"/>
        <w:rPr>
          <w:sz w:val="20"/>
          <w:szCs w:val="20"/>
          <w:color w:val="auto"/>
        </w:rPr>
      </w:pPr>
      <w:r>
        <w:rPr>
          <w:rFonts w:ascii="Arial" w:cs="Arial" w:eastAsia="Arial" w:hAnsi="Arial"/>
          <w:sz w:val="12"/>
          <w:szCs w:val="12"/>
          <w:b w:val="1"/>
          <w:bCs w:val="1"/>
          <w:color w:val="auto"/>
        </w:rPr>
        <w:t>PENNANTPARK FLOATING RATE CAPITAL LTD. AND SUBSIDIARY</w:t>
      </w:r>
    </w:p>
    <w:p>
      <w:pPr>
        <w:spacing w:after="0" w:line="24" w:lineRule="exact"/>
        <w:rPr>
          <w:sz w:val="20"/>
          <w:szCs w:val="20"/>
          <w:color w:val="auto"/>
        </w:rPr>
      </w:pPr>
    </w:p>
    <w:p>
      <w:pPr>
        <w:jc w:val="center"/>
        <w:ind w:left="2620"/>
        <w:spacing w:after="0"/>
        <w:rPr>
          <w:sz w:val="20"/>
          <w:szCs w:val="20"/>
          <w:color w:val="auto"/>
        </w:rPr>
      </w:pPr>
      <w:r>
        <w:rPr>
          <w:rFonts w:ascii="Arial" w:cs="Arial" w:eastAsia="Arial" w:hAnsi="Arial"/>
          <w:sz w:val="14"/>
          <w:szCs w:val="14"/>
          <w:b w:val="1"/>
          <w:bCs w:val="1"/>
          <w:color w:val="auto"/>
        </w:rPr>
        <w:t>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724662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operating activities: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Net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Adjustments to reconcile net decrease in net assets resulting from operations to net cash used for operating activities: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Net net unrealized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Net realized gain on investments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Net accretion of discount and amortization of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Purchase of investments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Payment-in-kind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Proceeds from disposition of investments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interest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receivables for investments sold</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unfunded investments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payables for investments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interest payable on credit facility</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management fee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accrued other expenses</w:t>
      </w:r>
    </w:p>
    <w:p>
      <w:pPr>
        <w:spacing w:after="0" w:line="10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Net cash used for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financing activities:</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Offering costs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Distributions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Borrowings under credit facility (See Note 10)</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Repayments under credit facility (See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Net cash provided by financing activities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increase in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equivalents, beginning of year</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equivalents,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disclosure of cash flow information:</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Interest paid</w:t>
      </w:r>
    </w:p>
    <w:p>
      <w:pPr>
        <w:spacing w:after="0" w:line="200" w:lineRule="exact"/>
        <w:rPr>
          <w:sz w:val="20"/>
          <w:szCs w:val="20"/>
          <w:color w:val="auto"/>
        </w:rPr>
      </w:pPr>
    </w:p>
    <w:p>
      <w:pPr>
        <w:spacing w:after="0" w:line="341" w:lineRule="exact"/>
        <w:rPr>
          <w:sz w:val="20"/>
          <w:szCs w:val="20"/>
          <w:color w:val="auto"/>
        </w:rPr>
      </w:pPr>
    </w:p>
    <w:p>
      <w:pPr>
        <w:jc w:val="center"/>
        <w:ind w:left="2620"/>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left="2620"/>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line="228" w:lineRule="auto"/>
        <w:rPr>
          <w:sz w:val="20"/>
          <w:szCs w:val="20"/>
          <w:color w:val="auto"/>
        </w:rPr>
      </w:pPr>
      <w:r>
        <w:rPr>
          <w:rFonts w:ascii="Arial" w:cs="Arial" w:eastAsia="Arial" w:hAnsi="Arial"/>
          <w:sz w:val="14"/>
          <w:szCs w:val="14"/>
          <w:b w:val="1"/>
          <w:bCs w:val="1"/>
          <w:color w:val="auto"/>
        </w:rPr>
        <w:t>For the period March 4, 2011 (commencement of operations) to</w:t>
      </w:r>
    </w:p>
    <w:p>
      <w:pPr>
        <w:ind w:left="340"/>
        <w:spacing w:after="0"/>
        <w:rPr>
          <w:sz w:val="20"/>
          <w:szCs w:val="20"/>
          <w:color w:val="auto"/>
        </w:rPr>
      </w:pPr>
      <w:r>
        <w:rPr>
          <w:rFonts w:ascii="Arial" w:cs="Arial" w:eastAsia="Arial" w:hAnsi="Arial"/>
          <w:sz w:val="14"/>
          <w:szCs w:val="14"/>
          <w:b w:val="1"/>
          <w:bCs w:val="1"/>
          <w:color w:val="auto"/>
        </w:rPr>
        <w:t>September 30, 2011</w:t>
      </w:r>
    </w:p>
    <w:p>
      <w:pPr>
        <w:spacing w:after="0" w:line="314" w:lineRule="exact"/>
        <w:rPr>
          <w:sz w:val="20"/>
          <w:szCs w:val="20"/>
          <w:color w:val="auto"/>
        </w:rPr>
      </w:pPr>
    </w:p>
    <w:p>
      <w:pPr>
        <w:ind w:left="1140" w:hanging="1117"/>
        <w:spacing w:after="0"/>
        <w:tabs>
          <w:tab w:leader="none" w:pos="11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(3,473,253)</w:t>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4,105,380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(311,988)</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(136,975)</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(147,545,077)</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(42,074)</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33,206,493</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(732,695)</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(2,467,500)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(163,374)</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2,323,250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990,000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150,246</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266,432</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143,680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(113,687,455)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32"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102,760,000</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(5,501,975)</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(1,233,120)</w:t>
      </w:r>
    </w:p>
    <w:p>
      <w:pPr>
        <w:spacing w:after="0" w:line="82"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29,000,000</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9"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120,674,905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115760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12"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6,987,450</w:t>
      </w:r>
    </w:p>
    <w:p>
      <w:pPr>
        <w:spacing w:after="0" w:line="105"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9" w:lineRule="exact"/>
        <w:rPr>
          <w:sz w:val="20"/>
          <w:szCs w:val="20"/>
          <w:color w:val="auto"/>
        </w:rPr>
      </w:pPr>
    </w:p>
    <w:p>
      <w:pPr>
        <w:ind w:left="1240" w:hanging="1217"/>
        <w:spacing w:after="0"/>
        <w:tabs>
          <w:tab w:leader="none" w:pos="1240" w:val="left"/>
        </w:tabs>
        <w:numPr>
          <w:ilvl w:val="0"/>
          <w:numId w:val="76"/>
        </w:numPr>
        <w:rPr>
          <w:rFonts w:ascii="Arial" w:cs="Arial" w:eastAsia="Arial" w:hAnsi="Arial"/>
          <w:sz w:val="12"/>
          <w:szCs w:val="12"/>
          <w:color w:val="auto"/>
        </w:rPr>
      </w:pPr>
      <w:r>
        <w:rPr>
          <w:rFonts w:ascii="Arial" w:cs="Arial" w:eastAsia="Arial" w:hAnsi="Arial"/>
          <w:sz w:val="12"/>
          <w:szCs w:val="12"/>
          <w:color w:val="auto"/>
        </w:rPr>
        <w:t>6,987,450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115760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30480</wp:posOffset>
            </wp:positionV>
            <wp:extent cx="115760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82" w:lineRule="exact"/>
        <w:rPr>
          <w:sz w:val="20"/>
          <w:szCs w:val="20"/>
          <w:color w:val="auto"/>
        </w:rPr>
      </w:pPr>
    </w:p>
    <w:p>
      <w:pPr>
        <w:ind w:left="20"/>
        <w:spacing w:after="0"/>
        <w:tabs>
          <w:tab w:leader="none" w:pos="146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5,556</w:t>
      </w:r>
    </w:p>
    <w:p>
      <w:pPr>
        <w:sectPr>
          <w:pgSz w:w="11900" w:h="16838" w:orient="portrait"/>
          <w:cols w:equalWidth="0" w:num="2">
            <w:col w:w="8820" w:space="720"/>
            <w:col w:w="1780"/>
          </w:cols>
          <w:pgMar w:left="240" w:top="459"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center"/>
              <w:ind w:right="233"/>
              <w:spacing w:after="0"/>
              <w:rPr>
                <w:sz w:val="20"/>
                <w:szCs w:val="20"/>
                <w:color w:val="auto"/>
              </w:rPr>
            </w:pPr>
            <w:r>
              <w:rPr>
                <w:rFonts w:ascii="Arial" w:cs="Arial" w:eastAsia="Arial" w:hAnsi="Arial"/>
                <w:sz w:val="14"/>
                <w:szCs w:val="14"/>
                <w:b w:val="1"/>
                <w:bCs w:val="1"/>
                <w:color w:val="auto"/>
                <w:w w:val="83"/>
              </w:rPr>
              <w:t>Basis Point</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center"/>
              <w:ind w:right="213"/>
              <w:spacing w:after="0" w:line="149" w:lineRule="exact"/>
              <w:rPr>
                <w:sz w:val="20"/>
                <w:szCs w:val="20"/>
                <w:color w:val="auto"/>
              </w:rPr>
            </w:pPr>
            <w:r>
              <w:rPr>
                <w:rFonts w:ascii="Arial" w:cs="Arial" w:eastAsia="Arial" w:hAnsi="Arial"/>
                <w:sz w:val="14"/>
                <w:szCs w:val="14"/>
                <w:b w:val="1"/>
                <w:bCs w:val="1"/>
                <w:color w:val="auto"/>
                <w:w w:val="88"/>
              </w:rPr>
              <w:t>Spread</w:t>
            </w: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3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00" w:type="dxa"/>
            <w:vAlign w:val="bottom"/>
          </w:tcPr>
          <w:p>
            <w:pPr>
              <w:jc w:val="right"/>
              <w:ind w:right="52"/>
              <w:spacing w:after="0" w:line="135" w:lineRule="exact"/>
              <w:rPr>
                <w:sz w:val="20"/>
                <w:szCs w:val="20"/>
                <w:color w:val="auto"/>
              </w:rPr>
            </w:pPr>
            <w:r>
              <w:rPr>
                <w:rFonts w:ascii="Arial" w:cs="Arial" w:eastAsia="Arial" w:hAnsi="Arial"/>
                <w:sz w:val="14"/>
                <w:szCs w:val="14"/>
                <w:b w:val="1"/>
                <w:bCs w:val="1"/>
                <w:color w:val="auto"/>
              </w:rPr>
              <w:t>Current</w:t>
            </w:r>
          </w:p>
        </w:tc>
        <w:tc>
          <w:tcPr>
            <w:tcW w:w="360" w:type="dxa"/>
            <w:vAlign w:val="bottom"/>
          </w:tcPr>
          <w:p>
            <w:pPr>
              <w:spacing w:after="0"/>
              <w:rPr>
                <w:sz w:val="11"/>
                <w:szCs w:val="11"/>
                <w:color w:val="auto"/>
              </w:rPr>
            </w:pPr>
          </w:p>
        </w:tc>
        <w:tc>
          <w:tcPr>
            <w:tcW w:w="980" w:type="dxa"/>
            <w:vAlign w:val="bottom"/>
          </w:tcPr>
          <w:p>
            <w:pPr>
              <w:jc w:val="center"/>
              <w:ind w:right="213"/>
              <w:spacing w:after="0" w:line="135" w:lineRule="exact"/>
              <w:rPr>
                <w:sz w:val="20"/>
                <w:szCs w:val="20"/>
                <w:color w:val="auto"/>
              </w:rPr>
            </w:pPr>
            <w:r>
              <w:rPr>
                <w:rFonts w:ascii="Arial" w:cs="Arial" w:eastAsia="Arial" w:hAnsi="Arial"/>
                <w:sz w:val="14"/>
                <w:szCs w:val="14"/>
                <w:b w:val="1"/>
                <w:bCs w:val="1"/>
                <w:color w:val="auto"/>
                <w:w w:val="88"/>
              </w:rPr>
              <w:t>Above</w:t>
            </w:r>
          </w:p>
        </w:tc>
        <w:tc>
          <w:tcPr>
            <w:tcW w:w="72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rPr>
              <w:t>Par/</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Fair</w:t>
            </w:r>
          </w:p>
        </w:tc>
      </w:tr>
      <w:tr>
        <w:trPr>
          <w:trHeight w:val="176"/>
        </w:trPr>
        <w:tc>
          <w:tcPr>
            <w:tcW w:w="3200" w:type="dxa"/>
            <w:vAlign w:val="bottom"/>
          </w:tcPr>
          <w:p>
            <w:pPr>
              <w:spacing w:after="0"/>
              <w:rPr>
                <w:sz w:val="20"/>
                <w:szCs w:val="20"/>
                <w:color w:val="auto"/>
              </w:rPr>
            </w:pPr>
            <w:r>
              <w:rPr>
                <w:rFonts w:ascii="Arial" w:cs="Arial" w:eastAsia="Arial" w:hAnsi="Arial"/>
                <w:sz w:val="14"/>
                <w:szCs w:val="14"/>
                <w:b w:val="1"/>
                <w:bCs w:val="1"/>
                <w:color w:val="auto"/>
              </w:rPr>
              <w:t>Issuer Name</w:t>
            </w:r>
          </w:p>
        </w:tc>
        <w:tc>
          <w:tcPr>
            <w:tcW w:w="1980" w:type="dxa"/>
            <w:vAlign w:val="bottom"/>
          </w:tcPr>
          <w:p>
            <w:pPr>
              <w:ind w:left="1320"/>
              <w:spacing w:after="0"/>
              <w:rPr>
                <w:sz w:val="20"/>
                <w:szCs w:val="20"/>
                <w:color w:val="auto"/>
              </w:rPr>
            </w:pPr>
            <w:r>
              <w:rPr>
                <w:rFonts w:ascii="Arial" w:cs="Arial" w:eastAsia="Arial" w:hAnsi="Arial"/>
                <w:sz w:val="14"/>
                <w:szCs w:val="14"/>
                <w:b w:val="1"/>
                <w:bCs w:val="1"/>
                <w:color w:val="auto"/>
              </w:rPr>
              <w:t>Maturity</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700" w:type="dxa"/>
            <w:vAlign w:val="bottom"/>
          </w:tcPr>
          <w:p>
            <w:pPr>
              <w:jc w:val="right"/>
              <w:ind w:right="72"/>
              <w:spacing w:after="0"/>
              <w:rPr>
                <w:sz w:val="20"/>
                <w:szCs w:val="20"/>
                <w:color w:val="auto"/>
              </w:rPr>
            </w:pPr>
            <w:r>
              <w:rPr>
                <w:rFonts w:ascii="Arial" w:cs="Arial" w:eastAsia="Arial" w:hAnsi="Arial"/>
                <w:sz w:val="14"/>
                <w:szCs w:val="14"/>
                <w:b w:val="1"/>
                <w:bCs w:val="1"/>
                <w:color w:val="auto"/>
              </w:rPr>
              <w:t>Coupon</w:t>
            </w:r>
          </w:p>
        </w:tc>
        <w:tc>
          <w:tcPr>
            <w:tcW w:w="360" w:type="dxa"/>
            <w:vAlign w:val="bottom"/>
          </w:tcPr>
          <w:p>
            <w:pPr>
              <w:spacing w:after="0"/>
              <w:rPr>
                <w:sz w:val="15"/>
                <w:szCs w:val="15"/>
                <w:color w:val="auto"/>
              </w:rPr>
            </w:pPr>
          </w:p>
        </w:tc>
        <w:tc>
          <w:tcPr>
            <w:tcW w:w="980" w:type="dxa"/>
            <w:vAlign w:val="bottom"/>
          </w:tcPr>
          <w:p>
            <w:pPr>
              <w:jc w:val="center"/>
              <w:ind w:right="213"/>
              <w:spacing w:after="0" w:line="176" w:lineRule="exact"/>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20"/>
                <w:szCs w:val="20"/>
                <w:b w:val="1"/>
                <w:bCs w:val="1"/>
                <w:color w:val="auto"/>
                <w:w w:val="92"/>
                <w:vertAlign w:val="superscript"/>
              </w:rPr>
              <w:t>(1)</w:t>
            </w:r>
          </w:p>
        </w:tc>
        <w:tc>
          <w:tcPr>
            <w:tcW w:w="72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90"/>
              </w:rPr>
              <w:t>Value</w:t>
            </w:r>
            <w:r>
              <w:rPr>
                <w:rFonts w:ascii="Arial" w:cs="Arial" w:eastAsia="Arial" w:hAnsi="Arial"/>
                <w:sz w:val="20"/>
                <w:szCs w:val="20"/>
                <w:b w:val="1"/>
                <w:bCs w:val="1"/>
                <w:color w:val="auto"/>
                <w:w w:val="90"/>
                <w:vertAlign w:val="superscript"/>
              </w:rPr>
              <w:t>(2)</w:t>
            </w:r>
          </w:p>
        </w:tc>
      </w:tr>
      <w:tr>
        <w:trPr>
          <w:trHeight w:val="142"/>
        </w:trPr>
        <w:tc>
          <w:tcPr>
            <w:tcW w:w="51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Companies—120.2%</w:t>
            </w:r>
            <w:r>
              <w:rPr>
                <w:rFonts w:ascii="Arial" w:cs="Arial" w:eastAsia="Arial" w:hAnsi="Arial"/>
                <w:sz w:val="16"/>
                <w:szCs w:val="16"/>
                <w:b w:val="1"/>
                <w:bCs w:val="1"/>
                <w:color w:val="auto"/>
                <w:vertAlign w:val="superscript"/>
              </w:rPr>
              <w:t>(3),(4)</w:t>
            </w:r>
          </w:p>
        </w:tc>
        <w:tc>
          <w:tcPr>
            <w:tcW w:w="13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Debt—102.4%</w:t>
            </w:r>
          </w:p>
        </w:tc>
        <w:tc>
          <w:tcPr>
            <w:tcW w:w="1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9"/>
        </w:trPr>
        <w:tc>
          <w:tcPr>
            <w:tcW w:w="32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Airvana Network Solutions Inc. </w:t>
            </w:r>
            <w:r>
              <w:rPr>
                <w:rFonts w:ascii="Arial" w:cs="Arial" w:eastAsia="Arial" w:hAnsi="Arial"/>
                <w:sz w:val="21"/>
                <w:szCs w:val="21"/>
                <w:color w:val="auto"/>
                <w:vertAlign w:val="superscript"/>
              </w:rPr>
              <w:t>(11)</w:t>
            </w:r>
          </w:p>
        </w:tc>
        <w:tc>
          <w:tcPr>
            <w:tcW w:w="1980" w:type="dxa"/>
            <w:vAlign w:val="bottom"/>
            <w:shd w:val="clear" w:color="auto" w:fill="CCEEFF"/>
          </w:tcPr>
          <w:p>
            <w:pPr>
              <w:jc w:val="center"/>
              <w:ind w:left="1092"/>
              <w:spacing w:after="0"/>
              <w:rPr>
                <w:sz w:val="20"/>
                <w:szCs w:val="20"/>
                <w:color w:val="auto"/>
              </w:rPr>
            </w:pPr>
            <w:r>
              <w:rPr>
                <w:rFonts w:ascii="Arial" w:cs="Arial" w:eastAsia="Arial" w:hAnsi="Arial"/>
                <w:sz w:val="14"/>
                <w:szCs w:val="14"/>
                <w:color w:val="auto"/>
                <w:w w:val="86"/>
              </w:rPr>
              <w:t>3/25/2015</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Telecommunications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33"/>
              <w:spacing w:after="0"/>
              <w:rPr>
                <w:sz w:val="20"/>
                <w:szCs w:val="20"/>
                <w:color w:val="auto"/>
              </w:rPr>
            </w:pPr>
            <w:r>
              <w:rPr>
                <w:rFonts w:ascii="Arial" w:cs="Arial" w:eastAsia="Arial" w:hAnsi="Arial"/>
                <w:sz w:val="14"/>
                <w:szCs w:val="14"/>
                <w:color w:val="auto"/>
              </w:rPr>
              <w:t>L+800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1,209,524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1,213,365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1,215,571</w:t>
            </w:r>
          </w:p>
        </w:tc>
        <w:tc>
          <w:tcPr>
            <w:tcW w:w="60" w:type="dxa"/>
            <w:vAlign w:val="bottom"/>
            <w:shd w:val="clear" w:color="auto" w:fill="CCEEFF"/>
          </w:tcPr>
          <w:p>
            <w:pPr>
              <w:spacing w:after="0"/>
              <w:rPr>
                <w:sz w:val="16"/>
                <w:szCs w:val="16"/>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Artel, LLC </w:t>
            </w:r>
            <w:r>
              <w:rPr>
                <w:rFonts w:ascii="Arial" w:cs="Arial" w:eastAsia="Arial" w:hAnsi="Arial"/>
                <w:sz w:val="21"/>
                <w:szCs w:val="21"/>
                <w:color w:val="auto"/>
                <w:vertAlign w:val="superscript"/>
              </w:rPr>
              <w:t>(11)</w:t>
            </w:r>
          </w:p>
        </w:tc>
        <w:tc>
          <w:tcPr>
            <w:tcW w:w="1980" w:type="dxa"/>
            <w:vAlign w:val="bottom"/>
          </w:tcPr>
          <w:p>
            <w:pPr>
              <w:jc w:val="center"/>
              <w:ind w:left="1112"/>
              <w:spacing w:after="0"/>
              <w:rPr>
                <w:sz w:val="20"/>
                <w:szCs w:val="20"/>
                <w:color w:val="auto"/>
              </w:rPr>
            </w:pPr>
            <w:r>
              <w:rPr>
                <w:rFonts w:ascii="Arial" w:cs="Arial" w:eastAsia="Arial" w:hAnsi="Arial"/>
                <w:sz w:val="14"/>
                <w:szCs w:val="14"/>
                <w:color w:val="auto"/>
                <w:w w:val="88"/>
              </w:rPr>
              <w:t>6/1/2016</w:t>
            </w:r>
          </w:p>
        </w:tc>
        <w:tc>
          <w:tcPr>
            <w:tcW w:w="1320" w:type="dxa"/>
            <w:vAlign w:val="bottom"/>
          </w:tcPr>
          <w:p>
            <w:pPr>
              <w:jc w:val="center"/>
              <w:spacing w:after="0"/>
              <w:rPr>
                <w:sz w:val="20"/>
                <w:szCs w:val="20"/>
                <w:color w:val="auto"/>
              </w:rPr>
            </w:pPr>
            <w:r>
              <w:rPr>
                <w:rFonts w:ascii="Arial" w:cs="Arial" w:eastAsia="Arial" w:hAnsi="Arial"/>
                <w:sz w:val="14"/>
                <w:szCs w:val="14"/>
                <w:color w:val="auto"/>
                <w:w w:val="87"/>
              </w:rPr>
              <w:t>Telecommunications</w:t>
            </w:r>
          </w:p>
        </w:tc>
        <w:tc>
          <w:tcPr>
            <w:tcW w:w="700" w:type="dxa"/>
            <w:vAlign w:val="bottom"/>
          </w:tcPr>
          <w:p>
            <w:pPr>
              <w:jc w:val="right"/>
              <w:spacing w:after="0"/>
              <w:rPr>
                <w:sz w:val="20"/>
                <w:szCs w:val="20"/>
                <w:color w:val="auto"/>
              </w:rPr>
            </w:pPr>
            <w:r>
              <w:rPr>
                <w:rFonts w:ascii="Arial" w:cs="Arial" w:eastAsia="Arial" w:hAnsi="Arial"/>
                <w:sz w:val="14"/>
                <w:szCs w:val="14"/>
                <w:color w:val="auto"/>
              </w:rPr>
              <w:t>5.50%</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L+425</w:t>
            </w:r>
          </w:p>
        </w:tc>
        <w:tc>
          <w:tcPr>
            <w:tcW w:w="720" w:type="dxa"/>
            <w:vAlign w:val="bottom"/>
          </w:tcPr>
          <w:p>
            <w:pPr>
              <w:jc w:val="right"/>
              <w:spacing w:after="0"/>
              <w:rPr>
                <w:sz w:val="20"/>
                <w:szCs w:val="20"/>
                <w:color w:val="auto"/>
              </w:rPr>
            </w:pPr>
            <w:r>
              <w:rPr>
                <w:rFonts w:ascii="Arial" w:cs="Arial" w:eastAsia="Arial" w:hAnsi="Arial"/>
                <w:sz w:val="14"/>
                <w:szCs w:val="14"/>
                <w:color w:val="auto"/>
              </w:rPr>
              <w:t>987,500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978,043</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972,688</w:t>
            </w:r>
          </w:p>
        </w:tc>
        <w:tc>
          <w:tcPr>
            <w:tcW w:w="60" w:type="dxa"/>
            <w:vAlign w:val="bottom"/>
          </w:tcPr>
          <w:p>
            <w:pPr>
              <w:spacing w:after="0"/>
              <w:rPr>
                <w:sz w:val="16"/>
                <w:szCs w:val="16"/>
                <w:color w:val="auto"/>
              </w:rPr>
            </w:pPr>
          </w:p>
        </w:tc>
      </w:tr>
      <w:tr>
        <w:trPr>
          <w:trHeight w:val="189"/>
        </w:trPr>
        <w:tc>
          <w:tcPr>
            <w:tcW w:w="32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Autoparts Holdings Limited</w:t>
            </w:r>
            <w:r>
              <w:rPr>
                <w:rFonts w:ascii="Arial" w:cs="Arial" w:eastAsia="Arial" w:hAnsi="Arial"/>
                <w:sz w:val="21"/>
                <w:szCs w:val="21"/>
                <w:color w:val="auto"/>
                <w:vertAlign w:val="superscript"/>
              </w:rPr>
              <w:t>(11)</w:t>
            </w:r>
          </w:p>
        </w:tc>
        <w:tc>
          <w:tcPr>
            <w:tcW w:w="1980" w:type="dxa"/>
            <w:vAlign w:val="bottom"/>
            <w:shd w:val="clear" w:color="auto" w:fill="CCEEFF"/>
          </w:tcPr>
          <w:p>
            <w:pPr>
              <w:jc w:val="center"/>
              <w:ind w:left="1092"/>
              <w:spacing w:after="0"/>
              <w:rPr>
                <w:sz w:val="20"/>
                <w:szCs w:val="20"/>
                <w:color w:val="auto"/>
              </w:rPr>
            </w:pPr>
            <w:r>
              <w:rPr>
                <w:rFonts w:ascii="Arial" w:cs="Arial" w:eastAsia="Arial" w:hAnsi="Arial"/>
                <w:sz w:val="14"/>
                <w:szCs w:val="14"/>
                <w:color w:val="auto"/>
                <w:w w:val="86"/>
              </w:rPr>
              <w:t>7/29/2017</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Automotive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33"/>
              <w:spacing w:after="0"/>
              <w:rPr>
                <w:sz w:val="20"/>
                <w:szCs w:val="20"/>
                <w:color w:val="auto"/>
              </w:rPr>
            </w:pPr>
            <w:r>
              <w:rPr>
                <w:rFonts w:ascii="Arial" w:cs="Arial" w:eastAsia="Arial" w:hAnsi="Arial"/>
                <w:sz w:val="14"/>
                <w:szCs w:val="14"/>
                <w:color w:val="auto"/>
              </w:rPr>
              <w:t>L+500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995,085</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992,500</w:t>
            </w:r>
          </w:p>
        </w:tc>
        <w:tc>
          <w:tcPr>
            <w:tcW w:w="60" w:type="dxa"/>
            <w:vAlign w:val="bottom"/>
            <w:shd w:val="clear" w:color="auto" w:fill="CCEEFF"/>
          </w:tcPr>
          <w:p>
            <w:pPr>
              <w:spacing w:after="0"/>
              <w:rPr>
                <w:sz w:val="16"/>
                <w:szCs w:val="16"/>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1980" w:type="dxa"/>
            <w:vAlign w:val="bottom"/>
          </w:tcPr>
          <w:p>
            <w:pPr>
              <w:jc w:val="center"/>
              <w:ind w:left="1092"/>
              <w:spacing w:after="0" w:line="149" w:lineRule="exact"/>
              <w:rPr>
                <w:sz w:val="20"/>
                <w:szCs w:val="20"/>
                <w:color w:val="auto"/>
              </w:rPr>
            </w:pPr>
            <w:r>
              <w:rPr>
                <w:rFonts w:ascii="Arial" w:cs="Arial" w:eastAsia="Arial" w:hAnsi="Arial"/>
                <w:sz w:val="14"/>
                <w:szCs w:val="14"/>
                <w:color w:val="auto"/>
                <w:w w:val="86"/>
              </w:rPr>
              <w:t>7/31/2016</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9"/>
              </w:rPr>
              <w:t>Hotel, Gaming and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12.38%</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L+988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478,873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488,220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476,878</w:t>
            </w:r>
          </w:p>
        </w:tc>
        <w:tc>
          <w:tcPr>
            <w:tcW w:w="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7"/>
              </w:rPr>
              <w:t>Leisure</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C.H.I. Overhead Doors, Inc.</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8/17/2017</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L+575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3,921,236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3,900,000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Durable</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EAG, Inc. </w:t>
            </w:r>
            <w:r>
              <w:rPr>
                <w:rFonts w:ascii="Arial" w:cs="Arial" w:eastAsia="Arial" w:hAnsi="Arial"/>
                <w:sz w:val="21"/>
                <w:szCs w:val="21"/>
                <w:color w:val="auto"/>
                <w:vertAlign w:val="superscript"/>
              </w:rPr>
              <w:t>(11)</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6"/>
              </w:rPr>
              <w:t>7/28/2017</w:t>
            </w:r>
          </w:p>
        </w:tc>
        <w:tc>
          <w:tcPr>
            <w:tcW w:w="13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700" w:type="dxa"/>
            <w:vAlign w:val="bottom"/>
          </w:tcPr>
          <w:p>
            <w:pPr>
              <w:jc w:val="right"/>
              <w:spacing w:after="0"/>
              <w:rPr>
                <w:sz w:val="20"/>
                <w:szCs w:val="20"/>
                <w:color w:val="auto"/>
              </w:rPr>
            </w:pPr>
            <w:r>
              <w:rPr>
                <w:rFonts w:ascii="Arial" w:cs="Arial" w:eastAsia="Arial" w:hAnsi="Arial"/>
                <w:sz w:val="14"/>
                <w:szCs w:val="14"/>
                <w:color w:val="auto"/>
              </w:rPr>
              <w:t>6.75%</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P+350</w:t>
            </w:r>
          </w:p>
        </w:tc>
        <w:tc>
          <w:tcPr>
            <w:tcW w:w="720" w:type="dxa"/>
            <w:vAlign w:val="bottom"/>
          </w:tcPr>
          <w:p>
            <w:pPr>
              <w:jc w:val="right"/>
              <w:spacing w:after="0"/>
              <w:rPr>
                <w:sz w:val="20"/>
                <w:szCs w:val="20"/>
                <w:color w:val="auto"/>
              </w:rPr>
            </w:pPr>
            <w:r>
              <w:rPr>
                <w:rFonts w:ascii="Arial" w:cs="Arial" w:eastAsia="Arial" w:hAnsi="Arial"/>
                <w:sz w:val="14"/>
                <w:szCs w:val="14"/>
                <w:color w:val="auto"/>
              </w:rPr>
              <w:t>987,500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982,590</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967,750</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Ernest Health, Inc.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5/13/2016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L+475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2,966,250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2,939,107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2,936,587</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Pharmaceuticals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rPr>
                <w:sz w:val="20"/>
                <w:szCs w:val="20"/>
                <w:color w:val="auto"/>
              </w:rPr>
            </w:pPr>
            <w:r>
              <w:rPr>
                <w:rFonts w:ascii="Arial" w:cs="Arial" w:eastAsia="Arial" w:hAnsi="Arial"/>
                <w:sz w:val="14"/>
                <w:szCs w:val="14"/>
                <w:color w:val="auto"/>
              </w:rPr>
              <w:t>Frac Tech International, LLC</w:t>
            </w:r>
          </w:p>
        </w:tc>
        <w:tc>
          <w:tcPr>
            <w:tcW w:w="1980" w:type="dxa"/>
            <w:vAlign w:val="bottom"/>
          </w:tcPr>
          <w:p>
            <w:pPr>
              <w:jc w:val="center"/>
              <w:ind w:left="1112"/>
              <w:spacing w:after="0"/>
              <w:rPr>
                <w:sz w:val="20"/>
                <w:szCs w:val="20"/>
                <w:color w:val="auto"/>
              </w:rPr>
            </w:pPr>
            <w:r>
              <w:rPr>
                <w:rFonts w:ascii="Arial" w:cs="Arial" w:eastAsia="Arial" w:hAnsi="Arial"/>
                <w:sz w:val="14"/>
                <w:szCs w:val="14"/>
                <w:color w:val="auto"/>
                <w:w w:val="88"/>
              </w:rPr>
              <w:t>5/6/2016</w:t>
            </w:r>
          </w:p>
        </w:tc>
        <w:tc>
          <w:tcPr>
            <w:tcW w:w="1320" w:type="dxa"/>
            <w:vAlign w:val="bottom"/>
          </w:tcPr>
          <w:p>
            <w:pPr>
              <w:jc w:val="center"/>
              <w:spacing w:after="0"/>
              <w:rPr>
                <w:sz w:val="20"/>
                <w:szCs w:val="20"/>
                <w:color w:val="auto"/>
              </w:rPr>
            </w:pPr>
            <w:r>
              <w:rPr>
                <w:rFonts w:ascii="Arial" w:cs="Arial" w:eastAsia="Arial" w:hAnsi="Arial"/>
                <w:sz w:val="14"/>
                <w:szCs w:val="14"/>
                <w:color w:val="auto"/>
                <w:w w:val="87"/>
              </w:rPr>
              <w:t>Energy: Oil and Gas</w:t>
            </w:r>
          </w:p>
        </w:tc>
        <w:tc>
          <w:tcPr>
            <w:tcW w:w="700" w:type="dxa"/>
            <w:vAlign w:val="bottom"/>
          </w:tcPr>
          <w:p>
            <w:pPr>
              <w:jc w:val="right"/>
              <w:spacing w:after="0"/>
              <w:rPr>
                <w:sz w:val="20"/>
                <w:szCs w:val="20"/>
                <w:color w:val="auto"/>
              </w:rPr>
            </w:pPr>
            <w:r>
              <w:rPr>
                <w:rFonts w:ascii="Arial" w:cs="Arial" w:eastAsia="Arial" w:hAnsi="Arial"/>
                <w:sz w:val="14"/>
                <w:szCs w:val="14"/>
                <w:color w:val="auto"/>
              </w:rPr>
              <w:t>6.25%</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L+475</w:t>
            </w:r>
          </w:p>
        </w:tc>
        <w:tc>
          <w:tcPr>
            <w:tcW w:w="720" w:type="dxa"/>
            <w:vAlign w:val="bottom"/>
          </w:tcPr>
          <w:p>
            <w:pPr>
              <w:jc w:val="right"/>
              <w:spacing w:after="0"/>
              <w:rPr>
                <w:sz w:val="20"/>
                <w:szCs w:val="20"/>
                <w:color w:val="auto"/>
              </w:rPr>
            </w:pPr>
            <w:r>
              <w:rPr>
                <w:rFonts w:ascii="Arial" w:cs="Arial" w:eastAsia="Arial" w:hAnsi="Arial"/>
                <w:sz w:val="14"/>
                <w:szCs w:val="14"/>
                <w:color w:val="auto"/>
              </w:rPr>
              <w:t>2,073,930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2,054,330</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2,033,747</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50" w:lineRule="exact"/>
              <w:rPr>
                <w:sz w:val="20"/>
                <w:szCs w:val="20"/>
                <w:color w:val="auto"/>
              </w:rPr>
            </w:pPr>
            <w:r>
              <w:rPr>
                <w:rFonts w:ascii="Arial" w:cs="Arial" w:eastAsia="Arial" w:hAnsi="Arial"/>
                <w:sz w:val="11"/>
                <w:szCs w:val="11"/>
                <w:color w:val="auto"/>
              </w:rPr>
              <w:t xml:space="preserve">Gundle/SLT Environmental, Inc.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5/27/2016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Environmental</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2,992,500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2,964,467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2,812,950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Industries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1"/>
                <w:szCs w:val="11"/>
                <w:color w:val="auto"/>
              </w:rPr>
              <w:t xml:space="preserve">Harmony Foods Corporation </w:t>
            </w:r>
            <w:r>
              <w:rPr>
                <w:rFonts w:ascii="Arial" w:cs="Arial" w:eastAsia="Arial" w:hAnsi="Arial"/>
                <w:sz w:val="17"/>
                <w:szCs w:val="17"/>
                <w:color w:val="auto"/>
                <w:vertAlign w:val="superscript"/>
              </w:rPr>
              <w:t>(5) (6)</w:t>
            </w:r>
          </w:p>
        </w:tc>
        <w:tc>
          <w:tcPr>
            <w:tcW w:w="1980" w:type="dxa"/>
            <w:vAlign w:val="bottom"/>
          </w:tcPr>
          <w:p>
            <w:pPr>
              <w:jc w:val="center"/>
              <w:ind w:left="1112"/>
              <w:spacing w:after="0" w:line="149" w:lineRule="exact"/>
              <w:rPr>
                <w:sz w:val="20"/>
                <w:szCs w:val="20"/>
                <w:color w:val="auto"/>
              </w:rPr>
            </w:pPr>
            <w:r>
              <w:rPr>
                <w:rFonts w:ascii="Arial" w:cs="Arial" w:eastAsia="Arial" w:hAnsi="Arial"/>
                <w:sz w:val="14"/>
                <w:szCs w:val="14"/>
                <w:color w:val="auto"/>
                <w:w w:val="88"/>
              </w:rPr>
              <w:t>5/1/2016</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5"/>
              </w:rPr>
              <w:t>Beverage, Food and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2,000,000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1,990,000</w:t>
            </w:r>
          </w:p>
        </w:tc>
        <w:tc>
          <w:tcPr>
            <w:tcW w:w="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5"/>
              </w:rPr>
              <w:t>Tobacco</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1"/>
                <w:szCs w:val="11"/>
                <w:color w:val="auto"/>
              </w:rPr>
              <w:t xml:space="preserve">Insight Global, Inc. </w:t>
            </w:r>
            <w:r>
              <w:rPr>
                <w:rFonts w:ascii="Arial" w:cs="Arial" w:eastAsia="Arial" w:hAnsi="Arial"/>
                <w:sz w:val="17"/>
                <w:szCs w:val="17"/>
                <w:color w:val="auto"/>
                <w:vertAlign w:val="superscript"/>
              </w:rPr>
              <w:t>(11)</w:t>
            </w:r>
          </w:p>
        </w:tc>
        <w:tc>
          <w:tcPr>
            <w:tcW w:w="1980" w:type="dxa"/>
            <w:vAlign w:val="bottom"/>
          </w:tcPr>
          <w:p>
            <w:pPr>
              <w:jc w:val="center"/>
              <w:ind w:left="1092"/>
              <w:spacing w:after="0" w:line="149" w:lineRule="exact"/>
              <w:rPr>
                <w:sz w:val="20"/>
                <w:szCs w:val="20"/>
                <w:color w:val="auto"/>
              </w:rPr>
            </w:pPr>
            <w:r>
              <w:rPr>
                <w:rFonts w:ascii="Arial" w:cs="Arial" w:eastAsia="Arial" w:hAnsi="Arial"/>
                <w:sz w:val="14"/>
                <w:szCs w:val="14"/>
                <w:color w:val="auto"/>
                <w:w w:val="86"/>
              </w:rPr>
              <w:t>8/16/2017</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6.50%</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L+500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2,493,750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2,481,331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2,475,047</w:t>
            </w:r>
          </w:p>
        </w:tc>
        <w:tc>
          <w:tcPr>
            <w:tcW w:w="60" w:type="dxa"/>
            <w:vAlign w:val="bottom"/>
          </w:tcPr>
          <w:p>
            <w:pPr>
              <w:spacing w:after="0"/>
              <w:rPr>
                <w:sz w:val="12"/>
                <w:szCs w:val="12"/>
                <w:color w:val="auto"/>
              </w:rPr>
            </w:pPr>
          </w:p>
        </w:tc>
      </w:tr>
      <w:tr>
        <w:trPr>
          <w:trHeight w:val="189"/>
        </w:trPr>
        <w:tc>
          <w:tcPr>
            <w:tcW w:w="3200" w:type="dxa"/>
            <w:vAlign w:val="bottom"/>
          </w:tcPr>
          <w:p>
            <w:pPr>
              <w:spacing w:after="0"/>
              <w:rPr>
                <w:sz w:val="20"/>
                <w:szCs w:val="20"/>
                <w:color w:val="auto"/>
              </w:rPr>
            </w:pPr>
            <w:r>
              <w:rPr>
                <w:rFonts w:ascii="Arial" w:cs="Arial" w:eastAsia="Arial" w:hAnsi="Arial"/>
                <w:sz w:val="14"/>
                <w:szCs w:val="14"/>
                <w:color w:val="auto"/>
              </w:rPr>
              <w:t>Instant Web, Inc.</w:t>
            </w:r>
          </w:p>
        </w:tc>
        <w:tc>
          <w:tcPr>
            <w:tcW w:w="1980" w:type="dxa"/>
            <w:vAlign w:val="bottom"/>
          </w:tcPr>
          <w:p>
            <w:pPr>
              <w:jc w:val="center"/>
              <w:ind w:left="1112"/>
              <w:spacing w:after="0"/>
              <w:rPr>
                <w:sz w:val="20"/>
                <w:szCs w:val="20"/>
                <w:color w:val="auto"/>
              </w:rPr>
            </w:pPr>
            <w:r>
              <w:rPr>
                <w:rFonts w:ascii="Arial" w:cs="Arial" w:eastAsia="Arial" w:hAnsi="Arial"/>
                <w:sz w:val="14"/>
                <w:szCs w:val="14"/>
                <w:color w:val="auto"/>
                <w:w w:val="88"/>
              </w:rPr>
              <w:t>8/7/2014</w:t>
            </w:r>
          </w:p>
        </w:tc>
        <w:tc>
          <w:tcPr>
            <w:tcW w:w="1320" w:type="dxa"/>
            <w:vAlign w:val="bottom"/>
          </w:tcPr>
          <w:p>
            <w:pPr>
              <w:jc w:val="center"/>
              <w:spacing w:after="0"/>
              <w:rPr>
                <w:sz w:val="20"/>
                <w:szCs w:val="20"/>
                <w:color w:val="auto"/>
              </w:rPr>
            </w:pPr>
            <w:r>
              <w:rPr>
                <w:rFonts w:ascii="Arial" w:cs="Arial" w:eastAsia="Arial" w:hAnsi="Arial"/>
                <w:sz w:val="14"/>
                <w:szCs w:val="14"/>
                <w:color w:val="auto"/>
                <w:w w:val="90"/>
              </w:rPr>
              <w:t>Media: Advertising,</w:t>
            </w:r>
          </w:p>
        </w:tc>
        <w:tc>
          <w:tcPr>
            <w:tcW w:w="700" w:type="dxa"/>
            <w:vAlign w:val="bottom"/>
          </w:tcPr>
          <w:p>
            <w:pPr>
              <w:jc w:val="right"/>
              <w:spacing w:after="0"/>
              <w:rPr>
                <w:sz w:val="20"/>
                <w:szCs w:val="20"/>
                <w:color w:val="auto"/>
              </w:rPr>
            </w:pPr>
            <w:r>
              <w:rPr>
                <w:rFonts w:ascii="Arial" w:cs="Arial" w:eastAsia="Arial" w:hAnsi="Arial"/>
                <w:sz w:val="14"/>
                <w:szCs w:val="14"/>
                <w:color w:val="auto"/>
              </w:rPr>
              <w:t>3.61%</w:t>
            </w:r>
          </w:p>
        </w:tc>
        <w:tc>
          <w:tcPr>
            <w:tcW w:w="360" w:type="dxa"/>
            <w:vAlign w:val="bottom"/>
          </w:tcPr>
          <w:p>
            <w:pPr>
              <w:spacing w:after="0"/>
              <w:rPr>
                <w:sz w:val="16"/>
                <w:szCs w:val="16"/>
                <w:color w:val="auto"/>
              </w:rPr>
            </w:pPr>
          </w:p>
        </w:tc>
        <w:tc>
          <w:tcPr>
            <w:tcW w:w="980" w:type="dxa"/>
            <w:vAlign w:val="bottom"/>
          </w:tcPr>
          <w:p>
            <w:pPr>
              <w:jc w:val="right"/>
              <w:ind w:right="73"/>
              <w:spacing w:after="0" w:line="189" w:lineRule="exact"/>
              <w:rPr>
                <w:sz w:val="20"/>
                <w:szCs w:val="20"/>
                <w:color w:val="auto"/>
              </w:rPr>
            </w:pPr>
            <w:r>
              <w:rPr>
                <w:rFonts w:ascii="Arial" w:cs="Arial" w:eastAsia="Arial" w:hAnsi="Arial"/>
                <w:sz w:val="13"/>
                <w:szCs w:val="13"/>
                <w:color w:val="auto"/>
              </w:rPr>
              <w:t xml:space="preserve">L+338 </w:t>
            </w:r>
            <w:r>
              <w:rPr>
                <w:rFonts w:ascii="Arial" w:cs="Arial" w:eastAsia="Arial" w:hAnsi="Arial"/>
                <w:sz w:val="21"/>
                <w:szCs w:val="21"/>
                <w:color w:val="auto"/>
                <w:vertAlign w:val="superscript"/>
              </w:rPr>
              <w:t>(7)</w:t>
            </w:r>
          </w:p>
        </w:tc>
        <w:tc>
          <w:tcPr>
            <w:tcW w:w="720" w:type="dxa"/>
            <w:vAlign w:val="bottom"/>
          </w:tcPr>
          <w:p>
            <w:pPr>
              <w:jc w:val="right"/>
              <w:spacing w:after="0"/>
              <w:rPr>
                <w:sz w:val="20"/>
                <w:szCs w:val="20"/>
                <w:color w:val="auto"/>
              </w:rPr>
            </w:pPr>
            <w:r>
              <w:rPr>
                <w:rFonts w:ascii="Arial" w:cs="Arial" w:eastAsia="Arial" w:hAnsi="Arial"/>
                <w:sz w:val="14"/>
                <w:szCs w:val="14"/>
                <w:color w:val="auto"/>
              </w:rPr>
              <w:t>6,981,823</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6,523,240</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6,283,641</w:t>
            </w:r>
          </w:p>
        </w:tc>
        <w:tc>
          <w:tcPr>
            <w:tcW w:w="60" w:type="dxa"/>
            <w:vAlign w:val="bottom"/>
          </w:tcPr>
          <w:p>
            <w:pPr>
              <w:spacing w:after="0"/>
              <w:rPr>
                <w:sz w:val="16"/>
                <w:szCs w:val="16"/>
                <w:color w:val="auto"/>
              </w:rPr>
            </w:pPr>
          </w:p>
        </w:tc>
      </w:tr>
      <w:tr>
        <w:trPr>
          <w:trHeight w:val="138"/>
        </w:trPr>
        <w:tc>
          <w:tcPr>
            <w:tcW w:w="3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320" w:type="dxa"/>
            <w:vAlign w:val="bottom"/>
          </w:tcPr>
          <w:p>
            <w:pPr>
              <w:jc w:val="center"/>
              <w:spacing w:after="0" w:line="138" w:lineRule="exact"/>
              <w:rPr>
                <w:sz w:val="20"/>
                <w:szCs w:val="20"/>
                <w:color w:val="auto"/>
              </w:rPr>
            </w:pPr>
            <w:r>
              <w:rPr>
                <w:rFonts w:ascii="Arial" w:cs="Arial" w:eastAsia="Arial" w:hAnsi="Arial"/>
                <w:sz w:val="14"/>
                <w:szCs w:val="14"/>
                <w:color w:val="auto"/>
                <w:w w:val="88"/>
              </w:rPr>
              <w:t>Printing and</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3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20" w:type="dxa"/>
            <w:vAlign w:val="bottom"/>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9/10/2015</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Chemicals, Plastics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P+675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5,476,250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5,525,637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5,202,437</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and Rubber</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rPr>
                <w:sz w:val="20"/>
                <w:szCs w:val="20"/>
                <w:color w:val="auto"/>
              </w:rPr>
            </w:pPr>
            <w:r>
              <w:rPr>
                <w:rFonts w:ascii="Arial" w:cs="Arial" w:eastAsia="Arial" w:hAnsi="Arial"/>
                <w:sz w:val="14"/>
                <w:szCs w:val="14"/>
                <w:color w:val="auto"/>
              </w:rPr>
              <w:t>KAR Auction Services, Inc.</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6"/>
              </w:rPr>
              <w:t>5/19/2017</w:t>
            </w: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Automotive</w:t>
            </w:r>
          </w:p>
        </w:tc>
        <w:tc>
          <w:tcPr>
            <w:tcW w:w="700" w:type="dxa"/>
            <w:vAlign w:val="bottom"/>
          </w:tcPr>
          <w:p>
            <w:pPr>
              <w:jc w:val="right"/>
              <w:spacing w:after="0"/>
              <w:rPr>
                <w:sz w:val="20"/>
                <w:szCs w:val="20"/>
                <w:color w:val="auto"/>
              </w:rPr>
            </w:pPr>
            <w:r>
              <w:rPr>
                <w:rFonts w:ascii="Arial" w:cs="Arial" w:eastAsia="Arial" w:hAnsi="Arial"/>
                <w:sz w:val="14"/>
                <w:szCs w:val="14"/>
                <w:color w:val="auto"/>
              </w:rPr>
              <w:t>5.00%</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L+375</w:t>
            </w:r>
          </w:p>
        </w:tc>
        <w:tc>
          <w:tcPr>
            <w:tcW w:w="720" w:type="dxa"/>
            <w:vAlign w:val="bottom"/>
          </w:tcPr>
          <w:p>
            <w:pPr>
              <w:jc w:val="right"/>
              <w:spacing w:after="0"/>
              <w:rPr>
                <w:sz w:val="20"/>
                <w:szCs w:val="20"/>
                <w:color w:val="auto"/>
              </w:rPr>
            </w:pPr>
            <w:r>
              <w:rPr>
                <w:rFonts w:ascii="Arial" w:cs="Arial" w:eastAsia="Arial" w:hAnsi="Arial"/>
                <w:sz w:val="14"/>
                <w:szCs w:val="14"/>
                <w:color w:val="auto"/>
              </w:rPr>
              <w:t>2,992,500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2,978,487</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2,895,244</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50"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(7)</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5/31/2014</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L+700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4,987,500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4,847,186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4,713,187</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Non-Durable</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Medpace Holdings, Inc. </w:t>
            </w:r>
            <w:r>
              <w:rPr>
                <w:rFonts w:ascii="Arial" w:cs="Arial" w:eastAsia="Arial" w:hAnsi="Arial"/>
                <w:sz w:val="21"/>
                <w:szCs w:val="21"/>
                <w:color w:val="auto"/>
                <w:vertAlign w:val="superscript"/>
              </w:rPr>
              <w:t>(11)</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6"/>
              </w:rPr>
              <w:t>6/17/2017</w:t>
            </w:r>
          </w:p>
        </w:tc>
        <w:tc>
          <w:tcPr>
            <w:tcW w:w="13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700" w:type="dxa"/>
            <w:vAlign w:val="bottom"/>
          </w:tcPr>
          <w:p>
            <w:pPr>
              <w:jc w:val="right"/>
              <w:spacing w:after="0"/>
              <w:rPr>
                <w:sz w:val="20"/>
                <w:szCs w:val="20"/>
                <w:color w:val="auto"/>
              </w:rPr>
            </w:pPr>
            <w:r>
              <w:rPr>
                <w:rFonts w:ascii="Arial" w:cs="Arial" w:eastAsia="Arial" w:hAnsi="Arial"/>
                <w:sz w:val="14"/>
                <w:szCs w:val="14"/>
                <w:color w:val="auto"/>
              </w:rPr>
              <w:t>6.50%</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L+500</w:t>
            </w:r>
          </w:p>
        </w:tc>
        <w:tc>
          <w:tcPr>
            <w:tcW w:w="720" w:type="dxa"/>
            <w:vAlign w:val="bottom"/>
          </w:tcPr>
          <w:p>
            <w:pPr>
              <w:jc w:val="right"/>
              <w:spacing w:after="0"/>
              <w:rPr>
                <w:sz w:val="20"/>
                <w:szCs w:val="20"/>
                <w:color w:val="auto"/>
              </w:rPr>
            </w:pPr>
            <w:r>
              <w:rPr>
                <w:rFonts w:ascii="Arial" w:cs="Arial" w:eastAsia="Arial" w:hAnsi="Arial"/>
                <w:sz w:val="14"/>
                <w:szCs w:val="14"/>
                <w:color w:val="auto"/>
              </w:rPr>
              <w:t>1,995,000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1,966,025</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1,895,250</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(7) (11)</w:t>
            </w:r>
          </w:p>
        </w:tc>
        <w:tc>
          <w:tcPr>
            <w:tcW w:w="1980" w:type="dxa"/>
            <w:vAlign w:val="bottom"/>
            <w:shd w:val="clear" w:color="auto" w:fill="CCEEFF"/>
          </w:tcPr>
          <w:p>
            <w:pPr>
              <w:jc w:val="center"/>
              <w:ind w:left="1112"/>
              <w:spacing w:after="0" w:line="149" w:lineRule="exact"/>
              <w:rPr>
                <w:sz w:val="20"/>
                <w:szCs w:val="20"/>
                <w:color w:val="auto"/>
              </w:rPr>
            </w:pPr>
            <w:r>
              <w:rPr>
                <w:rFonts w:ascii="Arial" w:cs="Arial" w:eastAsia="Arial" w:hAnsi="Arial"/>
                <w:sz w:val="14"/>
                <w:szCs w:val="14"/>
                <w:color w:val="auto"/>
                <w:w w:val="88"/>
              </w:rPr>
              <w:t>5/6/2018</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Media: Diversified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3,951,886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3,670,800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and Production</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Penton Media, Inc.</w:t>
            </w:r>
          </w:p>
        </w:tc>
        <w:tc>
          <w:tcPr>
            <w:tcW w:w="1980" w:type="dxa"/>
            <w:vAlign w:val="bottom"/>
          </w:tcPr>
          <w:p>
            <w:pPr>
              <w:jc w:val="center"/>
              <w:ind w:left="1112"/>
              <w:spacing w:after="0" w:line="149" w:lineRule="exact"/>
              <w:rPr>
                <w:sz w:val="20"/>
                <w:szCs w:val="20"/>
                <w:color w:val="auto"/>
              </w:rPr>
            </w:pPr>
            <w:r>
              <w:rPr>
                <w:rFonts w:ascii="Arial" w:cs="Arial" w:eastAsia="Arial" w:hAnsi="Arial"/>
                <w:sz w:val="14"/>
                <w:szCs w:val="14"/>
                <w:color w:val="auto"/>
                <w:w w:val="88"/>
              </w:rPr>
              <w:t>8/1/2014</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1"/>
              </w:rPr>
              <w:t>Media: Diversified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360" w:type="dxa"/>
            <w:vAlign w:val="bottom"/>
          </w:tcPr>
          <w:p>
            <w:pPr>
              <w:jc w:val="right"/>
              <w:ind w:right="164"/>
              <w:spacing w:after="0"/>
              <w:rPr>
                <w:sz w:val="20"/>
                <w:szCs w:val="20"/>
                <w:color w:val="auto"/>
              </w:rPr>
            </w:pPr>
            <w:r>
              <w:rPr>
                <w:rFonts w:ascii="Arial" w:cs="Arial" w:eastAsia="Arial" w:hAnsi="Arial"/>
                <w:sz w:val="11"/>
                <w:szCs w:val="11"/>
                <w:color w:val="auto"/>
                <w:w w:val="88"/>
              </w:rPr>
              <w:t>(8)</w:t>
            </w: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L+400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5,498,048</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4,675,936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3,802,818</w:t>
            </w:r>
          </w:p>
        </w:tc>
        <w:tc>
          <w:tcPr>
            <w:tcW w:w="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7"/>
              </w:rPr>
              <w:t>and Production</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Potter’s Holdings II, L.P.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112"/>
              <w:spacing w:after="0" w:line="149" w:lineRule="exact"/>
              <w:rPr>
                <w:sz w:val="20"/>
                <w:szCs w:val="20"/>
                <w:color w:val="auto"/>
              </w:rPr>
            </w:pPr>
            <w:r>
              <w:rPr>
                <w:rFonts w:ascii="Arial" w:cs="Arial" w:eastAsia="Arial" w:hAnsi="Arial"/>
                <w:sz w:val="14"/>
                <w:szCs w:val="14"/>
                <w:color w:val="auto"/>
                <w:w w:val="88"/>
              </w:rPr>
              <w:t>5/8/2017</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Containers,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L+450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1,995,000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1,976,257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1,900,237</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Packaging and Glass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Pro Mach, Inc. </w:t>
            </w:r>
            <w:r>
              <w:rPr>
                <w:rFonts w:ascii="Arial" w:cs="Arial" w:eastAsia="Arial" w:hAnsi="Arial"/>
                <w:sz w:val="21"/>
                <w:szCs w:val="21"/>
                <w:color w:val="auto"/>
                <w:vertAlign w:val="superscript"/>
              </w:rPr>
              <w:t>(11)</w:t>
            </w:r>
          </w:p>
        </w:tc>
        <w:tc>
          <w:tcPr>
            <w:tcW w:w="1980" w:type="dxa"/>
            <w:vAlign w:val="bottom"/>
          </w:tcPr>
          <w:p>
            <w:pPr>
              <w:jc w:val="center"/>
              <w:ind w:left="1112"/>
              <w:spacing w:after="0"/>
              <w:rPr>
                <w:sz w:val="20"/>
                <w:szCs w:val="20"/>
                <w:color w:val="auto"/>
              </w:rPr>
            </w:pPr>
            <w:r>
              <w:rPr>
                <w:rFonts w:ascii="Arial" w:cs="Arial" w:eastAsia="Arial" w:hAnsi="Arial"/>
                <w:sz w:val="14"/>
                <w:szCs w:val="14"/>
                <w:color w:val="auto"/>
                <w:w w:val="88"/>
              </w:rPr>
              <w:t>7/6/2017</w:t>
            </w:r>
          </w:p>
        </w:tc>
        <w:tc>
          <w:tcPr>
            <w:tcW w:w="1320" w:type="dxa"/>
            <w:vAlign w:val="bottom"/>
          </w:tcPr>
          <w:p>
            <w:pPr>
              <w:jc w:val="center"/>
              <w:spacing w:after="0"/>
              <w:rPr>
                <w:sz w:val="20"/>
                <w:szCs w:val="20"/>
                <w:color w:val="auto"/>
              </w:rPr>
            </w:pPr>
            <w:r>
              <w:rPr>
                <w:rFonts w:ascii="Arial" w:cs="Arial" w:eastAsia="Arial" w:hAnsi="Arial"/>
                <w:sz w:val="14"/>
                <w:szCs w:val="14"/>
                <w:color w:val="auto"/>
                <w:w w:val="89"/>
              </w:rPr>
              <w:t>Capital Equipment</w:t>
            </w:r>
          </w:p>
        </w:tc>
        <w:tc>
          <w:tcPr>
            <w:tcW w:w="700" w:type="dxa"/>
            <w:vAlign w:val="bottom"/>
          </w:tcPr>
          <w:p>
            <w:pPr>
              <w:jc w:val="right"/>
              <w:spacing w:after="0"/>
              <w:rPr>
                <w:sz w:val="20"/>
                <w:szCs w:val="20"/>
                <w:color w:val="auto"/>
              </w:rPr>
            </w:pPr>
            <w:r>
              <w:rPr>
                <w:rFonts w:ascii="Arial" w:cs="Arial" w:eastAsia="Arial" w:hAnsi="Arial"/>
                <w:sz w:val="14"/>
                <w:szCs w:val="14"/>
                <w:color w:val="auto"/>
              </w:rPr>
              <w:t>6.25%</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L+475</w:t>
            </w:r>
          </w:p>
        </w:tc>
        <w:tc>
          <w:tcPr>
            <w:tcW w:w="720" w:type="dxa"/>
            <w:vAlign w:val="bottom"/>
          </w:tcPr>
          <w:p>
            <w:pPr>
              <w:jc w:val="right"/>
              <w:spacing w:after="0"/>
              <w:rPr>
                <w:sz w:val="20"/>
                <w:szCs w:val="20"/>
                <w:color w:val="auto"/>
              </w:rPr>
            </w:pPr>
            <w:r>
              <w:rPr>
                <w:rFonts w:ascii="Arial" w:cs="Arial" w:eastAsia="Arial" w:hAnsi="Arial"/>
                <w:sz w:val="14"/>
                <w:szCs w:val="14"/>
                <w:color w:val="auto"/>
              </w:rPr>
              <w:t>997,500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987,986</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982,537</w:t>
            </w:r>
          </w:p>
        </w:tc>
        <w:tc>
          <w:tcPr>
            <w:tcW w:w="60" w:type="dxa"/>
            <w:vAlign w:val="bottom"/>
          </w:tcPr>
          <w:p>
            <w:pPr>
              <w:spacing w:after="0"/>
              <w:rPr>
                <w:sz w:val="16"/>
                <w:szCs w:val="16"/>
                <w:color w:val="auto"/>
              </w:rPr>
            </w:pPr>
          </w:p>
        </w:tc>
      </w:tr>
      <w:tr>
        <w:trPr>
          <w:trHeight w:val="189"/>
        </w:trPr>
        <w:tc>
          <w:tcPr>
            <w:tcW w:w="32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Securus Technologies, Inc.</w:t>
            </w:r>
            <w:r>
              <w:rPr>
                <w:rFonts w:ascii="Arial" w:cs="Arial" w:eastAsia="Arial" w:hAnsi="Arial"/>
                <w:sz w:val="21"/>
                <w:szCs w:val="21"/>
                <w:color w:val="auto"/>
                <w:vertAlign w:val="superscript"/>
              </w:rPr>
              <w:t>(11)</w:t>
            </w:r>
          </w:p>
        </w:tc>
        <w:tc>
          <w:tcPr>
            <w:tcW w:w="1980" w:type="dxa"/>
            <w:vAlign w:val="bottom"/>
            <w:shd w:val="clear" w:color="auto" w:fill="CCEEFF"/>
          </w:tcPr>
          <w:p>
            <w:pPr>
              <w:jc w:val="center"/>
              <w:ind w:left="1092"/>
              <w:spacing w:after="0"/>
              <w:rPr>
                <w:sz w:val="20"/>
                <w:szCs w:val="20"/>
                <w:color w:val="auto"/>
              </w:rPr>
            </w:pPr>
            <w:r>
              <w:rPr>
                <w:rFonts w:ascii="Arial" w:cs="Arial" w:eastAsia="Arial" w:hAnsi="Arial"/>
                <w:sz w:val="14"/>
                <w:szCs w:val="14"/>
                <w:color w:val="auto"/>
                <w:w w:val="86"/>
              </w:rPr>
              <w:t>5/31/2017</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Telecommunications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33"/>
              <w:spacing w:after="0"/>
              <w:rPr>
                <w:sz w:val="20"/>
                <w:szCs w:val="20"/>
                <w:color w:val="auto"/>
              </w:rPr>
            </w:pPr>
            <w:r>
              <w:rPr>
                <w:rFonts w:ascii="Arial" w:cs="Arial" w:eastAsia="Arial" w:hAnsi="Arial"/>
                <w:sz w:val="14"/>
                <w:szCs w:val="14"/>
                <w:color w:val="auto"/>
              </w:rPr>
              <w:t>L+400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2,992,500</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2,963,597</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2,891,503</w:t>
            </w:r>
          </w:p>
        </w:tc>
        <w:tc>
          <w:tcPr>
            <w:tcW w:w="60" w:type="dxa"/>
            <w:vAlign w:val="bottom"/>
            <w:shd w:val="clear" w:color="auto" w:fill="CCEEFF"/>
          </w:tcPr>
          <w:p>
            <w:pPr>
              <w:spacing w:after="0"/>
              <w:rPr>
                <w:sz w:val="16"/>
                <w:szCs w:val="16"/>
                <w:color w:val="auto"/>
              </w:rPr>
            </w:pPr>
          </w:p>
        </w:tc>
      </w:tr>
      <w:tr>
        <w:trPr>
          <w:trHeight w:val="189"/>
        </w:trPr>
        <w:tc>
          <w:tcPr>
            <w:tcW w:w="3200" w:type="dxa"/>
            <w:vAlign w:val="bottom"/>
          </w:tcPr>
          <w:p>
            <w:pPr>
              <w:spacing w:after="0"/>
              <w:rPr>
                <w:sz w:val="20"/>
                <w:szCs w:val="20"/>
                <w:color w:val="auto"/>
              </w:rPr>
            </w:pPr>
            <w:r>
              <w:rPr>
                <w:rFonts w:ascii="Arial" w:cs="Arial" w:eastAsia="Arial" w:hAnsi="Arial"/>
                <w:sz w:val="14"/>
                <w:szCs w:val="14"/>
                <w:color w:val="auto"/>
              </w:rPr>
              <w:t>Select Medical Corporation</w:t>
            </w:r>
          </w:p>
        </w:tc>
        <w:tc>
          <w:tcPr>
            <w:tcW w:w="1980" w:type="dxa"/>
            <w:vAlign w:val="bottom"/>
          </w:tcPr>
          <w:p>
            <w:pPr>
              <w:jc w:val="center"/>
              <w:ind w:left="1112"/>
              <w:spacing w:after="0"/>
              <w:rPr>
                <w:sz w:val="20"/>
                <w:szCs w:val="20"/>
                <w:color w:val="auto"/>
              </w:rPr>
            </w:pPr>
            <w:r>
              <w:rPr>
                <w:rFonts w:ascii="Arial" w:cs="Arial" w:eastAsia="Arial" w:hAnsi="Arial"/>
                <w:sz w:val="14"/>
                <w:szCs w:val="14"/>
                <w:color w:val="auto"/>
                <w:w w:val="88"/>
              </w:rPr>
              <w:t>6/1/2018</w:t>
            </w:r>
          </w:p>
        </w:tc>
        <w:tc>
          <w:tcPr>
            <w:tcW w:w="13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700" w:type="dxa"/>
            <w:vAlign w:val="bottom"/>
          </w:tcPr>
          <w:p>
            <w:pPr>
              <w:jc w:val="right"/>
              <w:spacing w:after="0"/>
              <w:rPr>
                <w:sz w:val="20"/>
                <w:szCs w:val="20"/>
                <w:color w:val="auto"/>
              </w:rPr>
            </w:pPr>
            <w:r>
              <w:rPr>
                <w:rFonts w:ascii="Arial" w:cs="Arial" w:eastAsia="Arial" w:hAnsi="Arial"/>
                <w:sz w:val="14"/>
                <w:szCs w:val="14"/>
                <w:color w:val="auto"/>
              </w:rPr>
              <w:t>5.50%</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L+375</w:t>
            </w:r>
          </w:p>
        </w:tc>
        <w:tc>
          <w:tcPr>
            <w:tcW w:w="720" w:type="dxa"/>
            <w:vAlign w:val="bottom"/>
          </w:tcPr>
          <w:p>
            <w:pPr>
              <w:jc w:val="right"/>
              <w:spacing w:after="0"/>
              <w:rPr>
                <w:sz w:val="20"/>
                <w:szCs w:val="20"/>
                <w:color w:val="auto"/>
              </w:rPr>
            </w:pPr>
            <w:r>
              <w:rPr>
                <w:rFonts w:ascii="Arial" w:cs="Arial" w:eastAsia="Arial" w:hAnsi="Arial"/>
                <w:sz w:val="14"/>
                <w:szCs w:val="14"/>
                <w:color w:val="auto"/>
              </w:rPr>
              <w:t>2,992,500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2,963,943</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2,708,212</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50"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(7)</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5/15/2019</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Hotel, Gaming and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9.13%</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3,000,000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2,970,000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Leisure</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1"/>
                <w:szCs w:val="11"/>
                <w:color w:val="auto"/>
              </w:rPr>
              <w:t xml:space="preserve">Sotera Defense Solutions, Inc. </w:t>
            </w:r>
            <w:r>
              <w:rPr>
                <w:rFonts w:ascii="Arial" w:cs="Arial" w:eastAsia="Arial" w:hAnsi="Arial"/>
                <w:sz w:val="17"/>
                <w:szCs w:val="17"/>
                <w:color w:val="auto"/>
                <w:vertAlign w:val="superscript"/>
              </w:rPr>
              <w:t>(11)</w:t>
            </w:r>
          </w:p>
        </w:tc>
        <w:tc>
          <w:tcPr>
            <w:tcW w:w="1980" w:type="dxa"/>
            <w:vAlign w:val="bottom"/>
          </w:tcPr>
          <w:p>
            <w:pPr>
              <w:jc w:val="center"/>
              <w:ind w:left="1092"/>
              <w:spacing w:after="0" w:line="149" w:lineRule="exact"/>
              <w:rPr>
                <w:sz w:val="20"/>
                <w:szCs w:val="20"/>
                <w:color w:val="auto"/>
              </w:rPr>
            </w:pPr>
            <w:r>
              <w:rPr>
                <w:rFonts w:ascii="Arial" w:cs="Arial" w:eastAsia="Arial" w:hAnsi="Arial"/>
                <w:sz w:val="14"/>
                <w:szCs w:val="14"/>
                <w:color w:val="auto"/>
                <w:w w:val="86"/>
              </w:rPr>
              <w:t>4/22/2017</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4"/>
              </w:rPr>
              <w:t>Aerospace and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7.00%</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L+550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2,992,500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2,964,848</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2,917,688</w:t>
            </w:r>
          </w:p>
        </w:tc>
        <w:tc>
          <w:tcPr>
            <w:tcW w:w="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4"/>
              </w:rPr>
              <w:t>Defense</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Tank Intermediate Holding Corp.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4/15/2016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Containers,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L+375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1,835,472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1,831,420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1,807,940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Packaging and Glass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Terex Corporation </w:t>
            </w:r>
            <w:r>
              <w:rPr>
                <w:rFonts w:ascii="Arial" w:cs="Arial" w:eastAsia="Arial" w:hAnsi="Arial"/>
                <w:sz w:val="21"/>
                <w:szCs w:val="21"/>
                <w:color w:val="auto"/>
                <w:vertAlign w:val="superscript"/>
              </w:rPr>
              <w:t>(11)</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6"/>
              </w:rPr>
              <w:t>4/28/2017</w:t>
            </w:r>
          </w:p>
        </w:tc>
        <w:tc>
          <w:tcPr>
            <w:tcW w:w="1320" w:type="dxa"/>
            <w:vAlign w:val="bottom"/>
          </w:tcPr>
          <w:p>
            <w:pPr>
              <w:jc w:val="center"/>
              <w:spacing w:after="0"/>
              <w:rPr>
                <w:sz w:val="20"/>
                <w:szCs w:val="20"/>
                <w:color w:val="auto"/>
              </w:rPr>
            </w:pPr>
            <w:r>
              <w:rPr>
                <w:rFonts w:ascii="Arial" w:cs="Arial" w:eastAsia="Arial" w:hAnsi="Arial"/>
                <w:sz w:val="14"/>
                <w:szCs w:val="14"/>
                <w:color w:val="auto"/>
                <w:w w:val="89"/>
              </w:rPr>
              <w:t>Capital Equipment</w:t>
            </w:r>
          </w:p>
        </w:tc>
        <w:tc>
          <w:tcPr>
            <w:tcW w:w="700" w:type="dxa"/>
            <w:vAlign w:val="bottom"/>
          </w:tcPr>
          <w:p>
            <w:pPr>
              <w:jc w:val="right"/>
              <w:spacing w:after="0"/>
              <w:rPr>
                <w:sz w:val="20"/>
                <w:szCs w:val="20"/>
                <w:color w:val="auto"/>
              </w:rPr>
            </w:pPr>
            <w:r>
              <w:rPr>
                <w:rFonts w:ascii="Arial" w:cs="Arial" w:eastAsia="Arial" w:hAnsi="Arial"/>
                <w:sz w:val="14"/>
                <w:szCs w:val="14"/>
                <w:color w:val="auto"/>
              </w:rPr>
              <w:t>5.50%</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L+400</w:t>
            </w:r>
          </w:p>
        </w:tc>
        <w:tc>
          <w:tcPr>
            <w:tcW w:w="720" w:type="dxa"/>
            <w:vAlign w:val="bottom"/>
          </w:tcPr>
          <w:p>
            <w:pPr>
              <w:jc w:val="right"/>
              <w:spacing w:after="0"/>
              <w:rPr>
                <w:sz w:val="20"/>
                <w:szCs w:val="20"/>
                <w:color w:val="auto"/>
              </w:rPr>
            </w:pPr>
            <w:r>
              <w:rPr>
                <w:rFonts w:ascii="Arial" w:cs="Arial" w:eastAsia="Arial" w:hAnsi="Arial"/>
                <w:sz w:val="14"/>
                <w:szCs w:val="14"/>
                <w:color w:val="auto"/>
              </w:rPr>
              <w:t>2,000,000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1,980,598</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1,962,500</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Triple Point Technology, Inc.</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4/14/2016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L+475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4,968,750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4,923,769</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4,819,688</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Industries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Univita Health Inc. </w:t>
            </w:r>
            <w:r>
              <w:rPr>
                <w:rFonts w:ascii="Arial" w:cs="Arial" w:eastAsia="Arial" w:hAnsi="Arial"/>
                <w:sz w:val="21"/>
                <w:szCs w:val="21"/>
                <w:color w:val="auto"/>
                <w:vertAlign w:val="superscript"/>
              </w:rPr>
              <w:t>(11)</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6"/>
              </w:rPr>
              <w:t>6/19/2017</w:t>
            </w:r>
          </w:p>
        </w:tc>
        <w:tc>
          <w:tcPr>
            <w:tcW w:w="1320" w:type="dxa"/>
            <w:vAlign w:val="bottom"/>
          </w:tcPr>
          <w:p>
            <w:pPr>
              <w:jc w:val="center"/>
              <w:spacing w:after="0"/>
              <w:rPr>
                <w:sz w:val="20"/>
                <w:szCs w:val="20"/>
                <w:color w:val="auto"/>
              </w:rPr>
            </w:pPr>
            <w:r>
              <w:rPr>
                <w:rFonts w:ascii="Arial" w:cs="Arial" w:eastAsia="Arial" w:hAnsi="Arial"/>
                <w:sz w:val="14"/>
                <w:szCs w:val="14"/>
                <w:color w:val="auto"/>
                <w:w w:val="85"/>
              </w:rPr>
              <w:t>Consumer Services</w:t>
            </w:r>
          </w:p>
        </w:tc>
        <w:tc>
          <w:tcPr>
            <w:tcW w:w="700" w:type="dxa"/>
            <w:vAlign w:val="bottom"/>
          </w:tcPr>
          <w:p>
            <w:pPr>
              <w:jc w:val="right"/>
              <w:spacing w:after="0"/>
              <w:rPr>
                <w:sz w:val="20"/>
                <w:szCs w:val="20"/>
                <w:color w:val="auto"/>
              </w:rPr>
            </w:pPr>
            <w:r>
              <w:rPr>
                <w:rFonts w:ascii="Arial" w:cs="Arial" w:eastAsia="Arial" w:hAnsi="Arial"/>
                <w:sz w:val="14"/>
                <w:szCs w:val="14"/>
                <w:color w:val="auto"/>
              </w:rPr>
              <w:t>6.25%</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L+475</w:t>
            </w:r>
          </w:p>
        </w:tc>
        <w:tc>
          <w:tcPr>
            <w:tcW w:w="720" w:type="dxa"/>
            <w:vAlign w:val="bottom"/>
          </w:tcPr>
          <w:p>
            <w:pPr>
              <w:jc w:val="right"/>
              <w:spacing w:after="0"/>
              <w:rPr>
                <w:sz w:val="20"/>
                <w:szCs w:val="20"/>
                <w:color w:val="auto"/>
              </w:rPr>
            </w:pPr>
            <w:r>
              <w:rPr>
                <w:rFonts w:ascii="Arial" w:cs="Arial" w:eastAsia="Arial" w:hAnsi="Arial"/>
                <w:sz w:val="14"/>
                <w:szCs w:val="14"/>
                <w:color w:val="auto"/>
              </w:rPr>
              <w:t>2,992,500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2,964,110</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2,827,913</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U.S. Healthworks Holding Company, Inc.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6/15/2016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L+475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2,992,500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2,964,480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2,887,763</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Pharmaceuticals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1"/>
                <w:szCs w:val="11"/>
                <w:color w:val="auto"/>
              </w:rPr>
              <w:t>Valitas Health Services, Inc.</w:t>
            </w:r>
            <w:r>
              <w:rPr>
                <w:rFonts w:ascii="Arial" w:cs="Arial" w:eastAsia="Arial" w:hAnsi="Arial"/>
                <w:sz w:val="17"/>
                <w:szCs w:val="17"/>
                <w:color w:val="auto"/>
                <w:vertAlign w:val="superscript"/>
              </w:rPr>
              <w:t>(11)</w:t>
            </w:r>
          </w:p>
        </w:tc>
        <w:tc>
          <w:tcPr>
            <w:tcW w:w="1980" w:type="dxa"/>
            <w:vAlign w:val="bottom"/>
          </w:tcPr>
          <w:p>
            <w:pPr>
              <w:jc w:val="center"/>
              <w:ind w:left="1112"/>
              <w:spacing w:after="0" w:line="149" w:lineRule="exact"/>
              <w:rPr>
                <w:sz w:val="20"/>
                <w:szCs w:val="20"/>
                <w:color w:val="auto"/>
              </w:rPr>
            </w:pPr>
            <w:r>
              <w:rPr>
                <w:rFonts w:ascii="Arial" w:cs="Arial" w:eastAsia="Arial" w:hAnsi="Arial"/>
                <w:sz w:val="14"/>
                <w:szCs w:val="14"/>
                <w:color w:val="auto"/>
                <w:w w:val="88"/>
              </w:rPr>
              <w:t>6/2/2017</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5.75%</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L+450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1,496,250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1,489,223</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1,406,475</w:t>
            </w:r>
          </w:p>
        </w:tc>
        <w:tc>
          <w:tcPr>
            <w:tcW w:w="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4"/>
              </w:rPr>
              <w:t>Pharmaceuticals</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Viamedia Services Corp.</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4/19/2016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Media: Advertising,</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4,694,273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4,690,625</w:t>
            </w:r>
          </w:p>
        </w:tc>
        <w:tc>
          <w:tcPr>
            <w:tcW w:w="60" w:type="dxa"/>
            <w:vAlign w:val="bottom"/>
            <w:shd w:val="clear" w:color="auto" w:fill="CCEEFF"/>
          </w:tcPr>
          <w:p>
            <w:pPr>
              <w:spacing w:after="0"/>
              <w:rPr>
                <w:sz w:val="12"/>
                <w:szCs w:val="12"/>
                <w:color w:val="auto"/>
              </w:rPr>
            </w:pPr>
          </w:p>
        </w:tc>
      </w:tr>
      <w:tr>
        <w:trPr>
          <w:trHeight w:val="138"/>
        </w:trPr>
        <w:tc>
          <w:tcPr>
            <w:tcW w:w="320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3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Printing and</w:t>
            </w: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320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Virtual Radiologic Corporation </w:t>
            </w:r>
            <w:r>
              <w:rPr>
                <w:rFonts w:ascii="Arial" w:cs="Arial" w:eastAsia="Arial" w:hAnsi="Arial"/>
                <w:sz w:val="21"/>
                <w:szCs w:val="21"/>
                <w:color w:val="auto"/>
                <w:vertAlign w:val="superscript"/>
              </w:rPr>
              <w:t>(11)</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8"/>
              </w:rPr>
              <w:t>12/22/2016</w:t>
            </w:r>
          </w:p>
        </w:tc>
        <w:tc>
          <w:tcPr>
            <w:tcW w:w="13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700" w:type="dxa"/>
            <w:vAlign w:val="bottom"/>
          </w:tcPr>
          <w:p>
            <w:pPr>
              <w:jc w:val="right"/>
              <w:spacing w:after="0"/>
              <w:rPr>
                <w:sz w:val="20"/>
                <w:szCs w:val="20"/>
                <w:color w:val="auto"/>
              </w:rPr>
            </w:pPr>
            <w:r>
              <w:rPr>
                <w:rFonts w:ascii="Arial" w:cs="Arial" w:eastAsia="Arial" w:hAnsi="Arial"/>
                <w:sz w:val="14"/>
                <w:szCs w:val="14"/>
                <w:color w:val="auto"/>
              </w:rPr>
              <w:t>7.75%</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P+450</w:t>
            </w:r>
          </w:p>
        </w:tc>
        <w:tc>
          <w:tcPr>
            <w:tcW w:w="720" w:type="dxa"/>
            <w:vAlign w:val="bottom"/>
          </w:tcPr>
          <w:p>
            <w:pPr>
              <w:jc w:val="right"/>
              <w:spacing w:after="0"/>
              <w:rPr>
                <w:sz w:val="20"/>
                <w:szCs w:val="20"/>
                <w:color w:val="auto"/>
              </w:rPr>
            </w:pPr>
            <w:r>
              <w:rPr>
                <w:rFonts w:ascii="Arial" w:cs="Arial" w:eastAsia="Arial" w:hAnsi="Arial"/>
                <w:sz w:val="14"/>
                <w:szCs w:val="14"/>
                <w:color w:val="auto"/>
              </w:rPr>
              <w:t>2,992,500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2,963,172</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2,812,950</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Water Pik, Inc.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8/10/2017</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L+525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3,465,501</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3,430,000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Durable</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 (6)</w:t>
            </w:r>
          </w:p>
        </w:tc>
        <w:tc>
          <w:tcPr>
            <w:tcW w:w="1980" w:type="dxa"/>
            <w:vAlign w:val="bottom"/>
          </w:tcPr>
          <w:p>
            <w:pPr>
              <w:jc w:val="center"/>
              <w:ind w:left="1092"/>
              <w:spacing w:after="0" w:line="149" w:lineRule="exact"/>
              <w:rPr>
                <w:sz w:val="20"/>
                <w:szCs w:val="20"/>
                <w:color w:val="auto"/>
              </w:rPr>
            </w:pPr>
            <w:r>
              <w:rPr>
                <w:rFonts w:ascii="Arial" w:cs="Arial" w:eastAsia="Arial" w:hAnsi="Arial"/>
                <w:sz w:val="14"/>
                <w:szCs w:val="14"/>
                <w:color w:val="auto"/>
                <w:w w:val="86"/>
              </w:rPr>
              <w:t>7/15/2016</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9"/>
              </w:rPr>
              <w:t>Hotel, Gaming and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11.38%</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4,355,966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4,080,000</w:t>
            </w:r>
          </w:p>
        </w:tc>
        <w:tc>
          <w:tcPr>
            <w:tcW w:w="60" w:type="dxa"/>
            <w:vAlign w:val="bottom"/>
          </w:tcPr>
          <w:p>
            <w:pPr>
              <w:spacing w:after="0"/>
              <w:rPr>
                <w:sz w:val="12"/>
                <w:szCs w:val="12"/>
                <w:color w:val="auto"/>
              </w:rPr>
            </w:pPr>
          </w:p>
        </w:tc>
      </w:tr>
      <w:tr>
        <w:trPr>
          <w:trHeight w:val="156"/>
        </w:trPr>
        <w:tc>
          <w:tcPr>
            <w:tcW w:w="3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7"/>
              </w:rPr>
              <w:t>Leisure</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89"/>
        </w:trPr>
        <w:tc>
          <w:tcPr>
            <w:tcW w:w="3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First Lien Secured Debt</w:t>
            </w:r>
          </w:p>
        </w:tc>
        <w:tc>
          <w:tcPr>
            <w:tcW w:w="19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2"/>
              </w:rPr>
              <w:t>97,975,314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94,333,126</w:t>
            </w:r>
          </w:p>
        </w:tc>
        <w:tc>
          <w:tcPr>
            <w:tcW w:w="60" w:type="dxa"/>
            <w:vAlign w:val="bottom"/>
            <w:shd w:val="clear" w:color="auto" w:fill="CCEEFF"/>
          </w:tcPr>
          <w:p>
            <w:pPr>
              <w:spacing w:after="0"/>
              <w:rPr>
                <w:sz w:val="16"/>
                <w:szCs w:val="16"/>
                <w:color w:val="auto"/>
              </w:rPr>
            </w:pPr>
          </w:p>
        </w:tc>
      </w:tr>
      <w:tr>
        <w:trPr>
          <w:trHeight w:val="169"/>
        </w:trPr>
        <w:tc>
          <w:tcPr>
            <w:tcW w:w="3200" w:type="dxa"/>
            <w:vAlign w:val="bottom"/>
          </w:tcPr>
          <w:p>
            <w:pPr>
              <w:spacing w:after="0"/>
              <w:rPr>
                <w:sz w:val="14"/>
                <w:szCs w:val="14"/>
                <w:color w:val="auto"/>
              </w:rPr>
            </w:pPr>
          </w:p>
        </w:tc>
        <w:tc>
          <w:tcPr>
            <w:tcW w:w="4360" w:type="dxa"/>
            <w:vAlign w:val="bottom"/>
            <w:gridSpan w:val="4"/>
          </w:tcPr>
          <w:p>
            <w:pPr>
              <w:jc w:val="center"/>
              <w:ind w:left="592"/>
              <w:spacing w:after="0"/>
              <w:rPr>
                <w:sz w:val="20"/>
                <w:szCs w:val="20"/>
                <w:color w:val="auto"/>
              </w:rPr>
            </w:pPr>
            <w:r>
              <w:rPr>
                <w:rFonts w:ascii="Arial" w:cs="Arial" w:eastAsia="Arial" w:hAnsi="Arial"/>
                <w:sz w:val="14"/>
                <w:szCs w:val="14"/>
                <w:color w:val="auto"/>
                <w:w w:val="92"/>
              </w:rPr>
              <w:t>SEE NOTES TO CONSOLIDATED FINANCIAL STATEMENTS</w:t>
            </w: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97"/>
        </w:trPr>
        <w:tc>
          <w:tcPr>
            <w:tcW w:w="3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20" w:type="dxa"/>
            <w:vAlign w:val="bottom"/>
          </w:tcPr>
          <w:p>
            <w:pPr>
              <w:jc w:val="center"/>
              <w:ind w:right="192"/>
              <w:spacing w:after="0"/>
              <w:rPr>
                <w:sz w:val="20"/>
                <w:szCs w:val="20"/>
                <w:color w:val="auto"/>
              </w:rPr>
            </w:pPr>
            <w:r>
              <w:rPr>
                <w:rFonts w:ascii="Arial" w:cs="Arial" w:eastAsia="Arial" w:hAnsi="Arial"/>
                <w:sz w:val="14"/>
                <w:szCs w:val="14"/>
                <w:color w:val="auto"/>
                <w:w w:val="85"/>
              </w:rPr>
              <w:t>F-7</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-4544060</wp:posOffset>
            </wp:positionV>
            <wp:extent cx="7246620" cy="1200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Basis Point</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Spread</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w w:val="86"/>
              </w:rPr>
              <w:t>Current</w:t>
            </w: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4"/>
              </w:rPr>
              <w:t>Above</w:t>
            </w:r>
          </w:p>
        </w:tc>
        <w:tc>
          <w:tcPr>
            <w:tcW w:w="620" w:type="dxa"/>
            <w:vAlign w:val="bottom"/>
          </w:tcPr>
          <w:p>
            <w:pPr>
              <w:jc w:val="right"/>
              <w:ind w:right="132"/>
              <w:spacing w:after="0" w:line="135" w:lineRule="exact"/>
              <w:rPr>
                <w:sz w:val="20"/>
                <w:szCs w:val="20"/>
                <w:color w:val="auto"/>
              </w:rPr>
            </w:pPr>
            <w:r>
              <w:rPr>
                <w:rFonts w:ascii="Arial" w:cs="Arial" w:eastAsia="Arial" w:hAnsi="Arial"/>
                <w:sz w:val="14"/>
                <w:szCs w:val="14"/>
                <w:b w:val="1"/>
                <w:bCs w:val="1"/>
                <w:color w:val="auto"/>
              </w:rPr>
              <w:t>Par/</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rPr>
              <w:t>Fair</w:t>
            </w:r>
          </w:p>
        </w:tc>
      </w:tr>
      <w:tr>
        <w:trPr>
          <w:trHeight w:val="176"/>
        </w:trPr>
        <w:tc>
          <w:tcPr>
            <w:tcW w:w="52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Maturity</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Industry</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3"/>
              </w:rPr>
              <w:t>Coupon</w:t>
            </w:r>
          </w:p>
        </w:tc>
        <w:tc>
          <w:tcPr>
            <w:tcW w:w="920" w:type="dxa"/>
            <w:vAlign w:val="bottom"/>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(1)</w:t>
            </w: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660" w:type="dxa"/>
            <w:vAlign w:val="bottom"/>
          </w:tcPr>
          <w:p>
            <w:pPr>
              <w:jc w:val="right"/>
              <w:ind w:right="13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72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w w:val="90"/>
              </w:rPr>
              <w:t>Value</w:t>
            </w:r>
            <w:r>
              <w:rPr>
                <w:rFonts w:ascii="Arial" w:cs="Arial" w:eastAsia="Arial" w:hAnsi="Arial"/>
                <w:sz w:val="20"/>
                <w:szCs w:val="20"/>
                <w:b w:val="1"/>
                <w:bCs w:val="1"/>
                <w:color w:val="auto"/>
                <w:w w:val="90"/>
                <w:vertAlign w:val="superscript"/>
              </w:rPr>
              <w:t>(2)</w:t>
            </w:r>
          </w:p>
        </w:tc>
      </w:tr>
      <w:tr>
        <w:trPr>
          <w:trHeight w:val="142"/>
        </w:trPr>
        <w:tc>
          <w:tcPr>
            <w:tcW w:w="20" w:type="dxa"/>
            <w:vAlign w:val="bottom"/>
          </w:tcPr>
          <w:p>
            <w:pPr>
              <w:spacing w:after="0"/>
              <w:rPr>
                <w:sz w:val="12"/>
                <w:szCs w:val="12"/>
                <w:color w:val="auto"/>
              </w:rPr>
            </w:pPr>
          </w:p>
        </w:tc>
        <w:tc>
          <w:tcPr>
            <w:tcW w:w="5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Second Lien Secured Debt—10.1%</w:t>
            </w:r>
          </w:p>
        </w:tc>
        <w:tc>
          <w:tcPr>
            <w:tcW w:w="2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Autoparts Holdings Limited </w:t>
            </w:r>
            <w:r>
              <w:rPr>
                <w:rFonts w:ascii="Arial" w:cs="Arial" w:eastAsia="Arial" w:hAnsi="Arial"/>
                <w:sz w:val="17"/>
                <w:szCs w:val="17"/>
                <w:color w:val="auto"/>
                <w:vertAlign w:val="superscript"/>
              </w:rPr>
              <w:t>(11)</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1/29/2018</w:t>
            </w:r>
          </w:p>
        </w:tc>
        <w:tc>
          <w:tcPr>
            <w:tcW w:w="2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Automotive</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10.50%</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L+900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995,000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985,000</w:t>
            </w:r>
          </w:p>
        </w:tc>
        <w:tc>
          <w:tcPr>
            <w:tcW w:w="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Ernest Health,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5/13/2017</w:t>
            </w:r>
          </w:p>
        </w:tc>
        <w:tc>
          <w:tcPr>
            <w:tcW w:w="2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6"/>
              </w:rPr>
              <w:t>Healthcare and</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10.25%</w:t>
            </w:r>
          </w:p>
        </w:tc>
        <w:tc>
          <w:tcPr>
            <w:tcW w:w="92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L+850</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4,000,000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3,942,406</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3,940,000</w:t>
            </w: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4"/>
              </w:rPr>
              <w:t>Pharmaceuticals</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(7)</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6"/>
              </w:rPr>
              <w:t>11/6/2018</w:t>
            </w:r>
          </w:p>
        </w:tc>
        <w:tc>
          <w:tcPr>
            <w:tcW w:w="200" w:type="dxa"/>
            <w:vAlign w:val="bottom"/>
          </w:tcPr>
          <w:p>
            <w:pPr>
              <w:spacing w:after="0"/>
              <w:rPr>
                <w:sz w:val="11"/>
                <w:szCs w:val="11"/>
                <w:color w:val="auto"/>
              </w:rPr>
            </w:pPr>
          </w:p>
        </w:tc>
        <w:tc>
          <w:tcPr>
            <w:tcW w:w="110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90"/>
              </w:rPr>
              <w:t>Media:</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10.25%</w:t>
            </w:r>
          </w:p>
        </w:tc>
        <w:tc>
          <w:tcPr>
            <w:tcW w:w="92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L+875</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89"/>
              </w:rPr>
              <w:t>1,500,000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1,485,581</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1,380,000</w:t>
            </w: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Diversified and</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9"/>
              </w:rPr>
              <w:t>Production</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ROC Finance LLC and ROC Finance 1 Corp </w:t>
            </w:r>
            <w:r>
              <w:rPr>
                <w:rFonts w:ascii="Arial" w:cs="Arial" w:eastAsia="Arial" w:hAnsi="Arial"/>
                <w:sz w:val="15"/>
                <w:szCs w:val="15"/>
                <w:color w:val="auto"/>
                <w:vertAlign w:val="superscript"/>
              </w:rPr>
              <w:t>(5)</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9/1/2018</w:t>
            </w:r>
          </w:p>
        </w:tc>
        <w:tc>
          <w:tcPr>
            <w:tcW w:w="2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9"/>
              </w:rPr>
              <w:t>Hotel, Gaming</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12.13%</w:t>
            </w:r>
          </w:p>
        </w:tc>
        <w:tc>
          <w:tcPr>
            <w:tcW w:w="9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2,000,000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1,965,834</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2,020,000</w:t>
            </w: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7"/>
              </w:rPr>
              <w:t>and Leisure</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color w:val="auto"/>
              </w:rPr>
              <w:t>Sensus USA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5/9/2018</w:t>
            </w:r>
          </w:p>
        </w:tc>
        <w:tc>
          <w:tcPr>
            <w:tcW w:w="200" w:type="dxa"/>
            <w:vAlign w:val="bottom"/>
          </w:tcPr>
          <w:p>
            <w:pPr>
              <w:spacing w:after="0"/>
              <w:rPr>
                <w:sz w:val="13"/>
                <w:szCs w:val="13"/>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Utilities: Water</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8.50%</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L+725</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2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990,624</w:t>
            </w:r>
          </w:p>
        </w:tc>
        <w:tc>
          <w:tcPr>
            <w:tcW w:w="2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960,000</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9,379,445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9,285,000</w:t>
            </w:r>
          </w:p>
        </w:tc>
        <w:tc>
          <w:tcPr>
            <w:tcW w:w="60" w:type="dxa"/>
            <w:vAlign w:val="bottom"/>
            <w:shd w:val="clear" w:color="auto" w:fill="CCEEFF"/>
          </w:tcPr>
          <w:p>
            <w:pPr>
              <w:spacing w:after="0"/>
              <w:rPr>
                <w:sz w:val="12"/>
                <w:szCs w:val="12"/>
                <w:color w:val="auto"/>
              </w:rPr>
            </w:pPr>
          </w:p>
        </w:tc>
      </w:tr>
      <w:tr>
        <w:trPr>
          <w:trHeight w:val="156"/>
        </w:trPr>
        <w:tc>
          <w:tcPr>
            <w:tcW w:w="5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Notes—7.6%</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Affinion Group Holdings, Inc. </w:t>
            </w:r>
            <w:r>
              <w:rPr>
                <w:rFonts w:ascii="Arial" w:cs="Arial" w:eastAsia="Arial" w:hAnsi="Arial"/>
                <w:sz w:val="15"/>
                <w:szCs w:val="15"/>
                <w:color w:val="auto"/>
                <w:vertAlign w:val="superscript"/>
              </w:rPr>
              <w:t>(5)</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11/15/2015</w:t>
            </w:r>
          </w:p>
        </w:tc>
        <w:tc>
          <w:tcPr>
            <w:tcW w:w="2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Consumer</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11.63%</w:t>
            </w:r>
          </w:p>
        </w:tc>
        <w:tc>
          <w:tcPr>
            <w:tcW w:w="9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1,500,000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1,524,891</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1,155,000</w:t>
            </w: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Goods: Non-</w:t>
            </w: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9"/>
              </w:rPr>
              <w:t>Durable</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Trusthouse Services Group, Inc. </w:t>
            </w:r>
            <w:r>
              <w:rPr>
                <w:rFonts w:ascii="Arial" w:cs="Arial" w:eastAsia="Arial" w:hAnsi="Arial"/>
                <w:sz w:val="15"/>
                <w:szCs w:val="15"/>
                <w:color w:val="auto"/>
                <w:vertAlign w:val="superscript"/>
              </w:rPr>
              <w:t>(5) (7)</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6"/>
              </w:rPr>
              <w:t>7/31/2018</w:t>
            </w:r>
          </w:p>
        </w:tc>
        <w:tc>
          <w:tcPr>
            <w:tcW w:w="200" w:type="dxa"/>
            <w:vAlign w:val="bottom"/>
          </w:tcPr>
          <w:p>
            <w:pPr>
              <w:spacing w:after="0"/>
              <w:rPr>
                <w:sz w:val="11"/>
                <w:szCs w:val="11"/>
                <w:color w:val="auto"/>
              </w:rPr>
            </w:pPr>
          </w:p>
        </w:tc>
        <w:tc>
          <w:tcPr>
            <w:tcW w:w="110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6"/>
              </w:rPr>
              <w:t>Beverage, Food</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14.00%</w:t>
            </w:r>
          </w:p>
        </w:tc>
        <w:tc>
          <w:tcPr>
            <w:tcW w:w="9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89"/>
              </w:rPr>
              <w:t>3,762,500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3,688,091</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3,687,250</w:t>
            </w:r>
          </w:p>
        </w:tc>
        <w:tc>
          <w:tcPr>
            <w:tcW w:w="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3"/>
              </w:rPr>
              <w:t>and Tobacco</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Trusthouse Services Group, Inc. </w:t>
            </w:r>
            <w:r>
              <w:rPr>
                <w:rFonts w:ascii="Arial" w:cs="Arial" w:eastAsia="Arial" w:hAnsi="Arial"/>
                <w:sz w:val="15"/>
                <w:szCs w:val="15"/>
                <w:color w:val="auto"/>
                <w:vertAlign w:val="superscript"/>
              </w:rPr>
              <w:t>(5) (9)</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7/31/2018</w:t>
            </w:r>
          </w:p>
        </w:tc>
        <w:tc>
          <w:tcPr>
            <w:tcW w:w="2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6"/>
              </w:rPr>
              <w:t>Beverage, Food</w:t>
            </w:r>
          </w:p>
        </w:tc>
        <w:tc>
          <w:tcPr>
            <w:tcW w:w="82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2,206,000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2,161,880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2,161,880</w:t>
            </w: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3"/>
              </w:rPr>
              <w:t>and Tobacco</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3"/>
        </w:trPr>
        <w:tc>
          <w:tcPr>
            <w:tcW w:w="5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7,374,862</w:t>
            </w: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7,004,130</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Equity/Partnership Interests—0.1%</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820" w:type="dxa"/>
            <w:vAlign w:val="bottom"/>
            <w:gridSpan w:val="2"/>
          </w:tcPr>
          <w:p>
            <w:pPr>
              <w:jc w:val="center"/>
              <w:ind w:right="240"/>
              <w:spacing w:after="0" w:line="138" w:lineRule="exact"/>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6"/>
              </w:rPr>
              <w:t>Beverage, Food</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12.50%</w:t>
            </w:r>
          </w:p>
        </w:tc>
        <w:tc>
          <w:tcPr>
            <w:tcW w:w="9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158</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95,000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96,985</w:t>
            </w:r>
          </w:p>
        </w:tc>
        <w:tc>
          <w:tcPr>
            <w:tcW w:w="6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3"/>
              </w:rPr>
              <w:t>and Tobacco</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95,000</w:t>
            </w:r>
          </w:p>
        </w:tc>
        <w:tc>
          <w:tcPr>
            <w:tcW w:w="2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96,985</w:t>
            </w:r>
          </w:p>
        </w:tc>
        <w:tc>
          <w:tcPr>
            <w:tcW w:w="60" w:type="dxa"/>
            <w:vAlign w:val="bottom"/>
            <w:shd w:val="clear" w:color="auto" w:fill="CCEEFF"/>
          </w:tcPr>
          <w:p>
            <w:pPr>
              <w:spacing w:after="0"/>
              <w:rPr>
                <w:sz w:val="12"/>
                <w:szCs w:val="12"/>
                <w:color w:val="auto"/>
              </w:rPr>
            </w:pPr>
          </w:p>
        </w:tc>
      </w:tr>
    </w:tbl>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0"/>
              </w:rPr>
              <w:t>Basis</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Point</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Spread</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4"/>
              </w:rPr>
              <w:t>Current</w:t>
            </w: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Above</w:t>
            </w: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Par/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6"/>
              </w:rPr>
              <w:t>Fair Value</w:t>
            </w:r>
            <w:r>
              <w:rPr>
                <w:rFonts w:ascii="Arial" w:cs="Arial" w:eastAsia="Arial" w:hAnsi="Arial"/>
                <w:sz w:val="22"/>
                <w:szCs w:val="22"/>
                <w:b w:val="1"/>
                <w:bCs w:val="1"/>
                <w:color w:val="auto"/>
                <w:w w:val="96"/>
                <w:vertAlign w:val="superscript"/>
              </w:rPr>
              <w:t>(2)</w:t>
            </w:r>
          </w:p>
        </w:tc>
        <w:tc>
          <w:tcPr>
            <w:tcW w:w="0" w:type="dxa"/>
            <w:vAlign w:val="bottom"/>
          </w:tcPr>
          <w:p>
            <w:pPr>
              <w:spacing w:after="0"/>
              <w:rPr>
                <w:sz w:val="1"/>
                <w:szCs w:val="1"/>
                <w:color w:val="auto"/>
              </w:rPr>
            </w:pPr>
          </w:p>
        </w:tc>
      </w:tr>
      <w:tr>
        <w:trPr>
          <w:trHeight w:val="176"/>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Maturity</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Industry</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Coupon</w:t>
            </w:r>
          </w:p>
        </w:tc>
        <w:tc>
          <w:tcPr>
            <w:tcW w:w="70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(1)</w:t>
            </w: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5"/>
                <w:szCs w:val="15"/>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6"/>
                <w:szCs w:val="16"/>
                <w:b w:val="1"/>
                <w:bCs w:val="1"/>
                <w:color w:val="auto"/>
                <w:vertAlign w:val="superscript"/>
              </w:rPr>
              <w:t>(10)</w:t>
            </w:r>
          </w:p>
        </w:tc>
        <w:tc>
          <w:tcPr>
            <w:tcW w:w="2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5320" w:type="dxa"/>
            <w:vAlign w:val="bottom"/>
            <w:gridSpan w:val="3"/>
          </w:tcPr>
          <w:p>
            <w:pPr>
              <w:spacing w:after="0"/>
              <w:rPr>
                <w:sz w:val="20"/>
                <w:szCs w:val="20"/>
                <w:color w:val="auto"/>
              </w:rPr>
            </w:pPr>
            <w:r>
              <w:rPr>
                <w:rFonts w:ascii="Arial" w:cs="Arial" w:eastAsia="Arial" w:hAnsi="Arial"/>
                <w:sz w:val="14"/>
                <w:szCs w:val="14"/>
                <w:color w:val="auto"/>
              </w:rPr>
              <w:t>Trusthouse Services</w:t>
            </w:r>
          </w:p>
        </w:tc>
        <w:tc>
          <w:tcPr>
            <w:tcW w:w="7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Beverage, Food</w:t>
            </w:r>
          </w:p>
        </w:tc>
        <w:tc>
          <w:tcPr>
            <w:tcW w:w="68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w:t>
            </w:r>
          </w:p>
        </w:tc>
        <w:tc>
          <w:tcPr>
            <w:tcW w:w="7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5,000</w:t>
            </w:r>
          </w:p>
        </w:tc>
        <w:tc>
          <w:tcPr>
            <w:tcW w:w="400" w:type="dxa"/>
            <w:vAlign w:val="bottom"/>
            <w:gridSpan w:val="2"/>
          </w:tcPr>
          <w:p>
            <w:pPr>
              <w:ind w:left="32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320" w:type="dxa"/>
            <w:vAlign w:val="bottom"/>
            <w:gridSpan w:val="3"/>
          </w:tcPr>
          <w:p>
            <w:pPr>
              <w:spacing w:after="0"/>
              <w:rPr>
                <w:sz w:val="20"/>
                <w:szCs w:val="20"/>
                <w:color w:val="auto"/>
              </w:rPr>
            </w:pPr>
            <w:r>
              <w:rPr>
                <w:rFonts w:ascii="Arial" w:cs="Arial" w:eastAsia="Arial" w:hAnsi="Arial"/>
                <w:sz w:val="14"/>
                <w:szCs w:val="14"/>
                <w:color w:val="auto"/>
              </w:rPr>
              <w:t>Holdings, LLC</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and Tobacco</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2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3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7"/>
              </w:rPr>
              <w:t>114,829,621</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110,724,241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Equivalents—7.6%</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6,987,450</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2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Equivalents—127.8%</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121,817,071</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117,711,691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3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Liabilities in Excess of Other Assets—(27.8%)</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(25,639,586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Net Assets—100.0%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gridSpan w:val="2"/>
          </w:tcPr>
          <w:p>
            <w:pPr>
              <w:ind w:left="32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92,072,105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680" w:right="120" w:hanging="334"/>
        <w:spacing w:after="0" w:line="230"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 Rate (LIBOR or “L”) or prime rate (Prime or “P”) and its coupon is subject to a LIBOR or prime rate floor.</w:t>
      </w:r>
    </w:p>
    <w:p>
      <w:pPr>
        <w:ind w:left="68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680" w:right="8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680" w:right="140" w:hanging="334"/>
        <w:spacing w:after="0" w:line="258" w:lineRule="auto"/>
        <w:tabs>
          <w:tab w:leader="none" w:pos="6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68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ind w:left="680" w:right="42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The security may be resold in transactions that are exempt from registration, normally to qualified institutional buyers.</w:t>
      </w:r>
    </w:p>
    <w:p>
      <w:pPr>
        <w:ind w:left="68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68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68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680" w:hanging="334"/>
        <w:spacing w:after="0" w:line="221" w:lineRule="auto"/>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680" w:hanging="334"/>
        <w:spacing w:after="0"/>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securities are pledged as collateral under PennantPark Floating Rate Funding I, LLC’s Credit Facility.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5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59"/>
        <w:spacing w:after="0"/>
        <w:rPr>
          <w:sz w:val="20"/>
          <w:szCs w:val="20"/>
          <w:color w:val="auto"/>
        </w:rPr>
      </w:pPr>
      <w:r>
        <w:rPr>
          <w:rFonts w:ascii="Arial" w:cs="Arial" w:eastAsia="Arial" w:hAnsi="Arial"/>
          <w:sz w:val="14"/>
          <w:szCs w:val="14"/>
          <w:b w:val="1"/>
          <w:bCs w:val="1"/>
          <w:color w:val="auto"/>
        </w:rPr>
        <w:t>September 30, 2011</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Except where the context suggests otherwise, the terms “Company,” “we,” “our” or “us” refer to PennantPark Floating Rate Capital Ltd.</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71"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PennantPark Floating Rate Capital Ltd. was organized as a Maryland corporation on October 28, 2010. The Company is a closed-end, externally managed, non-diversified investment company that has elected to be treated as a business development company, or BDC, under the Investment Company Act of 1940, as amended, or the 1940 Act.</w:t>
      </w:r>
    </w:p>
    <w:p>
      <w:pPr>
        <w:spacing w:after="0" w:line="139"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Our investment objectives are to generate high current income and capital appreciation. We will seek to achieve our investment objectives by investing primarily in floating rate loans and other instruments made to private middle-market companies whose debt is rated below investment grade. “Floating Rate Loans” are defined as loans that typically pay interest at variable-rates,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from time to time, include variable rate derivative instruments. We generally expect that senior secured loans will represent at least 65% of our overall portfolio. We generally expect to invest up to 35% of our overall portfolio opportunistically in other types of investments, including second-lien, high yield, mezzanine and distressed debt securities and equity investments.</w:t>
      </w:r>
    </w:p>
    <w:p>
      <w:pPr>
        <w:spacing w:after="0" w:line="122" w:lineRule="exact"/>
        <w:rPr>
          <w:sz w:val="20"/>
          <w:szCs w:val="20"/>
          <w:color w:val="auto"/>
        </w:rPr>
      </w:pPr>
    </w:p>
    <w:p>
      <w:pPr>
        <w:ind w:right="280" w:firstLine="456"/>
        <w:spacing w:after="0" w:line="230" w:lineRule="auto"/>
        <w:rPr>
          <w:sz w:val="20"/>
          <w:szCs w:val="20"/>
          <w:color w:val="auto"/>
        </w:rPr>
      </w:pPr>
      <w:r>
        <w:rPr>
          <w:rFonts w:ascii="Arial" w:cs="Arial" w:eastAsia="Arial" w:hAnsi="Arial"/>
          <w:sz w:val="14"/>
          <w:szCs w:val="14"/>
          <w:color w:val="auto"/>
        </w:rPr>
        <w:t>On April 13, 2011, we closed our initial public offering of 6,700,000 shares, and on May 11, 2011 the underwriters exercised their overallotment option and purchased an additional 150,000 shares, resulting in total gross proceeds of $102.8 million. After deducting the underwriters’ discount, or sales load, of $5.1 million, we received net proceeds of $97.7 million from our initial public offering. Additionally, offering costs were estimated at $1.0 million. The underwriters agreed to reimburse, and have paid us, $0.4 million of the estimated $1.0 million of offering expenses. On March 4, 2011, the Company sold 667 shares of common stock for $10,000 ($15.00 per share) to the Investment Adviser.</w:t>
      </w:r>
    </w:p>
    <w:p>
      <w:pPr>
        <w:spacing w:after="0" w:line="139" w:lineRule="exact"/>
        <w:rPr>
          <w:sz w:val="20"/>
          <w:szCs w:val="20"/>
          <w:color w:val="auto"/>
        </w:rPr>
      </w:pPr>
    </w:p>
    <w:p>
      <w:pPr>
        <w:ind w:right="640" w:firstLine="456"/>
        <w:spacing w:after="0" w:line="239" w:lineRule="auto"/>
        <w:rPr>
          <w:sz w:val="20"/>
          <w:szCs w:val="20"/>
          <w:color w:val="auto"/>
        </w:rPr>
      </w:pPr>
      <w:r>
        <w:rPr>
          <w:rFonts w:ascii="Arial" w:cs="Arial" w:eastAsia="Arial" w:hAnsi="Arial"/>
          <w:sz w:val="14"/>
          <w:szCs w:val="14"/>
          <w:color w:val="auto"/>
        </w:rPr>
        <w:t>We are externally managed by PennantPark Investment Advisers, LLC, or the Investment Adviser or PennantPark Investment Advisers. PennantPark Investment Administration, LLC, or the Administrator or PennantPark Investment Administration, provides the administrative services necessary for us to operate.</w:t>
      </w:r>
    </w:p>
    <w:p>
      <w:pPr>
        <w:spacing w:after="0" w:line="139"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2"/>
          <w:szCs w:val="12"/>
          <w:color w:val="auto"/>
        </w:rPr>
        <w:t>On April 13, 2011, PennantPark Floating Rate Capital Ltd. closed its initial public offering and our common stock trades on the NASDAQ Global Select Market under the symbol “PFLT”. We entered into an investment management agreement, the Investment Management Agreement, with PennantPark Investment Advisers, LLC the Investment Adviser or Adviser, an external adviser that manages our day-to-day operations. We also entered into an administration agreement, the Administration Agreement, with the Administrator, that provides the administrative services necessary for us to operate.</w:t>
      </w:r>
    </w:p>
    <w:p>
      <w:pPr>
        <w:spacing w:after="0" w:line="11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Funding I, our wholly owned subsidiary and a special purpose entity, was organized in Delaware as a limited liability company on May 18, 2011. We formed Funding I, in order to establish a senior secured revolving facility, the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commercial paper rate that approximates LIBOR plus 225 basis points during the revolving period. The Credit Facility is secured by all of the assets held by Funding I. See Note 10 to the Consolidated Financial Statements.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360"/>
          </w:cols>
          <w:pgMar w:left="240" w:top="459" w:right="2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71"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The preparation of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17" w:lineRule="exact"/>
        <w:rPr>
          <w:sz w:val="20"/>
          <w:szCs w:val="20"/>
          <w:color w:val="auto"/>
        </w:rPr>
      </w:pPr>
    </w:p>
    <w:p>
      <w:pPr>
        <w:ind w:right="140" w:firstLine="456"/>
        <w:spacing w:after="0" w:line="233" w:lineRule="auto"/>
        <w:rPr>
          <w:sz w:val="20"/>
          <w:szCs w:val="20"/>
          <w:color w:val="auto"/>
        </w:rPr>
      </w:pPr>
      <w:r>
        <w:rPr>
          <w:rFonts w:ascii="Arial" w:cs="Arial" w:eastAsia="Arial" w:hAnsi="Arial"/>
          <w:sz w:val="14"/>
          <w:szCs w:val="14"/>
          <w:color w:val="auto"/>
        </w:rPr>
        <w:t>Our Consolidated Financial Statements are prepared in accordance with GAAP and pursuant to the requirements for reporting on Form 10-K and Article 6 or 10 of Regulation S-X, as appropriate. In accordance with Article 6-09 of Regulation S-X under the Exchange Act, we have provided a Consolidated Statement of Changes in Net Assets in lieu of a Consolidated Statement of Changes in Stockholders’ Equity.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50" w:lineRule="exact"/>
        <w:rPr>
          <w:sz w:val="20"/>
          <w:szCs w:val="20"/>
          <w:color w:val="auto"/>
        </w:rPr>
      </w:pPr>
    </w:p>
    <w:p>
      <w:pPr>
        <w:jc w:val="both"/>
        <w:ind w:right="20" w:firstLine="456"/>
        <w:spacing w:after="0" w:line="278"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1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2"/>
          <w:szCs w:val="12"/>
          <w:color w:val="auto"/>
        </w:rPr>
        <w:t>We expect that there may not be readily available market values for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See Note 5 to the Consolidated Financial Statements.</w:t>
      </w:r>
    </w:p>
    <w:p>
      <w:pPr>
        <w:spacing w:after="0" w:line="123"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79" w:lineRule="exact"/>
        <w:rPr>
          <w:sz w:val="20"/>
          <w:szCs w:val="20"/>
          <w:color w:val="auto"/>
        </w:rPr>
      </w:pPr>
    </w:p>
    <w:p>
      <w:pPr>
        <w:ind w:left="800" w:right="240" w:hanging="346"/>
        <w:spacing w:after="0" w:line="239" w:lineRule="auto"/>
        <w:tabs>
          <w:tab w:leader="none" w:pos="8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57" w:lineRule="exact"/>
        <w:rPr>
          <w:rFonts w:ascii="Arial" w:cs="Arial" w:eastAsia="Arial" w:hAnsi="Arial"/>
          <w:sz w:val="14"/>
          <w:szCs w:val="14"/>
          <w:color w:val="auto"/>
        </w:rPr>
      </w:pPr>
    </w:p>
    <w:p>
      <w:pPr>
        <w:ind w:left="800" w:hanging="346"/>
        <w:spacing w:after="0"/>
        <w:tabs>
          <w:tab w:leader="none" w:pos="8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jc w:val="both"/>
        <w:ind w:left="800" w:right="40" w:hanging="346"/>
        <w:spacing w:after="0" w:line="233" w:lineRule="auto"/>
        <w:tabs>
          <w:tab w:leader="none" w:pos="8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7" w:lineRule="exact"/>
        <w:rPr>
          <w:rFonts w:ascii="Arial" w:cs="Arial" w:eastAsia="Arial" w:hAnsi="Arial"/>
          <w:sz w:val="14"/>
          <w:szCs w:val="14"/>
          <w:color w:val="auto"/>
        </w:rPr>
      </w:pPr>
    </w:p>
    <w:p>
      <w:pPr>
        <w:ind w:left="800" w:right="40" w:hanging="346"/>
        <w:spacing w:after="0" w:line="239" w:lineRule="auto"/>
        <w:tabs>
          <w:tab w:leader="none" w:pos="8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800" w:right="480" w:hanging="346"/>
        <w:spacing w:after="0" w:line="239" w:lineRule="auto"/>
        <w:tabs>
          <w:tab w:leader="none" w:pos="8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3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4"/>
          <w:szCs w:val="14"/>
          <w:b w:val="1"/>
          <w:bCs w:val="1"/>
          <w:color w:val="auto"/>
        </w:rPr>
        <w:t>SEPTEMBER 30, 2011</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50"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3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or interest expense. We record prepayment premiums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50"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March 4, 2011, PennantPark Floating Rate Capital Ltd. has complied with the requirements of Subchapter M of the Internal Revenue Code of 1986, as amended, or the Code, and intends to be subject to tax as a regulated investment company, or RIC. As a result, PennantPark Floating Rate Capital Ltd. accounts for income taxes using the asset liability method prescribed by ASC 740, Income Taxes. Under this method, income taxes were provided for amounts currently payable and for amounts deferred as tax assets and liabilities based on differences between the financial statement carrying amounts and the tax basis of existing assets and liabilities. Based upon our intention to be subject to tax as a RIC, we do not anticipate paying any material level of federal income taxes in the future. We recognize in our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w:t>
      </w:r>
    </w:p>
    <w:p>
      <w:pPr>
        <w:spacing w:after="0" w:line="123" w:lineRule="exact"/>
        <w:rPr>
          <w:sz w:val="20"/>
          <w:szCs w:val="20"/>
          <w:color w:val="auto"/>
        </w:rPr>
      </w:pPr>
    </w:p>
    <w:p>
      <w:pPr>
        <w:ind w:right="460" w:firstLine="456"/>
        <w:spacing w:after="0" w:line="318" w:lineRule="auto"/>
        <w:rPr>
          <w:sz w:val="20"/>
          <w:szCs w:val="20"/>
          <w:color w:val="auto"/>
        </w:rPr>
      </w:pPr>
      <w:r>
        <w:rPr>
          <w:rFonts w:ascii="Arial" w:cs="Arial" w:eastAsia="Arial" w:hAnsi="Arial"/>
          <w:sz w:val="12"/>
          <w:szCs w:val="12"/>
          <w:color w:val="auto"/>
        </w:rPr>
        <w:t>Book and tax basis differences relating to permanent book and tax differences are reclassified among PennantPark Investment’s capital accounts, as appropriate. Additionally, the tax character of distributions is determined in accordance with income tax regulations that may differ from GAAP. See Note 7 to the Consolidated Financial Statements.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 Dividends, Distributions, and Capital Transactions</w:t>
      </w:r>
    </w:p>
    <w:p>
      <w:pPr>
        <w:spacing w:after="0" w:line="150" w:lineRule="exact"/>
        <w:rPr>
          <w:sz w:val="20"/>
          <w:szCs w:val="20"/>
          <w:color w:val="auto"/>
        </w:rPr>
      </w:pPr>
    </w:p>
    <w:p>
      <w:pPr>
        <w:ind w:right="500" w:firstLine="456"/>
        <w:spacing w:after="0" w:line="239" w:lineRule="auto"/>
        <w:rPr>
          <w:sz w:val="20"/>
          <w:szCs w:val="20"/>
          <w:color w:val="auto"/>
        </w:rPr>
      </w:pPr>
      <w:r>
        <w:rPr>
          <w:rFonts w:ascii="Arial" w:cs="Arial" w:eastAsia="Arial" w:hAnsi="Arial"/>
          <w:sz w:val="14"/>
          <w:szCs w:val="14"/>
          <w:color w:val="auto"/>
        </w:rPr>
        <w:t>Dividends and distributions to common stockholders are recorded on the ex-dividend date. The amount, if any, to be paid as a dividend is determined by the board of directors each month and is generally based upon the earnings estimated by management. Net realized capital gains, if any, are distributed at least annually.</w:t>
      </w:r>
    </w:p>
    <w:p>
      <w:pPr>
        <w:spacing w:after="0" w:line="13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 Consolidation</w:t>
      </w:r>
    </w:p>
    <w:p>
      <w:pPr>
        <w:spacing w:after="0" w:line="150"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As permitted under Regulation S-X and the AICPA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39"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Assets related to transactions that do not meet ASC Topic 860—Transfers and Servicing requirements for accounting sale treatment are reflected in the Consolidated Balance Sheet as investments. Any such assets are owned by Funding I, the creditors of Funding I have received security interests in any such assets are not intended to be available to the creditors of the Company (or any affiliate of the Company).</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 New Accounting Pronouncement</w:t>
      </w:r>
    </w:p>
    <w:p>
      <w:pPr>
        <w:spacing w:after="0" w:line="150"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In May 2011, the FASB issued Accounting Standards Update 2011-04, Amendments to Achieve Common Fair Value Measurement and Disclosure Requirements in U.S. GAAP and IFRSs (“ASU 2011-04”). ASU 2011-04 amends Accounting Standards Codification Topic 820, “Fair Value Measurements”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 (3) providing a framework for selecting a premium or discount that may be applied in a fair value measurement; (4) providing that an instrument classified in a reporting entity’s shareholders’ equity may be fair valued based how a market participant would price the identical instrument; and (5) expanding the qualitative and quantitative fair value disclosure requirements. These amendments are effective for fiscal years beginning after December 15, 2011 and for interim periods within those fiscal years. The amendments of ASU 2011-04, when adopted, are not expected to have a material impact on our consolidated financial statements and the company is currently evaluating the impact on its disclosures.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7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The Company’s investment management agreement, or the Investment Management Agreement, with the investment adviser, the adviser, was approved by our board of directors, including a majority of our independent directors in March 2011. Under this agreement the Investment Adviser, subject to the overall supervision of the Company’s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the consolidated management fee of the Company. For providing these services, the Investment Adviser receives a fee from the Company, consisting of two components—a base management fee and an incentive fee, collectively, the Management Fees.</w:t>
      </w:r>
    </w:p>
    <w:p>
      <w:pPr>
        <w:spacing w:after="0" w:line="120"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The base management fee is calculated at an annual rate of 1.00% of our gross assets (net of U.S. Treasury Bills, temporary draws under any credit facility and/or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prorated.PennantPark Investment Advisers, however,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w:t>
      </w:r>
    </w:p>
    <w:p>
      <w:pPr>
        <w:spacing w:after="0" w:line="122"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The gross assets are calculated based on the average gross assets at the end of the two most recently completed calendar quarters, appropriately adjusted for any share issuances or repurchases during the current calendar quarter. Base management fees for any partial quarter are appropriately pro-rated. For the period from March 4, 2011 (commencement of operations) to September 30, 2011, the Investment Adviser earned a base management fee of $0.4 million from us.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ind w:right="20" w:firstLine="456"/>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the Company’s net assets at the end of the immediately preceding calendar quarter, is compared to the hurdle rate of 1.75% per quarter (7.00% annualized). The Company pays the Investment Adviser an incentive fee with respect to the Company’s Pre-Incentive Fee Net Investment Income in each calendar quarter as follows: (1) no incentive fee in any calendar quarter in which the Company’s Pre-Incentive Fee Net Investment Income does not exceed the hurdle rate of 1.75%, (2) 50% of the Company’s Pre-Incentive Fee Net Investment Income with respect to that portion of such Pre-Incentive Fee Net Investment Income, if any, that exceeds the hurdle rate but is less than 2.9167% in any calendar quarter (11.67% annualized), and (3) 20% of the amount of the Company’s Pre-Incentive Fee Net Investment Income, if any, that exceeds 2.9167% in any calendar quarter. These calculations are pro-rated for any period of less than three months and adjusted for any share issuances or repurchases during the relevant quarter.</w:t>
      </w:r>
    </w:p>
    <w:p>
      <w:pPr>
        <w:spacing w:after="0" w:line="130"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provided that, the incentive fee determined as of December 31, 2011 will be calculated for a period of shorter than twelve calendar months to take into account any realized capital gains computed net of all realized capital losses and unrealized capital depreciation from the inception of PennantPark Floating Rate Capital.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125"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In accordance with GAAP, the Company did not accrue a capital gains incentive fee for the period from March 4, 2011 (commencement of operations) to September 30, 2011.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capital gains due to our investment adviser as calculated under the Investment Management Agreement (as described above) for the period from March 4, 2011 (commencement of operations) to September 30, 2011, resulted in no accrual.</w:t>
      </w:r>
    </w:p>
    <w:p>
      <w:pPr>
        <w:spacing w:after="0" w:line="123"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entered into an administration agreement with the Administrator, or the Administration Agreement, which was approved by our board of directors, including a majority of the independent directors, in March 2011. Under this agreement, the Administrator provides administration services to the Company.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the Company is required to offer such assistance. Reimbursement for certain of these costs is included in administrative services expenses in the Consolidated Statement of Operations. For the period from March 4, 2011 (commencement of operations) to September 30, 2011, the Investment Adviser was reimbursed approximately $0.1 million, from us, including expenses it incurred on behalf of the Administrator, for services described above.</w:t>
      </w:r>
    </w:p>
    <w:p>
      <w:pPr>
        <w:spacing w:after="0" w:line="123" w:lineRule="exact"/>
        <w:rPr>
          <w:sz w:val="20"/>
          <w:szCs w:val="20"/>
          <w:color w:val="auto"/>
        </w:rPr>
      </w:pPr>
    </w:p>
    <w:p>
      <w:pPr>
        <w:ind w:right="80" w:firstLine="456"/>
        <w:spacing w:after="0" w:line="266"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September 30, 2011, as well as the likelihood of future activity that may generate additional returns, management determined that the 7.0% return on Pre-Incentive Fee Net Investment Income was uncertain. Accordingly, the Company did not record a liability for it. Management assesses performance to determine whether the 7% return on Pre-Incentive Fee Net Investment Income is probable before recording the $2.1 million charge to capital.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1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39"/>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71"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Purchases of long-term investments, including PIK, for the period from March 4, 2011 (commencement of operations) to September 30, 2011 totaled $147.5 million. Sales and repayments of long-term investments for the same period totaled $33.2 million.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Investments and cash equivalents consisted of the following:</w:t>
      </w:r>
    </w:p>
    <w:p>
      <w:pPr>
        <w:spacing w:after="0" w:line="3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85"/>
              </w:rPr>
              <w:t>September 30, 2011</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8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2"/>
                <w:szCs w:val="12"/>
                <w:color w:val="auto"/>
              </w:rPr>
            </w:pPr>
          </w:p>
        </w:tc>
      </w:tr>
      <w:tr>
        <w:trPr>
          <w:trHeight w:val="203"/>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First lien</w:t>
            </w:r>
          </w:p>
        </w:tc>
        <w:tc>
          <w:tcPr>
            <w:tcW w:w="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97,975,314</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94,333,126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2"/>
        </w:trPr>
        <w:tc>
          <w:tcPr>
            <w:tcW w:w="7020" w:type="dxa"/>
            <w:vAlign w:val="bottom"/>
          </w:tcPr>
          <w:p>
            <w:pPr>
              <w:spacing w:after="0"/>
              <w:rPr>
                <w:sz w:val="20"/>
                <w:szCs w:val="20"/>
                <w:color w:val="auto"/>
              </w:rPr>
            </w:pPr>
            <w:r>
              <w:rPr>
                <w:rFonts w:ascii="Arial" w:cs="Arial" w:eastAsia="Arial" w:hAnsi="Arial"/>
                <w:sz w:val="14"/>
                <w:szCs w:val="14"/>
                <w:color w:val="auto"/>
              </w:rPr>
              <w:t>Second lien</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9,379,445</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9,285,000</w:t>
            </w:r>
          </w:p>
        </w:tc>
        <w:tc>
          <w:tcPr>
            <w:tcW w:w="60" w:type="dxa"/>
            <w:vAlign w:val="bottom"/>
          </w:tcPr>
          <w:p>
            <w:pPr>
              <w:spacing w:after="0"/>
              <w:rPr>
                <w:sz w:val="17"/>
                <w:szCs w:val="17"/>
                <w:color w:val="auto"/>
              </w:rPr>
            </w:pPr>
          </w:p>
        </w:tc>
      </w:tr>
      <w:tr>
        <w:trPr>
          <w:trHeight w:val="41"/>
        </w:trPr>
        <w:tc>
          <w:tcPr>
            <w:tcW w:w="7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23"/>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Subordinated debt / corporate notes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7,374,862</w:t>
            </w:r>
          </w:p>
        </w:tc>
        <w:tc>
          <w:tcPr>
            <w:tcW w:w="5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7,004,130</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2"/>
        </w:trPr>
        <w:tc>
          <w:tcPr>
            <w:tcW w:w="7020" w:type="dxa"/>
            <w:vAlign w:val="bottom"/>
          </w:tcPr>
          <w:p>
            <w:pPr>
              <w:spacing w:after="0"/>
              <w:rPr>
                <w:sz w:val="20"/>
                <w:szCs w:val="20"/>
                <w:color w:val="auto"/>
              </w:rPr>
            </w:pPr>
            <w:r>
              <w:rPr>
                <w:rFonts w:ascii="Arial" w:cs="Arial" w:eastAsia="Arial" w:hAnsi="Arial"/>
                <w:sz w:val="14"/>
                <w:szCs w:val="14"/>
                <w:color w:val="auto"/>
              </w:rPr>
              <w:t>Preferred and common equity</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100,000</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101,985</w:t>
            </w:r>
          </w:p>
        </w:tc>
        <w:tc>
          <w:tcPr>
            <w:tcW w:w="60" w:type="dxa"/>
            <w:vAlign w:val="bottom"/>
          </w:tcPr>
          <w:p>
            <w:pPr>
              <w:spacing w:after="0"/>
              <w:rPr>
                <w:sz w:val="17"/>
                <w:szCs w:val="17"/>
                <w:color w:val="auto"/>
              </w:rPr>
            </w:pPr>
          </w:p>
        </w:tc>
      </w:tr>
      <w:tr>
        <w:trPr>
          <w:trHeight w:val="48"/>
        </w:trPr>
        <w:tc>
          <w:tcPr>
            <w:tcW w:w="70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43"/>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114,829,621</w:t>
            </w:r>
          </w:p>
        </w:tc>
        <w:tc>
          <w:tcPr>
            <w:tcW w:w="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110,724,241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9"/>
        </w:trPr>
        <w:tc>
          <w:tcPr>
            <w:tcW w:w="7020" w:type="dxa"/>
            <w:vAlign w:val="bottom"/>
          </w:tcPr>
          <w:p>
            <w:pPr>
              <w:spacing w:after="0"/>
              <w:rPr>
                <w:sz w:val="20"/>
                <w:szCs w:val="20"/>
                <w:color w:val="auto"/>
              </w:rPr>
            </w:pPr>
            <w:r>
              <w:rPr>
                <w:rFonts w:ascii="Arial" w:cs="Arial" w:eastAsia="Arial" w:hAnsi="Arial"/>
                <w:sz w:val="14"/>
                <w:szCs w:val="14"/>
                <w:color w:val="auto"/>
              </w:rPr>
              <w:t>Cash equivalents</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6,987,450</w:t>
            </w:r>
          </w:p>
        </w:tc>
        <w:tc>
          <w:tcPr>
            <w:tcW w:w="5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6,987,450</w:t>
            </w:r>
          </w:p>
        </w:tc>
        <w:tc>
          <w:tcPr>
            <w:tcW w:w="60" w:type="dxa"/>
            <w:vAlign w:val="bottom"/>
          </w:tcPr>
          <w:p>
            <w:pPr>
              <w:spacing w:after="0"/>
              <w:rPr>
                <w:sz w:val="18"/>
                <w:szCs w:val="18"/>
                <w:color w:val="auto"/>
              </w:rPr>
            </w:pPr>
          </w:p>
        </w:tc>
      </w:tr>
      <w:tr>
        <w:trPr>
          <w:trHeight w:val="48"/>
        </w:trPr>
        <w:tc>
          <w:tcPr>
            <w:tcW w:w="70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43"/>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investments and cash equivalents</w:t>
            </w: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121,817,071</w:t>
            </w:r>
          </w:p>
        </w:tc>
        <w:tc>
          <w:tcPr>
            <w:tcW w:w="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117,711,691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
        </w:trPr>
        <w:tc>
          <w:tcPr>
            <w:tcW w:w="7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5" w:lineRule="exact"/>
        <w:rPr>
          <w:sz w:val="20"/>
          <w:szCs w:val="20"/>
          <w:color w:val="auto"/>
        </w:rPr>
      </w:pPr>
    </w:p>
    <w:p>
      <w:pPr>
        <w:ind w:right="360" w:firstLine="456"/>
        <w:spacing w:after="0" w:line="239" w:lineRule="auto"/>
        <w:rPr>
          <w:sz w:val="20"/>
          <w:szCs w:val="20"/>
          <w:color w:val="auto"/>
        </w:rPr>
      </w:pPr>
      <w:r>
        <w:rPr>
          <w:rFonts w:ascii="Arial" w:cs="Arial" w:eastAsia="Arial" w:hAnsi="Arial"/>
          <w:sz w:val="14"/>
          <w:szCs w:val="14"/>
          <w:color w:val="auto"/>
        </w:rPr>
        <w:t>The table below describes investments by industry classification and enumerates the percentage, by market value, of the total portfolio assets (excluding cash equivalents) in such industries as of September 30, 2011.</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tcPr>
          <w:p>
            <w:pPr>
              <w:spacing w:after="0"/>
              <w:rPr>
                <w:sz w:val="20"/>
                <w:szCs w:val="20"/>
                <w:color w:val="auto"/>
              </w:rPr>
            </w:pPr>
            <w:r>
              <w:rPr>
                <w:rFonts w:ascii="Arial" w:cs="Arial" w:eastAsia="Arial" w:hAnsi="Arial"/>
                <w:sz w:val="14"/>
                <w:szCs w:val="14"/>
                <w:b w:val="1"/>
                <w:bCs w:val="1"/>
                <w:color w:val="auto"/>
              </w:rPr>
              <w:t>Industry Classification</w:t>
            </w:r>
          </w:p>
        </w:tc>
        <w:tc>
          <w:tcPr>
            <w:tcW w:w="47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Business Services</w:t>
            </w:r>
          </w:p>
        </w:tc>
        <w:tc>
          <w:tcPr>
            <w:tcW w:w="6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Healthcare and Pharmaceuticals</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10</w:t>
            </w:r>
          </w:p>
        </w:tc>
      </w:tr>
      <w:tr>
        <w:trPr>
          <w:trHeight w:val="41"/>
        </w:trPr>
        <w:tc>
          <w:tcPr>
            <w:tcW w:w="3540" w:type="dxa"/>
            <w:vAlign w:val="bottom"/>
          </w:tcPr>
          <w:p>
            <w:pPr>
              <w:spacing w:after="0"/>
              <w:rPr>
                <w:sz w:val="3"/>
                <w:szCs w:val="3"/>
                <w:color w:val="auto"/>
              </w:rPr>
            </w:pPr>
          </w:p>
        </w:tc>
        <w:tc>
          <w:tcPr>
            <w:tcW w:w="47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Media: Advertising, Printing and Publishing</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10</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Hotel, Gaming and Leisure</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9</w:t>
            </w:r>
          </w:p>
        </w:tc>
      </w:tr>
      <w:tr>
        <w:trPr>
          <w:trHeight w:val="41"/>
        </w:trPr>
        <w:tc>
          <w:tcPr>
            <w:tcW w:w="3540" w:type="dxa"/>
            <w:vAlign w:val="bottom"/>
          </w:tcPr>
          <w:p>
            <w:pPr>
              <w:spacing w:after="0"/>
              <w:rPr>
                <w:sz w:val="3"/>
                <w:szCs w:val="3"/>
                <w:color w:val="auto"/>
              </w:rPr>
            </w:pPr>
          </w:p>
        </w:tc>
        <w:tc>
          <w:tcPr>
            <w:tcW w:w="47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Consumer Goods: Durable</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8</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Media: Diversified and Production</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8</w:t>
            </w:r>
          </w:p>
        </w:tc>
      </w:tr>
      <w:tr>
        <w:trPr>
          <w:trHeight w:val="41"/>
        </w:trPr>
        <w:tc>
          <w:tcPr>
            <w:tcW w:w="3540" w:type="dxa"/>
            <w:vAlign w:val="bottom"/>
          </w:tcPr>
          <w:p>
            <w:pPr>
              <w:spacing w:after="0"/>
              <w:rPr>
                <w:sz w:val="3"/>
                <w:szCs w:val="3"/>
                <w:color w:val="auto"/>
              </w:rPr>
            </w:pPr>
          </w:p>
        </w:tc>
        <w:tc>
          <w:tcPr>
            <w:tcW w:w="47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Beverage, Food and Tobacco</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7</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Chemicals, Plastics and Rubber</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5</w:t>
            </w:r>
          </w:p>
        </w:tc>
      </w:tr>
      <w:tr>
        <w:trPr>
          <w:trHeight w:val="41"/>
        </w:trPr>
        <w:tc>
          <w:tcPr>
            <w:tcW w:w="3540" w:type="dxa"/>
            <w:vAlign w:val="bottom"/>
          </w:tcPr>
          <w:p>
            <w:pPr>
              <w:spacing w:after="0"/>
              <w:rPr>
                <w:sz w:val="3"/>
                <w:szCs w:val="3"/>
                <w:color w:val="auto"/>
              </w:rPr>
            </w:pPr>
          </w:p>
        </w:tc>
        <w:tc>
          <w:tcPr>
            <w:tcW w:w="47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Telecommunications</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5</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Automotive</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4</w:t>
            </w:r>
          </w:p>
        </w:tc>
      </w:tr>
      <w:tr>
        <w:trPr>
          <w:trHeight w:val="41"/>
        </w:trPr>
        <w:tc>
          <w:tcPr>
            <w:tcW w:w="3540" w:type="dxa"/>
            <w:vAlign w:val="bottom"/>
          </w:tcPr>
          <w:p>
            <w:pPr>
              <w:spacing w:after="0"/>
              <w:rPr>
                <w:sz w:val="3"/>
                <w:szCs w:val="3"/>
                <w:color w:val="auto"/>
              </w:rPr>
            </w:pPr>
          </w:p>
        </w:tc>
        <w:tc>
          <w:tcPr>
            <w:tcW w:w="47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Consumer Goods: Non-Durable</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4</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High Tech Industries</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4</w:t>
            </w:r>
          </w:p>
        </w:tc>
      </w:tr>
      <w:tr>
        <w:trPr>
          <w:trHeight w:val="41"/>
        </w:trPr>
        <w:tc>
          <w:tcPr>
            <w:tcW w:w="3540" w:type="dxa"/>
            <w:vAlign w:val="bottom"/>
          </w:tcPr>
          <w:p>
            <w:pPr>
              <w:spacing w:after="0"/>
              <w:rPr>
                <w:sz w:val="3"/>
                <w:szCs w:val="3"/>
                <w:color w:val="auto"/>
              </w:rPr>
            </w:pPr>
          </w:p>
        </w:tc>
        <w:tc>
          <w:tcPr>
            <w:tcW w:w="47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Aerospace and Defense</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3</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Capital Equipment</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3</w:t>
            </w:r>
          </w:p>
        </w:tc>
      </w:tr>
      <w:tr>
        <w:trPr>
          <w:trHeight w:val="41"/>
        </w:trPr>
        <w:tc>
          <w:tcPr>
            <w:tcW w:w="3540" w:type="dxa"/>
            <w:vAlign w:val="bottom"/>
          </w:tcPr>
          <w:p>
            <w:pPr>
              <w:spacing w:after="0"/>
              <w:rPr>
                <w:sz w:val="3"/>
                <w:szCs w:val="3"/>
                <w:color w:val="auto"/>
              </w:rPr>
            </w:pPr>
          </w:p>
        </w:tc>
        <w:tc>
          <w:tcPr>
            <w:tcW w:w="47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Containers, Packaging and Glass</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3</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Consumer Services</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2</w:t>
            </w:r>
          </w:p>
        </w:tc>
      </w:tr>
      <w:tr>
        <w:trPr>
          <w:trHeight w:val="41"/>
        </w:trPr>
        <w:tc>
          <w:tcPr>
            <w:tcW w:w="3540" w:type="dxa"/>
            <w:vAlign w:val="bottom"/>
          </w:tcPr>
          <w:p>
            <w:pPr>
              <w:spacing w:after="0"/>
              <w:rPr>
                <w:sz w:val="3"/>
                <w:szCs w:val="3"/>
                <w:color w:val="auto"/>
              </w:rPr>
            </w:pPr>
          </w:p>
        </w:tc>
        <w:tc>
          <w:tcPr>
            <w:tcW w:w="47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Energy: Oil &amp; Gas</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2</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Environmental Industries</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2</w:t>
            </w:r>
          </w:p>
        </w:tc>
      </w:tr>
      <w:tr>
        <w:trPr>
          <w:trHeight w:val="41"/>
        </w:trPr>
        <w:tc>
          <w:tcPr>
            <w:tcW w:w="3540" w:type="dxa"/>
            <w:vAlign w:val="bottom"/>
          </w:tcPr>
          <w:p>
            <w:pPr>
              <w:spacing w:after="0"/>
              <w:rPr>
                <w:sz w:val="3"/>
                <w:szCs w:val="3"/>
                <w:color w:val="auto"/>
              </w:rPr>
            </w:pPr>
          </w:p>
        </w:tc>
        <w:tc>
          <w:tcPr>
            <w:tcW w:w="47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4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Utilities: Water</w:t>
            </w:r>
          </w:p>
        </w:tc>
        <w:tc>
          <w:tcPr>
            <w:tcW w:w="4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w:t>
            </w:r>
          </w:p>
        </w:tc>
      </w:tr>
      <w:tr>
        <w:trPr>
          <w:trHeight w:val="196"/>
        </w:trPr>
        <w:tc>
          <w:tcPr>
            <w:tcW w:w="3540" w:type="dxa"/>
            <w:vAlign w:val="bottom"/>
          </w:tcPr>
          <w:p>
            <w:pPr>
              <w:spacing w:after="0"/>
              <w:rPr>
                <w:sz w:val="20"/>
                <w:szCs w:val="20"/>
                <w:color w:val="auto"/>
              </w:rPr>
            </w:pPr>
            <w:r>
              <w:rPr>
                <w:rFonts w:ascii="Arial" w:cs="Arial" w:eastAsia="Arial" w:hAnsi="Arial"/>
                <w:sz w:val="14"/>
                <w:szCs w:val="14"/>
                <w:color w:val="auto"/>
              </w:rPr>
              <w:t>Total</w:t>
            </w:r>
          </w:p>
        </w:tc>
        <w:tc>
          <w:tcPr>
            <w:tcW w:w="472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338"/>
        </w:trPr>
        <w:tc>
          <w:tcPr>
            <w:tcW w:w="3540" w:type="dxa"/>
            <w:vAlign w:val="bottom"/>
          </w:tcPr>
          <w:p>
            <w:pPr>
              <w:spacing w:after="0"/>
              <w:rPr>
                <w:sz w:val="24"/>
                <w:szCs w:val="24"/>
                <w:color w:val="auto"/>
              </w:rPr>
            </w:pPr>
          </w:p>
        </w:tc>
        <w:tc>
          <w:tcPr>
            <w:tcW w:w="6040" w:type="dxa"/>
            <w:vAlign w:val="bottom"/>
            <w:gridSpan w:val="2"/>
          </w:tcPr>
          <w:p>
            <w:pPr>
              <w:jc w:val="right"/>
              <w:ind w:right="4592"/>
              <w:spacing w:after="0"/>
              <w:rPr>
                <w:sz w:val="20"/>
                <w:szCs w:val="20"/>
                <w:color w:val="auto"/>
              </w:rPr>
            </w:pPr>
            <w:r>
              <w:rPr>
                <w:rFonts w:ascii="Arial" w:cs="Arial" w:eastAsia="Arial" w:hAnsi="Arial"/>
                <w:sz w:val="14"/>
                <w:szCs w:val="14"/>
                <w:color w:val="auto"/>
              </w:rPr>
              <w:t>F-15</w:t>
            </w:r>
          </w:p>
        </w:tc>
      </w:tr>
    </w:tbl>
    <w:p>
      <w:pPr>
        <w:sectPr>
          <w:pgSz w:w="11900" w:h="16838" w:orient="portrait"/>
          <w:cols w:equalWidth="0" w:num="1">
            <w:col w:w="11300"/>
          </w:cols>
          <w:pgMar w:left="240" w:top="459" w:right="3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7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based on market data obtained from sources independent of the Company. Unobservable inputs are inputs that reflect the assumptions market participants would use in pricing an asset or liability based on the best information available to us at the reporting period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Level 1: Inputs that are quoted prices (unadjusted) in active markets for identical assets or liabilities, accessible by us at the measurement date.</w:t>
      </w:r>
    </w:p>
    <w:p>
      <w:pPr>
        <w:spacing w:after="0" w:line="150"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Level 3: Inputs that are unobservable for an asset or liability because they are based on our own assumptions about how market participants would price the asset or liability.</w:t>
      </w:r>
    </w:p>
    <w:p>
      <w:pPr>
        <w:spacing w:after="0" w:line="150" w:lineRule="exact"/>
        <w:rPr>
          <w:sz w:val="20"/>
          <w:szCs w:val="20"/>
          <w:color w:val="auto"/>
        </w:rPr>
      </w:pPr>
    </w:p>
    <w:p>
      <w:pPr>
        <w:ind w:right="280" w:firstLine="456"/>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long-term Credit Facility are classified as Level 3. Due to the inherent uncertainty of determining the fair value of investments that do not have a readily available market value, the price used in an actual transaction may differ from our valuation and those differences may be material.</w:t>
      </w:r>
    </w:p>
    <w:p>
      <w:pPr>
        <w:spacing w:after="0" w:line="13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or broker quotes which may include a disclaimer that the broker would not be held to such a price in an actual transaction. The non-binding nature of consensus pricing and/or quotes from brokers/dealers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0" w:lineRule="exact"/>
        <w:rPr>
          <w:sz w:val="20"/>
          <w:szCs w:val="20"/>
          <w:color w:val="auto"/>
        </w:rPr>
      </w:pPr>
    </w:p>
    <w:p>
      <w:pPr>
        <w:ind w:right="360" w:firstLine="456"/>
        <w:spacing w:after="0" w:line="273"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20"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period March 4, 2011 (commencement of operations) to September 30, 2011, our ability to observe valuation inputs has resulted in no reclassification of assets from Level 3 to Level 2. There were no investments transferred between Levels 1 and 2 for the same period.</w:t>
      </w:r>
    </w:p>
    <w:p>
      <w:pPr>
        <w:spacing w:after="0" w:line="139" w:lineRule="exact"/>
        <w:rPr>
          <w:sz w:val="20"/>
          <w:szCs w:val="20"/>
          <w:color w:val="auto"/>
        </w:rPr>
      </w:pPr>
    </w:p>
    <w:p>
      <w:pPr>
        <w:ind w:right="180" w:firstLine="456"/>
        <w:spacing w:after="0" w:line="318"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(See Note 2). Consistent with our valuation policy, we evaluate the source of inputs, including any markets in which its investments are trading, in determining fair value.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F-16</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7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79"/>
        <w:spacing w:after="0"/>
        <w:rPr>
          <w:sz w:val="20"/>
          <w:szCs w:val="20"/>
          <w:color w:val="auto"/>
        </w:rPr>
      </w:pPr>
      <w:r>
        <w:rPr>
          <w:rFonts w:ascii="Arial" w:cs="Arial" w:eastAsia="Arial" w:hAnsi="Arial"/>
          <w:sz w:val="14"/>
          <w:szCs w:val="14"/>
          <w:b w:val="1"/>
          <w:bCs w:val="1"/>
          <w:color w:val="auto"/>
        </w:rPr>
        <w:t>SEPTEMBER 30, 2011</w:t>
      </w:r>
    </w:p>
    <w:p>
      <w:pPr>
        <w:spacing w:after="0" w:line="125" w:lineRule="exact"/>
        <w:rPr>
          <w:sz w:val="20"/>
          <w:szCs w:val="20"/>
          <w:color w:val="auto"/>
        </w:rPr>
      </w:pPr>
    </w:p>
    <w:p>
      <w:pPr>
        <w:ind w:right="80" w:firstLine="342"/>
        <w:spacing w:after="0" w:line="239" w:lineRule="auto"/>
        <w:rPr>
          <w:sz w:val="20"/>
          <w:szCs w:val="20"/>
          <w:color w:val="auto"/>
        </w:rPr>
      </w:pPr>
      <w:r>
        <w:rPr>
          <w:rFonts w:ascii="Arial" w:cs="Arial" w:eastAsia="Arial" w:hAnsi="Arial"/>
          <w:sz w:val="14"/>
          <w:szCs w:val="14"/>
          <w:color w:val="auto"/>
        </w:rPr>
        <w:t>At September 30, 2011 our cash and cash equivalents, investments and our long-term Credit Facility were categorized as listed below in the fair value hierarchy for ASC 820 purposes. Please refer to the paragraphs preceding this sentence for information regarding Levels 1 through 3 within the fair value hierarchy.</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Fair Value</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w w:val="88"/>
              </w:rPr>
              <w:t>Level 1</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w w:val="92"/>
              </w:rPr>
              <w:t>Level 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197"/>
        </w:trPr>
        <w:tc>
          <w:tcPr>
            <w:tcW w:w="5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First Lien</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94,333,126</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2,033,747</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92,299,379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2"/>
        </w:trPr>
        <w:tc>
          <w:tcPr>
            <w:tcW w:w="590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9,285,000</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9,285,000</w:t>
            </w:r>
          </w:p>
        </w:tc>
        <w:tc>
          <w:tcPr>
            <w:tcW w:w="60" w:type="dxa"/>
            <w:vAlign w:val="bottom"/>
          </w:tcPr>
          <w:p>
            <w:pPr>
              <w:spacing w:after="0"/>
              <w:rPr>
                <w:sz w:val="17"/>
                <w:szCs w:val="17"/>
                <w:color w:val="auto"/>
              </w:rPr>
            </w:pPr>
          </w:p>
        </w:tc>
      </w:tr>
      <w:tr>
        <w:trPr>
          <w:trHeight w:val="41"/>
        </w:trPr>
        <w:tc>
          <w:tcPr>
            <w:tcW w:w="700" w:type="dxa"/>
            <w:vAlign w:val="bottom"/>
          </w:tcPr>
          <w:p>
            <w:pPr>
              <w:spacing w:after="0"/>
              <w:rPr>
                <w:sz w:val="3"/>
                <w:szCs w:val="3"/>
                <w:color w:val="auto"/>
              </w:rPr>
            </w:pPr>
          </w:p>
        </w:tc>
        <w:tc>
          <w:tcPr>
            <w:tcW w:w="5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23"/>
        </w:trPr>
        <w:tc>
          <w:tcPr>
            <w:tcW w:w="5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Subordinated Debt/Corporate Notes</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7,004,130</w:t>
            </w:r>
          </w:p>
        </w:tc>
        <w:tc>
          <w:tcPr>
            <w:tcW w:w="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1,155,000</w:t>
            </w: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5,849,130</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2"/>
        </w:trPr>
        <w:tc>
          <w:tcPr>
            <w:tcW w:w="5900" w:type="dxa"/>
            <w:vAlign w:val="bottom"/>
            <w:gridSpan w:val="2"/>
          </w:tcPr>
          <w:p>
            <w:pPr>
              <w:spacing w:after="0"/>
              <w:rPr>
                <w:sz w:val="20"/>
                <w:szCs w:val="20"/>
                <w:color w:val="auto"/>
              </w:rPr>
            </w:pPr>
            <w:r>
              <w:rPr>
                <w:rFonts w:ascii="Arial" w:cs="Arial" w:eastAsia="Arial" w:hAnsi="Arial"/>
                <w:sz w:val="14"/>
                <w:szCs w:val="14"/>
                <w:color w:val="auto"/>
              </w:rPr>
              <w:t>Preferred and Common Equity</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101,985</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101,985</w:t>
            </w:r>
          </w:p>
        </w:tc>
        <w:tc>
          <w:tcPr>
            <w:tcW w:w="60" w:type="dxa"/>
            <w:vAlign w:val="bottom"/>
          </w:tcPr>
          <w:p>
            <w:pPr>
              <w:spacing w:after="0"/>
              <w:rPr>
                <w:sz w:val="17"/>
                <w:szCs w:val="17"/>
                <w:color w:val="auto"/>
              </w:rPr>
            </w:pPr>
          </w:p>
        </w:tc>
      </w:tr>
      <w:tr>
        <w:trPr>
          <w:trHeight w:val="48"/>
        </w:trPr>
        <w:tc>
          <w:tcPr>
            <w:tcW w:w="700" w:type="dxa"/>
            <w:vAlign w:val="bottom"/>
          </w:tcPr>
          <w:p>
            <w:pPr>
              <w:spacing w:after="0"/>
              <w:rPr>
                <w:sz w:val="4"/>
                <w:szCs w:val="4"/>
                <w:color w:val="auto"/>
              </w:rPr>
            </w:pPr>
          </w:p>
        </w:tc>
        <w:tc>
          <w:tcPr>
            <w:tcW w:w="52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23"/>
        </w:trPr>
        <w:tc>
          <w:tcPr>
            <w:tcW w:w="700" w:type="dxa"/>
            <w:vAlign w:val="bottom"/>
            <w:tcBorders>
              <w:bottom w:val="single" w:sz="8" w:color="CCEEFF"/>
            </w:tcBorders>
            <w:shd w:val="clear" w:color="auto" w:fill="CCEEFF"/>
          </w:tcPr>
          <w:p>
            <w:pPr>
              <w:spacing w:after="0"/>
              <w:rPr>
                <w:sz w:val="19"/>
                <w:szCs w:val="19"/>
                <w:color w:val="auto"/>
              </w:rPr>
            </w:pPr>
          </w:p>
        </w:tc>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Investments</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110,724,241</w:t>
            </w:r>
          </w:p>
        </w:tc>
        <w:tc>
          <w:tcPr>
            <w:tcW w:w="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3,188,747</w:t>
            </w: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107,535,494</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2"/>
        </w:trPr>
        <w:tc>
          <w:tcPr>
            <w:tcW w:w="5900" w:type="dxa"/>
            <w:vAlign w:val="bottom"/>
            <w:gridSpan w:val="2"/>
          </w:tcPr>
          <w:p>
            <w:pPr>
              <w:ind w:left="440"/>
              <w:spacing w:after="0"/>
              <w:rPr>
                <w:sz w:val="20"/>
                <w:szCs w:val="20"/>
                <w:color w:val="auto"/>
              </w:rPr>
            </w:pPr>
            <w:r>
              <w:rPr>
                <w:rFonts w:ascii="Arial" w:cs="Arial" w:eastAsia="Arial" w:hAnsi="Arial"/>
                <w:sz w:val="14"/>
                <w:szCs w:val="14"/>
                <w:color w:val="auto"/>
              </w:rPr>
              <w:t>Cash Equivalents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6,987,450</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9"/>
              </w:rPr>
              <w:t>6,987,450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48"/>
        </w:trPr>
        <w:tc>
          <w:tcPr>
            <w:tcW w:w="700" w:type="dxa"/>
            <w:vAlign w:val="bottom"/>
          </w:tcPr>
          <w:p>
            <w:pPr>
              <w:spacing w:after="0"/>
              <w:rPr>
                <w:sz w:val="4"/>
                <w:szCs w:val="4"/>
                <w:color w:val="auto"/>
              </w:rPr>
            </w:pPr>
          </w:p>
        </w:tc>
        <w:tc>
          <w:tcPr>
            <w:tcW w:w="52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43"/>
        </w:trPr>
        <w:tc>
          <w:tcPr>
            <w:tcW w:w="70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Investments and cash equivalents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117,711,691</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6,987,450</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3,188,747</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107,535,494</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
        </w:trPr>
        <w:tc>
          <w:tcPr>
            <w:tcW w:w="59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5900" w:type="dxa"/>
            <w:vAlign w:val="bottom"/>
            <w:gridSpan w:val="2"/>
          </w:tcPr>
          <w:p>
            <w:pPr>
              <w:spacing w:after="0"/>
              <w:rPr>
                <w:sz w:val="20"/>
                <w:szCs w:val="20"/>
                <w:color w:val="auto"/>
              </w:rPr>
            </w:pPr>
            <w:r>
              <w:rPr>
                <w:rFonts w:ascii="Arial" w:cs="Arial" w:eastAsia="Arial" w:hAnsi="Arial"/>
                <w:sz w:val="14"/>
                <w:szCs w:val="14"/>
                <w:color w:val="auto"/>
              </w:rPr>
              <w:t>Long-Term Credit Facility</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24,650,000</w:t>
            </w:r>
          </w:p>
        </w:tc>
        <w:tc>
          <w:tcPr>
            <w:tcW w:w="60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24,650,000</w:t>
            </w:r>
          </w:p>
        </w:tc>
        <w:tc>
          <w:tcPr>
            <w:tcW w:w="6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5" w:lineRule="exact"/>
        <w:rPr>
          <w:sz w:val="20"/>
          <w:szCs w:val="20"/>
          <w:color w:val="auto"/>
        </w:rPr>
      </w:pPr>
    </w:p>
    <w:p>
      <w:pPr>
        <w:ind w:right="160" w:firstLine="342"/>
        <w:spacing w:after="0" w:line="239" w:lineRule="auto"/>
        <w:rPr>
          <w:sz w:val="20"/>
          <w:szCs w:val="20"/>
          <w:color w:val="auto"/>
        </w:rPr>
      </w:pPr>
      <w:r>
        <w:rPr>
          <w:rFonts w:ascii="Arial" w:cs="Arial" w:eastAsia="Arial" w:hAnsi="Arial"/>
          <w:sz w:val="14"/>
          <w:szCs w:val="14"/>
          <w:color w:val="auto"/>
        </w:rPr>
        <w:t>The following tables show a reconciliation of the beginning and ending balances for fair valued investments measured using significant unobservable inputs (Level 3) for the period from March 4, 2011 (commencement of operations) to September 30, 2011:</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Beginning Balance, March 4, 2011</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Realized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Unrealized depreciation</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PIK and net discount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Sales / repayments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Transfers in and /or out of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Ending Balance, September 30, 2011</w:t>
      </w:r>
    </w:p>
    <w:p>
      <w:pPr>
        <w:spacing w:after="0" w:line="109"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Net change in unrealized appreciation (depreciation) for the period above within the net change in unrealized appreciation on investments in our Consolidated Statement of Operations attributable to our Level 3 assets still held at the reporting date:</w:t>
      </w:r>
    </w:p>
    <w:p>
      <w:pPr>
        <w:spacing w:after="0" w:line="17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4"/>
              </w:rPr>
              <w:t>Second Lien,</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Subordinated Debt and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1"/>
        </w:trPr>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First Lien</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7"/>
              </w:rPr>
              <w:t>Equity Investments</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Totals</w:t>
            </w:r>
          </w:p>
        </w:tc>
      </w:tr>
      <w:tr>
        <w:trPr>
          <w:trHeight w:val="196"/>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218,684</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93,319</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312,003</w:t>
            </w:r>
          </w:p>
        </w:tc>
      </w:tr>
      <w:tr>
        <w:trPr>
          <w:trHeight w:val="243"/>
        </w:trPr>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2"/>
              </w:rPr>
              <w:t>(3,621,606)</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(93,301)</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2"/>
              </w:rPr>
              <w:t>(3,714,907)</w:t>
            </w:r>
          </w:p>
        </w:tc>
      </w:tr>
      <w:tr>
        <w:trPr>
          <w:trHeight w:val="243"/>
        </w:trPr>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4"/>
              </w:rPr>
              <w:t>124,246,206</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19,766,732</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4"/>
              </w:rPr>
              <w:t>144,012,938</w:t>
            </w:r>
          </w:p>
        </w:tc>
      </w:tr>
      <w:tr>
        <w:trPr>
          <w:trHeight w:val="243"/>
        </w:trPr>
        <w:tc>
          <w:tcPr>
            <w:tcW w:w="100" w:type="dxa"/>
            <w:vAlign w:val="bottom"/>
          </w:tcPr>
          <w:p>
            <w:pPr>
              <w:spacing w:after="0"/>
              <w:rPr>
                <w:sz w:val="21"/>
                <w:szCs w:val="21"/>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(28,543,905)</w:t>
            </w:r>
          </w:p>
        </w:tc>
        <w:tc>
          <w:tcPr>
            <w:tcW w:w="120" w:type="dxa"/>
            <w:vAlign w:val="bottom"/>
          </w:tcPr>
          <w:p>
            <w:pPr>
              <w:spacing w:after="0"/>
              <w:rPr>
                <w:sz w:val="21"/>
                <w:szCs w:val="21"/>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4"/>
                <w:szCs w:val="14"/>
                <w:color w:val="auto"/>
              </w:rPr>
              <w:t>(4,530,635)</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8"/>
              </w:rPr>
              <w:t>(33,074,540)</w:t>
            </w:r>
          </w:p>
        </w:tc>
      </w:tr>
      <w:tr>
        <w:trPr>
          <w:trHeight w:val="243"/>
        </w:trPr>
        <w:tc>
          <w:tcPr>
            <w:tcW w:w="100" w:type="dxa"/>
            <w:vAlign w:val="bottom"/>
          </w:tcPr>
          <w:p>
            <w:pPr>
              <w:spacing w:after="0"/>
              <w:rPr>
                <w:sz w:val="21"/>
                <w:szCs w:val="21"/>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82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1"/>
        </w:trPr>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09"/>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92,299,379</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15,236,115</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84"/>
              </w:rPr>
              <w:t>107,535,494</w:t>
            </w:r>
          </w:p>
        </w:tc>
      </w:tr>
      <w:tr>
        <w:trPr>
          <w:trHeight w:val="41"/>
        </w:trPr>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40"/>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(3,621,606)</w:t>
            </w:r>
          </w:p>
        </w:tc>
        <w:tc>
          <w:tcPr>
            <w:tcW w:w="5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(93,301)</w:t>
            </w:r>
          </w:p>
        </w:tc>
        <w:tc>
          <w:tcPr>
            <w:tcW w:w="5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(3,714,907)</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600" w:space="580"/>
            <w:col w:w="4180"/>
          </w:cols>
          <w:pgMar w:left="240" w:top="459" w:right="29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3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4"/>
          <w:szCs w:val="14"/>
          <w:b w:val="1"/>
          <w:bCs w:val="1"/>
          <w:color w:val="auto"/>
        </w:rPr>
        <w:t>SEPTEMBER 30, 2011</w:t>
      </w:r>
    </w:p>
    <w:p>
      <w:pPr>
        <w:spacing w:after="0" w:line="125" w:lineRule="exact"/>
        <w:rPr>
          <w:sz w:val="20"/>
          <w:szCs w:val="20"/>
          <w:color w:val="auto"/>
        </w:rPr>
      </w:pPr>
    </w:p>
    <w:p>
      <w:pPr>
        <w:ind w:right="320" w:firstLine="342"/>
        <w:spacing w:after="0" w:line="239" w:lineRule="auto"/>
        <w:rPr>
          <w:sz w:val="20"/>
          <w:szCs w:val="20"/>
          <w:color w:val="auto"/>
        </w:rPr>
      </w:pPr>
      <w:r>
        <w:rPr>
          <w:rFonts w:ascii="Arial" w:cs="Arial" w:eastAsia="Arial" w:hAnsi="Arial"/>
          <w:sz w:val="14"/>
          <w:szCs w:val="14"/>
          <w:color w:val="auto"/>
        </w:rPr>
        <w:t>The following tables show a reconciliation of the beginning and ending balances for fair valued liabilities measured using significant unobservable inputs (Level 3) for the period from March 4, 2011 (commencement of operations) to September 30, 2011.</w:t>
      </w:r>
    </w:p>
    <w:p>
      <w:pPr>
        <w:sectPr>
          <w:pgSz w:w="11900" w:h="16838" w:orient="portrait"/>
          <w:cols w:equalWidth="0" w:num="1">
            <w:col w:w="11380"/>
          </w:cols>
          <w:pgMar w:left="240" w:top="459" w:right="279" w:bottom="144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Long-Term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Beginning balance, March 4, 2011 (Cost - $0)</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Total unrealized appreciation included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Borrowings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Transfers in and/or out of Level 3</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Total Credit Facility, September 30, 2011 (Cost – $24,650,000)</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Carrying /</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Fair Value</w:t>
      </w:r>
    </w:p>
    <w:p>
      <w:pPr>
        <w:spacing w:after="0" w:line="30" w:lineRule="exact"/>
        <w:rPr>
          <w:sz w:val="20"/>
          <w:szCs w:val="20"/>
          <w:color w:val="auto"/>
        </w:rPr>
      </w:pPr>
    </w:p>
    <w:p>
      <w:pPr>
        <w:ind w:left="680" w:hanging="672"/>
        <w:spacing w:after="0"/>
        <w:tabs>
          <w:tab w:leader="none" w:pos="6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w:t>
      </w:r>
    </w:p>
    <w:p>
      <w:pPr>
        <w:spacing w:after="0" w:line="68" w:lineRule="exact"/>
        <w:rPr>
          <w:rFonts w:ascii="Arial" w:cs="Arial" w:eastAsia="Arial" w:hAnsi="Arial"/>
          <w:sz w:val="14"/>
          <w:szCs w:val="14"/>
          <w:color w:val="auto"/>
        </w:rPr>
      </w:pPr>
    </w:p>
    <w:p>
      <w:pPr>
        <w:ind w:left="68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8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29,000,000</w:t>
      </w:r>
    </w:p>
    <w:p>
      <w:pPr>
        <w:spacing w:after="0" w:line="8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(4,350,000)</w:t>
      </w:r>
    </w:p>
    <w:p>
      <w:pPr>
        <w:spacing w:after="0" w:line="8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55753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89" w:lineRule="exact"/>
        <w:rPr>
          <w:sz w:val="20"/>
          <w:szCs w:val="20"/>
          <w:color w:val="auto"/>
        </w:rPr>
      </w:pPr>
    </w:p>
    <w:p>
      <w:pPr>
        <w:ind w:left="220" w:hanging="212"/>
        <w:spacing w:after="0"/>
        <w:tabs>
          <w:tab w:leader="none" w:pos="2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24,650,000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47625</wp:posOffset>
            </wp:positionV>
            <wp:extent cx="55753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780" w:space="720"/>
            <w:col w:w="880"/>
          </w:cols>
          <w:pgMar w:left="240" w:top="459" w:right="279" w:bottom="1440" w:gutter="0" w:footer="0" w:header="0"/>
          <w:type w:val="continuous"/>
        </w:sectPr>
      </w:pPr>
    </w:p>
    <w:p>
      <w:pPr>
        <w:spacing w:after="0" w:line="54"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non-recurring expenses of $1.4 million, which represents the upfront fees and expenses related to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We elected not to apply ASC 825-10 to any other financial assets or liabilities. For the period from March 4, 2011 (commencement of operations) to September 30, 2011, our Credit Facility had no net change in unrealized (appreciation) depreciation. PennantPark Floating Rate Capital Ltd. uses one or more nationally recognized independent valuation service to measure the fair value of its credit facility in a manner consistent with the valuation process that the board of directors uses to value investments.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F-18</w:t>
      </w:r>
    </w:p>
    <w:p>
      <w:pPr>
        <w:sectPr>
          <w:pgSz w:w="11900" w:h="16838" w:orient="portrait"/>
          <w:cols w:equalWidth="0" w:num="1">
            <w:col w:w="11380"/>
          </w:cols>
          <w:pgMar w:left="240" w:top="459" w:right="27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80" w:type="dxa"/>
            <w:vAlign w:val="bottom"/>
            <w:gridSpan w:val="2"/>
          </w:tcPr>
          <w:p>
            <w:pPr>
              <w:ind w:left="460"/>
              <w:spacing w:after="0"/>
              <w:rPr>
                <w:sz w:val="20"/>
                <w:szCs w:val="20"/>
                <w:color w:val="auto"/>
              </w:rPr>
            </w:pPr>
            <w:r>
              <w:rPr>
                <w:rFonts w:ascii="Arial" w:cs="Arial" w:eastAsia="Arial" w:hAnsi="Arial"/>
                <w:sz w:val="14"/>
                <w:szCs w:val="14"/>
                <w:color w:val="auto"/>
                <w:w w:val="97"/>
              </w:rPr>
              <w:t>The following information sets forth the computation of basic and diluted per share net decrease in net assets resulting from operations.</w:t>
            </w:r>
          </w:p>
        </w:tc>
        <w:tc>
          <w:tcPr>
            <w:tcW w:w="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9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For the period March 4, 2011 (commencement</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774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of operations) to September 30, 2011</w:t>
            </w:r>
          </w:p>
        </w:tc>
        <w:tc>
          <w:tcPr>
            <w:tcW w:w="0" w:type="dxa"/>
            <w:vAlign w:val="bottom"/>
          </w:tcPr>
          <w:p>
            <w:pPr>
              <w:spacing w:after="0"/>
              <w:rPr>
                <w:sz w:val="1"/>
                <w:szCs w:val="1"/>
                <w:color w:val="auto"/>
              </w:rPr>
            </w:pPr>
          </w:p>
        </w:tc>
      </w:tr>
      <w:tr>
        <w:trPr>
          <w:trHeight w:val="134"/>
        </w:trPr>
        <w:tc>
          <w:tcPr>
            <w:tcW w:w="940" w:type="dxa"/>
            <w:vAlign w:val="bottom"/>
            <w:tcBorders>
              <w:bottom w:val="single" w:sz="8" w:color="auto"/>
            </w:tcBorders>
            <w:vMerge w:val="continue"/>
          </w:tcPr>
          <w:p>
            <w:pPr>
              <w:spacing w:after="0"/>
              <w:rPr>
                <w:sz w:val="11"/>
                <w:szCs w:val="11"/>
                <w:color w:val="auto"/>
              </w:rPr>
            </w:pPr>
          </w:p>
        </w:tc>
        <w:tc>
          <w:tcPr>
            <w:tcW w:w="7740" w:type="dxa"/>
            <w:vAlign w:val="bottom"/>
            <w:vMerge w:val="continue"/>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Numerator for net decrease in net assets resulting from operations</w:t>
            </w: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(3,473,253)</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2"/>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00" w:type="dxa"/>
            <w:vAlign w:val="bottom"/>
          </w:tcPr>
          <w:p>
            <w:pPr>
              <w:spacing w:after="0"/>
              <w:rPr>
                <w:sz w:val="17"/>
                <w:szCs w:val="17"/>
                <w:color w:val="auto"/>
              </w:rPr>
            </w:pPr>
          </w:p>
        </w:tc>
        <w:tc>
          <w:tcPr>
            <w:tcW w:w="2480" w:type="dxa"/>
            <w:vAlign w:val="bottom"/>
          </w:tcPr>
          <w:p>
            <w:pPr>
              <w:jc w:val="right"/>
              <w:spacing w:after="0"/>
              <w:rPr>
                <w:sz w:val="20"/>
                <w:szCs w:val="20"/>
                <w:color w:val="auto"/>
              </w:rPr>
            </w:pPr>
            <w:r>
              <w:rPr>
                <w:rFonts w:ascii="Arial" w:cs="Arial" w:eastAsia="Arial" w:hAnsi="Arial"/>
                <w:sz w:val="14"/>
                <w:szCs w:val="14"/>
                <w:color w:val="auto"/>
              </w:rPr>
              <w:t>6,826,105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8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and diluted net decrease in net assets per share resulting from operations</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940" w:type="dxa"/>
            <w:vAlign w:val="bottom"/>
            <w:shd w:val="clear" w:color="auto" w:fill="CCEEFF"/>
          </w:tcPr>
          <w:p>
            <w:pPr>
              <w:spacing w:after="0"/>
              <w:rPr>
                <w:sz w:val="3"/>
                <w:szCs w:val="3"/>
                <w:color w:val="auto"/>
              </w:rPr>
            </w:pPr>
          </w:p>
        </w:tc>
        <w:tc>
          <w:tcPr>
            <w:tcW w:w="77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TAXES AND DISTRIBUTIONS</w:t>
      </w:r>
    </w:p>
    <w:p>
      <w:pPr>
        <w:spacing w:after="0" w:line="71"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Dividends from net investment income and distributions from net realized capital gains are determined in accordance with U.S. federal tax regulations, which may differ from amounts determined in accordance with GAAP and these book-to-tax adjustments could be material.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As of September 30, 2011, we had no permanent book-to-tax differences.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As of September 30, 2011, the cost of investments for federal income tax purposes was $114.8 million resulting in a gross unrealized appreciation of $0.1 million and depreciation of $4.2 million.</w:t>
      </w:r>
    </w:p>
    <w:p>
      <w:pPr>
        <w:sectPr>
          <w:pgSz w:w="11900" w:h="16838" w:orient="portrait"/>
          <w:cols w:equalWidth="0" w:num="1">
            <w:col w:w="11420"/>
          </w:cols>
          <w:pgMar w:left="240" w:top="459" w:right="239" w:bottom="1440" w:gutter="0" w:footer="0" w:header="0"/>
        </w:sectPr>
      </w:pPr>
    </w:p>
    <w:p>
      <w:pPr>
        <w:spacing w:after="0" w:line="17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reconciles net decrease in net assets resulting from operations to taxable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330835</wp:posOffset>
            </wp:positionV>
            <wp:extent cx="6663690"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663690" cy="15430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increase in net assets resulting from operations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unrealized appreciation / (depreciation) on investments and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41910</wp:posOffset>
            </wp:positionV>
            <wp:extent cx="6663690"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663690" cy="154305"/>
                    </a:xfrm>
                    <a:prstGeom prst="rect">
                      <a:avLst/>
                    </a:prstGeom>
                    <a:noFill/>
                  </pic:spPr>
                </pic:pic>
              </a:graphicData>
            </a:graphic>
          </wp:anchor>
        </w:drawing>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Other temporary book-to-tax differences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Taxable income before deductions for distributions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jc w:val="center"/>
        <w:ind w:right="580"/>
        <w:spacing w:after="0"/>
        <w:rPr>
          <w:sz w:val="20"/>
          <w:szCs w:val="20"/>
          <w:color w:val="auto"/>
        </w:rPr>
      </w:pPr>
      <w:r>
        <w:rPr>
          <w:rFonts w:ascii="Arial" w:cs="Arial" w:eastAsia="Arial" w:hAnsi="Arial"/>
          <w:sz w:val="12"/>
          <w:szCs w:val="12"/>
          <w:b w:val="1"/>
          <w:bCs w:val="1"/>
          <w:color w:val="auto"/>
        </w:rPr>
        <w:t>For the period March 4, 2011 (commencement</w:t>
      </w:r>
    </w:p>
    <w:p>
      <w:pPr>
        <w:spacing w:after="0" w:line="24"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of operations) to September 30, 2011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620" w:type="dxa"/>
            <w:vAlign w:val="bottom"/>
            <w:gridSpan w:val="2"/>
          </w:tcPr>
          <w:p>
            <w:pPr>
              <w:ind w:left="1000"/>
              <w:spacing w:after="0"/>
              <w:rPr>
                <w:sz w:val="20"/>
                <w:szCs w:val="20"/>
                <w:color w:val="auto"/>
              </w:rPr>
            </w:pPr>
            <w:r>
              <w:rPr>
                <w:rFonts w:ascii="Arial" w:cs="Arial" w:eastAsia="Arial" w:hAnsi="Arial"/>
                <w:sz w:val="14"/>
                <w:szCs w:val="14"/>
                <w:color w:val="auto"/>
                <w:w w:val="83"/>
              </w:rPr>
              <w:t>(3,473,253)</w:t>
            </w:r>
          </w:p>
        </w:tc>
      </w:tr>
      <w:tr>
        <w:trPr>
          <w:trHeight w:val="230"/>
        </w:trPr>
        <w:tc>
          <w:tcPr>
            <w:tcW w:w="110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4"/>
                <w:szCs w:val="14"/>
                <w:color w:val="auto"/>
                <w:w w:val="89"/>
              </w:rPr>
              <w:t>4,105,380</w:t>
            </w:r>
          </w:p>
        </w:tc>
        <w:tc>
          <w:tcPr>
            <w:tcW w:w="40" w:type="dxa"/>
            <w:vAlign w:val="bottom"/>
          </w:tcPr>
          <w:p>
            <w:pPr>
              <w:spacing w:after="0"/>
              <w:rPr>
                <w:sz w:val="19"/>
                <w:szCs w:val="19"/>
                <w:color w:val="auto"/>
              </w:rPr>
            </w:pPr>
          </w:p>
        </w:tc>
      </w:tr>
      <w:tr>
        <w:trPr>
          <w:trHeight w:val="243"/>
        </w:trPr>
        <w:tc>
          <w:tcPr>
            <w:tcW w:w="1100" w:type="dxa"/>
            <w:vAlign w:val="bottom"/>
          </w:tcPr>
          <w:p>
            <w:pPr>
              <w:spacing w:after="0"/>
              <w:rPr>
                <w:sz w:val="21"/>
                <w:szCs w:val="21"/>
                <w:color w:val="auto"/>
              </w:rPr>
            </w:pPr>
          </w:p>
        </w:tc>
        <w:tc>
          <w:tcPr>
            <w:tcW w:w="1580" w:type="dxa"/>
            <w:vAlign w:val="bottom"/>
          </w:tcPr>
          <w:p>
            <w:pPr>
              <w:ind w:left="1000"/>
              <w:spacing w:after="0"/>
              <w:rPr>
                <w:sz w:val="20"/>
                <w:szCs w:val="20"/>
                <w:color w:val="auto"/>
              </w:rPr>
            </w:pPr>
            <w:r>
              <w:rPr>
                <w:rFonts w:ascii="Arial" w:cs="Arial" w:eastAsia="Arial" w:hAnsi="Arial"/>
                <w:sz w:val="14"/>
                <w:szCs w:val="14"/>
                <w:color w:val="auto"/>
                <w:w w:val="89"/>
              </w:rPr>
              <w:t>1,297,741</w:t>
            </w:r>
          </w:p>
        </w:tc>
        <w:tc>
          <w:tcPr>
            <w:tcW w:w="40" w:type="dxa"/>
            <w:vAlign w:val="bottom"/>
          </w:tcPr>
          <w:p>
            <w:pPr>
              <w:spacing w:after="0"/>
              <w:rPr>
                <w:sz w:val="21"/>
                <w:szCs w:val="21"/>
                <w:color w:val="auto"/>
              </w:rPr>
            </w:pPr>
          </w:p>
        </w:tc>
      </w:tr>
      <w:tr>
        <w:trPr>
          <w:trHeight w:val="41"/>
        </w:trPr>
        <w:tc>
          <w:tcPr>
            <w:tcW w:w="1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09"/>
        </w:trPr>
        <w:tc>
          <w:tcPr>
            <w:tcW w:w="11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580" w:type="dxa"/>
            <w:vAlign w:val="bottom"/>
          </w:tcPr>
          <w:p>
            <w:pPr>
              <w:ind w:left="1000"/>
              <w:spacing w:after="0"/>
              <w:rPr>
                <w:sz w:val="20"/>
                <w:szCs w:val="20"/>
                <w:color w:val="auto"/>
              </w:rPr>
            </w:pPr>
            <w:r>
              <w:rPr>
                <w:rFonts w:ascii="Arial" w:cs="Arial" w:eastAsia="Arial" w:hAnsi="Arial"/>
                <w:sz w:val="14"/>
                <w:szCs w:val="14"/>
                <w:color w:val="auto"/>
                <w:w w:val="89"/>
              </w:rPr>
              <w:t>1,929,868</w:t>
            </w:r>
          </w:p>
        </w:tc>
        <w:tc>
          <w:tcPr>
            <w:tcW w:w="40" w:type="dxa"/>
            <w:vAlign w:val="bottom"/>
          </w:tcPr>
          <w:p>
            <w:pPr>
              <w:spacing w:after="0"/>
              <w:rPr>
                <w:sz w:val="18"/>
                <w:szCs w:val="18"/>
                <w:color w:val="auto"/>
              </w:rPr>
            </w:pPr>
          </w:p>
        </w:tc>
      </w:tr>
      <w:tr>
        <w:trPr>
          <w:trHeight w:val="41"/>
        </w:trPr>
        <w:tc>
          <w:tcPr>
            <w:tcW w:w="1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5" w:lineRule="exact"/>
        <w:rPr>
          <w:sz w:val="20"/>
          <w:szCs w:val="20"/>
          <w:color w:val="auto"/>
        </w:rPr>
      </w:pPr>
    </w:p>
    <w:p>
      <w:pPr>
        <w:sectPr>
          <w:pgSz w:w="11900" w:h="16838" w:orient="portrait"/>
          <w:cols w:equalWidth="0" w:num="2">
            <w:col w:w="7440" w:space="720"/>
            <w:col w:w="3260"/>
          </w:cols>
          <w:pgMar w:left="240" w:top="459" w:right="239" w:bottom="1440" w:gutter="0" w:footer="0" w:header="0"/>
          <w:type w:val="continuous"/>
        </w:sectPr>
      </w:pPr>
    </w:p>
    <w:p>
      <w:pPr>
        <w:ind w:right="140" w:firstLine="456"/>
        <w:spacing w:after="0" w:line="239" w:lineRule="auto"/>
        <w:rPr>
          <w:sz w:val="20"/>
          <w:szCs w:val="20"/>
          <w:color w:val="auto"/>
        </w:rPr>
      </w:pPr>
      <w:r>
        <w:rPr>
          <w:rFonts w:ascii="Arial" w:cs="Arial" w:eastAsia="Arial" w:hAnsi="Arial"/>
          <w:sz w:val="14"/>
          <w:szCs w:val="14"/>
          <w:color w:val="auto"/>
        </w:rPr>
        <w:t>The components of accumulated losses on tax basis and reconciliation to accumulated losses on a GAAP basis for the period from March 4, 2011 (commencement of operations) to September 30, 2011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120650</wp:posOffset>
            </wp:positionV>
            <wp:extent cx="6663690"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663690" cy="15430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Undistributed ordinary income</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Undistributed long-term net capital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59055</wp:posOffset>
            </wp:positionV>
            <wp:extent cx="6663690" cy="154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663690" cy="154305"/>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Total undistributed net earnings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Dividends payable and other temporary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41910</wp:posOffset>
            </wp:positionV>
            <wp:extent cx="6663690" cy="154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663690" cy="154305"/>
                    </a:xfrm>
                    <a:prstGeom prst="rect">
                      <a:avLst/>
                    </a:prstGeom>
                    <a:noFill/>
                  </pic:spPr>
                </pic:pic>
              </a:graphicData>
            </a:graphic>
          </wp:anchor>
        </w:drawing>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unrealized appreciation (depreciation) of investments and credit facility</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Total accumulated deficit</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tax characteristics of dividends during the fiscal year ended September 30, 2011 totaled $1.7 million or $0.25 per share.</w:t>
      </w:r>
    </w:p>
    <w:p>
      <w:pPr>
        <w:spacing w:after="0" w:line="15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240" w:hanging="236"/>
        <w:spacing w:after="0"/>
        <w:tabs>
          <w:tab w:leader="none" w:pos="2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696,748</w:t>
      </w:r>
    </w:p>
    <w:p>
      <w:pPr>
        <w:spacing w:after="0" w:line="105" w:lineRule="exact"/>
        <w:rPr>
          <w:rFonts w:ascii="Arial" w:cs="Arial" w:eastAsia="Arial" w:hAnsi="Arial"/>
          <w:sz w:val="12"/>
          <w:szCs w:val="12"/>
          <w:color w:val="auto"/>
        </w:rPr>
      </w:pPr>
    </w:p>
    <w:p>
      <w:pPr>
        <w:ind w:left="540"/>
        <w:spacing w:after="0"/>
        <w:rPr>
          <w:rFonts w:ascii="Arial" w:cs="Arial" w:eastAsia="Arial" w:hAnsi="Arial"/>
          <w:sz w:val="12"/>
          <w:szCs w:val="12"/>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47180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696,748</w:t>
      </w:r>
    </w:p>
    <w:p>
      <w:pPr>
        <w:spacing w:after="0" w:line="105" w:lineRule="exact"/>
        <w:rPr>
          <w:sz w:val="20"/>
          <w:szCs w:val="20"/>
          <w:color w:val="auto"/>
        </w:rPr>
      </w:pPr>
    </w:p>
    <w:p>
      <w:pPr>
        <w:jc w:val="right"/>
        <w:ind w:right="520"/>
        <w:spacing w:after="0"/>
        <w:rPr>
          <w:sz w:val="20"/>
          <w:szCs w:val="20"/>
          <w:color w:val="auto"/>
        </w:rPr>
      </w:pPr>
      <w:r>
        <w:rPr>
          <w:rFonts w:ascii="Arial" w:cs="Arial" w:eastAsia="Arial" w:hAnsi="Arial"/>
          <w:sz w:val="14"/>
          <w:szCs w:val="14"/>
          <w:color w:val="auto"/>
        </w:rPr>
        <w:t>(1,777,288)</w:t>
      </w:r>
    </w:p>
    <w:p>
      <w:pPr>
        <w:spacing w:after="0" w:line="82" w:lineRule="exact"/>
        <w:rPr>
          <w:sz w:val="20"/>
          <w:szCs w:val="20"/>
          <w:color w:val="auto"/>
        </w:rPr>
      </w:pPr>
    </w:p>
    <w:p>
      <w:pPr>
        <w:jc w:val="right"/>
        <w:ind w:right="520"/>
        <w:spacing w:after="0"/>
        <w:rPr>
          <w:sz w:val="20"/>
          <w:szCs w:val="20"/>
          <w:color w:val="auto"/>
        </w:rPr>
      </w:pPr>
      <w:r>
        <w:rPr>
          <w:rFonts w:ascii="Arial" w:cs="Arial" w:eastAsia="Arial" w:hAnsi="Arial"/>
          <w:sz w:val="14"/>
          <w:szCs w:val="14"/>
          <w:color w:val="auto"/>
        </w:rPr>
        <w:t>(4,105,380)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47180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$(5,185,920)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47625</wp:posOffset>
            </wp:positionV>
            <wp:extent cx="47180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64770</wp:posOffset>
            </wp:positionV>
            <wp:extent cx="47180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ectPr>
          <w:pgSz w:w="11900" w:h="16838" w:orient="portrait"/>
          <w:cols w:equalWidth="0" w:num="2">
            <w:col w:w="9460" w:space="720"/>
            <w:col w:w="1240"/>
          </w:cols>
          <w:pgMar w:left="240" w:top="459" w:right="23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5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59"/>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EQUIVALENTS</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Cash equivalents represents cash pending investment in longer-term portfolio holdings, PennantPark Floating Rate Capital Ltd. may invest temporarily in U.S. Treasury Bills (of varying maturities), repurchase agreements, money market funds or repo-like treasury securities. These temporary investments with maturities of 90 days or less are deemed cash equivalents and are included in the Consolidated Schedule of Investments. At the end of each fiscal quarter, PennantPark Floating Rate Capital Ltd. could take proactive steps to preserve investment flexibility for the next quarter, which is dependent upon the composition of its total assets at quarter end. PennantPark Floating Rate Capital Ltd.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Floating Rate Capital Ltd.’s valuation policy. As of September 30, 2011, cash equivalents consisted of $7.0 million in money market funds.</w:t>
      </w:r>
    </w:p>
    <w:p>
      <w:pPr>
        <w:sectPr>
          <w:pgSz w:w="11900" w:h="16838" w:orient="portrait"/>
          <w:cols w:equalWidth="0" w:num="1">
            <w:col w:w="11260"/>
          </w:cols>
          <w:pgMar w:left="240" w:top="459" w:right="399" w:bottom="144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FINANCIAL HIGHLIGHTS</w:t>
      </w:r>
    </w:p>
    <w:p>
      <w:pPr>
        <w:spacing w:after="0" w:line="71" w:lineRule="exact"/>
        <w:rPr>
          <w:sz w:val="20"/>
          <w:szCs w:val="20"/>
          <w:color w:val="auto"/>
        </w:rPr>
      </w:pPr>
    </w:p>
    <w:p>
      <w:pPr>
        <w:jc w:val="right"/>
        <w:ind w:right="640"/>
        <w:spacing w:after="0"/>
        <w:rPr>
          <w:sz w:val="20"/>
          <w:szCs w:val="20"/>
          <w:color w:val="auto"/>
        </w:rPr>
      </w:pPr>
      <w:r>
        <w:rPr>
          <w:rFonts w:ascii="Arial" w:cs="Arial" w:eastAsia="Arial" w:hAnsi="Arial"/>
          <w:sz w:val="14"/>
          <w:szCs w:val="14"/>
          <w:color w:val="auto"/>
        </w:rPr>
        <w:t>Below are the financial highlights for the reported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4922520"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Data:</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Net asset value, beginning of period</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investment income</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492252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0"/>
        <w:spacing w:after="0" w:line="224" w:lineRule="auto"/>
        <w:rPr>
          <w:sz w:val="20"/>
          <w:szCs w:val="20"/>
          <w:color w:val="auto"/>
        </w:rPr>
      </w:pPr>
      <w:r>
        <w:rPr>
          <w:rFonts w:ascii="Arial" w:cs="Arial" w:eastAsia="Arial" w:hAnsi="Arial"/>
          <w:sz w:val="14"/>
          <w:szCs w:val="14"/>
          <w:color w:val="auto"/>
        </w:rPr>
        <w:t>Net realized and unrealized losses</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22520" cy="2317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922520" cy="231775"/>
                    </a:xfrm>
                    <a:prstGeom prst="rect">
                      <a:avLst/>
                    </a:prstGeom>
                    <a:noFill/>
                  </pic:spPr>
                </pic:pic>
              </a:graphicData>
            </a:graphic>
          </wp:anchor>
        </w:drawing>
      </w:r>
    </w:p>
    <w:p>
      <w:pPr>
        <w:ind w:left="440" w:right="1240" w:hanging="215"/>
        <w:spacing w:after="0" w:line="199" w:lineRule="auto"/>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22"/>
          <w:szCs w:val="22"/>
          <w:color w:val="auto"/>
          <w:vertAlign w:val="superscript"/>
        </w:rPr>
        <w:t>(1)</w:t>
      </w:r>
    </w:p>
    <w:p>
      <w:pPr>
        <w:ind w:left="220"/>
        <w:spacing w:after="0" w:line="225" w:lineRule="auto"/>
        <w:rPr>
          <w:sz w:val="20"/>
          <w:szCs w:val="20"/>
          <w:color w:val="auto"/>
        </w:rPr>
      </w:pPr>
      <w:r>
        <w:rPr>
          <w:rFonts w:ascii="Arial" w:cs="Arial" w:eastAsia="Arial" w:hAnsi="Arial"/>
          <w:sz w:val="14"/>
          <w:szCs w:val="14"/>
          <w:color w:val="auto"/>
        </w:rPr>
        <w:t xml:space="preserve">Dividends and distributions to stockholders </w:t>
      </w:r>
      <w:r>
        <w:rPr>
          <w:rFonts w:ascii="Arial" w:cs="Arial" w:eastAsia="Arial" w:hAnsi="Arial"/>
          <w:sz w:val="22"/>
          <w:szCs w:val="22"/>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2252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4"/>
          <w:szCs w:val="14"/>
          <w:color w:val="auto"/>
        </w:rPr>
        <w:t>Initial issuance of common stock</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Offering Costs</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22520"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Net asset value, end of period</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Per share market value, end of period</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 return</w:t>
      </w:r>
      <w:r>
        <w:rPr>
          <w:rFonts w:ascii="Arial" w:cs="Arial" w:eastAsia="Arial" w:hAnsi="Arial"/>
          <w:sz w:val="22"/>
          <w:szCs w:val="22"/>
          <w:color w:val="auto"/>
          <w:vertAlign w:val="superscript"/>
        </w:rPr>
        <w:t>(3)</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4922520"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Shares outstanding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22520" cy="1371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Ratio/Supplemental Data*:</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Ratio of operating expenses to average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4922520" cy="2317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922520" cy="231775"/>
                    </a:xfrm>
                    <a:prstGeom prst="rect">
                      <a:avLst/>
                    </a:prstGeom>
                    <a:noFill/>
                  </pic:spPr>
                </pic:pic>
              </a:graphicData>
            </a:graphic>
          </wp:anchor>
        </w:drawing>
      </w:r>
    </w:p>
    <w:p>
      <w:pPr>
        <w:spacing w:after="0" w:line="35" w:lineRule="exact"/>
        <w:rPr>
          <w:sz w:val="20"/>
          <w:szCs w:val="20"/>
          <w:color w:val="auto"/>
        </w:rPr>
      </w:pPr>
    </w:p>
    <w:p>
      <w:pPr>
        <w:ind w:left="220" w:right="1300" w:hanging="215"/>
        <w:spacing w:after="0" w:line="218" w:lineRule="auto"/>
        <w:rPr>
          <w:sz w:val="20"/>
          <w:szCs w:val="20"/>
          <w:color w:val="auto"/>
        </w:rPr>
      </w:pPr>
      <w:r>
        <w:rPr>
          <w:rFonts w:ascii="Arial" w:cs="Arial" w:eastAsia="Arial" w:hAnsi="Arial"/>
          <w:sz w:val="14"/>
          <w:szCs w:val="14"/>
          <w:color w:val="auto"/>
        </w:rPr>
        <w:t xml:space="preserve">Ratio of credit facility related expenses to average net assets </w:t>
      </w:r>
      <w:r>
        <w:rPr>
          <w:rFonts w:ascii="Arial" w:cs="Arial" w:eastAsia="Arial" w:hAnsi="Arial"/>
          <w:sz w:val="22"/>
          <w:szCs w:val="22"/>
          <w:color w:val="auto"/>
          <w:vertAlign w:val="superscript"/>
        </w:rPr>
        <w:t>(4)</w:t>
      </w:r>
    </w:p>
    <w:p>
      <w:pPr>
        <w:spacing w:after="0"/>
        <w:rPr>
          <w:sz w:val="20"/>
          <w:szCs w:val="20"/>
          <w:color w:val="auto"/>
        </w:rPr>
      </w:pPr>
      <w:r>
        <w:rPr>
          <w:rFonts w:ascii="Arial" w:cs="Arial" w:eastAsia="Arial" w:hAnsi="Arial"/>
          <w:sz w:val="14"/>
          <w:szCs w:val="14"/>
          <w:color w:val="auto"/>
        </w:rPr>
        <w:t>Total expenses to average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22520"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Ratio of net investment income to average net assets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assets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4922520"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Weighted average debt outstanding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Weighted average debt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4922520" cy="1371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Portfolio turnover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89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660"/>
        <w:spacing w:after="0"/>
        <w:rPr>
          <w:sz w:val="20"/>
          <w:szCs w:val="20"/>
          <w:color w:val="auto"/>
        </w:rPr>
      </w:pPr>
      <w:r>
        <w:rPr>
          <w:rFonts w:ascii="Arial" w:cs="Arial" w:eastAsia="Arial" w:hAnsi="Arial"/>
          <w:sz w:val="12"/>
          <w:szCs w:val="12"/>
          <w:b w:val="1"/>
          <w:bCs w:val="1"/>
          <w:color w:val="auto"/>
        </w:rPr>
        <w:t>For the period March 4, 2011 (commencement</w:t>
      </w:r>
    </w:p>
    <w:p>
      <w:pPr>
        <w:spacing w:after="0" w:line="24" w:lineRule="exact"/>
        <w:rPr>
          <w:sz w:val="20"/>
          <w:szCs w:val="20"/>
          <w:color w:val="auto"/>
        </w:rPr>
      </w:pPr>
    </w:p>
    <w:p>
      <w:pPr>
        <w:jc w:val="center"/>
        <w:ind w:right="3660"/>
        <w:spacing w:after="0"/>
        <w:rPr>
          <w:sz w:val="20"/>
          <w:szCs w:val="20"/>
          <w:color w:val="auto"/>
        </w:rPr>
      </w:pPr>
      <w:r>
        <w:rPr>
          <w:rFonts w:ascii="Arial" w:cs="Arial" w:eastAsia="Arial" w:hAnsi="Arial"/>
          <w:sz w:val="14"/>
          <w:szCs w:val="14"/>
          <w:b w:val="1"/>
          <w:bCs w:val="1"/>
          <w:color w:val="auto"/>
        </w:rPr>
        <w:t>of operations) to September 30, 2011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60" w:type="dxa"/>
            <w:vAlign w:val="bottom"/>
          </w:tcPr>
          <w:p>
            <w:pPr>
              <w:jc w:val="right"/>
              <w:ind w:right="949"/>
              <w:spacing w:after="0"/>
              <w:rPr>
                <w:sz w:val="20"/>
                <w:szCs w:val="20"/>
                <w:color w:val="auto"/>
              </w:rPr>
            </w:pPr>
            <w:r>
              <w:rPr>
                <w:rFonts w:ascii="Arial" w:cs="Arial" w:eastAsia="Arial" w:hAnsi="Arial"/>
                <w:sz w:val="10"/>
                <w:szCs w:val="10"/>
                <w:color w:val="auto"/>
                <w:w w:val="71"/>
              </w:rPr>
              <w:t>$</w:t>
            </w:r>
          </w:p>
        </w:tc>
        <w:tc>
          <w:tcPr>
            <w:tcW w:w="1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16"/>
        </w:trPr>
        <w:tc>
          <w:tcPr>
            <w:tcW w:w="10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8"/>
                <w:szCs w:val="18"/>
                <w:color w:val="auto"/>
              </w:rPr>
            </w:pPr>
          </w:p>
        </w:tc>
      </w:tr>
      <w:tr>
        <w:trPr>
          <w:trHeight w:val="176"/>
        </w:trPr>
        <w:tc>
          <w:tcPr>
            <w:tcW w:w="1060" w:type="dxa"/>
            <w:vAlign w:val="bottom"/>
          </w:tcPr>
          <w:p>
            <w:pPr>
              <w:spacing w:after="0"/>
              <w:rPr>
                <w:sz w:val="15"/>
                <w:szCs w:val="15"/>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4"/>
                <w:szCs w:val="14"/>
                <w:color w:val="auto"/>
              </w:rPr>
              <w:t>(0.56)</w:t>
            </w:r>
          </w:p>
        </w:tc>
      </w:tr>
      <w:tr>
        <w:trPr>
          <w:trHeight w:val="20"/>
        </w:trPr>
        <w:tc>
          <w:tcPr>
            <w:tcW w:w="10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1060" w:type="dxa"/>
            <w:vAlign w:val="bottom"/>
          </w:tcPr>
          <w:p>
            <w:pPr>
              <w:spacing w:after="0"/>
              <w:rPr>
                <w:sz w:val="24"/>
                <w:szCs w:val="24"/>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4"/>
                <w:szCs w:val="14"/>
                <w:color w:val="auto"/>
              </w:rPr>
              <w:t>(0.51)</w:t>
            </w:r>
          </w:p>
        </w:tc>
      </w:tr>
      <w:tr>
        <w:trPr>
          <w:trHeight w:val="216"/>
        </w:trPr>
        <w:tc>
          <w:tcPr>
            <w:tcW w:w="106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4"/>
                <w:szCs w:val="14"/>
                <w:color w:val="auto"/>
              </w:rPr>
              <w:t>(0.25)</w:t>
            </w:r>
          </w:p>
        </w:tc>
      </w:tr>
      <w:tr>
        <w:trPr>
          <w:trHeight w:val="216"/>
        </w:trPr>
        <w:tc>
          <w:tcPr>
            <w:tcW w:w="10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18"/>
                <w:szCs w:val="18"/>
                <w:color w:val="auto"/>
              </w:rPr>
            </w:pPr>
          </w:p>
        </w:tc>
      </w:tr>
      <w:tr>
        <w:trPr>
          <w:trHeight w:val="176"/>
        </w:trPr>
        <w:tc>
          <w:tcPr>
            <w:tcW w:w="1060" w:type="dxa"/>
            <w:vAlign w:val="bottom"/>
          </w:tcPr>
          <w:p>
            <w:pPr>
              <w:spacing w:after="0"/>
              <w:rPr>
                <w:sz w:val="15"/>
                <w:szCs w:val="15"/>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4"/>
                <w:szCs w:val="14"/>
                <w:color w:val="auto"/>
              </w:rPr>
              <w:t>(0.80)</w:t>
            </w:r>
          </w:p>
        </w:tc>
      </w:tr>
      <w:tr>
        <w:trPr>
          <w:trHeight w:val="236"/>
        </w:trPr>
        <w:tc>
          <w:tcPr>
            <w:tcW w:w="1060" w:type="dxa"/>
            <w:vAlign w:val="bottom"/>
            <w:tcBorders>
              <w:top w:val="single" w:sz="8" w:color="auto"/>
            </w:tcBorders>
          </w:tcPr>
          <w:p>
            <w:pPr>
              <w:jc w:val="right"/>
              <w:ind w:right="949"/>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13.44</w:t>
            </w:r>
          </w:p>
        </w:tc>
        <w:tc>
          <w:tcPr>
            <w:tcW w:w="100" w:type="dxa"/>
            <w:vAlign w:val="bottom"/>
          </w:tcPr>
          <w:p>
            <w:pPr>
              <w:spacing w:after="0"/>
              <w:rPr>
                <w:sz w:val="20"/>
                <w:szCs w:val="20"/>
                <w:color w:val="auto"/>
              </w:rPr>
            </w:pPr>
          </w:p>
        </w:tc>
      </w:tr>
      <w:tr>
        <w:trPr>
          <w:trHeight w:val="216"/>
        </w:trPr>
        <w:tc>
          <w:tcPr>
            <w:tcW w:w="1060" w:type="dxa"/>
            <w:vAlign w:val="bottom"/>
          </w:tcPr>
          <w:p>
            <w:pPr>
              <w:jc w:val="right"/>
              <w:ind w:right="949"/>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10.55</w:t>
            </w:r>
          </w:p>
        </w:tc>
        <w:tc>
          <w:tcPr>
            <w:tcW w:w="10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28.13%</w:t>
            </w:r>
          </w:p>
        </w:tc>
      </w:tr>
      <w:tr>
        <w:trPr>
          <w:trHeight w:val="216"/>
        </w:trPr>
        <w:tc>
          <w:tcPr>
            <w:tcW w:w="10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6,850,667</w:t>
            </w:r>
          </w:p>
        </w:tc>
        <w:tc>
          <w:tcPr>
            <w:tcW w:w="100" w:type="dxa"/>
            <w:vAlign w:val="bottom"/>
          </w:tcPr>
          <w:p>
            <w:pPr>
              <w:spacing w:after="0"/>
              <w:rPr>
                <w:sz w:val="18"/>
                <w:szCs w:val="18"/>
                <w:color w:val="auto"/>
              </w:rPr>
            </w:pPr>
          </w:p>
        </w:tc>
      </w:tr>
      <w:tr>
        <w:trPr>
          <w:trHeight w:val="432"/>
        </w:trPr>
        <w:tc>
          <w:tcPr>
            <w:tcW w:w="106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1.16%</w:t>
            </w:r>
          </w:p>
        </w:tc>
      </w:tr>
      <w:tr>
        <w:trPr>
          <w:trHeight w:val="365"/>
        </w:trPr>
        <w:tc>
          <w:tcPr>
            <w:tcW w:w="106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1.61%</w:t>
            </w:r>
          </w:p>
        </w:tc>
      </w:tr>
      <w:tr>
        <w:trPr>
          <w:trHeight w:val="216"/>
        </w:trPr>
        <w:tc>
          <w:tcPr>
            <w:tcW w:w="10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2.77%</w:t>
            </w:r>
          </w:p>
        </w:tc>
      </w:tr>
      <w:tr>
        <w:trPr>
          <w:trHeight w:val="216"/>
        </w:trPr>
        <w:tc>
          <w:tcPr>
            <w:tcW w:w="10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0.34%</w:t>
            </w:r>
          </w:p>
        </w:tc>
      </w:tr>
      <w:tr>
        <w:trPr>
          <w:trHeight w:val="216"/>
        </w:trPr>
        <w:tc>
          <w:tcPr>
            <w:tcW w:w="1060" w:type="dxa"/>
            <w:vAlign w:val="bottom"/>
          </w:tcPr>
          <w:p>
            <w:pPr>
              <w:jc w:val="right"/>
              <w:ind w:right="949"/>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92,072,105</w:t>
            </w:r>
          </w:p>
        </w:tc>
        <w:tc>
          <w:tcPr>
            <w:tcW w:w="100" w:type="dxa"/>
            <w:vAlign w:val="bottom"/>
          </w:tcPr>
          <w:p>
            <w:pPr>
              <w:spacing w:after="0"/>
              <w:rPr>
                <w:sz w:val="18"/>
                <w:szCs w:val="18"/>
                <w:color w:val="auto"/>
              </w:rPr>
            </w:pPr>
          </w:p>
        </w:tc>
      </w:tr>
      <w:tr>
        <w:trPr>
          <w:trHeight w:val="216"/>
        </w:trPr>
        <w:tc>
          <w:tcPr>
            <w:tcW w:w="1060" w:type="dxa"/>
            <w:vAlign w:val="bottom"/>
          </w:tcPr>
          <w:p>
            <w:pPr>
              <w:jc w:val="right"/>
              <w:ind w:right="949"/>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7,550,877</w:t>
            </w:r>
          </w:p>
        </w:tc>
        <w:tc>
          <w:tcPr>
            <w:tcW w:w="100" w:type="dxa"/>
            <w:vAlign w:val="bottom"/>
          </w:tcPr>
          <w:p>
            <w:pPr>
              <w:spacing w:after="0"/>
              <w:rPr>
                <w:sz w:val="18"/>
                <w:szCs w:val="18"/>
                <w:color w:val="auto"/>
              </w:rPr>
            </w:pPr>
          </w:p>
        </w:tc>
      </w:tr>
      <w:tr>
        <w:trPr>
          <w:trHeight w:val="216"/>
        </w:trPr>
        <w:tc>
          <w:tcPr>
            <w:tcW w:w="1060" w:type="dxa"/>
            <w:vAlign w:val="bottom"/>
          </w:tcPr>
          <w:p>
            <w:pPr>
              <w:jc w:val="right"/>
              <w:ind w:right="949"/>
              <w:spacing w:after="0"/>
              <w:rPr>
                <w:sz w:val="20"/>
                <w:szCs w:val="20"/>
                <w:color w:val="auto"/>
              </w:rPr>
            </w:pPr>
            <w:r>
              <w:rPr>
                <w:rFonts w:ascii="Arial" w:cs="Arial" w:eastAsia="Arial" w:hAnsi="Arial"/>
                <w:sz w:val="10"/>
                <w:szCs w:val="10"/>
                <w:color w:val="auto"/>
                <w:w w:val="71"/>
              </w:rPr>
              <w:t>$</w:t>
            </w:r>
          </w:p>
        </w:tc>
        <w:tc>
          <w:tcPr>
            <w:tcW w:w="1720" w:type="dxa"/>
            <w:vAlign w:val="bottom"/>
            <w:gridSpan w:val="2"/>
          </w:tcPr>
          <w:p>
            <w:pPr>
              <w:jc w:val="right"/>
              <w:ind w:right="100"/>
              <w:spacing w:after="0"/>
              <w:rPr>
                <w:sz w:val="20"/>
                <w:szCs w:val="20"/>
                <w:color w:val="auto"/>
              </w:rPr>
            </w:pPr>
            <w:r>
              <w:rPr>
                <w:rFonts w:ascii="Arial" w:cs="Arial" w:eastAsia="Arial" w:hAnsi="Arial"/>
                <w:sz w:val="14"/>
                <w:szCs w:val="14"/>
                <w:color w:val="auto"/>
              </w:rPr>
              <w:t>1.11</w:t>
            </w:r>
          </w:p>
        </w:tc>
      </w:tr>
      <w:tr>
        <w:trPr>
          <w:trHeight w:val="216"/>
        </w:trPr>
        <w:tc>
          <w:tcPr>
            <w:tcW w:w="10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37.53%</w:t>
            </w:r>
          </w:p>
        </w:tc>
      </w:tr>
    </w:tbl>
    <w:p>
      <w:pPr>
        <w:spacing w:after="0" w:line="124" w:lineRule="exact"/>
        <w:rPr>
          <w:sz w:val="20"/>
          <w:szCs w:val="20"/>
          <w:color w:val="auto"/>
        </w:rPr>
      </w:pPr>
    </w:p>
    <w:p>
      <w:pPr>
        <w:sectPr>
          <w:pgSz w:w="11900" w:h="16838" w:orient="portrait"/>
          <w:cols w:equalWidth="0" w:num="2">
            <w:col w:w="4220" w:space="720"/>
            <w:col w:w="6320"/>
          </w:cols>
          <w:pgMar w:left="240" w:top="459" w:right="399" w:bottom="1440" w:gutter="0" w:footer="0" w:header="0"/>
          <w:type w:val="continuous"/>
        </w:sectPr>
      </w:pPr>
    </w:p>
    <w:p>
      <w:pPr>
        <w:ind w:left="500" w:hanging="492"/>
        <w:spacing w:after="0"/>
        <w:tabs>
          <w:tab w:leader="none" w:pos="5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Not annualized for a period of less than a year.</w:t>
      </w:r>
    </w:p>
    <w:p>
      <w:pPr>
        <w:ind w:left="500" w:hanging="492"/>
        <w:spacing w:after="0" w:line="221" w:lineRule="auto"/>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both recurring and non-recurring expenses such as debt issuance costs and organizational expenses.</w:t>
      </w:r>
    </w:p>
    <w:p>
      <w:pPr>
        <w:ind w:left="500" w:hanging="492"/>
        <w:spacing w:after="0" w:line="221" w:lineRule="auto"/>
        <w:tabs>
          <w:tab w:leader="none" w:pos="5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Per share data are calculated based on the weighted average shares outstanding from the initial public offering date of March 4, 2011 to September 30, 2011.</w:t>
      </w:r>
    </w:p>
    <w:p>
      <w:pPr>
        <w:ind w:left="500" w:hanging="492"/>
        <w:spacing w:after="0"/>
        <w:tabs>
          <w:tab w:leader="none" w:pos="500" w:val="left"/>
        </w:tabs>
        <w:numPr>
          <w:ilvl w:val="0"/>
          <w:numId w:val="84"/>
        </w:numPr>
        <w:rPr>
          <w:rFonts w:ascii="Arial" w:cs="Arial" w:eastAsia="Arial" w:hAnsi="Arial"/>
          <w:sz w:val="12"/>
          <w:szCs w:val="12"/>
          <w:color w:val="auto"/>
        </w:rPr>
      </w:pPr>
      <w:r>
        <w:rPr>
          <w:rFonts w:ascii="Arial" w:cs="Arial" w:eastAsia="Arial" w:hAnsi="Arial"/>
          <w:sz w:val="12"/>
          <w:szCs w:val="12"/>
          <w:color w:val="auto"/>
        </w:rPr>
        <w:t>Distributions are determined based on taxable income calculated in accordance with income tax regulations which may differ from amounts determined under GAAP.</w:t>
      </w:r>
    </w:p>
    <w:p>
      <w:pPr>
        <w:spacing w:after="0" w:line="10" w:lineRule="exact"/>
        <w:rPr>
          <w:rFonts w:ascii="Arial" w:cs="Arial" w:eastAsia="Arial" w:hAnsi="Arial"/>
          <w:sz w:val="12"/>
          <w:szCs w:val="12"/>
          <w:color w:val="auto"/>
        </w:rPr>
      </w:pPr>
    </w:p>
    <w:p>
      <w:pPr>
        <w:ind w:left="500" w:hanging="492"/>
        <w:spacing w:after="0"/>
        <w:tabs>
          <w:tab w:leader="none" w:pos="50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Total return is based on the change in market price per share during the period and takes into account distributions, if any, reinvested in accordance with our dividend reinvestment plan.</w:t>
      </w:r>
    </w:p>
    <w:p>
      <w:pPr>
        <w:spacing w:after="0" w:line="10" w:lineRule="exact"/>
        <w:rPr>
          <w:rFonts w:ascii="Arial" w:cs="Arial" w:eastAsia="Arial" w:hAnsi="Arial"/>
          <w:sz w:val="12"/>
          <w:szCs w:val="12"/>
          <w:color w:val="auto"/>
        </w:rPr>
      </w:pPr>
    </w:p>
    <w:p>
      <w:pPr>
        <w:ind w:left="500" w:hanging="492"/>
        <w:spacing w:after="0"/>
        <w:tabs>
          <w:tab w:leader="none" w:pos="5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Excluding debt issuance cost the ratio would be 0.16%.</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F-20</w:t>
      </w:r>
    </w:p>
    <w:p>
      <w:pPr>
        <w:sectPr>
          <w:pgSz w:w="11900" w:h="16838" w:orient="portrait"/>
          <w:cols w:equalWidth="0" w:num="1">
            <w:col w:w="11260"/>
          </w:cols>
          <w:pgMar w:left="240" w:top="459" w:right="39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CREDIT FACILITY</w:t>
      </w:r>
    </w:p>
    <w:p>
      <w:pPr>
        <w:spacing w:after="0" w:line="71" w:lineRule="exact"/>
        <w:rPr>
          <w:sz w:val="20"/>
          <w:szCs w:val="20"/>
          <w:color w:val="auto"/>
        </w:rPr>
      </w:pPr>
    </w:p>
    <w:p>
      <w:pPr>
        <w:ind w:right="340" w:firstLine="456"/>
        <w:spacing w:after="0" w:line="230" w:lineRule="auto"/>
        <w:rPr>
          <w:sz w:val="20"/>
          <w:szCs w:val="20"/>
          <w:color w:val="auto"/>
        </w:rPr>
      </w:pPr>
      <w:r>
        <w:rPr>
          <w:rFonts w:ascii="Arial" w:cs="Arial" w:eastAsia="Arial" w:hAnsi="Arial"/>
          <w:sz w:val="14"/>
          <w:szCs w:val="14"/>
          <w:color w:val="auto"/>
        </w:rPr>
        <w:t>On June 23, 2011, Funding I entered into a five-year senior secured revolving credit facility with the Lender, an asset-backed commercial paper conduit administered by STRH. The Credit Facility allows Funding I to borrow up to $100.0 million and contains an accordion feature whereby the Credit Facility can be expanded to $600.0 million, subject to satisfaction of certain conditions. As of September 30, 2011, Funding I had $24.7 million of outstanding borrowings under the Credit Facility, carried an interest rate of 2.53% excluding the 0.50% undrawn commitment fee and had $75.3 million available subject to restrictions and covenants.</w:t>
      </w:r>
    </w:p>
    <w:p>
      <w:pPr>
        <w:spacing w:after="0" w:line="139"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During the Credit Facility’s first three years, or the revolving period, it bears interest at the LIBOR plus 225 basis points, and after the revolving period, the rate sets to LIBOR plus 425 basis points for the remaining or two years. The Credit Facility is secured by all of the assets held by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1"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The Credit Facility, as amended, contains covenants including but not limited to restrictions of loan size, industry requirements, average life of loans, geographic and individual portfolio concentrations, minimum portfolio yield and loan payment frequency. For example, we must maintain a weighted average loan life of no more than 6 years and cannot have more than 10% of Funding I’s assets in a single portfolio company.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Any violations of these and other covenants could result in the early amortization of the Credit Facility and further limit advances available under it. For a complete list of such covenants, see our report on Form 8-K, filed June 29, 2011.</w:t>
      </w:r>
    </w:p>
    <w:p>
      <w:pPr>
        <w:spacing w:after="0" w:line="120"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color w:val="auto"/>
        </w:rPr>
        <w:t>In accordance with the 1940 Act, with certain limited exceptions, the Company is only allowed to borrow amounts such that its asset coverage, as defined in the 1940 Act, is at least 200% after such borrowing. As of September 30, 2011 our asset coverage for borrowed amounts was 474%.</w:t>
      </w:r>
    </w:p>
    <w:p>
      <w:pPr>
        <w:spacing w:after="0" w:line="139"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w:t>
      </w:r>
    </w:p>
    <w:p>
      <w:pPr>
        <w:spacing w:after="0" w:line="139"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We own 100% of the equity interest in Funding I and will treat the indebtedness of Funding I as our leverage. We also transfered certain loans and debt securities we originated or acquired and may do so again , to Funding I through a Purchase and Contribution Agreement. Funding I may and has originated or acquired loans, consistent with PenantPark Floating Rate Capital Ltd.’s investment objectives. The structure of the financing, including organizing Funding I as a special purpose, bankruptcy-remote entity and selling assets from PennantPark Floating Rate Capital Ltd. to Funding I renders such assets generally unavailable to creditors of PennantPark Floating Rate Capital Ltd. and is intended to protect the Lender from credit and bankruptcy risks.</w:t>
      </w:r>
    </w:p>
    <w:p>
      <w:pPr>
        <w:spacing w:after="0" w:line="117"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Our interest in Funding I (other than the management fees that the Investment Adviser has irrevocably directed to be paid to us) is subordinate in priority of payment to every other obligation of Funding I, and are subject to certain payment restrictions set forth in the Credit Facility.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39" w:lineRule="exact"/>
        <w:rPr>
          <w:sz w:val="20"/>
          <w:szCs w:val="20"/>
          <w:color w:val="auto"/>
        </w:rPr>
      </w:pPr>
    </w:p>
    <w:p>
      <w:pPr>
        <w:ind w:right="240" w:firstLine="456"/>
        <w:spacing w:after="0" w:line="233" w:lineRule="auto"/>
        <w:rPr>
          <w:sz w:val="20"/>
          <w:szCs w:val="20"/>
          <w:color w:val="auto"/>
        </w:rPr>
      </w:pPr>
      <w:r>
        <w:rPr>
          <w:rFonts w:ascii="Arial" w:cs="Arial" w:eastAsia="Arial" w:hAnsi="Arial"/>
          <w:sz w:val="14"/>
          <w:szCs w:val="14"/>
          <w:color w:val="auto"/>
        </w:rPr>
        <w:t>Our equity interest in Funding I is subordinate to the secured and unsecured creditors, known or unknown, of Funding I including the Lender. Consequently, to the extent that the value of Funding I’s portfolio of loan investments is reduced as a result of conditions in the credit markets, defaulted loans, capital losses in excess of gains on the underlying assets, prepayments or changes in interest rates, the return on our investment in Funding I could be reduced. Accordingly, our investment in Funding I is subject to loss of principal.</w:t>
      </w:r>
    </w:p>
    <w:p>
      <w:pPr>
        <w:spacing w:after="0" w:line="139"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In the event that we fail to receive cash from Funding I, we could be unable to make distributions to our stockholders in amounts sufficient to maintain our status as a RIC, or at all. We also could be forced to sell investments in portfolio companies at less than their fair value in order to continue making such distributions.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7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From time to time, PennantPark Floating Rate Capital Ltd.,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subordinated debt investments.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38" w:lineRule="exact"/>
        <w:rPr>
          <w:sz w:val="20"/>
          <w:szCs w:val="20"/>
          <w:color w:val="auto"/>
        </w:rPr>
      </w:pPr>
    </w:p>
    <w:p>
      <w:pPr>
        <w:ind w:right="180" w:firstLine="799"/>
        <w:spacing w:after="0" w:line="288" w:lineRule="auto"/>
        <w:rPr>
          <w:sz w:val="20"/>
          <w:szCs w:val="20"/>
          <w:color w:val="auto"/>
        </w:rPr>
      </w:pPr>
      <w:r>
        <w:rPr>
          <w:rFonts w:ascii="Arial" w:cs="Arial" w:eastAsia="Arial" w:hAnsi="Arial"/>
          <w:sz w:val="12"/>
          <w:szCs w:val="12"/>
          <w:color w:val="auto"/>
        </w:rPr>
        <w:t>We have reviewed the accompanying consolidated statement of assets and liabilities of PennantPark Floating Rate Capital Ltd. and its Subsidiary (collectively referred to as the “Company”), including the consolidated schedules of investments, as of March 31, 2012, the consolidated statements of operations for the three and six months ended March 31, 2012, and the changes in net assets and cash flows for the six months ended March 31, 2012. These interim consolidated financial statements are the responsibility of the Company’s management.</w:t>
      </w:r>
    </w:p>
    <w:p>
      <w:pPr>
        <w:spacing w:after="0" w:line="111" w:lineRule="exact"/>
        <w:rPr>
          <w:sz w:val="20"/>
          <w:szCs w:val="20"/>
          <w:color w:val="auto"/>
        </w:rPr>
      </w:pPr>
    </w:p>
    <w:p>
      <w:pPr>
        <w:ind w:right="40" w:firstLine="799"/>
        <w:spacing w:after="0" w:line="230" w:lineRule="auto"/>
        <w:rPr>
          <w:sz w:val="20"/>
          <w:szCs w:val="20"/>
          <w:color w:val="auto"/>
        </w:rPr>
      </w:pPr>
      <w:r>
        <w:rPr>
          <w:rFonts w:ascii="Arial" w:cs="Arial" w:eastAsia="Arial" w:hAnsi="Arial"/>
          <w:sz w:val="14"/>
          <w:szCs w:val="14"/>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consolidated financial statements taken as a whole. Accordingly, we do not express such an opinion.</w:t>
      </w:r>
    </w:p>
    <w:p>
      <w:pPr>
        <w:spacing w:after="0" w:line="139" w:lineRule="exact"/>
        <w:rPr>
          <w:sz w:val="20"/>
          <w:szCs w:val="20"/>
          <w:color w:val="auto"/>
        </w:rPr>
      </w:pPr>
    </w:p>
    <w:p>
      <w:pPr>
        <w:jc w:val="both"/>
        <w:ind w:firstLine="799"/>
        <w:spacing w:after="0" w:line="239" w:lineRule="auto"/>
        <w:rPr>
          <w:sz w:val="20"/>
          <w:szCs w:val="20"/>
          <w:color w:val="auto"/>
        </w:rPr>
      </w:pPr>
      <w:r>
        <w:rPr>
          <w:rFonts w:ascii="Arial" w:cs="Arial" w:eastAsia="Arial" w:hAnsi="Arial"/>
          <w:sz w:val="14"/>
          <w:szCs w:val="14"/>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9" w:lineRule="exact"/>
        <w:rPr>
          <w:sz w:val="20"/>
          <w:szCs w:val="20"/>
          <w:color w:val="auto"/>
        </w:rPr>
      </w:pPr>
    </w:p>
    <w:p>
      <w:pPr>
        <w:jc w:val="both"/>
        <w:ind w:right="20" w:firstLine="799"/>
        <w:spacing w:after="0" w:line="288" w:lineRule="auto"/>
        <w:rPr>
          <w:sz w:val="20"/>
          <w:szCs w:val="20"/>
          <w:color w:val="auto"/>
        </w:rPr>
      </w:pPr>
      <w:r>
        <w:rPr>
          <w:rFonts w:ascii="Arial" w:cs="Arial" w:eastAsia="Arial" w:hAnsi="Arial"/>
          <w:sz w:val="12"/>
          <w:szCs w:val="12"/>
          <w:color w:val="auto"/>
        </w:rPr>
        <w:t>We have previously audited, in accordance with standards of the Public Company Accounting Oversight Board (United States), the consolidated statement of assets and liabilities of the Company, including the consolidated schedule of investments, as of September 30, 2011, and the consolidated statement of operations, changes in net assets, and cash flows for the period March 4, 2011 (commencement of operations) to September 30, 2011; and in our report dated November 17, 2011, we expressed an unqualified opinion on those consolidated financial statements and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146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80" cy="14605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 2012</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3"/>
              </w:rPr>
              <w:t>2012</w:t>
            </w:r>
          </w:p>
        </w:tc>
        <w:tc>
          <w:tcPr>
            <w:tcW w:w="320" w:type="dxa"/>
            <w:vAlign w:val="bottom"/>
          </w:tcPr>
          <w:p>
            <w:pPr>
              <w:spacing w:after="0"/>
              <w:rPr>
                <w:sz w:val="12"/>
                <w:szCs w:val="12"/>
                <w:color w:val="auto"/>
              </w:rPr>
            </w:pP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14"/>
                <w:szCs w:val="14"/>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(cost—$146,227,958 and $114,829,621,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146,188,132</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110,724,241</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Cash equivalents (See Note 7)</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3,849,360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6,987,450</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1,085,930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732,695</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2,467,500</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163,374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151,174,164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121,075,260</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Distributions payable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513,800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479,547</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990,000</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Unfunded investments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2,161,880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2,323,250</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(cost—$47,800,000 and $24,650,000, respectively, See Notes 5 and 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47,561,000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24,650,000</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342,495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150,246</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266,432</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Performance-based incentive fees payable (See Note 3)</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175,740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386,592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143,680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54,451,859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29,003,155</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Common stock, 6,850,667 shares are issued and outstanding.</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9040" w:type="dxa"/>
            <w:vAlign w:val="bottom"/>
            <w:gridSpan w:val="2"/>
          </w:tcPr>
          <w:p>
            <w:pPr>
              <w:spacing w:after="0"/>
              <w:rPr>
                <w:sz w:val="20"/>
                <w:szCs w:val="20"/>
                <w:color w:val="auto"/>
              </w:rPr>
            </w:pPr>
            <w:r>
              <w:rPr>
                <w:rFonts w:ascii="Arial" w:cs="Arial" w:eastAsia="Arial" w:hAnsi="Arial"/>
                <w:sz w:val="18"/>
                <w:szCs w:val="18"/>
                <w:color w:val="auto"/>
              </w:rPr>
              <w:t>Par value $0.001 per share and 100,000,000 shares authorized.</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6,851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6,851</w:t>
            </w:r>
          </w:p>
        </w:tc>
      </w:tr>
      <w:tr>
        <w:trPr>
          <w:trHeight w:val="218"/>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97,251,174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97,251,174</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Distributions in excess of net investment income</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(1,452,769)</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(1,392,528)</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gain on investments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311,988</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(39,826)</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(4,105,380)</w:t>
            </w: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96,722,305</w:t>
            </w:r>
          </w:p>
        </w:tc>
        <w:tc>
          <w:tcPr>
            <w:tcW w:w="3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92,072,105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151,174,164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121,075,260</w:t>
            </w:r>
          </w:p>
        </w:tc>
        <w:tc>
          <w:tcPr>
            <w:tcW w:w="100" w:type="dxa"/>
            <w:vAlign w:val="bottom"/>
            <w:shd w:val="clear" w:color="auto" w:fill="CCEEFF"/>
          </w:tcPr>
          <w:p>
            <w:pPr>
              <w:spacing w:after="0"/>
              <w:rPr>
                <w:sz w:val="18"/>
                <w:szCs w:val="18"/>
                <w:color w:val="auto"/>
              </w:rPr>
            </w:pPr>
          </w:p>
        </w:tc>
      </w:tr>
      <w:tr>
        <w:trPr>
          <w:trHeight w:val="222"/>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14.12</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13.44</w:t>
            </w: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STATEMENT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2"/>
              </w:rPr>
              <w:t>March 31, 2012</w:t>
            </w:r>
          </w:p>
        </w:tc>
        <w:tc>
          <w:tcPr>
            <w:tcW w:w="8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2,943,730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370,352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Performance-base incentive fees payable (Note 3)</w:t>
            </w:r>
          </w:p>
        </w:tc>
        <w:tc>
          <w:tcPr>
            <w:tcW w:w="120" w:type="dxa"/>
            <w:vAlign w:val="bottom"/>
          </w:tcPr>
          <w:p>
            <w:pPr>
              <w:spacing w:after="0"/>
              <w:rPr>
                <w:sz w:val="18"/>
                <w:szCs w:val="18"/>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175,740</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(See Note 9)</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342,496</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20" w:type="dxa"/>
            <w:vAlign w:val="bottom"/>
          </w:tcPr>
          <w:p>
            <w:pPr>
              <w:spacing w:after="0"/>
              <w:rPr>
                <w:sz w:val="18"/>
                <w:szCs w:val="18"/>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149,624</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360,618</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1,398,830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2,490,959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1,544,900</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on investments and Credit Facility:</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non-controlled, non-affiliated investments</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95,712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change in unrealized depreciation on: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2,996,463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Credit Facility (appreciation) depreciation (See Note 5)</w:t>
            </w:r>
          </w:p>
        </w:tc>
        <w:tc>
          <w:tcPr>
            <w:tcW w:w="120" w:type="dxa"/>
            <w:vAlign w:val="bottom"/>
          </w:tcPr>
          <w:p>
            <w:pPr>
              <w:spacing w:after="0"/>
              <w:rPr>
                <w:sz w:val="18"/>
                <w:szCs w:val="18"/>
                <w:color w:val="auto"/>
              </w:rPr>
            </w:pPr>
          </w:p>
        </w:tc>
        <w:tc>
          <w:tcPr>
            <w:tcW w:w="1820" w:type="dxa"/>
            <w:vAlign w:val="bottom"/>
            <w:gridSpan w:val="2"/>
          </w:tcPr>
          <w:p>
            <w:pPr>
              <w:jc w:val="right"/>
              <w:ind w:right="660"/>
              <w:spacing w:after="0"/>
              <w:rPr>
                <w:sz w:val="20"/>
                <w:szCs w:val="20"/>
                <w:color w:val="auto"/>
              </w:rPr>
            </w:pPr>
            <w:r>
              <w:rPr>
                <w:rFonts w:ascii="Arial" w:cs="Arial" w:eastAsia="Arial" w:hAnsi="Arial"/>
                <w:sz w:val="18"/>
                <w:szCs w:val="18"/>
                <w:color w:val="auto"/>
              </w:rPr>
              <w:t>(112,000)</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change in unrealized depreciation on investments and Credit Facility</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2,884,463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realized and unrealized gain from investments and Credit Facility</w:t>
            </w: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2,980,175</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4,710,441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4,525,075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Net increase in net assets resulting from operations per common share (See Note 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0.66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jc w:val="center"/>
              <w:ind w:left="2276"/>
              <w:spacing w:after="0"/>
              <w:rPr>
                <w:sz w:val="20"/>
                <w:szCs w:val="20"/>
                <w:color w:val="auto"/>
              </w:rPr>
            </w:pPr>
            <w:r>
              <w:rPr>
                <w:rFonts w:ascii="Arial" w:cs="Arial" w:eastAsia="Arial" w:hAnsi="Arial"/>
                <w:sz w:val="14"/>
                <w:szCs w:val="14"/>
                <w:b w:val="1"/>
                <w:bCs w:val="1"/>
                <w:color w:val="auto"/>
                <w:w w:val="96"/>
              </w:rPr>
              <w:t>PENNANTPARK FLOATING RATE CAPITAL LTD. AND SUBSIDIARY</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040" w:type="dxa"/>
            <w:vAlign w:val="bottom"/>
          </w:tcPr>
          <w:p>
            <w:pPr>
              <w:jc w:val="center"/>
              <w:ind w:left="2256"/>
              <w:spacing w:after="0" w:line="149" w:lineRule="exact"/>
              <w:rPr>
                <w:sz w:val="20"/>
                <w:szCs w:val="20"/>
                <w:color w:val="auto"/>
              </w:rPr>
            </w:pPr>
            <w:r>
              <w:rPr>
                <w:rFonts w:ascii="Arial" w:cs="Arial" w:eastAsia="Arial" w:hAnsi="Arial"/>
                <w:sz w:val="14"/>
                <w:szCs w:val="14"/>
                <w:b w:val="1"/>
                <w:bCs w:val="1"/>
                <w:color w:val="auto"/>
                <w:w w:val="95"/>
              </w:rPr>
              <w:t>CONSOLIDATED STATEMENT OF CHANGES IN NET ASSETS</w:t>
            </w: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9040" w:type="dxa"/>
            <w:vAlign w:val="bottom"/>
          </w:tcPr>
          <w:p>
            <w:pPr>
              <w:jc w:val="center"/>
              <w:ind w:left="2256"/>
              <w:spacing w:after="0"/>
              <w:rPr>
                <w:sz w:val="20"/>
                <w:szCs w:val="20"/>
                <w:color w:val="auto"/>
              </w:rPr>
            </w:pPr>
            <w:r>
              <w:rPr>
                <w:rFonts w:ascii="Arial" w:cs="Arial" w:eastAsia="Arial" w:hAnsi="Arial"/>
                <w:sz w:val="14"/>
                <w:szCs w:val="14"/>
                <w:b w:val="1"/>
                <w:bCs w:val="1"/>
                <w:color w:val="auto"/>
                <w:w w:val="89"/>
              </w:rPr>
              <w:t>(Unaudited)</w:t>
            </w: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690"/>
        </w:trPr>
        <w:tc>
          <w:tcPr>
            <w:tcW w:w="2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5"/>
              </w:rPr>
              <w:t>Six Months Ended</w:t>
            </w:r>
          </w:p>
        </w:tc>
      </w:t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March 31, 2012</w:t>
            </w:r>
          </w:p>
        </w:tc>
      </w:tr>
      <w:tr>
        <w:trPr>
          <w:trHeight w:val="196"/>
        </w:trPr>
        <w:tc>
          <w:tcPr>
            <w:tcW w:w="20" w:type="dxa"/>
            <w:vAlign w:val="bottom"/>
          </w:tcPr>
          <w:p>
            <w:pPr>
              <w:spacing w:after="0"/>
              <w:rPr>
                <w:sz w:val="17"/>
                <w:szCs w:val="17"/>
                <w:color w:val="auto"/>
              </w:rPr>
            </w:pPr>
          </w:p>
        </w:tc>
        <w:tc>
          <w:tcPr>
            <w:tcW w:w="9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resulting from operations:</w:t>
            </w:r>
          </w:p>
        </w:tc>
        <w:tc>
          <w:tcPr>
            <w:tcW w:w="1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3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2,919,799</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 on investments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405,887</w:t>
            </w: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Net change in unrealized depreciation on investments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4,065,554</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depreciation on Credit Facility</w:t>
            </w:r>
          </w:p>
        </w:tc>
        <w:tc>
          <w:tcPr>
            <w:tcW w:w="1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7,630,240</w:t>
            </w: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(2,980,040)</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in net assets</w:t>
            </w:r>
          </w:p>
        </w:tc>
        <w:tc>
          <w:tcPr>
            <w:tcW w:w="11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4,650,200</w:t>
            </w:r>
          </w:p>
        </w:tc>
        <w:tc>
          <w:tcPr>
            <w:tcW w:w="100" w:type="dxa"/>
            <w:vAlign w:val="bottom"/>
            <w:shd w:val="clear" w:color="auto" w:fill="CCEEFF"/>
          </w:tcPr>
          <w:p>
            <w:pPr>
              <w:spacing w:after="0"/>
              <w:rPr>
                <w:sz w:val="18"/>
                <w:szCs w:val="18"/>
                <w:color w:val="auto"/>
              </w:rPr>
            </w:pPr>
          </w:p>
        </w:tc>
      </w:tr>
      <w:tr>
        <w:trPr>
          <w:trHeight w:val="222"/>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period</w:t>
            </w:r>
          </w:p>
        </w:tc>
        <w:tc>
          <w:tcPr>
            <w:tcW w:w="1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92,072,105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End of period</w:t>
            </w:r>
          </w:p>
        </w:tc>
        <w:tc>
          <w:tcPr>
            <w:tcW w:w="13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96,722,305</w:t>
            </w: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in excess of net investment income, end of period</w:t>
            </w:r>
          </w:p>
        </w:tc>
        <w:tc>
          <w:tcPr>
            <w:tcW w:w="13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(1,452,769)</w:t>
            </w: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jc w:val="center"/>
        <w:ind w:left="1900"/>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left="1920"/>
        <w:spacing w:after="0" w:line="223" w:lineRule="auto"/>
        <w:rPr>
          <w:sz w:val="20"/>
          <w:szCs w:val="20"/>
          <w:color w:val="auto"/>
        </w:rPr>
      </w:pPr>
      <w:r>
        <w:rPr>
          <w:rFonts w:ascii="Arial" w:cs="Arial" w:eastAsia="Arial" w:hAnsi="Arial"/>
          <w:sz w:val="14"/>
          <w:szCs w:val="14"/>
          <w:b w:val="1"/>
          <w:bCs w:val="1"/>
          <w:color w:val="auto"/>
        </w:rPr>
        <w:t>CONSOLIDATED STATEMENT OF CASH FLOWS</w:t>
      </w:r>
    </w:p>
    <w:p>
      <w:pPr>
        <w:jc w:val="center"/>
        <w:ind w:left="190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increase in net assets resulting from operations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Adjustments to reconcile net increase in net assets resulting from operations to net cash used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change in unrealized depreciation on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change in unrealized depreciation on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Net realized gain on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accretion of discount and amortization of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Purchase of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Payment-in-kind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Proceeds from dispositions of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Decrease in receivable for investments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interest receivable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Decrease in 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payables for investments purchased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(Decrease) in unfunded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interest payable on Credit Facility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management fee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performance-based incentive fees payable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Net cash used by operating activities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Distributions paid to stockholders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Borrowings under Credit Facility (See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Repayments under Credit Facility (See Note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Six Months Ended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March 31, 2012</w:t>
      </w:r>
    </w:p>
    <w:p>
      <w:pPr>
        <w:spacing w:after="0" w:line="195" w:lineRule="exact"/>
        <w:rPr>
          <w:sz w:val="20"/>
          <w:szCs w:val="20"/>
          <w:color w:val="auto"/>
        </w:rPr>
      </w:pPr>
    </w:p>
    <w:p>
      <w:pPr>
        <w:ind w:left="360" w:hanging="355"/>
        <w:spacing w:after="0"/>
        <w:tabs>
          <w:tab w:leader="none" w:pos="3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7,630,240</w:t>
      </w:r>
    </w:p>
    <w:p>
      <w:pPr>
        <w:spacing w:after="0" w:line="24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(4,065,554)</w:t>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(239,000)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(405,887)</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(333,296)</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(72,216,125)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(47,292)</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41,604,263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2,467,500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(353,235)</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112,632</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1,950,000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(161,370)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192,249</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103,920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175,740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242,912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67754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(23,342,303)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67754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(2,945,787)</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54,050,000</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(30,900,000)</w:t>
      </w:r>
    </w:p>
    <w:p>
      <w:pPr>
        <w:spacing w:after="0" w:line="9" w:lineRule="exact"/>
        <w:rPr>
          <w:sz w:val="20"/>
          <w:szCs w:val="20"/>
          <w:color w:val="auto"/>
        </w:rPr>
      </w:pPr>
    </w:p>
    <w:p>
      <w:pPr>
        <w:sectPr>
          <w:pgSz w:w="11900" w:h="16838" w:orient="portrait"/>
          <w:cols w:equalWidth="0" w:num="2">
            <w:col w:w="9520" w:space="720"/>
            <w:col w:w="11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86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560" w:type="dxa"/>
            <w:vAlign w:val="bottom"/>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20,204,213</w:t>
            </w:r>
          </w:p>
        </w:tc>
        <w:tc>
          <w:tcPr>
            <w:tcW w:w="100" w:type="dxa"/>
            <w:vAlign w:val="bottom"/>
            <w:shd w:val="clear" w:color="auto" w:fill="CCEEFF"/>
          </w:tcPr>
          <w:p>
            <w:pPr>
              <w:spacing w:after="0"/>
              <w:rPr>
                <w:sz w:val="19"/>
                <w:szCs w:val="19"/>
                <w:color w:val="auto"/>
              </w:rPr>
            </w:pPr>
          </w:p>
        </w:tc>
      </w:tr>
      <w:tr>
        <w:trPr>
          <w:trHeight w:val="221"/>
        </w:trPr>
        <w:tc>
          <w:tcPr>
            <w:tcW w:w="8680" w:type="dxa"/>
            <w:vAlign w:val="bottom"/>
          </w:tcPr>
          <w:p>
            <w:pPr>
              <w:spacing w:after="0"/>
              <w:rPr>
                <w:sz w:val="20"/>
                <w:szCs w:val="20"/>
                <w:color w:val="auto"/>
              </w:rPr>
            </w:pPr>
            <w:r>
              <w:rPr>
                <w:rFonts w:ascii="Arial" w:cs="Arial" w:eastAsia="Arial" w:hAnsi="Arial"/>
                <w:sz w:val="18"/>
                <w:szCs w:val="18"/>
                <w:b w:val="1"/>
                <w:bCs w:val="1"/>
                <w:color w:val="auto"/>
              </w:rPr>
              <w:t>Net decrease in cash equivalents</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(3,138,090)</w:t>
            </w:r>
          </w:p>
        </w:tc>
      </w:tr>
      <w:tr>
        <w:trPr>
          <w:trHeight w:val="218"/>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shd w:val="clear" w:color="auto" w:fill="CCEEFF"/>
          </w:tcPr>
          <w:p>
            <w:pPr>
              <w:spacing w:after="0"/>
              <w:rPr>
                <w:sz w:val="18"/>
                <w:szCs w:val="18"/>
                <w:color w:val="auto"/>
              </w:rPr>
            </w:pPr>
          </w:p>
        </w:tc>
      </w:tr>
      <w:tr>
        <w:trPr>
          <w:trHeight w:val="222"/>
        </w:trPr>
        <w:tc>
          <w:tcPr>
            <w:tcW w:w="868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3,849,360</w:t>
            </w:r>
          </w:p>
        </w:tc>
      </w:tr>
      <w:tr>
        <w:trPr>
          <w:trHeight w:val="20"/>
        </w:trPr>
        <w:tc>
          <w:tcPr>
            <w:tcW w:w="8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 (See Note 5):</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440"/>
              <w:spacing w:after="0"/>
              <w:rPr>
                <w:sz w:val="20"/>
                <w:szCs w:val="20"/>
                <w:color w:val="auto"/>
              </w:rPr>
            </w:pPr>
            <w:r>
              <w:rPr>
                <w:rFonts w:ascii="Arial" w:cs="Arial" w:eastAsia="Arial" w:hAnsi="Arial"/>
                <w:sz w:val="18"/>
                <w:szCs w:val="18"/>
                <w:color w:val="auto"/>
              </w:rPr>
              <w:t>Interest paid</w:t>
            </w:r>
          </w:p>
        </w:tc>
        <w:tc>
          <w:tcPr>
            <w:tcW w:w="15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429,227</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Taxes paid</w:t>
            </w:r>
          </w:p>
        </w:tc>
        <w:tc>
          <w:tcPr>
            <w:tcW w:w="1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8"/>
                <w:szCs w:val="18"/>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ectPr>
          <w:pgSz w:w="11900" w:h="16838" w:orient="portrait"/>
          <w:cols w:equalWidth="0" w:num="1">
            <w:col w:w="11420"/>
          </w:cols>
          <w:pgMar w:left="240" w:top="459" w:right="239" w:bottom="1440" w:gutter="0" w:footer="0" w:header="0"/>
          <w:type w:val="continuous"/>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2" w:lineRule="auto"/>
        <w:rPr>
          <w:sz w:val="20"/>
          <w:szCs w:val="20"/>
          <w:color w:val="auto"/>
        </w:rPr>
      </w:pPr>
      <w:r>
        <w:rPr>
          <w:rFonts w:ascii="Arial" w:cs="Arial" w:eastAsia="Arial" w:hAnsi="Arial"/>
          <w:sz w:val="14"/>
          <w:szCs w:val="14"/>
          <w:b w:val="1"/>
          <w:bCs w:val="1"/>
          <w:color w:val="auto"/>
        </w:rPr>
        <w:t>MARCH 31, 2012</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jc w:val="center"/>
              <w:ind w:right="94"/>
              <w:spacing w:after="0"/>
              <w:rPr>
                <w:sz w:val="20"/>
                <w:szCs w:val="20"/>
                <w:color w:val="auto"/>
              </w:rPr>
            </w:pPr>
            <w:r>
              <w:rPr>
                <w:rFonts w:ascii="Arial" w:cs="Arial" w:eastAsia="Arial" w:hAnsi="Arial"/>
                <w:sz w:val="14"/>
                <w:szCs w:val="14"/>
                <w:b w:val="1"/>
                <w:bCs w:val="1"/>
                <w:color w:val="auto"/>
                <w:w w:val="83"/>
              </w:rPr>
              <w:t>Basis Point</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84"/>
              </w:rPr>
              <w:t>Spread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94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Current</w:t>
            </w:r>
          </w:p>
        </w:tc>
        <w:tc>
          <w:tcPr>
            <w:tcW w:w="1040" w:type="dxa"/>
            <w:vAlign w:val="bottom"/>
          </w:tcPr>
          <w:p>
            <w:pPr>
              <w:jc w:val="center"/>
              <w:ind w:right="94"/>
              <w:spacing w:after="0" w:line="135" w:lineRule="exact"/>
              <w:rPr>
                <w:sz w:val="20"/>
                <w:szCs w:val="20"/>
                <w:color w:val="auto"/>
              </w:rPr>
            </w:pPr>
            <w:r>
              <w:rPr>
                <w:rFonts w:ascii="Arial" w:cs="Arial" w:eastAsia="Arial" w:hAnsi="Arial"/>
                <w:sz w:val="14"/>
                <w:szCs w:val="14"/>
                <w:b w:val="1"/>
                <w:bCs w:val="1"/>
                <w:color w:val="auto"/>
                <w:w w:val="84"/>
              </w:rPr>
              <w:t>Above</w:t>
            </w:r>
          </w:p>
        </w:tc>
        <w:tc>
          <w:tcPr>
            <w:tcW w:w="840" w:type="dxa"/>
            <w:vAlign w:val="bottom"/>
          </w:tcPr>
          <w:p>
            <w:pPr>
              <w:jc w:val="right"/>
              <w:ind w:right="232"/>
              <w:spacing w:after="0" w:line="135" w:lineRule="exact"/>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Fair</w:t>
            </w:r>
          </w:p>
        </w:tc>
      </w:tr>
      <w:tr>
        <w:trPr>
          <w:trHeight w:val="176"/>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400" w:type="dxa"/>
            <w:vAlign w:val="bottom"/>
          </w:tcPr>
          <w:p>
            <w:pPr>
              <w:jc w:val="center"/>
              <w:ind w:left="492"/>
              <w:spacing w:after="0"/>
              <w:rPr>
                <w:sz w:val="20"/>
                <w:szCs w:val="20"/>
                <w:color w:val="auto"/>
              </w:rPr>
            </w:pPr>
            <w:r>
              <w:rPr>
                <w:rFonts w:ascii="Arial" w:cs="Arial" w:eastAsia="Arial" w:hAnsi="Arial"/>
                <w:sz w:val="14"/>
                <w:szCs w:val="14"/>
                <w:b w:val="1"/>
                <w:bCs w:val="1"/>
                <w:color w:val="auto"/>
                <w:w w:val="95"/>
              </w:rPr>
              <w:t>Maturity</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940" w:type="dxa"/>
            <w:vAlign w:val="bottom"/>
          </w:tcPr>
          <w:p>
            <w:pPr>
              <w:ind w:left="140"/>
              <w:spacing w:after="0"/>
              <w:rPr>
                <w:sz w:val="20"/>
                <w:szCs w:val="20"/>
                <w:color w:val="auto"/>
              </w:rPr>
            </w:pPr>
            <w:r>
              <w:rPr>
                <w:rFonts w:ascii="Arial" w:cs="Arial" w:eastAsia="Arial" w:hAnsi="Arial"/>
                <w:sz w:val="14"/>
                <w:szCs w:val="14"/>
                <w:b w:val="1"/>
                <w:bCs w:val="1"/>
                <w:color w:val="auto"/>
              </w:rPr>
              <w:t>Coupon</w:t>
            </w:r>
          </w:p>
        </w:tc>
        <w:tc>
          <w:tcPr>
            <w:tcW w:w="1040" w:type="dxa"/>
            <w:vAlign w:val="bottom"/>
          </w:tcPr>
          <w:p>
            <w:pPr>
              <w:jc w:val="center"/>
              <w:ind w:right="94"/>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(1)</w:t>
            </w:r>
          </w:p>
        </w:tc>
        <w:tc>
          <w:tcPr>
            <w:tcW w:w="840" w:type="dxa"/>
            <w:vAlign w:val="bottom"/>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auto"/>
                <w:w w:val="95"/>
              </w:rPr>
              <w:t xml:space="preserve">Value </w:t>
            </w:r>
            <w:r>
              <w:rPr>
                <w:rFonts w:ascii="Arial" w:cs="Arial" w:eastAsia="Arial" w:hAnsi="Arial"/>
                <w:sz w:val="20"/>
                <w:szCs w:val="20"/>
                <w:b w:val="1"/>
                <w:bCs w:val="1"/>
                <w:color w:val="auto"/>
                <w:w w:val="95"/>
                <w:vertAlign w:val="superscript"/>
              </w:rPr>
              <w:t>(2)</w:t>
            </w:r>
          </w:p>
        </w:tc>
      </w:tr>
      <w:tr>
        <w:trPr>
          <w:trHeight w:val="142"/>
        </w:trPr>
        <w:tc>
          <w:tcPr>
            <w:tcW w:w="20" w:type="dxa"/>
            <w:vAlign w:val="bottom"/>
          </w:tcPr>
          <w:p>
            <w:pPr>
              <w:spacing w:after="0"/>
              <w:rPr>
                <w:sz w:val="12"/>
                <w:szCs w:val="12"/>
                <w:color w:val="auto"/>
              </w:rPr>
            </w:pPr>
          </w:p>
        </w:tc>
        <w:tc>
          <w:tcPr>
            <w:tcW w:w="650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Companies—151.1%</w:t>
            </w:r>
            <w:r>
              <w:rPr>
                <w:rFonts w:ascii="Arial" w:cs="Arial" w:eastAsia="Arial" w:hAnsi="Arial"/>
                <w:sz w:val="16"/>
                <w:szCs w:val="16"/>
                <w:b w:val="1"/>
                <w:bCs w:val="1"/>
                <w:color w:val="auto"/>
                <w:vertAlign w:val="superscript"/>
              </w:rPr>
              <w:t>(3),(4)</w:t>
            </w:r>
          </w:p>
        </w:tc>
        <w:tc>
          <w:tcPr>
            <w:tcW w:w="9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Debt—130.6%</w:t>
            </w:r>
          </w:p>
        </w:tc>
        <w:tc>
          <w:tcPr>
            <w:tcW w:w="14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03/25/2015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10.00%</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L+800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785,714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787,760</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746,429</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Aspen Dental Management,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10/06/2016</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7.00%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L+550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2,992,500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2,947,919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2,970,056</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07/29/2017</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6.50%</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L+500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995,000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990,663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999,975</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Blue Coat Systems,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02/15/2018</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7.50%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L+600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3,921,389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3,980,000</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08/17/2017</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7.27%</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L+575</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3,980,000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3,907,844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3,960,100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DCS Business Services,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03/19/2018</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8.00%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P+475</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2,955,160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2,955,000</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12/01/2016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6.50%</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L+500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990,557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995,000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DS Waters of America,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08/29/2017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10.50%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L+900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3,920,851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3,935,000</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EAG, Inc.</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07/28/2017</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6.75%</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P+350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975,000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970,472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965,250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Fundtech (US FT HOLDCO,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11/30/2017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7.50%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L+600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2,992,500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2,905,553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2,986,889</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Global Tel*Link Corporation</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12/14/2017</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7.00%</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2,992,500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2,935,337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2,994,370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05/27/2016</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Industries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6.99%</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L+550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2,977,500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2,953,133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2,932,838</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Harmony Foods Corporation </w:t>
            </w:r>
            <w:r>
              <w:rPr>
                <w:rFonts w:ascii="Arial" w:cs="Arial" w:eastAsia="Arial" w:hAnsi="Arial"/>
                <w:sz w:val="17"/>
                <w:szCs w:val="17"/>
                <w:color w:val="auto"/>
                <w:vertAlign w:val="superscript"/>
              </w:rPr>
              <w:t>(5)</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05/01/2016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10.00%</w:t>
            </w:r>
          </w:p>
        </w:tc>
        <w:tc>
          <w:tcPr>
            <w:tcW w:w="1040" w:type="dxa"/>
            <w:vAlign w:val="bottom"/>
            <w:shd w:val="clear" w:color="auto" w:fill="CCEEFF"/>
          </w:tcPr>
          <w:p>
            <w:pPr>
              <w:jc w:val="right"/>
              <w:ind w:right="74"/>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2,060,000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04/01/2019</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7.25%</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L+600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2,940,000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2,940,000</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04/01/2017</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11.50%</w:t>
            </w:r>
          </w:p>
        </w:tc>
        <w:tc>
          <w:tcPr>
            <w:tcW w:w="1040" w:type="dxa"/>
            <w:vAlign w:val="bottom"/>
            <w:shd w:val="clear" w:color="auto" w:fill="CCEEFF"/>
          </w:tcPr>
          <w:p>
            <w:pPr>
              <w:jc w:val="right"/>
              <w:ind w:right="74"/>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1,960,101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2,050,000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Insight Global,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08/16/2017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6.50%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L+500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988,769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984,109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971,465</w:t>
            </w:r>
          </w:p>
        </w:tc>
        <w:tc>
          <w:tcPr>
            <w:tcW w:w="22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3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Instant Web, Inc.</w:t>
            </w:r>
          </w:p>
        </w:tc>
        <w:tc>
          <w:tcPr>
            <w:tcW w:w="1400" w:type="dxa"/>
            <w:vAlign w:val="bottom"/>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5"/>
              </w:rPr>
              <w:t>08/07/2014</w:t>
            </w: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940" w:type="dxa"/>
            <w:vAlign w:val="bottom"/>
            <w:shd w:val="clear" w:color="auto" w:fill="CCEEFF"/>
          </w:tcPr>
          <w:p>
            <w:pPr>
              <w:jc w:val="right"/>
              <w:ind w:right="92"/>
              <w:spacing w:after="0" w:line="138" w:lineRule="exact"/>
              <w:rPr>
                <w:sz w:val="20"/>
                <w:szCs w:val="20"/>
                <w:color w:val="auto"/>
              </w:rPr>
            </w:pPr>
            <w:r>
              <w:rPr>
                <w:rFonts w:ascii="Arial" w:cs="Arial" w:eastAsia="Arial" w:hAnsi="Arial"/>
                <w:sz w:val="14"/>
                <w:szCs w:val="14"/>
                <w:color w:val="auto"/>
              </w:rPr>
              <w:t>3.62%</w:t>
            </w:r>
          </w:p>
        </w:tc>
        <w:tc>
          <w:tcPr>
            <w:tcW w:w="1040" w:type="dxa"/>
            <w:vAlign w:val="bottom"/>
            <w:shd w:val="clear" w:color="auto" w:fill="CCEEFF"/>
          </w:tcPr>
          <w:p>
            <w:pPr>
              <w:jc w:val="right"/>
              <w:ind w:right="74"/>
              <w:spacing w:after="0" w:line="138" w:lineRule="exact"/>
              <w:rPr>
                <w:sz w:val="20"/>
                <w:szCs w:val="20"/>
                <w:color w:val="auto"/>
              </w:rPr>
            </w:pPr>
            <w:r>
              <w:rPr>
                <w:rFonts w:ascii="Arial" w:cs="Arial" w:eastAsia="Arial" w:hAnsi="Arial"/>
                <w:sz w:val="10"/>
                <w:szCs w:val="10"/>
                <w:color w:val="auto"/>
              </w:rPr>
              <w:t>L+338</w:t>
            </w:r>
            <w:r>
              <w:rPr>
                <w:rFonts w:ascii="Arial" w:cs="Arial" w:eastAsia="Arial" w:hAnsi="Arial"/>
                <w:sz w:val="15"/>
                <w:szCs w:val="15"/>
                <w:color w:val="auto"/>
                <w:vertAlign w:val="superscript"/>
              </w:rPr>
              <w:t>(9)</w:t>
            </w:r>
          </w:p>
        </w:tc>
        <w:tc>
          <w:tcPr>
            <w:tcW w:w="840" w:type="dxa"/>
            <w:vAlign w:val="bottom"/>
            <w:shd w:val="clear" w:color="auto" w:fill="CCEEFF"/>
          </w:tcPr>
          <w:p>
            <w:pPr>
              <w:jc w:val="right"/>
              <w:ind w:right="72"/>
              <w:spacing w:after="0" w:line="138" w:lineRule="exact"/>
              <w:rPr>
                <w:sz w:val="20"/>
                <w:szCs w:val="20"/>
                <w:color w:val="auto"/>
              </w:rPr>
            </w:pPr>
            <w:r>
              <w:rPr>
                <w:rFonts w:ascii="Arial" w:cs="Arial" w:eastAsia="Arial" w:hAnsi="Arial"/>
                <w:sz w:val="14"/>
                <w:szCs w:val="14"/>
                <w:color w:val="auto"/>
              </w:rPr>
              <w:t>6,945,468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6,565,294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6,250,920</w:t>
            </w:r>
          </w:p>
        </w:tc>
        <w:tc>
          <w:tcPr>
            <w:tcW w:w="22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K2 Pure Solutions NoCal, L.P.</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09/10/2015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10.00%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P+675</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5,476,250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5,519,390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5,421,487</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(6)</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05/31/2014</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8.50%</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L+700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4,962,500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4,848,837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4,881,859</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Medpace Intermediateco,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06/17/2017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6.50%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L+500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1,985,000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1,958,287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1,925,450</w:t>
            </w:r>
          </w:p>
        </w:tc>
        <w:tc>
          <w:tcPr>
            <w:tcW w:w="22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30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(6)</w:t>
            </w:r>
          </w:p>
        </w:tc>
        <w:tc>
          <w:tcPr>
            <w:tcW w:w="1400" w:type="dxa"/>
            <w:vAlign w:val="bottom"/>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5"/>
              </w:rPr>
              <w:t>05/06/2018</w:t>
            </w: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Diversified and</w:t>
            </w:r>
          </w:p>
        </w:tc>
        <w:tc>
          <w:tcPr>
            <w:tcW w:w="940" w:type="dxa"/>
            <w:vAlign w:val="bottom"/>
            <w:shd w:val="clear" w:color="auto" w:fill="CCEEFF"/>
          </w:tcPr>
          <w:p>
            <w:pPr>
              <w:jc w:val="right"/>
              <w:ind w:right="92"/>
              <w:spacing w:after="0" w:line="138" w:lineRule="exact"/>
              <w:rPr>
                <w:sz w:val="20"/>
                <w:szCs w:val="20"/>
                <w:color w:val="auto"/>
              </w:rPr>
            </w:pPr>
            <w:r>
              <w:rPr>
                <w:rFonts w:ascii="Arial" w:cs="Arial" w:eastAsia="Arial" w:hAnsi="Arial"/>
                <w:sz w:val="14"/>
                <w:szCs w:val="14"/>
                <w:color w:val="auto"/>
              </w:rPr>
              <w:t>7.00%</w:t>
            </w:r>
          </w:p>
        </w:tc>
        <w:tc>
          <w:tcPr>
            <w:tcW w:w="1040" w:type="dxa"/>
            <w:vAlign w:val="bottom"/>
            <w:shd w:val="clear" w:color="auto" w:fill="CCEEFF"/>
          </w:tcPr>
          <w:p>
            <w:pPr>
              <w:jc w:val="right"/>
              <w:ind w:right="214"/>
              <w:spacing w:after="0" w:line="138"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72"/>
              <w:spacing w:after="0" w:line="138" w:lineRule="exact"/>
              <w:rPr>
                <w:sz w:val="20"/>
                <w:szCs w:val="20"/>
                <w:color w:val="auto"/>
              </w:rPr>
            </w:pPr>
            <w:r>
              <w:rPr>
                <w:rFonts w:ascii="Arial" w:cs="Arial" w:eastAsia="Arial" w:hAnsi="Arial"/>
                <w:sz w:val="14"/>
                <w:szCs w:val="14"/>
                <w:color w:val="auto"/>
              </w:rPr>
              <w:t>3,970,000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3,935,345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3,870,750</w:t>
            </w:r>
          </w:p>
        </w:tc>
        <w:tc>
          <w:tcPr>
            <w:tcW w:w="22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Production</w:t>
            </w:r>
          </w:p>
        </w:tc>
        <w:tc>
          <w:tcPr>
            <w:tcW w:w="9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12/23/2016</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8.50%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L+700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2,928,463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2,985,000</w:t>
            </w:r>
          </w:p>
        </w:tc>
        <w:tc>
          <w:tcPr>
            <w:tcW w:w="22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3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Penton Media, Inc.</w:t>
            </w:r>
          </w:p>
        </w:tc>
        <w:tc>
          <w:tcPr>
            <w:tcW w:w="1400" w:type="dxa"/>
            <w:vAlign w:val="bottom"/>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5"/>
              </w:rPr>
              <w:t>08/01/2014</w:t>
            </w: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Diversified and</w:t>
            </w:r>
          </w:p>
        </w:tc>
        <w:tc>
          <w:tcPr>
            <w:tcW w:w="940" w:type="dxa"/>
            <w:vAlign w:val="bottom"/>
            <w:shd w:val="clear" w:color="auto" w:fill="CCEEFF"/>
          </w:tcPr>
          <w:p>
            <w:pPr>
              <w:jc w:val="right"/>
              <w:ind w:right="92"/>
              <w:spacing w:after="0" w:line="138" w:lineRule="exact"/>
              <w:rPr>
                <w:sz w:val="20"/>
                <w:szCs w:val="20"/>
                <w:color w:val="auto"/>
              </w:rPr>
            </w:pPr>
            <w:r>
              <w:rPr>
                <w:rFonts w:ascii="Arial" w:cs="Arial" w:eastAsia="Arial" w:hAnsi="Arial"/>
                <w:sz w:val="14"/>
                <w:szCs w:val="14"/>
                <w:color w:val="auto"/>
              </w:rPr>
              <w:t>5.00%</w:t>
            </w:r>
          </w:p>
        </w:tc>
        <w:tc>
          <w:tcPr>
            <w:tcW w:w="1040" w:type="dxa"/>
            <w:vAlign w:val="bottom"/>
            <w:shd w:val="clear" w:color="auto" w:fill="CCEEFF"/>
          </w:tcPr>
          <w:p>
            <w:pPr>
              <w:jc w:val="right"/>
              <w:ind w:right="214"/>
              <w:spacing w:after="0" w:line="138" w:lineRule="exact"/>
              <w:rPr>
                <w:sz w:val="20"/>
                <w:szCs w:val="20"/>
                <w:color w:val="auto"/>
              </w:rPr>
            </w:pPr>
            <w:r>
              <w:rPr>
                <w:rFonts w:ascii="Arial" w:cs="Arial" w:eastAsia="Arial" w:hAnsi="Arial"/>
                <w:sz w:val="14"/>
                <w:szCs w:val="14"/>
                <w:color w:val="auto"/>
              </w:rPr>
              <w:t>L+400</w:t>
            </w:r>
          </w:p>
        </w:tc>
        <w:tc>
          <w:tcPr>
            <w:tcW w:w="840" w:type="dxa"/>
            <w:vAlign w:val="bottom"/>
            <w:shd w:val="clear" w:color="auto" w:fill="CCEEFF"/>
          </w:tcPr>
          <w:p>
            <w:pPr>
              <w:jc w:val="right"/>
              <w:ind w:right="72"/>
              <w:spacing w:after="0" w:line="138" w:lineRule="exact"/>
              <w:rPr>
                <w:sz w:val="20"/>
                <w:szCs w:val="20"/>
                <w:color w:val="auto"/>
              </w:rPr>
            </w:pPr>
            <w:r>
              <w:rPr>
                <w:rFonts w:ascii="Arial" w:cs="Arial" w:eastAsia="Arial" w:hAnsi="Arial"/>
                <w:sz w:val="14"/>
                <w:szCs w:val="14"/>
                <w:color w:val="auto"/>
              </w:rPr>
              <w:t>5,496,951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4,805,359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4,358,626</w:t>
            </w:r>
          </w:p>
        </w:tc>
        <w:tc>
          <w:tcPr>
            <w:tcW w:w="220" w:type="dxa"/>
            <w:vAlign w:val="bottom"/>
            <w:shd w:val="clear" w:color="auto" w:fill="CCEEFF"/>
          </w:tcPr>
          <w:p>
            <w:pPr>
              <w:spacing w:after="0"/>
              <w:rPr>
                <w:sz w:val="11"/>
                <w:szCs w:val="1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Production</w:t>
            </w:r>
          </w:p>
        </w:tc>
        <w:tc>
          <w:tcPr>
            <w:tcW w:w="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(PIK 1.00%)</w:t>
            </w:r>
          </w:p>
        </w:tc>
        <w:tc>
          <w:tcPr>
            <w:tcW w:w="10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Potter’s Holdings II, L.P.</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05/08/2017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6.00%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L+450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1,985,000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1,968,064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1,980,038</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Mach, Inc.</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07/06/2017</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6.25%</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L+475</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992,500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984,001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976,372</w:t>
            </w:r>
          </w:p>
        </w:tc>
        <w:tc>
          <w:tcPr>
            <w:tcW w:w="22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3060" w:type="dxa"/>
            <w:vAlign w:val="bottom"/>
          </w:tcPr>
          <w:p>
            <w:pPr>
              <w:spacing w:after="0" w:line="138" w:lineRule="exact"/>
              <w:rPr>
                <w:sz w:val="20"/>
                <w:szCs w:val="20"/>
                <w:color w:val="auto"/>
              </w:rPr>
            </w:pPr>
            <w:r>
              <w:rPr>
                <w:rFonts w:ascii="Arial" w:cs="Arial" w:eastAsia="Arial" w:hAnsi="Arial"/>
                <w:sz w:val="14"/>
                <w:szCs w:val="14"/>
                <w:color w:val="auto"/>
              </w:rPr>
              <w:t>Renaissance Learning, Inc.</w:t>
            </w:r>
          </w:p>
        </w:tc>
        <w:tc>
          <w:tcPr>
            <w:tcW w:w="1400" w:type="dxa"/>
            <w:vAlign w:val="bottom"/>
          </w:tcPr>
          <w:p>
            <w:pPr>
              <w:jc w:val="center"/>
              <w:ind w:left="492"/>
              <w:spacing w:after="0" w:line="138" w:lineRule="exact"/>
              <w:rPr>
                <w:sz w:val="20"/>
                <w:szCs w:val="20"/>
                <w:color w:val="auto"/>
              </w:rPr>
            </w:pPr>
            <w:r>
              <w:rPr>
                <w:rFonts w:ascii="Arial" w:cs="Arial" w:eastAsia="Arial" w:hAnsi="Arial"/>
                <w:sz w:val="14"/>
                <w:szCs w:val="14"/>
                <w:color w:val="auto"/>
                <w:w w:val="85"/>
              </w:rPr>
              <w:t>10/19/2017</w:t>
            </w:r>
          </w:p>
        </w:tc>
        <w:tc>
          <w:tcPr>
            <w:tcW w:w="2040" w:type="dxa"/>
            <w:vAlign w:val="bottom"/>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940" w:type="dxa"/>
            <w:vAlign w:val="bottom"/>
          </w:tcPr>
          <w:p>
            <w:pPr>
              <w:jc w:val="right"/>
              <w:ind w:right="92"/>
              <w:spacing w:after="0" w:line="138" w:lineRule="exact"/>
              <w:rPr>
                <w:sz w:val="20"/>
                <w:szCs w:val="20"/>
                <w:color w:val="auto"/>
              </w:rPr>
            </w:pPr>
            <w:r>
              <w:rPr>
                <w:rFonts w:ascii="Arial" w:cs="Arial" w:eastAsia="Arial" w:hAnsi="Arial"/>
                <w:sz w:val="14"/>
                <w:szCs w:val="14"/>
                <w:color w:val="auto"/>
              </w:rPr>
              <w:t>7.75%</w:t>
            </w:r>
          </w:p>
        </w:tc>
        <w:tc>
          <w:tcPr>
            <w:tcW w:w="1040" w:type="dxa"/>
            <w:vAlign w:val="bottom"/>
          </w:tcPr>
          <w:p>
            <w:pPr>
              <w:jc w:val="right"/>
              <w:ind w:right="214"/>
              <w:spacing w:after="0" w:line="138" w:lineRule="exact"/>
              <w:rPr>
                <w:sz w:val="20"/>
                <w:szCs w:val="20"/>
                <w:color w:val="auto"/>
              </w:rPr>
            </w:pPr>
            <w:r>
              <w:rPr>
                <w:rFonts w:ascii="Arial" w:cs="Arial" w:eastAsia="Arial" w:hAnsi="Arial"/>
                <w:sz w:val="14"/>
                <w:szCs w:val="14"/>
                <w:color w:val="auto"/>
              </w:rPr>
              <w:t>L+625</w:t>
            </w:r>
          </w:p>
        </w:tc>
        <w:tc>
          <w:tcPr>
            <w:tcW w:w="840" w:type="dxa"/>
            <w:vAlign w:val="bottom"/>
          </w:tcPr>
          <w:p>
            <w:pPr>
              <w:jc w:val="right"/>
              <w:ind w:right="72"/>
              <w:spacing w:after="0" w:line="138" w:lineRule="exact"/>
              <w:rPr>
                <w:sz w:val="20"/>
                <w:szCs w:val="20"/>
                <w:color w:val="auto"/>
              </w:rPr>
            </w:pPr>
            <w:r>
              <w:rPr>
                <w:rFonts w:ascii="Arial" w:cs="Arial" w:eastAsia="Arial" w:hAnsi="Arial"/>
                <w:sz w:val="14"/>
                <w:szCs w:val="14"/>
                <w:color w:val="auto"/>
              </w:rPr>
              <w:t>1,990,000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1,913,981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1,987,513</w:t>
            </w:r>
          </w:p>
        </w:tc>
        <w:tc>
          <w:tcPr>
            <w:tcW w:w="22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40" w:type="dxa"/>
            <w:vAlign w:val="bottom"/>
          </w:tcPr>
          <w:p>
            <w:pPr>
              <w:jc w:val="center"/>
              <w:spacing w:after="0" w:line="159" w:lineRule="exact"/>
              <w:rPr>
                <w:sz w:val="20"/>
                <w:szCs w:val="20"/>
                <w:color w:val="auto"/>
              </w:rPr>
            </w:pPr>
            <w:r>
              <w:rPr>
                <w:rFonts w:ascii="Arial" w:cs="Arial" w:eastAsia="Arial" w:hAnsi="Arial"/>
                <w:sz w:val="14"/>
                <w:szCs w:val="14"/>
                <w:color w:val="auto"/>
                <w:w w:val="88"/>
              </w:rPr>
              <w:t>Subscription</w:t>
            </w: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Rocket Software, Inc.</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02/08/2018</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7.00%</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3,990,000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3,911,459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3,990,000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Securus Technologies,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05/31/2017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5.25%</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L+400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2,977,500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2,950,706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2,935,318</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04/22/2017</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7.00%</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2,977,500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2,952,842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2,947,725</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Tank Intermediate Holding Corp.</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04/15/2016</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4.75%</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L+350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1,811,321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1,808,062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1,806,792</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01/29/2018</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9.00%</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L+750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750,000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738,971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01/29/2018</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13.50%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L+1,200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1,875,000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1,821,164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1,875,000</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Terex Corporation</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04/28/2017</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5.50%</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L+400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1,990,000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1,972,905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1,975,075</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10/30/2017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8.00%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L+650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997,500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959,847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996,253</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Unifrax I LLC</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11/28/2018</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7.00%</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2,992,500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2,934,992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3,018,610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Univita Health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06/19/2017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6.25%</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L+475</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2,977,500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2,952,122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2,783,963</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Healthworks Holding Company, Inc.</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06/15/2016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6.25%</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L+475</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2,977,500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2,952,966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2,932,838</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06/02/2017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5.75%</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L+450</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1,488,750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1,482,497</w:t>
            </w:r>
          </w:p>
        </w:tc>
        <w:tc>
          <w:tcPr>
            <w:tcW w:w="14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1,451,531</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Vantage Specialties, Inc.</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02/09/2018</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7.00%</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L+550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2,940,664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22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3060" w:type="dxa"/>
            <w:vAlign w:val="bottom"/>
          </w:tcPr>
          <w:p>
            <w:pPr>
              <w:spacing w:after="0" w:line="138" w:lineRule="exact"/>
              <w:rPr>
                <w:sz w:val="20"/>
                <w:szCs w:val="20"/>
                <w:color w:val="auto"/>
              </w:rPr>
            </w:pPr>
            <w:r>
              <w:rPr>
                <w:rFonts w:ascii="Arial" w:cs="Arial" w:eastAsia="Arial" w:hAnsi="Arial"/>
                <w:sz w:val="14"/>
                <w:szCs w:val="14"/>
                <w:color w:val="auto"/>
              </w:rPr>
              <w:t>Viamedia Services Corp.</w:t>
            </w:r>
          </w:p>
        </w:tc>
        <w:tc>
          <w:tcPr>
            <w:tcW w:w="1400" w:type="dxa"/>
            <w:vAlign w:val="bottom"/>
          </w:tcPr>
          <w:p>
            <w:pPr>
              <w:jc w:val="center"/>
              <w:ind w:left="492"/>
              <w:spacing w:after="0" w:line="138" w:lineRule="exact"/>
              <w:rPr>
                <w:sz w:val="20"/>
                <w:szCs w:val="20"/>
                <w:color w:val="auto"/>
              </w:rPr>
            </w:pPr>
            <w:r>
              <w:rPr>
                <w:rFonts w:ascii="Arial" w:cs="Arial" w:eastAsia="Arial" w:hAnsi="Arial"/>
                <w:sz w:val="14"/>
                <w:szCs w:val="14"/>
                <w:color w:val="auto"/>
                <w:w w:val="85"/>
              </w:rPr>
              <w:t>04/19/2016</w:t>
            </w:r>
          </w:p>
        </w:tc>
        <w:tc>
          <w:tcPr>
            <w:tcW w:w="2040" w:type="dxa"/>
            <w:vAlign w:val="bottom"/>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40" w:type="dxa"/>
            <w:vAlign w:val="bottom"/>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40" w:type="dxa"/>
            <w:vAlign w:val="bottom"/>
          </w:tcPr>
          <w:p>
            <w:pPr>
              <w:jc w:val="right"/>
              <w:ind w:right="92"/>
              <w:spacing w:after="0" w:line="159" w:lineRule="exact"/>
              <w:rPr>
                <w:sz w:val="20"/>
                <w:szCs w:val="20"/>
                <w:color w:val="auto"/>
              </w:rPr>
            </w:pPr>
            <w:r>
              <w:rPr>
                <w:rFonts w:ascii="Arial" w:cs="Arial" w:eastAsia="Arial" w:hAnsi="Arial"/>
                <w:sz w:val="14"/>
                <w:szCs w:val="14"/>
                <w:color w:val="auto"/>
              </w:rPr>
              <w:t>7.00%</w:t>
            </w:r>
          </w:p>
        </w:tc>
        <w:tc>
          <w:tcPr>
            <w:tcW w:w="1040" w:type="dxa"/>
            <w:vAlign w:val="bottom"/>
          </w:tcPr>
          <w:p>
            <w:pPr>
              <w:jc w:val="right"/>
              <w:ind w:right="214"/>
              <w:spacing w:after="0" w:line="159" w:lineRule="exact"/>
              <w:rPr>
                <w:sz w:val="20"/>
                <w:szCs w:val="20"/>
                <w:color w:val="auto"/>
              </w:rPr>
            </w:pPr>
            <w:r>
              <w:rPr>
                <w:rFonts w:ascii="Arial" w:cs="Arial" w:eastAsia="Arial" w:hAnsi="Arial"/>
                <w:sz w:val="14"/>
                <w:szCs w:val="14"/>
                <w:color w:val="auto"/>
              </w:rPr>
              <w:t>L+550</w:t>
            </w:r>
          </w:p>
        </w:tc>
        <w:tc>
          <w:tcPr>
            <w:tcW w:w="840" w:type="dxa"/>
            <w:vAlign w:val="bottom"/>
          </w:tcPr>
          <w:p>
            <w:pPr>
              <w:jc w:val="right"/>
              <w:ind w:right="72"/>
              <w:spacing w:after="0" w:line="159" w:lineRule="exact"/>
              <w:rPr>
                <w:sz w:val="20"/>
                <w:szCs w:val="20"/>
                <w:color w:val="auto"/>
              </w:rPr>
            </w:pPr>
            <w:r>
              <w:rPr>
                <w:rFonts w:ascii="Arial" w:cs="Arial" w:eastAsia="Arial" w:hAnsi="Arial"/>
                <w:sz w:val="14"/>
                <w:szCs w:val="14"/>
                <w:color w:val="auto"/>
              </w:rPr>
              <w:t>4,500,000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4,453,517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4,432,500</w:t>
            </w:r>
          </w:p>
        </w:tc>
        <w:tc>
          <w:tcPr>
            <w:tcW w:w="2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12/22/2016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7.75%</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P+450</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2,985,000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2,958,806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2,776,050</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W3 CO.</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10/31/2017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Energy: Oil and Gas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7.50%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L+625</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1,995,000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1,919,750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1,975,050</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Water Pik, Inc.</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08/10/2017</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6.75%</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L+525</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3,482,500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3,450,900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3,473,794</w:t>
            </w:r>
          </w:p>
        </w:tc>
        <w:tc>
          <w:tcPr>
            <w:tcW w:w="2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WCA Waste Corporation</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03/23/2017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Industries</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5.50%</w:t>
            </w:r>
          </w:p>
        </w:tc>
        <w:tc>
          <w:tcPr>
            <w:tcW w:w="104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L+425</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990,037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1,002,500</w:t>
            </w: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Wound Care (National Healing Corporation)</w:t>
            </w:r>
          </w:p>
        </w:tc>
        <w:tc>
          <w:tcPr>
            <w:tcW w:w="140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11/30/2017</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8.25%</w:t>
            </w:r>
          </w:p>
        </w:tc>
        <w:tc>
          <w:tcPr>
            <w:tcW w:w="1040" w:type="dxa"/>
            <w:vAlign w:val="bottom"/>
            <w:shd w:val="clear" w:color="auto" w:fill="CCEEFF"/>
          </w:tcPr>
          <w:p>
            <w:pPr>
              <w:jc w:val="right"/>
              <w:ind w:right="214"/>
              <w:spacing w:after="0" w:line="149" w:lineRule="exact"/>
              <w:rPr>
                <w:sz w:val="20"/>
                <w:szCs w:val="20"/>
                <w:color w:val="auto"/>
              </w:rPr>
            </w:pPr>
            <w:r>
              <w:rPr>
                <w:rFonts w:ascii="Arial" w:cs="Arial" w:eastAsia="Arial" w:hAnsi="Arial"/>
                <w:sz w:val="14"/>
                <w:szCs w:val="14"/>
                <w:color w:val="auto"/>
              </w:rPr>
              <w:t>L+675</w:t>
            </w:r>
          </w:p>
        </w:tc>
        <w:tc>
          <w:tcPr>
            <w:tcW w:w="8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4,987,500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4,748,327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4,812,938</w:t>
            </w:r>
          </w:p>
        </w:tc>
        <w:tc>
          <w:tcPr>
            <w:tcW w:w="2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w:t>
            </w:r>
          </w:p>
        </w:tc>
        <w:tc>
          <w:tcPr>
            <w:tcW w:w="140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5"/>
              </w:rPr>
              <w:t>07/15/2016</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11.38%</w:t>
            </w:r>
          </w:p>
        </w:tc>
        <w:tc>
          <w:tcPr>
            <w:tcW w:w="1040" w:type="dxa"/>
            <w:vAlign w:val="bottom"/>
          </w:tcPr>
          <w:p>
            <w:pPr>
              <w:jc w:val="right"/>
              <w:ind w:right="74"/>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4,000,000</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4,322,842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4,290,000</w:t>
            </w:r>
          </w:p>
        </w:tc>
        <w:tc>
          <w:tcPr>
            <w:tcW w:w="2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14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126,721,245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126,306,324</w:t>
            </w:r>
          </w:p>
        </w:tc>
        <w:tc>
          <w:tcPr>
            <w:tcW w:w="220" w:type="dxa"/>
            <w:vAlign w:val="bottom"/>
            <w:shd w:val="clear" w:color="auto" w:fill="CCEEFF"/>
          </w:tcPr>
          <w:p>
            <w:pPr>
              <w:spacing w:after="0"/>
              <w:rPr>
                <w:sz w:val="12"/>
                <w:szCs w:val="12"/>
                <w:color w:val="auto"/>
              </w:rPr>
            </w:pPr>
          </w:p>
        </w:tc>
      </w:tr>
      <w:tr>
        <w:trPr>
          <w:trHeight w:val="317"/>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tcPr>
          <w:p>
            <w:pPr>
              <w:ind w:left="1100"/>
              <w:spacing w:after="0"/>
              <w:rPr>
                <w:sz w:val="20"/>
                <w:szCs w:val="20"/>
                <w:color w:val="auto"/>
              </w:rPr>
            </w:pPr>
            <w:r>
              <w:rPr>
                <w:rFonts w:ascii="Arial" w:cs="Arial" w:eastAsia="Arial" w:hAnsi="Arial"/>
                <w:sz w:val="14"/>
                <w:szCs w:val="14"/>
                <w:color w:val="auto"/>
              </w:rPr>
              <w:t>F-27</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Basis Point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10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rPr>
              <w:t>Current</w:t>
            </w:r>
          </w:p>
        </w:tc>
        <w:tc>
          <w:tcPr>
            <w:tcW w:w="10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4"/>
              </w:rPr>
              <w:t>Above</w:t>
            </w:r>
          </w:p>
        </w:tc>
        <w:tc>
          <w:tcPr>
            <w:tcW w:w="720" w:type="dxa"/>
            <w:vAlign w:val="bottom"/>
            <w:gridSpan w:val="2"/>
          </w:tcPr>
          <w:p>
            <w:pPr>
              <w:jc w:val="right"/>
              <w:ind w:right="300"/>
              <w:spacing w:after="0" w:line="135" w:lineRule="exact"/>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rPr>
              <w:t>Fair</w:t>
            </w:r>
          </w:p>
        </w:tc>
      </w:tr>
      <w:tr>
        <w:trPr>
          <w:trHeight w:val="176"/>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460" w:type="dxa"/>
            <w:vAlign w:val="bottom"/>
          </w:tcPr>
          <w:p>
            <w:pPr>
              <w:jc w:val="center"/>
              <w:ind w:left="512"/>
              <w:spacing w:after="0"/>
              <w:rPr>
                <w:sz w:val="20"/>
                <w:szCs w:val="20"/>
                <w:color w:val="auto"/>
              </w:rPr>
            </w:pPr>
            <w:r>
              <w:rPr>
                <w:rFonts w:ascii="Arial" w:cs="Arial" w:eastAsia="Arial" w:hAnsi="Arial"/>
                <w:sz w:val="14"/>
                <w:szCs w:val="14"/>
                <w:b w:val="1"/>
                <w:bCs w:val="1"/>
                <w:color w:val="auto"/>
                <w:w w:val="95"/>
              </w:rPr>
              <w:t>Maturity</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Coupon</w:t>
            </w:r>
          </w:p>
        </w:tc>
        <w:tc>
          <w:tcPr>
            <w:tcW w:w="100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(1)</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680" w:type="dxa"/>
            <w:vAlign w:val="bottom"/>
          </w:tcPr>
          <w:p>
            <w:pPr>
              <w:jc w:val="right"/>
              <w:ind w:right="15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72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20"/>
                <w:szCs w:val="20"/>
                <w:b w:val="1"/>
                <w:bCs w:val="1"/>
                <w:color w:val="auto"/>
                <w:w w:val="98"/>
                <w:vertAlign w:val="superscript"/>
              </w:rPr>
              <w:t>(2)</w:t>
            </w:r>
          </w:p>
        </w:tc>
      </w:tr>
      <w:tr>
        <w:trPr>
          <w:trHeight w:val="142"/>
        </w:trPr>
        <w:tc>
          <w:tcPr>
            <w:tcW w:w="20" w:type="dxa"/>
            <w:vAlign w:val="bottom"/>
          </w:tcPr>
          <w:p>
            <w:pPr>
              <w:spacing w:after="0"/>
              <w:rPr>
                <w:sz w:val="12"/>
                <w:szCs w:val="12"/>
                <w:color w:val="auto"/>
              </w:rPr>
            </w:pPr>
          </w:p>
        </w:tc>
        <w:tc>
          <w:tcPr>
            <w:tcW w:w="3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Second Lien Secured Debt—7.4%</w:t>
            </w:r>
          </w:p>
        </w:tc>
        <w:tc>
          <w:tcPr>
            <w:tcW w:w="1460" w:type="dxa"/>
            <w:vAlign w:val="bottom"/>
            <w:tcBorders>
              <w:top w:val="single" w:sz="8" w:color="auto"/>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Autoparts Holdings Limited</w:t>
            </w:r>
          </w:p>
        </w:tc>
        <w:tc>
          <w:tcPr>
            <w:tcW w:w="146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8"/>
              </w:rPr>
              <w:t>01/29/2018</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4"/>
              </w:rPr>
              <w:t>Automotive</w:t>
            </w: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10.50%</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L+900</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1,000,000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$995,000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982,500</w:t>
            </w:r>
          </w:p>
        </w:tc>
        <w:tc>
          <w:tcPr>
            <w:tcW w:w="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328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(6)</w:t>
            </w:r>
          </w:p>
        </w:tc>
        <w:tc>
          <w:tcPr>
            <w:tcW w:w="1460" w:type="dxa"/>
            <w:vAlign w:val="bottom"/>
            <w:shd w:val="clear" w:color="auto" w:fill="CCEEFF"/>
          </w:tcPr>
          <w:p>
            <w:pPr>
              <w:jc w:val="center"/>
              <w:ind w:left="512"/>
              <w:spacing w:after="0" w:line="138" w:lineRule="exact"/>
              <w:rPr>
                <w:sz w:val="20"/>
                <w:szCs w:val="20"/>
                <w:color w:val="auto"/>
              </w:rPr>
            </w:pPr>
            <w:r>
              <w:rPr>
                <w:rFonts w:ascii="Arial" w:cs="Arial" w:eastAsia="Arial" w:hAnsi="Arial"/>
                <w:sz w:val="14"/>
                <w:szCs w:val="14"/>
                <w:color w:val="auto"/>
                <w:w w:val="85"/>
              </w:rPr>
              <w:t>11/06/2018</w:t>
            </w: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Diversified and</w:t>
            </w:r>
          </w:p>
        </w:tc>
        <w:tc>
          <w:tcPr>
            <w:tcW w:w="110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10.25%</w:t>
            </w:r>
          </w:p>
        </w:tc>
        <w:tc>
          <w:tcPr>
            <w:tcW w:w="100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L+875</w:t>
            </w:r>
          </w:p>
        </w:tc>
        <w:tc>
          <w:tcPr>
            <w:tcW w:w="7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w w:val="89"/>
              </w:rPr>
              <w:t>1,500,000</w:t>
            </w: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1,485,491</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1,406,250</w:t>
            </w: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Production</w:t>
            </w:r>
          </w:p>
        </w:tc>
        <w:tc>
          <w:tcPr>
            <w:tcW w:w="6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ROC Finance LLC and ROC Finance 1 Corp</w:t>
            </w:r>
          </w:p>
        </w:tc>
        <w:tc>
          <w:tcPr>
            <w:tcW w:w="146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8"/>
              </w:rPr>
              <w:t>09/01/2018</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12.13%</w:t>
            </w:r>
          </w:p>
        </w:tc>
        <w:tc>
          <w:tcPr>
            <w:tcW w:w="1000" w:type="dxa"/>
            <w:vAlign w:val="bottom"/>
            <w:gridSpan w:val="2"/>
          </w:tcPr>
          <w:p>
            <w:pPr>
              <w:ind w:left="44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2,000,000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1,967,727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2,230,000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146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8"/>
              </w:rPr>
              <w:t>05/09/2018</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Utilities: Water</w:t>
            </w: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8.50%</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L+725</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1,000,000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991,449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995,000</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280" w:type="dxa"/>
            <w:vAlign w:val="bottom"/>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w:t>
            </w:r>
          </w:p>
        </w:tc>
        <w:tc>
          <w:tcPr>
            <w:tcW w:w="146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8"/>
              </w:rPr>
              <w:t>05/15/2019</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9.13%</w:t>
            </w:r>
          </w:p>
        </w:tc>
        <w:tc>
          <w:tcPr>
            <w:tcW w:w="1000" w:type="dxa"/>
            <w:vAlign w:val="bottom"/>
            <w:gridSpan w:val="2"/>
          </w:tcPr>
          <w:p>
            <w:pPr>
              <w:ind w:left="44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1,500,000</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1,500,000</w:t>
            </w:r>
          </w:p>
        </w:tc>
        <w:tc>
          <w:tcPr>
            <w:tcW w:w="2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1,522,500</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14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6,939,667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7,136,250</w:t>
            </w:r>
          </w:p>
        </w:tc>
        <w:tc>
          <w:tcPr>
            <w:tcW w:w="60" w:type="dxa"/>
            <w:vAlign w:val="bottom"/>
            <w:shd w:val="clear" w:color="auto" w:fill="CCEEFF"/>
          </w:tcPr>
          <w:p>
            <w:pPr>
              <w:spacing w:after="0"/>
              <w:rPr>
                <w:sz w:val="12"/>
                <w:szCs w:val="12"/>
                <w:color w:val="auto"/>
              </w:rPr>
            </w:pPr>
          </w:p>
        </w:tc>
      </w:tr>
      <w:tr>
        <w:trPr>
          <w:trHeight w:val="156"/>
        </w:trPr>
        <w:tc>
          <w:tcPr>
            <w:tcW w:w="33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Subordinated Debt/Corporate Notes—12.6%</w:t>
            </w:r>
          </w:p>
        </w:tc>
        <w:tc>
          <w:tcPr>
            <w:tcW w:w="14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46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5"/>
              </w:rPr>
              <w:t>11/15/2015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Consumer Goods: Non-Durable</w:t>
            </w: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11.63%</w:t>
            </w:r>
          </w:p>
        </w:tc>
        <w:tc>
          <w:tcPr>
            <w:tcW w:w="10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4,100,000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3,755,717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3,710,500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Document Technologies, Inc.</w:t>
            </w:r>
          </w:p>
        </w:tc>
        <w:tc>
          <w:tcPr>
            <w:tcW w:w="1460" w:type="dxa"/>
            <w:vAlign w:val="bottom"/>
          </w:tcPr>
          <w:p>
            <w:pPr>
              <w:jc w:val="center"/>
              <w:ind w:left="492"/>
              <w:spacing w:after="0" w:line="149" w:lineRule="exact"/>
              <w:rPr>
                <w:sz w:val="20"/>
                <w:szCs w:val="20"/>
                <w:color w:val="auto"/>
              </w:rPr>
            </w:pPr>
            <w:r>
              <w:rPr>
                <w:rFonts w:ascii="Arial" w:cs="Arial" w:eastAsia="Arial" w:hAnsi="Arial"/>
                <w:sz w:val="14"/>
                <w:szCs w:val="14"/>
                <w:color w:val="auto"/>
                <w:w w:val="88"/>
              </w:rPr>
              <w:t>12/01/2017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13.00%</w:t>
            </w:r>
          </w:p>
        </w:tc>
        <w:tc>
          <w:tcPr>
            <w:tcW w:w="1000" w:type="dxa"/>
            <w:vAlign w:val="bottom"/>
            <w:gridSpan w:val="2"/>
          </w:tcPr>
          <w:p>
            <w:pPr>
              <w:ind w:left="44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1,000,000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Lonestar Intermediate Super Holdings, LLC</w:t>
            </w:r>
          </w:p>
        </w:tc>
        <w:tc>
          <w:tcPr>
            <w:tcW w:w="146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8"/>
              </w:rPr>
              <w:t>09/02/2019</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Services</w:t>
            </w: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11.00%</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L+950</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1,500,000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1,455,331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1,517,250</w:t>
            </w:r>
          </w:p>
        </w:tc>
        <w:tc>
          <w:tcPr>
            <w:tcW w:w="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3280" w:type="dxa"/>
            <w:vAlign w:val="bottom"/>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1460" w:type="dxa"/>
            <w:vAlign w:val="bottom"/>
          </w:tcPr>
          <w:p>
            <w:pPr>
              <w:jc w:val="center"/>
              <w:ind w:left="492"/>
              <w:spacing w:after="0" w:line="138" w:lineRule="exact"/>
              <w:rPr>
                <w:sz w:val="20"/>
                <w:szCs w:val="20"/>
                <w:color w:val="auto"/>
              </w:rPr>
            </w:pPr>
            <w:r>
              <w:rPr>
                <w:rFonts w:ascii="Arial" w:cs="Arial" w:eastAsia="Arial" w:hAnsi="Arial"/>
                <w:sz w:val="14"/>
                <w:szCs w:val="14"/>
                <w:color w:val="auto"/>
                <w:w w:val="88"/>
              </w:rPr>
              <w:t>07/31/2018</w:t>
            </w:r>
          </w:p>
        </w:tc>
        <w:tc>
          <w:tcPr>
            <w:tcW w:w="2040" w:type="dxa"/>
            <w:vAlign w:val="bottom"/>
          </w:tcPr>
          <w:p>
            <w:pPr>
              <w:jc w:val="center"/>
              <w:spacing w:after="0" w:line="138" w:lineRule="exact"/>
              <w:rPr>
                <w:sz w:val="20"/>
                <w:szCs w:val="20"/>
                <w:color w:val="auto"/>
              </w:rPr>
            </w:pPr>
            <w:r>
              <w:rPr>
                <w:rFonts w:ascii="Arial" w:cs="Arial" w:eastAsia="Arial" w:hAnsi="Arial"/>
                <w:sz w:val="14"/>
                <w:szCs w:val="14"/>
                <w:color w:val="auto"/>
                <w:w w:val="85"/>
              </w:rPr>
              <w:t>Beverage, Food and Tobacco</w:t>
            </w:r>
          </w:p>
        </w:tc>
        <w:tc>
          <w:tcPr>
            <w:tcW w:w="110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14.00%</w:t>
            </w:r>
          </w:p>
        </w:tc>
        <w:tc>
          <w:tcPr>
            <w:tcW w:w="1000" w:type="dxa"/>
            <w:vAlign w:val="bottom"/>
            <w:gridSpan w:val="2"/>
          </w:tcPr>
          <w:p>
            <w:pPr>
              <w:ind w:left="440"/>
              <w:spacing w:after="0" w:line="138"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8"/>
                <w:szCs w:val="8"/>
                <w:color w:val="auto"/>
              </w:rPr>
              <w:t xml:space="preserve"> (9)</w:t>
            </w: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w w:val="89"/>
              </w:rPr>
              <w:t>3,781,731</w:t>
            </w:r>
          </w:p>
        </w:tc>
        <w:tc>
          <w:tcPr>
            <w:tcW w:w="8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3,712,668</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3,781,730</w:t>
            </w:r>
          </w:p>
        </w:tc>
        <w:tc>
          <w:tcPr>
            <w:tcW w:w="60" w:type="dxa"/>
            <w:vAlign w:val="bottom"/>
          </w:tcPr>
          <w:p>
            <w:pPr>
              <w:spacing w:after="0"/>
              <w:rPr>
                <w:sz w:val="11"/>
                <w:szCs w:val="11"/>
                <w:color w:val="auto"/>
              </w:rPr>
            </w:pPr>
          </w:p>
        </w:tc>
      </w:tr>
      <w:tr>
        <w:trPr>
          <w:trHeight w:val="172"/>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(PIK 2.00%)</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50"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(7)</w:t>
            </w:r>
          </w:p>
        </w:tc>
        <w:tc>
          <w:tcPr>
            <w:tcW w:w="1460" w:type="dxa"/>
            <w:vAlign w:val="bottom"/>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8"/>
              </w:rPr>
              <w:t>07/31/2018</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440"/>
              <w:spacing w:after="0" w:line="150"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2,206,000</w:t>
            </w:r>
          </w:p>
        </w:tc>
        <w:tc>
          <w:tcPr>
            <w:tcW w:w="14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2,161,880</w:t>
            </w:r>
          </w:p>
        </w:tc>
        <w:tc>
          <w:tcPr>
            <w:tcW w:w="2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2,206,000</w:t>
            </w:r>
          </w:p>
        </w:tc>
        <w:tc>
          <w:tcPr>
            <w:tcW w:w="60" w:type="dxa"/>
            <w:vAlign w:val="bottom"/>
            <w:shd w:val="clear" w:color="auto" w:fill="CCEEFF"/>
          </w:tcPr>
          <w:p>
            <w:pPr>
              <w:spacing w:after="0"/>
              <w:rPr>
                <w:sz w:val="12"/>
                <w:szCs w:val="12"/>
                <w:color w:val="auto"/>
              </w:rPr>
            </w:pPr>
          </w:p>
        </w:tc>
      </w:tr>
      <w:tr>
        <w:trPr>
          <w:trHeight w:val="156"/>
        </w:trPr>
        <w:tc>
          <w:tcPr>
            <w:tcW w:w="33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14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12,065,596</w:t>
            </w:r>
          </w:p>
        </w:tc>
        <w:tc>
          <w:tcPr>
            <w:tcW w:w="2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12,215,480</w:t>
            </w:r>
          </w:p>
        </w:tc>
        <w:tc>
          <w:tcPr>
            <w:tcW w:w="60" w:type="dxa"/>
            <w:vAlign w:val="bottom"/>
          </w:tcPr>
          <w:p>
            <w:pPr>
              <w:spacing w:after="0"/>
              <w:rPr>
                <w:sz w:val="13"/>
                <w:szCs w:val="13"/>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2" w:lineRule="auto"/>
        <w:rPr>
          <w:sz w:val="20"/>
          <w:szCs w:val="20"/>
          <w:color w:val="auto"/>
        </w:rPr>
      </w:pPr>
      <w:r>
        <w:rPr>
          <w:rFonts w:ascii="Arial" w:cs="Arial" w:eastAsia="Arial" w:hAnsi="Arial"/>
          <w:sz w:val="14"/>
          <w:szCs w:val="14"/>
          <w:b w:val="1"/>
          <w:bCs w:val="1"/>
          <w:color w:val="auto"/>
        </w:rPr>
        <w:t>MARCH 31, 2012</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Spread</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Above</w:t>
            </w:r>
          </w:p>
        </w:tc>
        <w:tc>
          <w:tcPr>
            <w:tcW w:w="58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rPr>
              <w:t>Par/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Fair Value</w:t>
            </w:r>
            <w:r>
              <w:rPr>
                <w:rFonts w:ascii="Arial" w:cs="Arial" w:eastAsia="Arial" w:hAnsi="Arial"/>
                <w:sz w:val="22"/>
                <w:szCs w:val="22"/>
                <w:b w:val="1"/>
                <w:bCs w:val="1"/>
                <w:color w:val="auto"/>
                <w:w w:val="96"/>
                <w:vertAlign w:val="superscript"/>
              </w:rPr>
              <w:t>(2)</w:t>
            </w:r>
          </w:p>
        </w:tc>
        <w:tc>
          <w:tcPr>
            <w:tcW w:w="0" w:type="dxa"/>
            <w:vAlign w:val="bottom"/>
          </w:tcPr>
          <w:p>
            <w:pPr>
              <w:spacing w:after="0"/>
              <w:rPr>
                <w:sz w:val="1"/>
                <w:szCs w:val="1"/>
                <w:color w:val="auto"/>
              </w:rPr>
            </w:pPr>
          </w:p>
        </w:tc>
      </w:tr>
      <w:tr>
        <w:trPr>
          <w:trHeight w:val="176"/>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860" w:type="dxa"/>
            <w:vAlign w:val="bottom"/>
          </w:tcPr>
          <w:p>
            <w:pPr>
              <w:ind w:left="220"/>
              <w:spacing w:after="0"/>
              <w:rPr>
                <w:sz w:val="20"/>
                <w:szCs w:val="20"/>
                <w:color w:val="auto"/>
              </w:rPr>
            </w:pPr>
            <w:r>
              <w:rPr>
                <w:rFonts w:ascii="Arial" w:cs="Arial" w:eastAsia="Arial" w:hAnsi="Arial"/>
                <w:sz w:val="14"/>
                <w:szCs w:val="14"/>
                <w:b w:val="1"/>
                <w:bCs w:val="1"/>
                <w:color w:val="auto"/>
              </w:rPr>
              <w:t>Maturity</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820" w:type="dxa"/>
            <w:vAlign w:val="bottom"/>
            <w:gridSpan w:val="2"/>
          </w:tcPr>
          <w:p>
            <w:pPr>
              <w:jc w:val="center"/>
              <w:ind w:right="16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(1)</w:t>
            </w: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Shares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Preferred Equity/Partnership Interests—0.1% </w:t>
            </w:r>
            <w:r>
              <w:rPr>
                <w:rFonts w:ascii="Arial" w:cs="Arial" w:eastAsia="Arial" w:hAnsi="Arial"/>
                <w:sz w:val="16"/>
                <w:szCs w:val="16"/>
                <w:b w:val="1"/>
                <w:bCs w:val="1"/>
                <w:color w:val="auto"/>
                <w:vertAlign w:val="superscript"/>
              </w:rPr>
              <w:t>(8)</w:t>
            </w:r>
          </w:p>
        </w:tc>
        <w:tc>
          <w:tcPr>
            <w:tcW w:w="860" w:type="dxa"/>
            <w:vAlign w:val="bottom"/>
            <w:tcBorders>
              <w:top w:val="single" w:sz="8" w:color="auto"/>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40" w:type="dxa"/>
            <w:vAlign w:val="bottom"/>
          </w:tcPr>
          <w:p>
            <w:pPr>
              <w:spacing w:after="0" w:line="138" w:lineRule="exact"/>
              <w:rPr>
                <w:sz w:val="20"/>
                <w:szCs w:val="20"/>
                <w:color w:val="auto"/>
              </w:rPr>
            </w:pPr>
            <w:r>
              <w:rPr>
                <w:rFonts w:ascii="Arial" w:cs="Arial" w:eastAsia="Arial" w:hAnsi="Arial"/>
                <w:sz w:val="14"/>
                <w:szCs w:val="14"/>
                <w:color w:val="auto"/>
              </w:rPr>
              <w:t>Trusthouse Services Holdings, LLC (Trusthouse Services</w:t>
            </w:r>
          </w:p>
        </w:tc>
        <w:tc>
          <w:tcPr>
            <w:tcW w:w="860" w:type="dxa"/>
            <w:vAlign w:val="bottom"/>
          </w:tcPr>
          <w:p>
            <w:pPr>
              <w:ind w:left="380"/>
              <w:spacing w:after="0" w:line="138" w:lineRule="exact"/>
              <w:rPr>
                <w:sz w:val="20"/>
                <w:szCs w:val="20"/>
                <w:color w:val="auto"/>
              </w:rPr>
            </w:pPr>
            <w:r>
              <w:rPr>
                <w:rFonts w:ascii="Arial" w:cs="Arial" w:eastAsia="Arial" w:hAnsi="Arial"/>
                <w:sz w:val="14"/>
                <w:szCs w:val="14"/>
                <w:color w:val="auto"/>
              </w:rPr>
              <w:t>—</w:t>
            </w:r>
          </w:p>
        </w:tc>
        <w:tc>
          <w:tcPr>
            <w:tcW w:w="19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720" w:type="dxa"/>
            <w:vAlign w:val="bottom"/>
            <w:gridSpan w:val="2"/>
          </w:tcPr>
          <w:p>
            <w:pPr>
              <w:ind w:left="180"/>
              <w:spacing w:after="0" w:line="138" w:lineRule="exact"/>
              <w:rPr>
                <w:sz w:val="20"/>
                <w:szCs w:val="20"/>
                <w:color w:val="auto"/>
              </w:rPr>
            </w:pPr>
            <w:r>
              <w:rPr>
                <w:rFonts w:ascii="Arial" w:cs="Arial" w:eastAsia="Arial" w:hAnsi="Arial"/>
                <w:sz w:val="14"/>
                <w:szCs w:val="14"/>
                <w:color w:val="auto"/>
              </w:rPr>
              <w:t>12.50%</w:t>
            </w:r>
          </w:p>
        </w:tc>
        <w:tc>
          <w:tcPr>
            <w:tcW w:w="8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158</w:t>
            </w:r>
          </w:p>
        </w:tc>
        <w:tc>
          <w:tcPr>
            <w:tcW w:w="3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95,000</w:t>
            </w:r>
          </w:p>
        </w:tc>
        <w:tc>
          <w:tcPr>
            <w:tcW w:w="26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122,104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40" w:type="dxa"/>
            <w:vAlign w:val="bottom"/>
          </w:tcPr>
          <w:p>
            <w:pPr>
              <w:ind w:left="200"/>
              <w:spacing w:after="0" w:line="159" w:lineRule="exact"/>
              <w:rPr>
                <w:sz w:val="20"/>
                <w:szCs w:val="20"/>
                <w:color w:val="auto"/>
              </w:rPr>
            </w:pPr>
            <w:r>
              <w:rPr>
                <w:rFonts w:ascii="Arial" w:cs="Arial" w:eastAsia="Arial" w:hAnsi="Arial"/>
                <w:sz w:val="14"/>
                <w:szCs w:val="14"/>
                <w:color w:val="auto"/>
              </w:rPr>
              <w:t>Group, Inc.)</w:t>
            </w: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Equity—0.4% </w:t>
            </w:r>
            <w:r>
              <w:rPr>
                <w:rFonts w:ascii="Arial" w:cs="Arial" w:eastAsia="Arial" w:hAnsi="Arial"/>
                <w:sz w:val="17"/>
                <w:szCs w:val="17"/>
                <w:b w:val="1"/>
                <w:bCs w:val="1"/>
                <w:color w:val="auto"/>
                <w:vertAlign w:val="superscript"/>
              </w:rPr>
              <w:t>(8)</w:t>
            </w:r>
          </w:p>
        </w:tc>
        <w:tc>
          <w:tcPr>
            <w:tcW w:w="8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Titan Private Holdings I, LLC (Tekelec Global, Inc.)</w:t>
            </w:r>
          </w:p>
        </w:tc>
        <w:tc>
          <w:tcPr>
            <w:tcW w:w="86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Telecommunications</w:t>
            </w: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401,797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401,450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401,797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 (Trusthouse Services</w:t>
            </w:r>
          </w:p>
        </w:tc>
        <w:tc>
          <w:tcPr>
            <w:tcW w:w="860" w:type="dxa"/>
            <w:vAlign w:val="bottom"/>
            <w:shd w:val="clear" w:color="auto" w:fill="CCEEFF"/>
          </w:tcPr>
          <w:p>
            <w:pPr>
              <w:ind w:left="380"/>
              <w:spacing w:after="0" w:line="138" w:lineRule="exact"/>
              <w:rPr>
                <w:sz w:val="20"/>
                <w:szCs w:val="20"/>
                <w:color w:val="auto"/>
              </w:rPr>
            </w:pPr>
            <w:r>
              <w:rPr>
                <w:rFonts w:ascii="Arial" w:cs="Arial" w:eastAsia="Arial" w:hAnsi="Arial"/>
                <w:sz w:val="14"/>
                <w:szCs w:val="14"/>
                <w:color w:val="auto"/>
              </w:rPr>
              <w:t>—</w:t>
            </w:r>
          </w:p>
        </w:tc>
        <w:tc>
          <w:tcPr>
            <w:tcW w:w="19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72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6,177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Group, Inc.)</w:t>
            </w:r>
          </w:p>
        </w:tc>
        <w:tc>
          <w:tcPr>
            <w:tcW w:w="8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406,450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407,974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1"/>
              </w:rPr>
              <w:t>Total Investments in Non-Controlled, Non-Affiliated Portfolio Companies</w:t>
            </w:r>
          </w:p>
        </w:tc>
        <w:tc>
          <w:tcPr>
            <w:tcW w:w="8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146,227,958</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146,188,132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Equivalents—4.0%</w:t>
            </w: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w w:val="89"/>
              </w:rPr>
              <w:t>3,849,360</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3,849,360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3,849,360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Equivalents—155.1%</w:t>
            </w:r>
          </w:p>
        </w:tc>
        <w:tc>
          <w:tcPr>
            <w:tcW w:w="8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150,077,318</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150,037,492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Liabilities in Excess of Other Assets—(55.1)%</w:t>
            </w:r>
          </w:p>
        </w:tc>
        <w:tc>
          <w:tcPr>
            <w:tcW w:w="8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8"/>
              </w:rPr>
              <w:t>(53,315,187)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8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96,722,305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51765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1" w:lineRule="exact"/>
        <w:rPr>
          <w:sz w:val="20"/>
          <w:szCs w:val="20"/>
          <w:color w:val="auto"/>
        </w:rPr>
      </w:pPr>
    </w:p>
    <w:p>
      <w:pPr>
        <w:ind w:left="680" w:right="220" w:hanging="334"/>
        <w:spacing w:after="0" w:line="230" w:lineRule="auto"/>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or prime rate, or Prime or “P”. All securities are subject to a LIBOR or Prime rate floor where a spread is provided, unless noted.</w:t>
      </w:r>
    </w:p>
    <w:p>
      <w:pPr>
        <w:ind w:left="680" w:hanging="334"/>
        <w:spacing w:after="0" w:line="221" w:lineRule="auto"/>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680" w:right="80" w:hanging="334"/>
        <w:spacing w:after="0" w:line="221" w:lineRule="auto"/>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680" w:right="140" w:hanging="334"/>
        <w:spacing w:after="0" w:line="258" w:lineRule="auto"/>
        <w:tabs>
          <w:tab w:leader="none" w:pos="6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680" w:right="240" w:hanging="334"/>
        <w:spacing w:after="0" w:line="221" w:lineRule="auto"/>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680" w:hanging="334"/>
        <w:spacing w:after="0" w:line="221" w:lineRule="auto"/>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680" w:hanging="334"/>
        <w:spacing w:after="0" w:line="221" w:lineRule="auto"/>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680" w:hanging="334"/>
        <w:spacing w:after="0" w:line="221" w:lineRule="auto"/>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680" w:hanging="334"/>
        <w:spacing w:after="0"/>
        <w:tabs>
          <w:tab w:leader="none" w:pos="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60" w:type="dxa"/>
            <w:vAlign w:val="bottom"/>
          </w:tcPr>
          <w:p>
            <w:pPr>
              <w:jc w:val="right"/>
              <w:ind w:right="273"/>
              <w:spacing w:after="0" w:line="135" w:lineRule="exact"/>
              <w:rPr>
                <w:sz w:val="20"/>
                <w:szCs w:val="20"/>
                <w:color w:val="auto"/>
              </w:rPr>
            </w:pPr>
            <w:r>
              <w:rPr>
                <w:rFonts w:ascii="Arial" w:cs="Arial" w:eastAsia="Arial" w:hAnsi="Arial"/>
                <w:sz w:val="14"/>
                <w:szCs w:val="14"/>
                <w:b w:val="1"/>
                <w:bCs w:val="1"/>
                <w:color w:val="auto"/>
              </w:rPr>
              <w:t>Current</w:t>
            </w:r>
          </w:p>
        </w:tc>
        <w:tc>
          <w:tcPr>
            <w:tcW w:w="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8"/>
              </w:rPr>
              <w:t>Par/</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6"/>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480" w:type="dxa"/>
            <w:vAlign w:val="bottom"/>
          </w:tcPr>
          <w:p>
            <w:pPr>
              <w:jc w:val="center"/>
              <w:ind w:left="512"/>
              <w:spacing w:after="0"/>
              <w:rPr>
                <w:sz w:val="20"/>
                <w:szCs w:val="20"/>
                <w:color w:val="auto"/>
              </w:rPr>
            </w:pPr>
            <w:r>
              <w:rPr>
                <w:rFonts w:ascii="Arial" w:cs="Arial" w:eastAsia="Arial" w:hAnsi="Arial"/>
                <w:sz w:val="14"/>
                <w:szCs w:val="14"/>
                <w:b w:val="1"/>
                <w:bCs w:val="1"/>
                <w:color w:val="auto"/>
                <w:w w:val="99"/>
              </w:rPr>
              <w:t>Maturity</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960" w:type="dxa"/>
            <w:vAlign w:val="bottom"/>
          </w:tcPr>
          <w:p>
            <w:pPr>
              <w:jc w:val="right"/>
              <w:ind w:right="293"/>
              <w:spacing w:after="0"/>
              <w:rPr>
                <w:sz w:val="20"/>
                <w:szCs w:val="20"/>
                <w:color w:val="auto"/>
              </w:rPr>
            </w:pPr>
            <w:r>
              <w:rPr>
                <w:rFonts w:ascii="Arial" w:cs="Arial" w:eastAsia="Arial" w:hAnsi="Arial"/>
                <w:sz w:val="14"/>
                <w:szCs w:val="14"/>
                <w:b w:val="1"/>
                <w:bCs w:val="1"/>
                <w:color w:val="auto"/>
              </w:rPr>
              <w:t>Coupon</w:t>
            </w:r>
          </w:p>
        </w:tc>
        <w:tc>
          <w:tcPr>
            <w:tcW w:w="92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(1)</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Shares</w:t>
            </w: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74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0"/>
              </w:rPr>
              <w:t>Value</w:t>
            </w:r>
            <w:r>
              <w:rPr>
                <w:rFonts w:ascii="Arial" w:cs="Arial" w:eastAsia="Arial" w:hAnsi="Arial"/>
                <w:sz w:val="20"/>
                <w:szCs w:val="20"/>
                <w:b w:val="1"/>
                <w:bCs w:val="1"/>
                <w:color w:val="auto"/>
                <w:w w:val="90"/>
                <w:vertAlign w:val="superscript"/>
              </w:rPr>
              <w:t>(2)</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120" w:type="dxa"/>
            <w:vAlign w:val="bottom"/>
            <w:tcBorders>
              <w:top w:val="single" w:sz="8" w:color="auto"/>
            </w:tcBorders>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216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6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Non-Controlled, Non-Affiliated Portfolio Companies—120.2%</w:t>
            </w:r>
            <w:r>
              <w:rPr>
                <w:rFonts w:ascii="Arial" w:cs="Arial" w:eastAsia="Arial" w:hAnsi="Arial"/>
                <w:sz w:val="17"/>
                <w:szCs w:val="17"/>
                <w:b w:val="1"/>
                <w:bCs w:val="1"/>
                <w:color w:val="auto"/>
                <w:vertAlign w:val="superscript"/>
              </w:rPr>
              <w:t>(3),(4)</w:t>
            </w:r>
          </w:p>
        </w:tc>
        <w:tc>
          <w:tcPr>
            <w:tcW w:w="9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Debt—102.4%</w:t>
            </w: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Airvana Network Solutions Inc.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03/25/2015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L+800</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1,209,524</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$ 1,213,365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$ 1,215,571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Artel, LLC </w:t>
            </w:r>
            <w:r>
              <w:rPr>
                <w:rFonts w:ascii="Arial" w:cs="Arial" w:eastAsia="Arial" w:hAnsi="Arial"/>
                <w:sz w:val="17"/>
                <w:szCs w:val="17"/>
                <w:color w:val="auto"/>
                <w:vertAlign w:val="superscript"/>
              </w:rPr>
              <w:t>(5)</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06/01/2016</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5.50%</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L+425</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987,500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978,043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972,688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Autoparts Holdings Limited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07/29/2017</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L+500</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1,000,000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995,085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07/31/2016</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12.38%</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L+988</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478,873</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488,220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476,878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C.H.I. Overhead Doors, Inc.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08/17/2017</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7.25%</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L+575</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4,000,000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3,921,236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EAG, Inc. </w:t>
            </w:r>
            <w:r>
              <w:rPr>
                <w:rFonts w:ascii="Arial" w:cs="Arial" w:eastAsia="Arial" w:hAnsi="Arial"/>
                <w:sz w:val="17"/>
                <w:szCs w:val="17"/>
                <w:color w:val="auto"/>
                <w:vertAlign w:val="superscript"/>
              </w:rPr>
              <w:t>(5)</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07/28/2017</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P+350</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987,500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982,590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967,750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Ernest Health, Inc.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05/13/2016</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L+475</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2,966,250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2,939,107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2,936,587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Frac Tech International, LLC</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05/06/2016</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8"/>
              </w:rPr>
              <w:t>Energy: Oil and Gas</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L+475</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2,073,930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2,054,330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2,033,747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Gundle/SLT Environmental, Inc.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05/27/2016</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Industries</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7.01%</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2,992,500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2,964,467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Harmony Foods Corporation </w:t>
            </w:r>
            <w:r>
              <w:rPr>
                <w:rFonts w:ascii="Arial" w:cs="Arial" w:eastAsia="Arial" w:hAnsi="Arial"/>
                <w:sz w:val="17"/>
                <w:szCs w:val="17"/>
                <w:color w:val="auto"/>
                <w:vertAlign w:val="superscript"/>
              </w:rPr>
              <w:t>(11), (6)</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05/01/2016</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9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2,000,000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2,000,000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1,990,000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Insight Global, Inc.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08/16/2017</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L+500</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2,493,750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2,481,331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2,475,047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Pr>
          <w:p>
            <w:pPr>
              <w:spacing w:after="0" w:line="138" w:lineRule="exact"/>
              <w:rPr>
                <w:sz w:val="20"/>
                <w:szCs w:val="20"/>
                <w:color w:val="auto"/>
              </w:rPr>
            </w:pPr>
            <w:r>
              <w:rPr>
                <w:rFonts w:ascii="Arial" w:cs="Arial" w:eastAsia="Arial" w:hAnsi="Arial"/>
                <w:sz w:val="10"/>
                <w:szCs w:val="10"/>
                <w:color w:val="auto"/>
              </w:rPr>
              <w:t xml:space="preserve">Instant Web, Inc. </w:t>
            </w:r>
            <w:r>
              <w:rPr>
                <w:rFonts w:ascii="Arial" w:cs="Arial" w:eastAsia="Arial" w:hAnsi="Arial"/>
                <w:sz w:val="15"/>
                <w:szCs w:val="15"/>
                <w:color w:val="auto"/>
                <w:vertAlign w:val="superscript"/>
              </w:rPr>
              <w:t>(7)</w:t>
            </w:r>
          </w:p>
        </w:tc>
        <w:tc>
          <w:tcPr>
            <w:tcW w:w="1480" w:type="dxa"/>
            <w:vAlign w:val="bottom"/>
          </w:tcPr>
          <w:p>
            <w:pPr>
              <w:jc w:val="center"/>
              <w:ind w:left="512"/>
              <w:spacing w:after="0" w:line="138" w:lineRule="exact"/>
              <w:rPr>
                <w:sz w:val="20"/>
                <w:szCs w:val="20"/>
                <w:color w:val="auto"/>
              </w:rPr>
            </w:pPr>
            <w:r>
              <w:rPr>
                <w:rFonts w:ascii="Arial" w:cs="Arial" w:eastAsia="Arial" w:hAnsi="Arial"/>
                <w:sz w:val="14"/>
                <w:szCs w:val="14"/>
                <w:color w:val="auto"/>
                <w:w w:val="88"/>
              </w:rPr>
              <w:t>08/07/2014</w:t>
            </w:r>
          </w:p>
        </w:tc>
        <w:tc>
          <w:tcPr>
            <w:tcW w:w="2160" w:type="dxa"/>
            <w:vAlign w:val="bottom"/>
          </w:tcPr>
          <w:p>
            <w:pPr>
              <w:jc w:val="center"/>
              <w:spacing w:after="0" w:line="138" w:lineRule="exact"/>
              <w:rPr>
                <w:sz w:val="20"/>
                <w:szCs w:val="20"/>
                <w:color w:val="auto"/>
              </w:rPr>
            </w:pPr>
            <w:r>
              <w:rPr>
                <w:rFonts w:ascii="Arial" w:cs="Arial" w:eastAsia="Arial" w:hAnsi="Arial"/>
                <w:sz w:val="14"/>
                <w:szCs w:val="14"/>
                <w:color w:val="auto"/>
                <w:w w:val="91"/>
              </w:rPr>
              <w:t>Media: Advertising, Printing and</w:t>
            </w:r>
          </w:p>
        </w:tc>
        <w:tc>
          <w:tcPr>
            <w:tcW w:w="96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3.61%</w:t>
            </w:r>
          </w:p>
        </w:tc>
        <w:tc>
          <w:tcPr>
            <w:tcW w:w="920" w:type="dxa"/>
            <w:vAlign w:val="bottom"/>
          </w:tcPr>
          <w:p>
            <w:pPr>
              <w:jc w:val="right"/>
              <w:ind w:right="93"/>
              <w:spacing w:after="0" w:line="138" w:lineRule="exact"/>
              <w:rPr>
                <w:sz w:val="20"/>
                <w:szCs w:val="20"/>
                <w:color w:val="auto"/>
              </w:rPr>
            </w:pPr>
            <w:r>
              <w:rPr>
                <w:rFonts w:ascii="Arial" w:cs="Arial" w:eastAsia="Arial" w:hAnsi="Arial"/>
                <w:sz w:val="14"/>
                <w:szCs w:val="14"/>
                <w:color w:val="auto"/>
              </w:rPr>
              <w:t>L+338</w:t>
            </w:r>
          </w:p>
        </w:tc>
        <w:tc>
          <w:tcPr>
            <w:tcW w:w="9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6,981,823</w:t>
            </w:r>
          </w:p>
        </w:tc>
        <w:tc>
          <w:tcPr>
            <w:tcW w:w="180" w:type="dxa"/>
            <w:vAlign w:val="bottom"/>
          </w:tcPr>
          <w:p>
            <w:pPr>
              <w:spacing w:after="0"/>
              <w:rPr>
                <w:sz w:val="11"/>
                <w:szCs w:val="11"/>
                <w:color w:val="auto"/>
              </w:rPr>
            </w:pP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6,523,240</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6,283,641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160" w:type="dxa"/>
            <w:vAlign w:val="bottom"/>
          </w:tcPr>
          <w:p>
            <w:pPr>
              <w:jc w:val="center"/>
              <w:spacing w:after="0" w:line="159" w:lineRule="exact"/>
              <w:rPr>
                <w:sz w:val="20"/>
                <w:szCs w:val="20"/>
                <w:color w:val="auto"/>
              </w:rPr>
            </w:pPr>
            <w:r>
              <w:rPr>
                <w:rFonts w:ascii="Arial" w:cs="Arial" w:eastAsia="Arial" w:hAnsi="Arial"/>
                <w:sz w:val="14"/>
                <w:szCs w:val="14"/>
                <w:color w:val="auto"/>
                <w:w w:val="86"/>
              </w:rPr>
              <w:t>Publishing</w:t>
            </w: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09/10/2015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P+675</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5,476,250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5,525,637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5,202,437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KAR Auction Services, Inc.</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05/19/2017</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5.00%</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L+375</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2,992,500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2,978,487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2,895,244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(7)</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05/31/2014</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8.50%</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L+700</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4,987,500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4,847,186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4,713,187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Medpace Holdings, Inc. </w:t>
            </w:r>
            <w:r>
              <w:rPr>
                <w:rFonts w:ascii="Arial" w:cs="Arial" w:eastAsia="Arial" w:hAnsi="Arial"/>
                <w:sz w:val="17"/>
                <w:szCs w:val="17"/>
                <w:color w:val="auto"/>
                <w:vertAlign w:val="superscript"/>
              </w:rPr>
              <w:t>(5)</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06/17/2017</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L+500</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1,995,000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1,966,025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1,895,250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(7), (5)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05/06/2018</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3,990,000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3,951,886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3,670,800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Penton Media, Inc.</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08/01/2014</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60" w:type="dxa"/>
            <w:vAlign w:val="bottom"/>
          </w:tcPr>
          <w:p>
            <w:pPr>
              <w:jc w:val="right"/>
              <w:ind w:right="33"/>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(8)</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L+400</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5,498,048</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4,675,936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3,802,818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Potter’s Holdings II, L.P.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05/08/2017</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Containers, Packaging and Glass</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6.00%</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L+450</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1,995,000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1,976,257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Pro Mach, Inc. </w:t>
            </w:r>
            <w:r>
              <w:rPr>
                <w:rFonts w:ascii="Arial" w:cs="Arial" w:eastAsia="Arial" w:hAnsi="Arial"/>
                <w:sz w:val="17"/>
                <w:szCs w:val="17"/>
                <w:color w:val="auto"/>
                <w:vertAlign w:val="superscript"/>
              </w:rPr>
              <w:t>(5)</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07/06/2017</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7"/>
              </w:rPr>
              <w:t>Capital Equipment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L+475</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997,500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987,986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982,537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Securus Technologies, Inc.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05/31/2017</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5.25%</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L+400</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2,992,500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2,963,597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2,891,503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color w:val="auto"/>
              </w:rPr>
              <w:t>Select Medical Corporation</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06/01/2018</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5.50%</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L+375</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2,992,500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2,963,943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2,708,212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(11), (6), (7)</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05/15/2019</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9.13%</w:t>
            </w:r>
          </w:p>
        </w:tc>
        <w:tc>
          <w:tcPr>
            <w:tcW w:w="92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3,000,000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Sotera Defense Solutions, Inc. </w:t>
            </w:r>
            <w:r>
              <w:rPr>
                <w:rFonts w:ascii="Arial" w:cs="Arial" w:eastAsia="Arial" w:hAnsi="Arial"/>
                <w:sz w:val="17"/>
                <w:szCs w:val="17"/>
                <w:color w:val="auto"/>
                <w:vertAlign w:val="superscript"/>
              </w:rPr>
              <w:t>(5)</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04/22/2017</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7.00%</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L+550</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2,992,500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2,964,848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2,917,688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Tank Intermediate Holding Corp.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04/15/2016</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Containers, Packaging and Glass</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5.00%</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L+375</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1,835,472</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1,831,420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1,807,940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Terex Corporation </w:t>
            </w:r>
            <w:r>
              <w:rPr>
                <w:rFonts w:ascii="Arial" w:cs="Arial" w:eastAsia="Arial" w:hAnsi="Arial"/>
                <w:sz w:val="17"/>
                <w:szCs w:val="17"/>
                <w:color w:val="auto"/>
                <w:vertAlign w:val="superscript"/>
              </w:rPr>
              <w:t>(5)</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04/28/2017</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7"/>
              </w:rPr>
              <w:t>Capital Equipment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5.50%</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L+400</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2,000,000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1,980,598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1,962,500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Triple Point Technology, Inc.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04/14/2016</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L+475</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4,968,750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4,923,769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4,819,688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Univita Health Inc. </w:t>
            </w:r>
            <w:r>
              <w:rPr>
                <w:rFonts w:ascii="Arial" w:cs="Arial" w:eastAsia="Arial" w:hAnsi="Arial"/>
                <w:sz w:val="17"/>
                <w:szCs w:val="17"/>
                <w:color w:val="auto"/>
                <w:vertAlign w:val="superscript"/>
              </w:rPr>
              <w:t>(5)</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06/19/2017</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L+475</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2,992,500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2,964,110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2,827,913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U.S. Healthworks Holding Company, Inc.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06/15/2016</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L+475</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2,992,500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2,964,480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2,887,763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Valitas Health Services, Inc. </w:t>
            </w:r>
            <w:r>
              <w:rPr>
                <w:rFonts w:ascii="Arial" w:cs="Arial" w:eastAsia="Arial" w:hAnsi="Arial"/>
                <w:sz w:val="17"/>
                <w:szCs w:val="17"/>
                <w:color w:val="auto"/>
                <w:vertAlign w:val="superscript"/>
              </w:rPr>
              <w:t>(5)</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06/02/2017</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5.75%</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L+450</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1,496,250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1,489,223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1,406,475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1480" w:type="dxa"/>
            <w:vAlign w:val="bottom"/>
            <w:shd w:val="clear" w:color="auto" w:fill="CCEEFF"/>
          </w:tcPr>
          <w:p>
            <w:pPr>
              <w:jc w:val="center"/>
              <w:ind w:left="512"/>
              <w:spacing w:after="0" w:line="138" w:lineRule="exact"/>
              <w:rPr>
                <w:sz w:val="20"/>
                <w:szCs w:val="20"/>
                <w:color w:val="auto"/>
              </w:rPr>
            </w:pPr>
            <w:r>
              <w:rPr>
                <w:rFonts w:ascii="Arial" w:cs="Arial" w:eastAsia="Arial" w:hAnsi="Arial"/>
                <w:sz w:val="14"/>
                <w:szCs w:val="14"/>
                <w:color w:val="auto"/>
                <w:w w:val="88"/>
              </w:rPr>
              <w:t>04/19/2016</w:t>
            </w:r>
          </w:p>
        </w:tc>
        <w:tc>
          <w:tcPr>
            <w:tcW w:w="2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1"/>
              </w:rPr>
              <w:t>Media: Advertising, Printing and</w:t>
            </w:r>
          </w:p>
        </w:tc>
        <w:tc>
          <w:tcPr>
            <w:tcW w:w="9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7.00%</w:t>
            </w:r>
          </w:p>
        </w:tc>
        <w:tc>
          <w:tcPr>
            <w:tcW w:w="920" w:type="dxa"/>
            <w:vAlign w:val="bottom"/>
            <w:shd w:val="clear" w:color="auto" w:fill="CCEEFF"/>
          </w:tcPr>
          <w:p>
            <w:pPr>
              <w:jc w:val="right"/>
              <w:ind w:right="93"/>
              <w:spacing w:after="0" w:line="138" w:lineRule="exact"/>
              <w:rPr>
                <w:sz w:val="20"/>
                <w:szCs w:val="20"/>
                <w:color w:val="auto"/>
              </w:rPr>
            </w:pPr>
            <w:r>
              <w:rPr>
                <w:rFonts w:ascii="Arial" w:cs="Arial" w:eastAsia="Arial" w:hAnsi="Arial"/>
                <w:sz w:val="14"/>
                <w:szCs w:val="14"/>
                <w:color w:val="auto"/>
              </w:rPr>
              <w:t>L+550</w:t>
            </w:r>
          </w:p>
        </w:tc>
        <w:tc>
          <w:tcPr>
            <w:tcW w:w="900" w:type="dxa"/>
            <w:vAlign w:val="bottom"/>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4,750,000</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4,694,273</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4,690,625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1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Publishing</w:t>
            </w:r>
          </w:p>
        </w:tc>
        <w:tc>
          <w:tcPr>
            <w:tcW w:w="9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Virtual Radiologic Corporation </w:t>
            </w:r>
            <w:r>
              <w:rPr>
                <w:rFonts w:ascii="Arial" w:cs="Arial" w:eastAsia="Arial" w:hAnsi="Arial"/>
                <w:sz w:val="17"/>
                <w:szCs w:val="17"/>
                <w:color w:val="auto"/>
                <w:vertAlign w:val="superscript"/>
              </w:rPr>
              <w:t>(5)</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12/22/2016</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7.75%</w:t>
            </w:r>
          </w:p>
        </w:tc>
        <w:tc>
          <w:tcPr>
            <w:tcW w:w="920" w:type="dxa"/>
            <w:vAlign w:val="bottom"/>
          </w:tcPr>
          <w:p>
            <w:pPr>
              <w:jc w:val="right"/>
              <w:ind w:right="93"/>
              <w:spacing w:after="0" w:line="149" w:lineRule="exact"/>
              <w:rPr>
                <w:sz w:val="20"/>
                <w:szCs w:val="20"/>
                <w:color w:val="auto"/>
              </w:rPr>
            </w:pPr>
            <w:r>
              <w:rPr>
                <w:rFonts w:ascii="Arial" w:cs="Arial" w:eastAsia="Arial" w:hAnsi="Arial"/>
                <w:sz w:val="14"/>
                <w:szCs w:val="14"/>
                <w:color w:val="auto"/>
              </w:rPr>
              <w:t>P+450</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2,992,500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2,963,172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Water Pik, Inc. </w:t>
            </w:r>
            <w:r>
              <w:rPr>
                <w:rFonts w:ascii="Arial" w:cs="Arial" w:eastAsia="Arial" w:hAnsi="Arial"/>
                <w:sz w:val="17"/>
                <w:szCs w:val="17"/>
                <w:color w:val="auto"/>
                <w:vertAlign w:val="superscript"/>
              </w:rPr>
              <w:t>(5)</w:t>
            </w:r>
          </w:p>
        </w:tc>
        <w:tc>
          <w:tcPr>
            <w:tcW w:w="148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88"/>
              </w:rPr>
              <w:t>08/10/2017</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9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92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color w:val="auto"/>
              </w:rPr>
              <w:t>L+525</w:t>
            </w: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3,500,000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3,465,501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(11), (6)</w:t>
            </w:r>
          </w:p>
        </w:tc>
        <w:tc>
          <w:tcPr>
            <w:tcW w:w="1480" w:type="dxa"/>
            <w:vAlign w:val="bottom"/>
          </w:tcPr>
          <w:p>
            <w:pPr>
              <w:jc w:val="center"/>
              <w:ind w:left="512"/>
              <w:spacing w:after="0" w:line="149" w:lineRule="exact"/>
              <w:rPr>
                <w:sz w:val="20"/>
                <w:szCs w:val="20"/>
                <w:color w:val="auto"/>
              </w:rPr>
            </w:pPr>
            <w:r>
              <w:rPr>
                <w:rFonts w:ascii="Arial" w:cs="Arial" w:eastAsia="Arial" w:hAnsi="Arial"/>
                <w:sz w:val="14"/>
                <w:szCs w:val="14"/>
                <w:color w:val="auto"/>
                <w:w w:val="88"/>
              </w:rPr>
              <w:t>07/15/2016</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11.38%</w:t>
            </w:r>
          </w:p>
        </w:tc>
        <w:tc>
          <w:tcPr>
            <w:tcW w:w="92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4,000,000</w:t>
            </w: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4,355,966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4,080,000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148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97,975,314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94,333,126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1"/>
              </w:rPr>
              <w:t>Basis Point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Maturity</w:t>
            </w:r>
          </w:p>
        </w:tc>
        <w:tc>
          <w:tcPr>
            <w:tcW w:w="2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Industry</w:t>
            </w: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Current</w:t>
            </w: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Above</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5"/>
        </w:trPr>
        <w:tc>
          <w:tcPr>
            <w:tcW w:w="3080" w:type="dxa"/>
            <w:vAlign w:val="bottom"/>
            <w:gridSpan w:val="3"/>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740" w:type="dxa"/>
            <w:vAlign w:val="bottom"/>
            <w:gridSpan w:val="2"/>
            <w:vMerge w:val="continue"/>
          </w:tcPr>
          <w:p>
            <w:pPr>
              <w:spacing w:after="0"/>
              <w:rPr>
                <w:sz w:val="11"/>
                <w:szCs w:val="11"/>
                <w:color w:val="auto"/>
              </w:rPr>
            </w:pPr>
          </w:p>
        </w:tc>
        <w:tc>
          <w:tcPr>
            <w:tcW w:w="94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83"/>
              </w:rPr>
              <w:t>Coupon</w:t>
            </w:r>
          </w:p>
        </w:tc>
        <w:tc>
          <w:tcPr>
            <w:tcW w:w="1040" w:type="dxa"/>
            <w:vAlign w:val="bottom"/>
            <w:gridSpan w:val="2"/>
          </w:tcPr>
          <w:p>
            <w:pPr>
              <w:jc w:val="center"/>
              <w:ind w:right="400"/>
              <w:spacing w:after="0" w:line="135" w:lineRule="exact"/>
              <w:rPr>
                <w:sz w:val="20"/>
                <w:szCs w:val="20"/>
                <w:color w:val="auto"/>
              </w:rPr>
            </w:pPr>
            <w:r>
              <w:rPr>
                <w:rFonts w:ascii="Arial" w:cs="Arial" w:eastAsia="Arial" w:hAnsi="Arial"/>
                <w:sz w:val="10"/>
                <w:szCs w:val="10"/>
                <w:b w:val="1"/>
                <w:bCs w:val="1"/>
                <w:color w:val="auto"/>
              </w:rPr>
              <w:t xml:space="preserve">Index </w:t>
            </w:r>
            <w:r>
              <w:rPr>
                <w:rFonts w:ascii="Arial" w:cs="Arial" w:eastAsia="Arial" w:hAnsi="Arial"/>
                <w:sz w:val="15"/>
                <w:szCs w:val="15"/>
                <w:b w:val="1"/>
                <w:bCs w:val="1"/>
                <w:color w:val="auto"/>
                <w:vertAlign w:val="superscript"/>
              </w:rPr>
              <w:t>(1)</w:t>
            </w: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98"/>
              </w:rPr>
              <w:t>Shares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33"/>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0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Second Lien Secured Debt—10.1%</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Autoparts Holdings Limited </w:t>
            </w:r>
            <w:r>
              <w:rPr>
                <w:rFonts w:ascii="Arial" w:cs="Arial" w:eastAsia="Arial" w:hAnsi="Arial"/>
                <w:sz w:val="17"/>
                <w:szCs w:val="17"/>
                <w:color w:val="auto"/>
                <w:vertAlign w:val="superscript"/>
              </w:rPr>
              <w:t>(5)</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01/29/2018</w:t>
            </w:r>
          </w:p>
        </w:tc>
        <w:tc>
          <w:tcPr>
            <w:tcW w:w="200" w:type="dxa"/>
            <w:vAlign w:val="bottom"/>
          </w:tcPr>
          <w:p>
            <w:pPr>
              <w:spacing w:after="0"/>
              <w:rPr>
                <w:sz w:val="12"/>
                <w:szCs w:val="12"/>
                <w:color w:val="auto"/>
              </w:rPr>
            </w:pPr>
          </w:p>
        </w:tc>
        <w:tc>
          <w:tcPr>
            <w:tcW w:w="2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Automotive</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10.50%</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L+900</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1,000,000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995,000</w:t>
            </w:r>
          </w:p>
        </w:tc>
        <w:tc>
          <w:tcPr>
            <w:tcW w:w="14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985,000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Ernest Health,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05/13/2017</w:t>
            </w:r>
          </w:p>
        </w:tc>
        <w:tc>
          <w:tcPr>
            <w:tcW w:w="200" w:type="dxa"/>
            <w:vAlign w:val="bottom"/>
            <w:shd w:val="clear" w:color="auto" w:fill="CCEEFF"/>
          </w:tcPr>
          <w:p>
            <w:pPr>
              <w:spacing w:after="0"/>
              <w:rPr>
                <w:sz w:val="12"/>
                <w:szCs w:val="12"/>
                <w:color w:val="auto"/>
              </w:rPr>
            </w:pPr>
          </w:p>
        </w:tc>
        <w:tc>
          <w:tcPr>
            <w:tcW w:w="2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Healthcare and Pharmaceuticals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10.25%</w:t>
            </w: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L+850</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4,000,000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3,942,406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(7)</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11/06/2018</w:t>
            </w:r>
          </w:p>
        </w:tc>
        <w:tc>
          <w:tcPr>
            <w:tcW w:w="200" w:type="dxa"/>
            <w:vAlign w:val="bottom"/>
          </w:tcPr>
          <w:p>
            <w:pPr>
              <w:spacing w:after="0"/>
              <w:rPr>
                <w:sz w:val="12"/>
                <w:szCs w:val="12"/>
                <w:color w:val="auto"/>
              </w:rPr>
            </w:pPr>
          </w:p>
        </w:tc>
        <w:tc>
          <w:tcPr>
            <w:tcW w:w="2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10.25%</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L+875</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1,500,000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1,485,581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1,380,000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(5)</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09/01/2018</w:t>
            </w:r>
          </w:p>
        </w:tc>
        <w:tc>
          <w:tcPr>
            <w:tcW w:w="200" w:type="dxa"/>
            <w:vAlign w:val="bottom"/>
            <w:shd w:val="clear" w:color="auto" w:fill="CCEEFF"/>
          </w:tcPr>
          <w:p>
            <w:pPr>
              <w:spacing w:after="0"/>
              <w:rPr>
                <w:sz w:val="12"/>
                <w:szCs w:val="12"/>
                <w:color w:val="auto"/>
              </w:rPr>
            </w:pPr>
          </w:p>
        </w:tc>
        <w:tc>
          <w:tcPr>
            <w:tcW w:w="2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7"/>
              </w:rPr>
              <w:t>Hotel, Gaming and Leisure</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12.13%</w:t>
            </w:r>
          </w:p>
        </w:tc>
        <w:tc>
          <w:tcPr>
            <w:tcW w:w="10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2,000,000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1,965,834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Sensus USA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05/09/2018</w:t>
            </w:r>
          </w:p>
        </w:tc>
        <w:tc>
          <w:tcPr>
            <w:tcW w:w="200" w:type="dxa"/>
            <w:vAlign w:val="bottom"/>
          </w:tcPr>
          <w:p>
            <w:pPr>
              <w:spacing w:after="0"/>
              <w:rPr>
                <w:sz w:val="13"/>
                <w:szCs w:val="13"/>
                <w:color w:val="auto"/>
              </w:rPr>
            </w:pPr>
          </w:p>
        </w:tc>
        <w:tc>
          <w:tcPr>
            <w:tcW w:w="2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Utilities: Water</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8.50%</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L+725</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1,000,000</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990,624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960,000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9,379,445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9,285,000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Notes—7.6%</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Affinion Group Holdings, Inc. </w:t>
            </w:r>
            <w:r>
              <w:rPr>
                <w:rFonts w:ascii="Arial" w:cs="Arial" w:eastAsia="Arial" w:hAnsi="Arial"/>
                <w:sz w:val="17"/>
                <w:szCs w:val="17"/>
                <w:color w:val="auto"/>
                <w:vertAlign w:val="superscript"/>
              </w:rPr>
              <w:t>(11)</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11/15/2015</w:t>
            </w:r>
          </w:p>
        </w:tc>
        <w:tc>
          <w:tcPr>
            <w:tcW w:w="200" w:type="dxa"/>
            <w:vAlign w:val="bottom"/>
            <w:shd w:val="clear" w:color="auto" w:fill="CCEEFF"/>
          </w:tcPr>
          <w:p>
            <w:pPr>
              <w:spacing w:after="0"/>
              <w:rPr>
                <w:sz w:val="12"/>
                <w:szCs w:val="12"/>
                <w:color w:val="auto"/>
              </w:rPr>
            </w:pPr>
          </w:p>
        </w:tc>
        <w:tc>
          <w:tcPr>
            <w:tcW w:w="27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7"/>
              </w:rPr>
              <w:t>Consumer Goods: Non-Durable</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11.63%</w:t>
            </w:r>
          </w:p>
        </w:tc>
        <w:tc>
          <w:tcPr>
            <w:tcW w:w="10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1,500,000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1,524,891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(11),(7)</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07/31/2018</w:t>
            </w:r>
          </w:p>
        </w:tc>
        <w:tc>
          <w:tcPr>
            <w:tcW w:w="200" w:type="dxa"/>
            <w:vAlign w:val="bottom"/>
          </w:tcPr>
          <w:p>
            <w:pPr>
              <w:spacing w:after="0"/>
              <w:rPr>
                <w:sz w:val="12"/>
                <w:szCs w:val="12"/>
                <w:color w:val="auto"/>
              </w:rPr>
            </w:pPr>
          </w:p>
        </w:tc>
        <w:tc>
          <w:tcPr>
            <w:tcW w:w="2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Beverage, Food and Tobacco</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(8)</w:t>
            </w:r>
          </w:p>
        </w:tc>
        <w:tc>
          <w:tcPr>
            <w:tcW w:w="10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3,762,500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3,688,091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3,687,250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(11),(9)</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07/31/2018</w:t>
            </w:r>
          </w:p>
        </w:tc>
        <w:tc>
          <w:tcPr>
            <w:tcW w:w="200" w:type="dxa"/>
            <w:vAlign w:val="bottom"/>
            <w:shd w:val="clear" w:color="auto" w:fill="CCEEFF"/>
          </w:tcPr>
          <w:p>
            <w:pPr>
              <w:spacing w:after="0"/>
              <w:rPr>
                <w:sz w:val="12"/>
                <w:szCs w:val="12"/>
                <w:color w:val="auto"/>
              </w:rPr>
            </w:pPr>
          </w:p>
        </w:tc>
        <w:tc>
          <w:tcPr>
            <w:tcW w:w="2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Beverage, Food and Tobacco</w:t>
            </w:r>
          </w:p>
        </w:tc>
        <w:tc>
          <w:tcPr>
            <w:tcW w:w="9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2,206,000</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2,161,880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2,161,880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7,374,862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7,004,130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Preferred Equity/Partnership Interests—0.1%</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(10)</w:t>
            </w:r>
          </w:p>
        </w:tc>
        <w:tc>
          <w:tcPr>
            <w:tcW w:w="2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Trusthouse Services Holdings, LLC</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2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Beverage, Food and Tobacco</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158</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95,000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96,985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96,985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Common Equity—0.0% </w:t>
            </w:r>
            <w:r>
              <w:rPr>
                <w:rFonts w:ascii="Arial" w:cs="Arial" w:eastAsia="Arial" w:hAnsi="Arial"/>
                <w:sz w:val="18"/>
                <w:szCs w:val="18"/>
                <w:b w:val="1"/>
                <w:bCs w:val="1"/>
                <w:color w:val="auto"/>
                <w:vertAlign w:val="superscript"/>
              </w:rPr>
              <w:t>(10)</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Trusthouse Services Holdings, LLC</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Beverage, Food and Tobacco</w:t>
            </w:r>
          </w:p>
        </w:tc>
        <w:tc>
          <w:tcPr>
            <w:tcW w:w="9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Non-Controlled, Non-Affiliated Portfolio Companies</w:t>
            </w: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4"/>
              </w:rPr>
              <w:t>114,829,621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2"/>
              </w:rPr>
              <w:t>110,724,241</w:t>
            </w:r>
          </w:p>
        </w:tc>
        <w:tc>
          <w:tcPr>
            <w:tcW w:w="0" w:type="dxa"/>
            <w:vAlign w:val="bottom"/>
          </w:tcPr>
          <w:p>
            <w:pPr>
              <w:spacing w:after="0"/>
              <w:rPr>
                <w:sz w:val="1"/>
                <w:szCs w:val="1"/>
                <w:color w:val="auto"/>
              </w:rPr>
            </w:pPr>
          </w:p>
        </w:tc>
      </w:tr>
      <w:tr>
        <w:trPr>
          <w:trHeight w:val="163"/>
        </w:trPr>
        <w:tc>
          <w:tcPr>
            <w:tcW w:w="3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Equivalents—7.6%</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9"/>
              </w:rPr>
              <w:t>6,987,450</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6,987,450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6,987,450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Total Investments and Cash Equivalents—</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127.8%</w:t>
            </w:r>
          </w:p>
        </w:tc>
        <w:tc>
          <w:tcPr>
            <w:tcW w:w="2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121,817,071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2"/>
              </w:rPr>
              <w:t>117,711,691</w:t>
            </w:r>
          </w:p>
        </w:tc>
        <w:tc>
          <w:tcPr>
            <w:tcW w:w="0" w:type="dxa"/>
            <w:vAlign w:val="bottom"/>
          </w:tcPr>
          <w:p>
            <w:pPr>
              <w:spacing w:after="0"/>
              <w:rPr>
                <w:sz w:val="1"/>
                <w:szCs w:val="1"/>
                <w:color w:val="auto"/>
              </w:rPr>
            </w:pPr>
          </w:p>
        </w:tc>
      </w:tr>
      <w:tr>
        <w:trPr>
          <w:trHeight w:val="20"/>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Assets—(27.8%)</w:t>
            </w: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5"/>
              </w:rPr>
              <w:t>(25,639,586)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92,072,105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51765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Prime and its coupon is subject to a LIBOR or Prime rate floor.</w:t>
      </w:r>
    </w:p>
    <w:p>
      <w:pPr>
        <w:spacing w:after="0" w:line="22"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right="100" w:hanging="332"/>
        <w:spacing w:after="0" w:line="258" w:lineRule="auto"/>
        <w:tabs>
          <w:tab w:leader="none" w:pos="3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securities are pledged as collateral under the Credit Facility.</w:t>
      </w:r>
    </w:p>
    <w:p>
      <w:pPr>
        <w:ind w:left="340" w:right="60" w:hanging="332"/>
        <w:spacing w:after="0" w:line="221"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Coupon is payable in cash and/or through PIK.</w:t>
      </w:r>
    </w:p>
    <w:p>
      <w:pPr>
        <w:ind w:left="340" w:hanging="332"/>
        <w:spacing w:after="0" w:line="221"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line="221" w:lineRule="auto"/>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tabs>
          <w:tab w:leader="none" w:pos="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71"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PennantPark Floating Rate Capital Ltd. was organized as a Maryland corporation on October 28, 2010. We are a closed-end, externally managed, non-diversified investment company that has elected to be treated as a business development company, or BDC, under the 1940 Act.</w:t>
      </w:r>
    </w:p>
    <w:p>
      <w:pPr>
        <w:spacing w:after="0" w:line="139"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from time to time, include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second-lien, high yield, mezzanine and distressed debt securities and equity investments.</w:t>
      </w:r>
    </w:p>
    <w:p>
      <w:pPr>
        <w:spacing w:after="0" w:line="122"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On April 13, 2011, we closed our initial public offering and our common stock trades on the NASDAQ Global Select Market under the symbol “PFLT.” Also on April 13, 2011, we issued 6,700,000 shares of common stock, and on May 11, 2011, the underwriters exercised their overallotment option and purchased an additional 150,000 shares of common stock, resulting in total gross proceeds of $102.8 million. After deducting the underwriters’ discount, or the sales load, of $5.1 million, we received net proceeds of $97.7 million from our initial public offering. The underwriters agreed to reimburse, and have paid us, $0.4 million of the estimated $1.0 million of offering expenses. On March 4, 2011, we sold 667 shares of common stock for $10,000 ($15.00 per share) to the Investment Adviser.</w:t>
      </w:r>
    </w:p>
    <w:p>
      <w:pPr>
        <w:spacing w:after="0" w:line="117" w:lineRule="exact"/>
        <w:rPr>
          <w:sz w:val="20"/>
          <w:szCs w:val="20"/>
          <w:color w:val="auto"/>
        </w:rPr>
      </w:pPr>
    </w:p>
    <w:p>
      <w:pPr>
        <w:ind w:right="240" w:firstLine="456"/>
        <w:spacing w:after="0" w:line="318" w:lineRule="auto"/>
        <w:rPr>
          <w:sz w:val="20"/>
          <w:szCs w:val="20"/>
          <w:color w:val="auto"/>
        </w:rPr>
      </w:pPr>
      <w:r>
        <w:rPr>
          <w:rFonts w:ascii="Arial" w:cs="Arial" w:eastAsia="Arial" w:hAnsi="Arial"/>
          <w:sz w:val="12"/>
          <w:szCs w:val="12"/>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94" w:lineRule="exact"/>
        <w:rPr>
          <w:sz w:val="20"/>
          <w:szCs w:val="20"/>
          <w:color w:val="auto"/>
        </w:rPr>
      </w:pPr>
    </w:p>
    <w:p>
      <w:pPr>
        <w:ind w:right="320" w:firstLine="456"/>
        <w:spacing w:after="0" w:line="278" w:lineRule="auto"/>
        <w:rPr>
          <w:sz w:val="20"/>
          <w:szCs w:val="20"/>
          <w:color w:val="auto"/>
        </w:rPr>
      </w:pPr>
      <w:r>
        <w:rPr>
          <w:rFonts w:ascii="Arial" w:cs="Arial" w:eastAsia="Arial" w:hAnsi="Arial"/>
          <w:sz w:val="12"/>
          <w:szCs w:val="12"/>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a commercial paper rate that approximates LIBOR plus 225 basis points during the revolving period. The Credit Facility is secured by all of the assets held by Funding I. See Note 9.</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71"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F-32</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5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2"/>
          <w:szCs w:val="12"/>
          <w:color w:val="auto"/>
        </w:rPr>
        <w:t>Our Consolidated Financial Statements are prepared in accordance with GAAP and pursuant to the requirements for reporting on Form 10-Q and Article 6 or 10 of Regulation S-X, as appropriate.</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In accordance with Article 6-09 of Regulation S-X, we have provided a Consolidated Statement of Changes in Net Assets in lieu of a Consolidated Statement of Changes in Stockholders’ Equity.</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231" w:lineRule="exact"/>
        <w:rPr>
          <w:sz w:val="20"/>
          <w:szCs w:val="20"/>
          <w:color w:val="auto"/>
        </w:rPr>
      </w:pPr>
    </w:p>
    <w:p>
      <w:pPr>
        <w:ind w:left="360"/>
        <w:spacing w:after="0"/>
        <w:tabs>
          <w:tab w:leader="none" w:pos="620" w:val="left"/>
        </w:tabs>
        <w:rPr>
          <w:sz w:val="20"/>
          <w:szCs w:val="20"/>
          <w:color w:val="auto"/>
        </w:rPr>
      </w:pPr>
      <w:r>
        <w:rPr>
          <w:rFonts w:ascii="Arial" w:cs="Arial" w:eastAsia="Arial" w:hAnsi="Arial"/>
          <w:sz w:val="14"/>
          <w:szCs w:val="14"/>
          <w:b w:val="1"/>
          <w:bCs w:val="1"/>
          <w:i w:val="1"/>
          <w:iCs w:val="1"/>
          <w:color w:val="auto"/>
        </w:rPr>
        <w:t>(a)</w:t>
      </w:r>
      <w:r>
        <w:rPr>
          <w:sz w:val="20"/>
          <w:szCs w:val="20"/>
          <w:color w:val="auto"/>
        </w:rPr>
        <w:tab/>
      </w:r>
      <w:r>
        <w:rPr>
          <w:rFonts w:ascii="Arial" w:cs="Arial" w:eastAsia="Arial" w:hAnsi="Arial"/>
          <w:sz w:val="11"/>
          <w:szCs w:val="11"/>
          <w:b w:val="1"/>
          <w:bCs w:val="1"/>
          <w:i w:val="1"/>
          <w:iCs w:val="1"/>
          <w:color w:val="auto"/>
        </w:rPr>
        <w:t>Investment Valuations</w:t>
      </w:r>
    </w:p>
    <w:p>
      <w:pPr>
        <w:spacing w:after="0" w:line="69"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We expect that there may not be readily available market values for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23" w:lineRule="exact"/>
        <w:rPr>
          <w:sz w:val="20"/>
          <w:szCs w:val="20"/>
          <w:color w:val="auto"/>
        </w:rPr>
      </w:pPr>
    </w:p>
    <w:p>
      <w:pPr>
        <w:ind w:right="60" w:firstLine="342"/>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680" w:right="320" w:hanging="334"/>
        <w:spacing w:after="0" w:line="239" w:lineRule="auto"/>
        <w:tabs>
          <w:tab w:leader="none" w:pos="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jc w:val="both"/>
        <w:ind w:left="680" w:right="100" w:hanging="334"/>
        <w:spacing w:after="0" w:line="233" w:lineRule="auto"/>
        <w:tabs>
          <w:tab w:leader="none" w:pos="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7" w:lineRule="exact"/>
        <w:rPr>
          <w:rFonts w:ascii="Arial" w:cs="Arial" w:eastAsia="Arial" w:hAnsi="Arial"/>
          <w:sz w:val="14"/>
          <w:szCs w:val="14"/>
          <w:color w:val="auto"/>
        </w:rPr>
      </w:pPr>
    </w:p>
    <w:p>
      <w:pPr>
        <w:ind w:left="680" w:hanging="334"/>
        <w:spacing w:after="0" w:line="239" w:lineRule="auto"/>
        <w:tabs>
          <w:tab w:leader="none" w:pos="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680" w:right="540" w:hanging="334"/>
        <w:spacing w:after="0" w:line="239" w:lineRule="auto"/>
        <w:tabs>
          <w:tab w:leader="none" w:pos="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F-33</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360"/>
        <w:spacing w:after="0"/>
        <w:tabs>
          <w:tab w:leader="none" w:pos="620" w:val="left"/>
        </w:tabs>
        <w:rPr>
          <w:sz w:val="20"/>
          <w:szCs w:val="20"/>
          <w:color w:val="auto"/>
        </w:rPr>
      </w:pPr>
      <w:r>
        <w:rPr>
          <w:rFonts w:ascii="Arial" w:cs="Arial" w:eastAsia="Arial" w:hAnsi="Arial"/>
          <w:sz w:val="14"/>
          <w:szCs w:val="14"/>
          <w:b w:val="1"/>
          <w:bCs w:val="1"/>
          <w:i w:val="1"/>
          <w:iCs w:val="1"/>
          <w:color w:val="auto"/>
        </w:rPr>
        <w:t>(b)</w:t>
      </w:r>
      <w:r>
        <w:rPr>
          <w:sz w:val="20"/>
          <w:szCs w:val="20"/>
          <w:color w:val="auto"/>
        </w:rPr>
        <w:tab/>
      </w:r>
      <w:r>
        <w:rPr>
          <w:rFonts w:ascii="Arial" w:cs="Arial" w:eastAsia="Arial" w:hAnsi="Arial"/>
          <w:sz w:val="11"/>
          <w:szCs w:val="11"/>
          <w:b w:val="1"/>
          <w:bCs w:val="1"/>
          <w:i w:val="1"/>
          <w:iCs w:val="1"/>
          <w:color w:val="auto"/>
        </w:rPr>
        <w:t>Security Transactions, Revenue Recognition and Realized/Unrealized Gains or Losses</w:t>
      </w:r>
    </w:p>
    <w:p>
      <w:pPr>
        <w:spacing w:after="0" w:line="150"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39"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or interest expense. We record prepayment penalties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ind w:right="60" w:firstLine="456"/>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11" w:lineRule="exact"/>
        <w:rPr>
          <w:sz w:val="20"/>
          <w:szCs w:val="20"/>
          <w:color w:val="auto"/>
        </w:rPr>
      </w:pPr>
    </w:p>
    <w:p>
      <w:pPr>
        <w:ind w:left="360"/>
        <w:spacing w:after="0"/>
        <w:tabs>
          <w:tab w:leader="none" w:pos="620" w:val="left"/>
        </w:tabs>
        <w:rPr>
          <w:sz w:val="20"/>
          <w:szCs w:val="20"/>
          <w:color w:val="auto"/>
        </w:rPr>
      </w:pPr>
      <w:r>
        <w:rPr>
          <w:rFonts w:ascii="Arial" w:cs="Arial" w:eastAsia="Arial" w:hAnsi="Arial"/>
          <w:sz w:val="14"/>
          <w:szCs w:val="14"/>
          <w:b w:val="1"/>
          <w:bCs w:val="1"/>
          <w:i w:val="1"/>
          <w:iCs w:val="1"/>
          <w:color w:val="auto"/>
        </w:rPr>
        <w:t>(c)</w:t>
      </w:r>
      <w:r>
        <w:rPr>
          <w:sz w:val="20"/>
          <w:szCs w:val="20"/>
          <w:color w:val="auto"/>
        </w:rPr>
        <w:tab/>
      </w:r>
      <w:r>
        <w:rPr>
          <w:rFonts w:ascii="Arial" w:cs="Arial" w:eastAsia="Arial" w:hAnsi="Arial"/>
          <w:sz w:val="11"/>
          <w:szCs w:val="11"/>
          <w:b w:val="1"/>
          <w:bCs w:val="1"/>
          <w:i w:val="1"/>
          <w:iCs w:val="1"/>
          <w:color w:val="auto"/>
        </w:rPr>
        <w:t>Income Taxes</w:t>
      </w:r>
    </w:p>
    <w:p>
      <w:pPr>
        <w:spacing w:after="0" w:line="150"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March 4, 2011, PennantPark Floating Rate Capital Ltd. has complied with the requirements of Subchapter M of the Internal Revenue Code of 1986, as amended, or the Code, and intends to be subject to tax as a regulated investment company, or RIC. As a result, PennantPark Floating Rate Capital Ltd. accounts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intention to be subject to tax as a RIC, we do not anticipate paying any material level of federal income taxes in the future. We recognize in our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F-34</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Because federal income tax regulations differ from GAAP, differences in distributable income arise which could be permanent or temporary. Book and tax basis differences which are permanent are reclassified among our capital accounts, to reflect their tax character. Temporary differences arise when certain items of income, expense, gain or loss are recognized at some time in the future.</w:t>
      </w:r>
    </w:p>
    <w:p>
      <w:pPr>
        <w:spacing w:after="0" w:line="94" w:lineRule="exact"/>
        <w:rPr>
          <w:sz w:val="20"/>
          <w:szCs w:val="20"/>
          <w:color w:val="auto"/>
        </w:rPr>
      </w:pPr>
    </w:p>
    <w:p>
      <w:pPr>
        <w:ind w:left="360"/>
        <w:spacing w:after="0"/>
        <w:tabs>
          <w:tab w:leader="none" w:pos="620" w:val="left"/>
        </w:tabs>
        <w:rPr>
          <w:sz w:val="20"/>
          <w:szCs w:val="20"/>
          <w:color w:val="auto"/>
        </w:rPr>
      </w:pPr>
      <w:r>
        <w:rPr>
          <w:rFonts w:ascii="Arial" w:cs="Arial" w:eastAsia="Arial" w:hAnsi="Arial"/>
          <w:sz w:val="14"/>
          <w:szCs w:val="14"/>
          <w:b w:val="1"/>
          <w:bCs w:val="1"/>
          <w:i w:val="1"/>
          <w:iCs w:val="1"/>
          <w:color w:val="auto"/>
        </w:rPr>
        <w:t>(d)</w:t>
      </w:r>
      <w:r>
        <w:rPr>
          <w:sz w:val="20"/>
          <w:szCs w:val="20"/>
          <w:color w:val="auto"/>
        </w:rPr>
        <w:tab/>
      </w:r>
      <w:r>
        <w:rPr>
          <w:rFonts w:ascii="Arial" w:cs="Arial" w:eastAsia="Arial" w:hAnsi="Arial"/>
          <w:sz w:val="11"/>
          <w:szCs w:val="11"/>
          <w:b w:val="1"/>
          <w:bCs w:val="1"/>
          <w:i w:val="1"/>
          <w:iCs w:val="1"/>
          <w:color w:val="auto"/>
        </w:rPr>
        <w:t>Dividends, Distributions, and Capital Transactions</w:t>
      </w:r>
    </w:p>
    <w:p>
      <w:pPr>
        <w:spacing w:after="0" w:line="15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Dividends and distributions to common stockholders are recorded on the ex-dividend date. The amount, if any, to be paid as a dividend or distribution is determined by the board of directors each month and is generally based upon the earnings estimated by management. Net realized capital gains, if any, are distributed at least annually.</w:t>
      </w:r>
    </w:p>
    <w:p>
      <w:pPr>
        <w:spacing w:after="0" w:line="13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39" w:lineRule="exact"/>
        <w:rPr>
          <w:sz w:val="20"/>
          <w:szCs w:val="20"/>
          <w:color w:val="auto"/>
        </w:rPr>
      </w:pPr>
    </w:p>
    <w:p>
      <w:pPr>
        <w:ind w:left="360"/>
        <w:spacing w:after="0"/>
        <w:tabs>
          <w:tab w:leader="none" w:pos="620" w:val="left"/>
        </w:tabs>
        <w:rPr>
          <w:sz w:val="20"/>
          <w:szCs w:val="20"/>
          <w:color w:val="auto"/>
        </w:rPr>
      </w:pPr>
      <w:r>
        <w:rPr>
          <w:rFonts w:ascii="Arial" w:cs="Arial" w:eastAsia="Arial" w:hAnsi="Arial"/>
          <w:sz w:val="14"/>
          <w:szCs w:val="14"/>
          <w:b w:val="1"/>
          <w:bCs w:val="1"/>
          <w:i w:val="1"/>
          <w:iCs w:val="1"/>
          <w:color w:val="auto"/>
        </w:rPr>
        <w:t>(e)</w:t>
      </w:r>
      <w:r>
        <w:rPr>
          <w:sz w:val="20"/>
          <w:szCs w:val="20"/>
          <w:color w:val="auto"/>
        </w:rPr>
        <w:tab/>
      </w:r>
      <w:r>
        <w:rPr>
          <w:rFonts w:ascii="Arial" w:cs="Arial" w:eastAsia="Arial" w:hAnsi="Arial"/>
          <w:sz w:val="11"/>
          <w:szCs w:val="11"/>
          <w:b w:val="1"/>
          <w:bCs w:val="1"/>
          <w:i w:val="1"/>
          <w:iCs w:val="1"/>
          <w:color w:val="auto"/>
        </w:rPr>
        <w:t>Consolidation</w:t>
      </w:r>
    </w:p>
    <w:p>
      <w:pPr>
        <w:spacing w:after="0" w:line="15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As permitted under Regulation S-X and the American Institute of Certified Public Accountants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39" w:lineRule="exact"/>
        <w:rPr>
          <w:sz w:val="20"/>
          <w:szCs w:val="20"/>
          <w:color w:val="auto"/>
        </w:rPr>
      </w:pPr>
    </w:p>
    <w:p>
      <w:pPr>
        <w:ind w:left="360"/>
        <w:spacing w:after="0"/>
        <w:tabs>
          <w:tab w:leader="none" w:pos="600" w:val="left"/>
        </w:tabs>
        <w:rPr>
          <w:sz w:val="20"/>
          <w:szCs w:val="20"/>
          <w:color w:val="auto"/>
        </w:rPr>
      </w:pPr>
      <w:r>
        <w:rPr>
          <w:rFonts w:ascii="Arial" w:cs="Arial" w:eastAsia="Arial" w:hAnsi="Arial"/>
          <w:sz w:val="14"/>
          <w:szCs w:val="14"/>
          <w:b w:val="1"/>
          <w:bCs w:val="1"/>
          <w:i w:val="1"/>
          <w:iCs w:val="1"/>
          <w:color w:val="auto"/>
        </w:rPr>
        <w:t>(f)</w:t>
      </w:r>
      <w:r>
        <w:rPr>
          <w:sz w:val="20"/>
          <w:szCs w:val="20"/>
          <w:color w:val="auto"/>
        </w:rPr>
        <w:tab/>
      </w:r>
      <w:r>
        <w:rPr>
          <w:rFonts w:ascii="Arial" w:cs="Arial" w:eastAsia="Arial" w:hAnsi="Arial"/>
          <w:sz w:val="11"/>
          <w:szCs w:val="11"/>
          <w:b w:val="1"/>
          <w:bCs w:val="1"/>
          <w:i w:val="1"/>
          <w:iCs w:val="1"/>
          <w:color w:val="auto"/>
        </w:rPr>
        <w:t>Asset Transfers and Servicing</w:t>
      </w:r>
    </w:p>
    <w:p>
      <w:pPr>
        <w:spacing w:after="0" w:line="150" w:lineRule="exact"/>
        <w:rPr>
          <w:sz w:val="20"/>
          <w:szCs w:val="20"/>
          <w:color w:val="auto"/>
        </w:rPr>
      </w:pPr>
    </w:p>
    <w:p>
      <w:pPr>
        <w:ind w:right="160" w:firstLine="456"/>
        <w:spacing w:after="0" w:line="318" w:lineRule="auto"/>
        <w:rPr>
          <w:sz w:val="20"/>
          <w:szCs w:val="20"/>
          <w:color w:val="auto"/>
        </w:rPr>
      </w:pPr>
      <w:r>
        <w:rPr>
          <w:rFonts w:ascii="Arial" w:cs="Arial" w:eastAsia="Arial" w:hAnsi="Arial"/>
          <w:sz w:val="12"/>
          <w:szCs w:val="12"/>
          <w:color w:val="auto"/>
        </w:rPr>
        <w:t>Asset transfers that do not meet ASC 860, Transfers and Servicing, requirements for sale accounting treatment are reflected in the Consolidated Statement of Assets and Liabilities as investments. The creditors of Funding I have received security interests in any such assets and are not intended to be available to the creditors of PennantPark Floating Rate Capital Ltd. (or any affiliate of the Company).</w:t>
      </w:r>
    </w:p>
    <w:p>
      <w:pPr>
        <w:spacing w:after="0" w:line="94" w:lineRule="exact"/>
        <w:rPr>
          <w:sz w:val="20"/>
          <w:szCs w:val="20"/>
          <w:color w:val="auto"/>
        </w:rPr>
      </w:pPr>
    </w:p>
    <w:p>
      <w:pPr>
        <w:ind w:left="360"/>
        <w:spacing w:after="0"/>
        <w:tabs>
          <w:tab w:leader="none" w:pos="620" w:val="left"/>
        </w:tabs>
        <w:rPr>
          <w:sz w:val="20"/>
          <w:szCs w:val="20"/>
          <w:color w:val="auto"/>
        </w:rPr>
      </w:pPr>
      <w:r>
        <w:rPr>
          <w:rFonts w:ascii="Arial" w:cs="Arial" w:eastAsia="Arial" w:hAnsi="Arial"/>
          <w:sz w:val="14"/>
          <w:szCs w:val="14"/>
          <w:b w:val="1"/>
          <w:bCs w:val="1"/>
          <w:i w:val="1"/>
          <w:iCs w:val="1"/>
          <w:color w:val="auto"/>
        </w:rPr>
        <w:t>(g)</w:t>
      </w:r>
      <w:r>
        <w:rPr>
          <w:sz w:val="20"/>
          <w:szCs w:val="20"/>
          <w:color w:val="auto"/>
        </w:rPr>
        <w:tab/>
      </w:r>
      <w:r>
        <w:rPr>
          <w:rFonts w:ascii="Arial" w:cs="Arial" w:eastAsia="Arial" w:hAnsi="Arial"/>
          <w:sz w:val="11"/>
          <w:szCs w:val="11"/>
          <w:b w:val="1"/>
          <w:bCs w:val="1"/>
          <w:i w:val="1"/>
          <w:iCs w:val="1"/>
          <w:color w:val="auto"/>
        </w:rPr>
        <w:t>New Accounting Pronouncement</w:t>
      </w:r>
    </w:p>
    <w:p>
      <w:pPr>
        <w:spacing w:after="0" w:line="150"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In May 2011, the Financial Accounting Standards Board issued Accounting Standards Update 2011-04, Amendments to Achieve Common Fair Value Measurement and Disclosure Requirements in U.S. GAAP and IFRSs, or ASU 2011-04. ASU 2011-04 amends ASC 820, Fair Value Measurements, or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 (3) providing a framework for selecting a premium or discount that may be applied in a fair value measurement; (4) providing that an instrument classified in a reporting entity’s shareholders’ equity may be fair valued based on how a market participant would price the identical instrument; and (5) expanding the qualitative and quantitative fair value disclosure requirements. These amendments are effective for fiscal years beginning after December 15, 2011 and for interim periods within those fiscal years. The amendments of ASU 2011-04, as adopted, did not have a material impact on our Consolidated Financial Statements. See Note 5.</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F-35</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7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Investment Management Agreement with the Investment Adviser was approved by our board of directors, including a majority of our independent directors, in March 2011.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The base management fee is calculated at an annual rate of 1.00% of our gross assets (net of U.S. Treasury Bills and/or temporary draws under any credit facility and/or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pro-rated. PennantPark Investment Advisers, however, has waived the portion of the base management fee payable on any net proceeds of the initial public offering that were not invested in portfolio investments, inclusive of any temporary investments in cash, cash equivalents, U.S. government securities and other high-quality investment grade debt investments that mature in 12 months or less from the date of investment. For the three and six months ended March 31, 2012, the Investment Adviser earned a base management fee of $0.4 million and $0.7 million, respectively, from us.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ind w:right="40" w:firstLine="456"/>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three and six months ended March 31, 2012, resulted in an accrual of less than $0.1 million.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F-36</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120" w:firstLine="456"/>
        <w:spacing w:after="0" w:line="227"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provided that, the incentive fee determined as of March 31, 2012 was calculated for a period of shorter than twelve calendar months to take into account any realized capital gains computed net of all realized capital losses and unrealized capital depreciation from our inception. The performance based incentive fee on capital gains due to our Investment Adviser as calculated under the Investment Management Agreement (as described above) for the three and six months ended March 31, 2012, resulted in no accrual.</w:t>
      </w:r>
    </w:p>
    <w:p>
      <w:pPr>
        <w:spacing w:after="0" w:line="14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capital gains due to our Investment Adviser as calculated under GAAP and the Investment Management Agreement (as described above) for the three and six months ended March 31, 2012 resulted in an accrual of $0.1 million.</w:t>
      </w:r>
    </w:p>
    <w:p>
      <w:pPr>
        <w:spacing w:after="0" w:line="122" w:lineRule="exact"/>
        <w:rPr>
          <w:sz w:val="20"/>
          <w:szCs w:val="20"/>
          <w:color w:val="auto"/>
        </w:rPr>
      </w:pPr>
    </w:p>
    <w:p>
      <w:pPr>
        <w:ind w:right="20" w:firstLine="456"/>
        <w:spacing w:after="0" w:line="269" w:lineRule="auto"/>
        <w:rPr>
          <w:sz w:val="20"/>
          <w:szCs w:val="20"/>
          <w:color w:val="auto"/>
        </w:rPr>
      </w:pPr>
      <w:r>
        <w:rPr>
          <w:rFonts w:ascii="Arial" w:cs="Arial" w:eastAsia="Arial" w:hAnsi="Arial"/>
          <w:sz w:val="12"/>
          <w:szCs w:val="12"/>
          <w:color w:val="auto"/>
        </w:rPr>
        <w:t>We entered into the Administration Agreement with the Administrator which was approved by our board of directors, including a majority of the independent directors, in March 2011. Under this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and six months ended March 31, 2012, the Investment Adviser and Administrator, collectively, were reimbursed approximately $0.1 million, from us, including expenses incurred by the Investment Adviser on behalf of the Administrator, for the services described above.</w:t>
      </w:r>
    </w:p>
    <w:p>
      <w:pPr>
        <w:spacing w:after="0" w:line="274"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March 31, 2012, as well as the likelihood of future activity that may generate additional returns, management determined that the 7.0% return on Pre-Incentive Fee Net Investment Income was uncertain. Accordingly, we did not record a liability for it. Management continues to assess performance to determine whether the 7.0% return on Pre-Incentive Fee Net Investment Income is probable before recording the $2.1 million charge to capital.</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F-37</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9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99"/>
        <w:spacing w:after="0"/>
        <w:rPr>
          <w:sz w:val="20"/>
          <w:szCs w:val="20"/>
          <w:color w:val="auto"/>
        </w:rPr>
      </w:pPr>
      <w:r>
        <w:rPr>
          <w:rFonts w:ascii="Arial" w:cs="Arial" w:eastAsia="Arial" w:hAnsi="Arial"/>
          <w:sz w:val="14"/>
          <w:szCs w:val="14"/>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71" w:lineRule="exact"/>
        <w:rPr>
          <w:sz w:val="20"/>
          <w:szCs w:val="20"/>
          <w:color w:val="auto"/>
        </w:rPr>
      </w:pPr>
    </w:p>
    <w:p>
      <w:pPr>
        <w:ind w:right="480" w:firstLine="456"/>
        <w:spacing w:after="0" w:line="239" w:lineRule="auto"/>
        <w:rPr>
          <w:sz w:val="20"/>
          <w:szCs w:val="20"/>
          <w:color w:val="auto"/>
        </w:rPr>
      </w:pPr>
      <w:r>
        <w:rPr>
          <w:rFonts w:ascii="Arial" w:cs="Arial" w:eastAsia="Arial" w:hAnsi="Arial"/>
          <w:sz w:val="14"/>
          <w:szCs w:val="14"/>
          <w:color w:val="auto"/>
        </w:rPr>
        <w:t>Purchases of long-term investments, including PIK, for the three and six months ended March 31, 2012 totaled $32.9 million and $72.3 million, respectively. Sales and repayments of long-term investments for the three and six months ended March 31, 2012 totaled $19.3 million and $41.6 million, respectively.</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4740" w:type="dxa"/>
            <w:vAlign w:val="bottom"/>
            <w:gridSpan w:val="3"/>
          </w:tcPr>
          <w:p>
            <w:pPr>
              <w:spacing w:after="0"/>
              <w:rPr>
                <w:sz w:val="20"/>
                <w:szCs w:val="20"/>
                <w:color w:val="auto"/>
              </w:rPr>
            </w:pPr>
            <w:r>
              <w:rPr>
                <w:rFonts w:ascii="Arial" w:cs="Arial" w:eastAsia="Arial" w:hAnsi="Arial"/>
                <w:sz w:val="14"/>
                <w:szCs w:val="14"/>
                <w:color w:val="auto"/>
              </w:rPr>
              <w:t>Investments and cash equivalents consisted of the following:</w:t>
            </w: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4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460" w:type="dxa"/>
            <w:vAlign w:val="bottom"/>
          </w:tcPr>
          <w:p>
            <w:pPr>
              <w:spacing w:after="0"/>
              <w:rPr>
                <w:sz w:val="24"/>
                <w:szCs w:val="24"/>
                <w:color w:val="auto"/>
              </w:rPr>
            </w:pPr>
          </w:p>
        </w:tc>
        <w:tc>
          <w:tcPr>
            <w:tcW w:w="2280" w:type="dxa"/>
            <w:vAlign w:val="bottom"/>
            <w:gridSpan w:val="4"/>
          </w:tcPr>
          <w:p>
            <w:pPr>
              <w:ind w:left="500"/>
              <w:spacing w:after="0"/>
              <w:rPr>
                <w:sz w:val="20"/>
                <w:szCs w:val="20"/>
                <w:color w:val="auto"/>
              </w:rPr>
            </w:pPr>
            <w:r>
              <w:rPr>
                <w:rFonts w:ascii="Arial" w:cs="Arial" w:eastAsia="Arial" w:hAnsi="Arial"/>
                <w:sz w:val="14"/>
                <w:szCs w:val="14"/>
                <w:b w:val="1"/>
                <w:bCs w:val="1"/>
                <w:color w:val="auto"/>
              </w:rPr>
              <w:t>March 31, 2012</w:t>
            </w:r>
          </w:p>
        </w:tc>
        <w:tc>
          <w:tcPr>
            <w:tcW w:w="80" w:type="dxa"/>
            <w:vAlign w:val="bottom"/>
          </w:tcPr>
          <w:p>
            <w:pPr>
              <w:spacing w:after="0"/>
              <w:rPr>
                <w:sz w:val="24"/>
                <w:szCs w:val="24"/>
                <w:color w:val="auto"/>
              </w:rPr>
            </w:pPr>
          </w:p>
        </w:tc>
        <w:tc>
          <w:tcPr>
            <w:tcW w:w="1940" w:type="dxa"/>
            <w:vAlign w:val="bottom"/>
            <w:gridSpan w:val="6"/>
          </w:tcPr>
          <w:p>
            <w:pPr>
              <w:ind w:left="34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49"/>
        </w:trPr>
        <w:tc>
          <w:tcPr>
            <w:tcW w:w="474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760" w:type="dxa"/>
            <w:vAlign w:val="bottom"/>
            <w:tcBorders>
              <w:top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Cost</w:t>
            </w: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98"/>
              </w:rPr>
              <w:t>Fair Value</w:t>
            </w: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4"/>
                <w:szCs w:val="14"/>
                <w:b w:val="1"/>
                <w:bCs w:val="1"/>
                <w:color w:val="auto"/>
              </w:rPr>
              <w:t>Cost</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89"/>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First lien</w:t>
            </w:r>
          </w:p>
        </w:tc>
        <w:tc>
          <w:tcPr>
            <w:tcW w:w="318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2"/>
              </w:rPr>
              <w:t>$ 126,721,245</w:t>
            </w:r>
          </w:p>
        </w:tc>
        <w:tc>
          <w:tcPr>
            <w:tcW w:w="3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4"/>
              </w:rPr>
              <w:t>$ 126,306,324</w:t>
            </w: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97,975,314</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94,333,126</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2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6,939,667</w:t>
            </w:r>
          </w:p>
        </w:tc>
        <w:tc>
          <w:tcPr>
            <w:tcW w:w="15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7,136,250</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9,379,445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9,285,000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2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12,065,596</w:t>
            </w:r>
          </w:p>
        </w:tc>
        <w:tc>
          <w:tcPr>
            <w:tcW w:w="15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12,215,480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7,374,862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7,004,130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Preferred and common equity</w:t>
            </w:r>
          </w:p>
        </w:tc>
        <w:tc>
          <w:tcPr>
            <w:tcW w:w="146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501,450</w:t>
            </w:r>
          </w:p>
        </w:tc>
        <w:tc>
          <w:tcPr>
            <w:tcW w:w="3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530,078</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100,000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101,985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2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146,227,958</w:t>
            </w:r>
          </w:p>
        </w:tc>
        <w:tc>
          <w:tcPr>
            <w:tcW w:w="15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146,188,132</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7"/>
              </w:rPr>
              <w:t>114,829,621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7"/>
              </w:rPr>
              <w:t>110,724,241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Cash equivalents</w:t>
            </w:r>
          </w:p>
        </w:tc>
        <w:tc>
          <w:tcPr>
            <w:tcW w:w="146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3,849,360</w:t>
            </w:r>
          </w:p>
        </w:tc>
        <w:tc>
          <w:tcPr>
            <w:tcW w:w="3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3,849,360</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6,987,450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6,987,450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 and cash equivalents</w:t>
            </w:r>
          </w:p>
        </w:tc>
        <w:tc>
          <w:tcPr>
            <w:tcW w:w="2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$ 150,077,318</w:t>
            </w:r>
          </w:p>
        </w:tc>
        <w:tc>
          <w:tcPr>
            <w:tcW w:w="15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$ 150,037,492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121,817,071</w:t>
            </w:r>
          </w:p>
        </w:tc>
        <w:tc>
          <w:tcPr>
            <w:tcW w:w="1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7"/>
              </w:rPr>
              <w:t>117,711,691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equivalents) in such industries as of March 31, 2012 and September 30, 2011.</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Industry Classification</w:t>
            </w:r>
          </w:p>
        </w:tc>
        <w:tc>
          <w:tcPr>
            <w:tcW w:w="21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8"/>
              </w:rPr>
              <w:t>March 31, 2012</w:t>
            </w:r>
          </w:p>
        </w:tc>
        <w:tc>
          <w:tcPr>
            <w:tcW w:w="1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4"/>
              </w:rPr>
              <w:t>September 30, 2011</w:t>
            </w:r>
          </w:p>
        </w:tc>
      </w:tr>
      <w:tr>
        <w:trPr>
          <w:trHeight w:val="136"/>
        </w:trPr>
        <w:tc>
          <w:tcPr>
            <w:tcW w:w="35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Business Services</w:t>
            </w:r>
          </w:p>
        </w:tc>
        <w:tc>
          <w:tcPr>
            <w:tcW w:w="29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ind w:right="172"/>
              <w:spacing w:after="0" w:line="136" w:lineRule="exact"/>
              <w:rPr>
                <w:sz w:val="20"/>
                <w:szCs w:val="20"/>
                <w:color w:val="auto"/>
              </w:rPr>
            </w:pPr>
            <w:r>
              <w:rPr>
                <w:rFonts w:ascii="Arial" w:cs="Arial" w:eastAsia="Arial" w:hAnsi="Arial"/>
                <w:sz w:val="14"/>
                <w:szCs w:val="14"/>
                <w:color w:val="auto"/>
              </w:rPr>
              <w:t>10%</w:t>
            </w:r>
          </w:p>
        </w:tc>
        <w:tc>
          <w:tcPr>
            <w:tcW w:w="11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ind w:right="292"/>
              <w:spacing w:after="0" w:line="136" w:lineRule="exact"/>
              <w:rPr>
                <w:sz w:val="20"/>
                <w:szCs w:val="20"/>
                <w:color w:val="auto"/>
              </w:rPr>
            </w:pPr>
            <w:r>
              <w:rPr>
                <w:rFonts w:ascii="Arial" w:cs="Arial" w:eastAsia="Arial" w:hAnsi="Arial"/>
                <w:sz w:val="14"/>
                <w:szCs w:val="14"/>
                <w:color w:val="auto"/>
              </w:rPr>
              <w:t>10%</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Beverage, Food and Tobacco</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8</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7</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High Tech Industries</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8</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4</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7</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10</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7</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8</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Telecommunications</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7</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5</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Goods: Non-Durable</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4</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6</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5</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and Pharmaceuticals</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10</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Hotel, Gaming and Leisure</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6</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9</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Goods: Durable</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5</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8</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Consumer Services</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5</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2</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Capital Equipment</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3</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Automotive</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3</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4</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Containers, Packaging and Glass</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3</w:t>
            </w: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Environmental Industries</w:t>
            </w:r>
          </w:p>
        </w:tc>
        <w:tc>
          <w:tcPr>
            <w:tcW w:w="38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3</w:t>
            </w:r>
          </w:p>
        </w:tc>
        <w:tc>
          <w:tcPr>
            <w:tcW w:w="22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2</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382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w:t>
            </w:r>
          </w:p>
        </w:tc>
        <w:tc>
          <w:tcPr>
            <w:tcW w:w="22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3</w:t>
            </w:r>
          </w:p>
        </w:tc>
      </w:tr>
      <w:tr>
        <w:trPr>
          <w:trHeight w:val="156"/>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All Other</w:t>
            </w:r>
          </w:p>
        </w:tc>
        <w:tc>
          <w:tcPr>
            <w:tcW w:w="2920" w:type="dxa"/>
            <w:vAlign w:val="bottom"/>
          </w:tcPr>
          <w:p>
            <w:pPr>
              <w:spacing w:after="0"/>
              <w:rPr>
                <w:sz w:val="13"/>
                <w:szCs w:val="13"/>
                <w:color w:val="auto"/>
              </w:rPr>
            </w:pPr>
          </w:p>
        </w:tc>
        <w:tc>
          <w:tcPr>
            <w:tcW w:w="90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color w:val="auto"/>
              </w:rPr>
              <w:t>4</w:t>
            </w:r>
          </w:p>
        </w:tc>
        <w:tc>
          <w:tcPr>
            <w:tcW w:w="1100" w:type="dxa"/>
            <w:vAlign w:val="bottom"/>
          </w:tcPr>
          <w:p>
            <w:pPr>
              <w:spacing w:after="0"/>
              <w:rPr>
                <w:sz w:val="13"/>
                <w:szCs w:val="13"/>
                <w:color w:val="auto"/>
              </w:rPr>
            </w:pPr>
          </w:p>
        </w:tc>
        <w:tc>
          <w:tcPr>
            <w:tcW w:w="1120" w:type="dxa"/>
            <w:vAlign w:val="bottom"/>
            <w:tcBorders>
              <w:bottom w:val="single" w:sz="8" w:color="auto"/>
            </w:tcBorders>
          </w:tcPr>
          <w:p>
            <w:pPr>
              <w:jc w:val="right"/>
              <w:ind w:right="392"/>
              <w:spacing w:after="0" w:line="149" w:lineRule="exact"/>
              <w:rPr>
                <w:sz w:val="20"/>
                <w:szCs w:val="20"/>
                <w:color w:val="auto"/>
              </w:rPr>
            </w:pPr>
            <w:r>
              <w:rPr>
                <w:rFonts w:ascii="Arial" w:cs="Arial" w:eastAsia="Arial" w:hAnsi="Arial"/>
                <w:sz w:val="14"/>
                <w:szCs w:val="14"/>
                <w:color w:val="auto"/>
              </w:rPr>
              <w:t>3</w:t>
            </w: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92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100%</w:t>
            </w:r>
          </w:p>
        </w:tc>
        <w:tc>
          <w:tcPr>
            <w:tcW w:w="110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100%</w:t>
            </w:r>
          </w:p>
        </w:tc>
      </w:tr>
      <w:tr>
        <w:trPr>
          <w:trHeight w:val="20"/>
        </w:trPr>
        <w:tc>
          <w:tcPr>
            <w:tcW w:w="1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04"/>
        </w:trPr>
        <w:tc>
          <w:tcPr>
            <w:tcW w:w="1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20" w:type="dxa"/>
            <w:vAlign w:val="bottom"/>
            <w:gridSpan w:val="2"/>
          </w:tcPr>
          <w:p>
            <w:pPr>
              <w:jc w:val="right"/>
              <w:ind w:right="2372"/>
              <w:spacing w:after="0"/>
              <w:rPr>
                <w:sz w:val="20"/>
                <w:szCs w:val="20"/>
                <w:color w:val="auto"/>
              </w:rPr>
            </w:pPr>
            <w:r>
              <w:rPr>
                <w:rFonts w:ascii="Arial" w:cs="Arial" w:eastAsia="Arial" w:hAnsi="Arial"/>
                <w:sz w:val="14"/>
                <w:szCs w:val="14"/>
                <w:color w:val="auto"/>
              </w:rPr>
              <w:t>F-38</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7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6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100" w:right="700" w:hanging="634"/>
        <w:spacing w:after="0" w:line="318" w:lineRule="auto"/>
        <w:tabs>
          <w:tab w:leader="none" w:pos="108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50"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9"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brokers/dealer bids as a Level 2 asset includes observable market-based transactions for the same or similar assets or other relevant observable market based inputs that may be used in pricing an asset.</w:t>
      </w:r>
    </w:p>
    <w:p>
      <w:pPr>
        <w:spacing w:after="0" w:line="117" w:lineRule="exact"/>
        <w:rPr>
          <w:sz w:val="20"/>
          <w:szCs w:val="20"/>
          <w:color w:val="auto"/>
        </w:rPr>
      </w:pPr>
    </w:p>
    <w:p>
      <w:pPr>
        <w:ind w:right="360" w:firstLine="456"/>
        <w:spacing w:after="0" w:line="273"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F-39</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2" w:lineRule="auto"/>
        <w:rPr>
          <w:sz w:val="20"/>
          <w:szCs w:val="20"/>
          <w:color w:val="auto"/>
        </w:rPr>
      </w:pPr>
      <w:r>
        <w:rPr>
          <w:rFonts w:ascii="Arial" w:cs="Arial" w:eastAsia="Arial" w:hAnsi="Arial"/>
          <w:sz w:val="14"/>
          <w:szCs w:val="14"/>
          <w:b w:val="1"/>
          <w:bCs w:val="1"/>
          <w:color w:val="auto"/>
        </w:rPr>
        <w:t>MARCH 31, 2012</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2012, our ability to observe valuation inputs has resulted in no reclassification of assets from Level 3 to 2. There were no investments transferred between Levels 1 and 2 for the same period.</w:t>
      </w:r>
    </w:p>
    <w:p>
      <w:pPr>
        <w:spacing w:after="0" w:line="111" w:lineRule="exact"/>
        <w:rPr>
          <w:sz w:val="20"/>
          <w:szCs w:val="20"/>
          <w:color w:val="auto"/>
        </w:rPr>
      </w:pPr>
    </w:p>
    <w:p>
      <w:pPr>
        <w:ind w:right="180" w:firstLine="456"/>
        <w:spacing w:after="0" w:line="318"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94"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In accordance with ASU 2011-04 and as outlined in the table below, our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3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The remainder of our portfolio was valued using a market comparable or enterprise valuation technique and our long-term Credit Facility used an income approach valuation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Range of</w:t>
            </w:r>
          </w:p>
        </w:tc>
      </w:tr>
      <w:tr>
        <w:trPr>
          <w:trHeight w:val="149"/>
        </w:trPr>
        <w:tc>
          <w:tcPr>
            <w:tcW w:w="9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Values/</w:t>
            </w:r>
          </w:p>
        </w:tc>
      </w:tr>
      <w:tr>
        <w:trPr>
          <w:trHeight w:val="18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Asset Category</w:t>
            </w:r>
          </w:p>
        </w:tc>
        <w:tc>
          <w:tcPr>
            <w:tcW w:w="4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w w:val="86"/>
              </w:rPr>
              <w:t>Fair Value</w:t>
            </w: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Valuation Techniques</w:t>
            </w: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Unobservable Inputs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Input</w:t>
            </w:r>
          </w:p>
        </w:tc>
      </w:tr>
      <w:tr>
        <w:trPr>
          <w:trHeight w:val="136"/>
        </w:trPr>
        <w:tc>
          <w:tcPr>
            <w:tcW w:w="52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w w:val="92"/>
              </w:rPr>
              <w:t>First lien, second lien, subordinated debt/corporate notes and preferred and common equity</w:t>
            </w:r>
          </w:p>
        </w:tc>
        <w:tc>
          <w:tcPr>
            <w:tcW w:w="8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90</w:t>
            </w:r>
          </w:p>
        </w:tc>
        <w:tc>
          <w:tcPr>
            <w:tcW w:w="360" w:type="dxa"/>
            <w:vAlign w:val="bottom"/>
            <w:tcBorders>
              <w:top w:val="single" w:sz="8" w:color="CCEEFF"/>
            </w:tcBorders>
            <w:shd w:val="clear" w:color="auto" w:fill="CCEEFF"/>
          </w:tcPr>
          <w:p>
            <w:pPr>
              <w:jc w:val="right"/>
              <w:ind w:right="172"/>
              <w:spacing w:after="0" w:line="136" w:lineRule="exact"/>
              <w:rPr>
                <w:sz w:val="20"/>
                <w:szCs w:val="20"/>
                <w:color w:val="auto"/>
              </w:rPr>
            </w:pPr>
            <w:r>
              <w:rPr>
                <w:rFonts w:ascii="Arial" w:cs="Arial" w:eastAsia="Arial" w:hAnsi="Arial"/>
                <w:sz w:val="14"/>
                <w:szCs w:val="14"/>
                <w:color w:val="auto"/>
                <w:w w:val="79"/>
              </w:rPr>
              <w:t>%</w:t>
            </w:r>
          </w:p>
        </w:tc>
        <w:tc>
          <w:tcPr>
            <w:tcW w:w="166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7"/>
              </w:rPr>
              <w:t>Market approach</w:t>
            </w:r>
          </w:p>
        </w:tc>
        <w:tc>
          <w:tcPr>
            <w:tcW w:w="20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9"/>
              </w:rPr>
              <w:t>Broker/Dealer bids</w:t>
            </w: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5"/>
              </w:rPr>
              <w:t>1 - 9</w:t>
            </w:r>
          </w:p>
        </w:tc>
      </w:tr>
      <w:tr>
        <w:trPr>
          <w:trHeight w:val="138"/>
        </w:trPr>
        <w:tc>
          <w:tcPr>
            <w:tcW w:w="5260" w:type="dxa"/>
            <w:vAlign w:val="bottom"/>
            <w:gridSpan w:val="2"/>
          </w:tcPr>
          <w:p>
            <w:pPr>
              <w:spacing w:after="0" w:line="138" w:lineRule="exact"/>
              <w:rPr>
                <w:sz w:val="20"/>
                <w:szCs w:val="20"/>
                <w:color w:val="auto"/>
              </w:rPr>
            </w:pPr>
            <w:r>
              <w:rPr>
                <w:rFonts w:ascii="Arial" w:cs="Arial" w:eastAsia="Arial" w:hAnsi="Arial"/>
                <w:sz w:val="14"/>
                <w:szCs w:val="14"/>
                <w:color w:val="auto"/>
                <w:w w:val="92"/>
              </w:rPr>
              <w:t>First lien, second lien, subordinated debt/corporate notes and preferred and common equity</w:t>
            </w:r>
          </w:p>
        </w:tc>
        <w:tc>
          <w:tcPr>
            <w:tcW w:w="1820" w:type="dxa"/>
            <w:vAlign w:val="bottom"/>
            <w:gridSpan w:val="3"/>
          </w:tcPr>
          <w:p>
            <w:pPr>
              <w:jc w:val="right"/>
              <w:ind w:right="172"/>
              <w:spacing w:after="0" w:line="138" w:lineRule="exact"/>
              <w:rPr>
                <w:sz w:val="20"/>
                <w:szCs w:val="20"/>
                <w:color w:val="auto"/>
              </w:rPr>
            </w:pPr>
            <w:r>
              <w:rPr>
                <w:rFonts w:ascii="Arial" w:cs="Arial" w:eastAsia="Arial" w:hAnsi="Arial"/>
                <w:sz w:val="14"/>
                <w:szCs w:val="14"/>
                <w:color w:val="auto"/>
              </w:rPr>
              <w:t>10%</w:t>
            </w:r>
          </w:p>
        </w:tc>
        <w:tc>
          <w:tcPr>
            <w:tcW w:w="186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7"/>
              </w:rPr>
              <w:t>Market comparable /</w:t>
            </w:r>
          </w:p>
        </w:tc>
        <w:tc>
          <w:tcPr>
            <w:tcW w:w="168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2"/>
              </w:rPr>
              <w:t>EBITDA multiples</w:t>
            </w:r>
          </w:p>
        </w:tc>
        <w:tc>
          <w:tcPr>
            <w:tcW w:w="800" w:type="dxa"/>
            <w:vAlign w:val="bottom"/>
          </w:tcPr>
          <w:p>
            <w:pPr>
              <w:jc w:val="center"/>
              <w:spacing w:after="0" w:line="138" w:lineRule="exact"/>
              <w:rPr>
                <w:sz w:val="20"/>
                <w:szCs w:val="20"/>
                <w:color w:val="auto"/>
              </w:rPr>
            </w:pPr>
            <w:r>
              <w:rPr>
                <w:rFonts w:ascii="Arial" w:cs="Arial" w:eastAsia="Arial" w:hAnsi="Arial"/>
                <w:sz w:val="14"/>
                <w:szCs w:val="14"/>
                <w:color w:val="auto"/>
                <w:w w:val="89"/>
              </w:rPr>
              <w:t>7.6x – 10.7x</w:t>
            </w:r>
          </w:p>
        </w:tc>
      </w:tr>
      <w:tr>
        <w:trPr>
          <w:trHeight w:val="159"/>
        </w:trPr>
        <w:tc>
          <w:tcPr>
            <w:tcW w:w="9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6"/>
              </w:rPr>
              <w:t>Enterprise value</w:t>
            </w: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38"/>
        </w:trPr>
        <w:tc>
          <w:tcPr>
            <w:tcW w:w="5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Long-Term Credit Facility</w:t>
            </w:r>
          </w:p>
        </w:tc>
        <w:tc>
          <w:tcPr>
            <w:tcW w:w="1820" w:type="dxa"/>
            <w:vAlign w:val="bottom"/>
            <w:gridSpan w:val="3"/>
            <w:shd w:val="clear" w:color="auto" w:fill="CCEEFF"/>
          </w:tcPr>
          <w:p>
            <w:pPr>
              <w:jc w:val="right"/>
              <w:ind w:right="172"/>
              <w:spacing w:after="0" w:line="138" w:lineRule="exact"/>
              <w:rPr>
                <w:sz w:val="20"/>
                <w:szCs w:val="20"/>
                <w:color w:val="auto"/>
              </w:rPr>
            </w:pPr>
            <w:r>
              <w:rPr>
                <w:rFonts w:ascii="Arial" w:cs="Arial" w:eastAsia="Arial" w:hAnsi="Arial"/>
                <w:sz w:val="14"/>
                <w:szCs w:val="14"/>
                <w:color w:val="auto"/>
              </w:rPr>
              <w:t>100%</w:t>
            </w:r>
          </w:p>
        </w:tc>
        <w:tc>
          <w:tcPr>
            <w:tcW w:w="18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Market comparable / Income</w:t>
            </w:r>
          </w:p>
        </w:tc>
        <w:tc>
          <w:tcPr>
            <w:tcW w:w="168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7"/>
              </w:rPr>
              <w:t>Discount rate</w:t>
            </w:r>
          </w:p>
        </w:tc>
        <w:tc>
          <w:tcPr>
            <w:tcW w:w="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3.5%</w:t>
            </w:r>
          </w:p>
        </w:tc>
      </w:tr>
      <w:tr>
        <w:trPr>
          <w:trHeight w:val="159"/>
        </w:trPr>
        <w:tc>
          <w:tcPr>
            <w:tcW w:w="920" w:type="dxa"/>
            <w:vAlign w:val="bottom"/>
            <w:shd w:val="clear" w:color="auto" w:fill="CCEEFF"/>
          </w:tcPr>
          <w:p>
            <w:pPr>
              <w:spacing w:after="0"/>
              <w:rPr>
                <w:sz w:val="13"/>
                <w:szCs w:val="13"/>
                <w:color w:val="auto"/>
              </w:rPr>
            </w:pPr>
          </w:p>
        </w:tc>
        <w:tc>
          <w:tcPr>
            <w:tcW w:w="4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2"/>
              </w:rPr>
              <w:t>approach</w:t>
            </w:r>
          </w:p>
        </w:tc>
        <w:tc>
          <w:tcPr>
            <w:tcW w:w="1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310"/>
        </w:trPr>
        <w:tc>
          <w:tcPr>
            <w:tcW w:w="9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820" w:type="dxa"/>
            <w:vAlign w:val="bottom"/>
            <w:gridSpan w:val="3"/>
          </w:tcPr>
          <w:p>
            <w:pPr>
              <w:jc w:val="right"/>
              <w:ind w:right="1172"/>
              <w:spacing w:after="0"/>
              <w:rPr>
                <w:sz w:val="20"/>
                <w:szCs w:val="20"/>
                <w:color w:val="auto"/>
              </w:rPr>
            </w:pPr>
            <w:r>
              <w:rPr>
                <w:rFonts w:ascii="Arial" w:cs="Arial" w:eastAsia="Arial" w:hAnsi="Arial"/>
                <w:sz w:val="14"/>
                <w:szCs w:val="14"/>
                <w:color w:val="auto"/>
              </w:rPr>
              <w:t>F-40</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45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45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At March 31, 2012 and September 30, 2011, our cash equivalents, investments and our long-term Credit Facility were categorized as follows in the fair value hierarchy for ASC 820 purposes.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7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40" w:type="dxa"/>
            <w:vAlign w:val="bottom"/>
            <w:gridSpan w:val="7"/>
          </w:tcPr>
          <w:p>
            <w:pPr>
              <w:ind w:left="40"/>
              <w:spacing w:after="0"/>
              <w:rPr>
                <w:sz w:val="20"/>
                <w:szCs w:val="20"/>
                <w:color w:val="auto"/>
              </w:rPr>
            </w:pPr>
            <w:r>
              <w:rPr>
                <w:rFonts w:ascii="Arial" w:cs="Arial" w:eastAsia="Arial" w:hAnsi="Arial"/>
                <w:sz w:val="14"/>
                <w:szCs w:val="14"/>
                <w:b w:val="1"/>
                <w:bCs w:val="1"/>
                <w:color w:val="auto"/>
                <w:w w:val="88"/>
              </w:rPr>
              <w:t>Fair Value Measurements at March 31, 2012</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562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700" w:type="dxa"/>
            <w:vAlign w:val="bottom"/>
            <w:tcBorders>
              <w:bottom w:val="single" w:sz="8" w:color="auto"/>
            </w:tcBorders>
            <w:vMerge w:val="continue"/>
          </w:tcPr>
          <w:p>
            <w:pPr>
              <w:spacing w:after="0"/>
              <w:rPr>
                <w:sz w:val="11"/>
                <w:szCs w:val="11"/>
                <w:color w:val="auto"/>
              </w:rPr>
            </w:pPr>
          </w:p>
        </w:tc>
        <w:tc>
          <w:tcPr>
            <w:tcW w:w="5620" w:type="dxa"/>
            <w:vAlign w:val="bottom"/>
            <w:vMerge w:val="continue"/>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86"/>
              </w:rPr>
              <w:t>Fair Value</w:t>
            </w: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Level 1</w:t>
            </w: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Level 2</w:t>
            </w: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63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First lien</w:t>
            </w: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126,306,324</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126,306,324</w:t>
            </w:r>
          </w:p>
        </w:tc>
        <w:tc>
          <w:tcPr>
            <w:tcW w:w="0" w:type="dxa"/>
            <w:vAlign w:val="bottom"/>
          </w:tcPr>
          <w:p>
            <w:pPr>
              <w:spacing w:after="0"/>
              <w:rPr>
                <w:sz w:val="1"/>
                <w:szCs w:val="1"/>
                <w:color w:val="auto"/>
              </w:rPr>
            </w:pPr>
          </w:p>
        </w:tc>
      </w:tr>
      <w:tr>
        <w:trPr>
          <w:trHeight w:val="175"/>
        </w:trPr>
        <w:tc>
          <w:tcPr>
            <w:tcW w:w="632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7,136,250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7,136,250</w:t>
            </w:r>
          </w:p>
        </w:tc>
        <w:tc>
          <w:tcPr>
            <w:tcW w:w="0" w:type="dxa"/>
            <w:vAlign w:val="bottom"/>
          </w:tcPr>
          <w:p>
            <w:pPr>
              <w:spacing w:after="0"/>
              <w:rPr>
                <w:sz w:val="1"/>
                <w:szCs w:val="1"/>
                <w:color w:val="auto"/>
              </w:rPr>
            </w:pPr>
          </w:p>
        </w:tc>
      </w:tr>
      <w:tr>
        <w:trPr>
          <w:trHeight w:val="203"/>
        </w:trPr>
        <w:tc>
          <w:tcPr>
            <w:tcW w:w="6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Subordinated debt/corporate notes</w:t>
            </w: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12,215,480</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3,710,500</w:t>
            </w:r>
          </w:p>
        </w:tc>
        <w:tc>
          <w:tcPr>
            <w:tcW w:w="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8,504,980</w:t>
            </w:r>
          </w:p>
        </w:tc>
        <w:tc>
          <w:tcPr>
            <w:tcW w:w="0" w:type="dxa"/>
            <w:vAlign w:val="bottom"/>
          </w:tcPr>
          <w:p>
            <w:pPr>
              <w:spacing w:after="0"/>
              <w:rPr>
                <w:sz w:val="1"/>
                <w:szCs w:val="1"/>
                <w:color w:val="auto"/>
              </w:rPr>
            </w:pPr>
          </w:p>
        </w:tc>
      </w:tr>
      <w:tr>
        <w:trPr>
          <w:trHeight w:val="189"/>
        </w:trPr>
        <w:tc>
          <w:tcPr>
            <w:tcW w:w="6320" w:type="dxa"/>
            <w:vAlign w:val="bottom"/>
            <w:gridSpan w:val="2"/>
          </w:tcPr>
          <w:p>
            <w:pPr>
              <w:spacing w:after="0"/>
              <w:rPr>
                <w:sz w:val="20"/>
                <w:szCs w:val="20"/>
                <w:color w:val="auto"/>
              </w:rPr>
            </w:pPr>
            <w:r>
              <w:rPr>
                <w:rFonts w:ascii="Arial" w:cs="Arial" w:eastAsia="Arial" w:hAnsi="Arial"/>
                <w:sz w:val="14"/>
                <w:szCs w:val="14"/>
                <w:color w:val="auto"/>
              </w:rPr>
              <w:t>Preferred and common equity</w:t>
            </w: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530,078</w:t>
            </w:r>
          </w:p>
        </w:tc>
        <w:tc>
          <w:tcPr>
            <w:tcW w:w="4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530,078</w:t>
            </w:r>
          </w:p>
        </w:tc>
        <w:tc>
          <w:tcPr>
            <w:tcW w:w="0" w:type="dxa"/>
            <w:vAlign w:val="bottom"/>
          </w:tcPr>
          <w:p>
            <w:pPr>
              <w:spacing w:after="0"/>
              <w:rPr>
                <w:sz w:val="1"/>
                <w:szCs w:val="1"/>
                <w:color w:val="auto"/>
              </w:rPr>
            </w:pPr>
          </w:p>
        </w:tc>
      </w:tr>
      <w:tr>
        <w:trPr>
          <w:trHeight w:val="196"/>
        </w:trPr>
        <w:tc>
          <w:tcPr>
            <w:tcW w:w="63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Total investments</w:t>
            </w: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146,188,132</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3,710,500</w:t>
            </w:r>
          </w:p>
        </w:tc>
        <w:tc>
          <w:tcPr>
            <w:tcW w:w="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142,477,632</w:t>
            </w:r>
          </w:p>
        </w:tc>
        <w:tc>
          <w:tcPr>
            <w:tcW w:w="0" w:type="dxa"/>
            <w:vAlign w:val="bottom"/>
          </w:tcPr>
          <w:p>
            <w:pPr>
              <w:spacing w:after="0"/>
              <w:rPr>
                <w:sz w:val="1"/>
                <w:szCs w:val="1"/>
                <w:color w:val="auto"/>
              </w:rPr>
            </w:pPr>
          </w:p>
        </w:tc>
      </w:tr>
      <w:tr>
        <w:trPr>
          <w:trHeight w:val="189"/>
        </w:trPr>
        <w:tc>
          <w:tcPr>
            <w:tcW w:w="6320" w:type="dxa"/>
            <w:vAlign w:val="bottom"/>
            <w:gridSpan w:val="2"/>
          </w:tcPr>
          <w:p>
            <w:pPr>
              <w:spacing w:after="0"/>
              <w:rPr>
                <w:sz w:val="20"/>
                <w:szCs w:val="20"/>
                <w:color w:val="auto"/>
              </w:rPr>
            </w:pPr>
            <w:r>
              <w:rPr>
                <w:rFonts w:ascii="Arial" w:cs="Arial" w:eastAsia="Arial" w:hAnsi="Arial"/>
                <w:sz w:val="14"/>
                <w:szCs w:val="14"/>
                <w:color w:val="auto"/>
              </w:rPr>
              <w:t>Cash equivalents</w:t>
            </w: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3,849,360</w:t>
            </w:r>
          </w:p>
        </w:tc>
        <w:tc>
          <w:tcPr>
            <w:tcW w:w="4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3"/>
              </w:rPr>
              <w:t>3,849,360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3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Total investments and cash equivalents</w:t>
            </w:r>
          </w:p>
        </w:tc>
        <w:tc>
          <w:tcPr>
            <w:tcW w:w="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4"/>
              </w:rPr>
              <w:t>150,037,492</w:t>
            </w:r>
          </w:p>
        </w:tc>
        <w:tc>
          <w:tcPr>
            <w:tcW w:w="4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83"/>
              </w:rPr>
              <w:t>3,849,360</w:t>
            </w:r>
          </w:p>
        </w:tc>
        <w:tc>
          <w:tcPr>
            <w:tcW w:w="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83"/>
              </w:rPr>
              <w:t>3,710,500</w:t>
            </w:r>
          </w:p>
        </w:tc>
        <w:tc>
          <w:tcPr>
            <w:tcW w:w="480" w:type="dxa"/>
            <w:vAlign w:val="bottom"/>
            <w:tcBorders>
              <w:right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142,477,632</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20" w:type="dxa"/>
            <w:vAlign w:val="bottom"/>
            <w:gridSpan w:val="2"/>
            <w:vMerge w:val="continue"/>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47,561,000</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4"/>
              </w:rPr>
              <w:t>47,561,000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7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120" w:type="dxa"/>
            <w:vAlign w:val="bottom"/>
            <w:gridSpan w:val="11"/>
          </w:tcPr>
          <w:p>
            <w:pPr>
              <w:jc w:val="right"/>
              <w:ind w:right="672"/>
              <w:spacing w:after="0"/>
              <w:rPr>
                <w:sz w:val="20"/>
                <w:szCs w:val="20"/>
                <w:color w:val="auto"/>
              </w:rPr>
            </w:pPr>
            <w:r>
              <w:rPr>
                <w:rFonts w:ascii="Arial" w:cs="Arial" w:eastAsia="Arial" w:hAnsi="Arial"/>
                <w:sz w:val="14"/>
                <w:szCs w:val="14"/>
                <w:b w:val="1"/>
                <w:bCs w:val="1"/>
                <w:color w:val="auto"/>
              </w:rPr>
              <w:t>Fair Value Measurements at September 30, 2011</w:t>
            </w:r>
          </w:p>
        </w:tc>
        <w:tc>
          <w:tcPr>
            <w:tcW w:w="0" w:type="dxa"/>
            <w:vAlign w:val="bottom"/>
          </w:tcPr>
          <w:p>
            <w:pPr>
              <w:spacing w:after="0"/>
              <w:rPr>
                <w:sz w:val="1"/>
                <w:szCs w:val="1"/>
                <w:color w:val="auto"/>
              </w:rPr>
            </w:pPr>
          </w:p>
        </w:tc>
      </w:tr>
      <w:tr>
        <w:trPr>
          <w:trHeight w:val="28"/>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14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700" w:type="dxa"/>
            <w:vAlign w:val="bottom"/>
            <w:tcBorders>
              <w:bottom w:val="single" w:sz="8" w:color="auto"/>
            </w:tcBorders>
            <w:vMerge w:val="continue"/>
          </w:tcPr>
          <w:p>
            <w:pPr>
              <w:spacing w:after="0"/>
              <w:rPr>
                <w:sz w:val="11"/>
                <w:szCs w:val="11"/>
                <w:color w:val="auto"/>
              </w:rPr>
            </w:pPr>
          </w:p>
        </w:tc>
        <w:tc>
          <w:tcPr>
            <w:tcW w:w="3140" w:type="dxa"/>
            <w:vAlign w:val="bottom"/>
            <w:vMerge w:val="continue"/>
          </w:tcPr>
          <w:p>
            <w:pPr>
              <w:spacing w:after="0"/>
              <w:rPr>
                <w:sz w:val="11"/>
                <w:szCs w:val="11"/>
                <w:color w:val="auto"/>
              </w:rPr>
            </w:pPr>
          </w:p>
        </w:tc>
        <w:tc>
          <w:tcPr>
            <w:tcW w:w="2540" w:type="dxa"/>
            <w:vAlign w:val="bottom"/>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Level 1</w:t>
            </w: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38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First lien</w:t>
            </w:r>
          </w:p>
        </w:tc>
        <w:tc>
          <w:tcPr>
            <w:tcW w:w="254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40" w:type="dxa"/>
            <w:vAlign w:val="bottom"/>
            <w:gridSpan w:val="2"/>
            <w:vMerge w:val="continue"/>
            <w:shd w:val="clear" w:color="auto" w:fill="CCEEFF"/>
          </w:tcPr>
          <w:p>
            <w:pPr>
              <w:spacing w:after="0"/>
              <w:rPr>
                <w:sz w:val="14"/>
                <w:szCs w:val="14"/>
                <w:color w:val="auto"/>
              </w:rPr>
            </w:pPr>
          </w:p>
        </w:tc>
        <w:tc>
          <w:tcPr>
            <w:tcW w:w="2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4"/>
              </w:rPr>
              <w:t>94,333,126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3"/>
              </w:rPr>
              <w:t>2,033,747</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92,299,379</w:t>
            </w:r>
          </w:p>
        </w:tc>
        <w:tc>
          <w:tcPr>
            <w:tcW w:w="0" w:type="dxa"/>
            <w:vAlign w:val="bottom"/>
          </w:tcPr>
          <w:p>
            <w:pPr>
              <w:spacing w:after="0"/>
              <w:rPr>
                <w:sz w:val="1"/>
                <w:szCs w:val="1"/>
                <w:color w:val="auto"/>
              </w:rPr>
            </w:pPr>
          </w:p>
        </w:tc>
      </w:tr>
      <w:tr>
        <w:trPr>
          <w:trHeight w:val="175"/>
        </w:trPr>
        <w:tc>
          <w:tcPr>
            <w:tcW w:w="38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5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9,285,000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9,285,000</w:t>
            </w: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Subordinated debt/corporate notes</w:t>
            </w:r>
          </w:p>
        </w:tc>
        <w:tc>
          <w:tcPr>
            <w:tcW w:w="254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7,004,130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3"/>
              </w:rPr>
              <w:t>1,155,000</w:t>
            </w:r>
          </w:p>
        </w:tc>
        <w:tc>
          <w:tcPr>
            <w:tcW w:w="30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5,849,130</w:t>
            </w:r>
          </w:p>
        </w:tc>
        <w:tc>
          <w:tcPr>
            <w:tcW w:w="0" w:type="dxa"/>
            <w:vAlign w:val="bottom"/>
          </w:tcPr>
          <w:p>
            <w:pPr>
              <w:spacing w:after="0"/>
              <w:rPr>
                <w:sz w:val="1"/>
                <w:szCs w:val="1"/>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4"/>
                <w:szCs w:val="14"/>
                <w:color w:val="auto"/>
              </w:rPr>
              <w:t>Preferred and common equity</w:t>
            </w:r>
          </w:p>
        </w:tc>
        <w:tc>
          <w:tcPr>
            <w:tcW w:w="25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101,985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101,985</w:t>
            </w:r>
          </w:p>
        </w:tc>
        <w:tc>
          <w:tcPr>
            <w:tcW w:w="0" w:type="dxa"/>
            <w:vAlign w:val="bottom"/>
          </w:tcPr>
          <w:p>
            <w:pPr>
              <w:spacing w:after="0"/>
              <w:rPr>
                <w:sz w:val="1"/>
                <w:szCs w:val="1"/>
                <w:color w:val="auto"/>
              </w:rPr>
            </w:pPr>
          </w:p>
        </w:tc>
      </w:tr>
      <w:tr>
        <w:trPr>
          <w:trHeight w:val="196"/>
        </w:trPr>
        <w:tc>
          <w:tcPr>
            <w:tcW w:w="38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Total investments</w:t>
            </w:r>
          </w:p>
        </w:tc>
        <w:tc>
          <w:tcPr>
            <w:tcW w:w="254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4"/>
              </w:rPr>
              <w:t>110,724,241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3"/>
              </w:rPr>
              <w:t>3,188,747</w:t>
            </w:r>
          </w:p>
        </w:tc>
        <w:tc>
          <w:tcPr>
            <w:tcW w:w="30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107,535,494</w:t>
            </w:r>
          </w:p>
        </w:tc>
        <w:tc>
          <w:tcPr>
            <w:tcW w:w="0" w:type="dxa"/>
            <w:vAlign w:val="bottom"/>
          </w:tcPr>
          <w:p>
            <w:pPr>
              <w:spacing w:after="0"/>
              <w:rPr>
                <w:sz w:val="1"/>
                <w:szCs w:val="1"/>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4"/>
                <w:szCs w:val="14"/>
                <w:color w:val="auto"/>
              </w:rPr>
              <w:t>Cash equivalents</w:t>
            </w:r>
          </w:p>
        </w:tc>
        <w:tc>
          <w:tcPr>
            <w:tcW w:w="25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6,987,450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3"/>
              </w:rPr>
              <w:t>6,987,450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8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Total investments and cash equivalents</w:t>
            </w:r>
          </w:p>
        </w:tc>
        <w:tc>
          <w:tcPr>
            <w:tcW w:w="254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4"/>
              </w:rPr>
              <w:t>117,711,691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83"/>
              </w:rPr>
              <w:t>6,987,450</w:t>
            </w:r>
          </w:p>
        </w:tc>
        <w:tc>
          <w:tcPr>
            <w:tcW w:w="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3"/>
              </w:rPr>
              <w:t>3,188,747</w:t>
            </w:r>
          </w:p>
        </w:tc>
        <w:tc>
          <w:tcPr>
            <w:tcW w:w="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107,535,494</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40" w:type="dxa"/>
            <w:vAlign w:val="bottom"/>
            <w:gridSpan w:val="2"/>
            <w:vMerge w:val="continue"/>
          </w:tcPr>
          <w:p>
            <w:pPr>
              <w:spacing w:after="0"/>
              <w:rPr>
                <w:sz w:val="15"/>
                <w:szCs w:val="15"/>
                <w:color w:val="auto"/>
              </w:rPr>
            </w:pPr>
          </w:p>
        </w:tc>
        <w:tc>
          <w:tcPr>
            <w:tcW w:w="25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24,650,000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4"/>
              </w:rPr>
              <w:t>24,650,000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540" w:type="dxa"/>
            <w:vAlign w:val="bottom"/>
          </w:tcPr>
          <w:p>
            <w:pPr>
              <w:jc w:val="right"/>
              <w:ind w:right="932"/>
              <w:spacing w:after="0"/>
              <w:rPr>
                <w:sz w:val="20"/>
                <w:szCs w:val="20"/>
                <w:color w:val="auto"/>
              </w:rPr>
            </w:pPr>
            <w:r>
              <w:rPr>
                <w:rFonts w:ascii="Arial" w:cs="Arial" w:eastAsia="Arial" w:hAnsi="Arial"/>
                <w:sz w:val="14"/>
                <w:szCs w:val="14"/>
                <w:color w:val="auto"/>
              </w:rPr>
              <w:t>F-41</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The following tables show a reconciliation of the beginning and ending balances for fair valued investments measured using significant unobservable inputs (Level 3) for the six months ended March 31, 2012 and for the period from March 4, 2011 (commencement of operations) to September 30, 2011:</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98" w:lineRule="auto"/>
        <w:rPr>
          <w:sz w:val="20"/>
          <w:szCs w:val="20"/>
          <w:color w:val="auto"/>
        </w:rPr>
      </w:pPr>
      <w:r>
        <w:rPr>
          <w:rFonts w:ascii="Arial" w:cs="Arial" w:eastAsia="Arial" w:hAnsi="Arial"/>
          <w:sz w:val="14"/>
          <w:szCs w:val="14"/>
          <w:color w:val="auto"/>
        </w:rPr>
        <w:t>Beginning Balance, October 1, 2011</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200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color w:val="auto"/>
        </w:rPr>
        <w:t>Realized gains</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Unrealized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200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PIK and net discount accretion</w:t>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Sales /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200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Transfers in and/or out of Level 3</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Ending Balance,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200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62"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Net change in unrealized appreciation for the six months ended March 31, 2012 reported within the net change in unrealized appreciation on investments in our Consolidated Statement of Operations attributable to our Level 3 assets still held at the reporting date.</w:t>
      </w:r>
    </w:p>
    <w:p>
      <w:pPr>
        <w:spacing w:after="0" w:line="153" w:lineRule="exact"/>
        <w:rPr>
          <w:sz w:val="20"/>
          <w:szCs w:val="20"/>
          <w:color w:val="auto"/>
        </w:rPr>
      </w:pPr>
    </w:p>
    <w:p>
      <w:pPr>
        <w:ind w:left="220" w:hanging="212"/>
        <w:spacing w:after="0"/>
        <w:tabs>
          <w:tab w:leader="none" w:pos="220" w:val="left"/>
        </w:tabs>
        <w:numPr>
          <w:ilvl w:val="0"/>
          <w:numId w:val="89"/>
        </w:numPr>
        <w:rPr>
          <w:rFonts w:ascii="Arial" w:cs="Arial" w:eastAsia="Arial" w:hAnsi="Arial"/>
          <w:sz w:val="22"/>
          <w:szCs w:val="22"/>
          <w:color w:val="auto"/>
          <w:vertAlign w:val="superscript"/>
        </w:rPr>
      </w:pPr>
      <w:r>
        <w:rPr>
          <w:rFonts w:ascii="Arial" w:cs="Arial" w:eastAsia="Arial" w:hAnsi="Arial"/>
          <w:sz w:val="14"/>
          <w:szCs w:val="14"/>
          <w:color w:val="auto"/>
        </w:rPr>
        <w:t>As-adjusted to conform to current year presentation.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Six Months Ended March 31, 2012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Second lien,</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6"/>
              </w:rPr>
              <w:t>subordinated debt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1"/>
        </w:trPr>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1"/>
              </w:rPr>
              <w:t>First Lien</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and equity investments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Totals</w:t>
            </w:r>
          </w:p>
        </w:tc>
        <w:tc>
          <w:tcPr>
            <w:tcW w:w="40" w:type="dxa"/>
            <w:vAlign w:val="bottom"/>
          </w:tcPr>
          <w:p>
            <w:pPr>
              <w:spacing w:after="0"/>
              <w:rPr>
                <w:sz w:val="14"/>
                <w:szCs w:val="14"/>
                <w:color w:val="auto"/>
              </w:rPr>
            </w:pPr>
          </w:p>
        </w:tc>
      </w:tr>
      <w:tr>
        <w:trPr>
          <w:trHeight w:val="169"/>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89,329,379</w:t>
            </w:r>
          </w:p>
        </w:tc>
        <w:tc>
          <w:tcPr>
            <w:tcW w:w="260" w:type="dxa"/>
            <w:vAlign w:val="bottom"/>
          </w:tcPr>
          <w:p>
            <w:pPr>
              <w:spacing w:after="0"/>
              <w:rPr>
                <w:sz w:val="14"/>
                <w:szCs w:val="14"/>
                <w:color w:val="auto"/>
              </w:rPr>
            </w:pP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18,206,115</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84"/>
              </w:rPr>
              <w:t>107,535,494</w:t>
            </w:r>
          </w:p>
        </w:tc>
        <w:tc>
          <w:tcPr>
            <w:tcW w:w="40" w:type="dxa"/>
            <w:vAlign w:val="bottom"/>
          </w:tcPr>
          <w:p>
            <w:pPr>
              <w:spacing w:after="0"/>
              <w:rPr>
                <w:sz w:val="14"/>
                <w:szCs w:val="14"/>
                <w:color w:val="auto"/>
              </w:rPr>
            </w:pPr>
          </w:p>
        </w:tc>
      </w:tr>
      <w:tr>
        <w:trPr>
          <w:trHeight w:val="176"/>
        </w:trPr>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315,366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86,442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401,808</w:t>
            </w:r>
          </w:p>
        </w:tc>
        <w:tc>
          <w:tcPr>
            <w:tcW w:w="40" w:type="dxa"/>
            <w:vAlign w:val="bottom"/>
          </w:tcPr>
          <w:p>
            <w:pPr>
              <w:spacing w:after="0"/>
              <w:rPr>
                <w:sz w:val="15"/>
                <w:szCs w:val="15"/>
                <w:color w:val="auto"/>
              </w:rPr>
            </w:pPr>
          </w:p>
        </w:tc>
      </w:tr>
      <w:tr>
        <w:trPr>
          <w:trHeight w:val="189"/>
        </w:trPr>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3,176,684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543,615</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3,720,299</w:t>
            </w:r>
          </w:p>
        </w:tc>
        <w:tc>
          <w:tcPr>
            <w:tcW w:w="40" w:type="dxa"/>
            <w:vAlign w:val="bottom"/>
          </w:tcPr>
          <w:p>
            <w:pPr>
              <w:spacing w:after="0"/>
              <w:rPr>
                <w:sz w:val="16"/>
                <w:szCs w:val="16"/>
                <w:color w:val="auto"/>
              </w:rPr>
            </w:pPr>
          </w:p>
        </w:tc>
      </w:tr>
      <w:tr>
        <w:trPr>
          <w:trHeight w:val="189"/>
        </w:trPr>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67,494,977</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2,868,886</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70,363,863</w:t>
            </w:r>
          </w:p>
        </w:tc>
        <w:tc>
          <w:tcPr>
            <w:tcW w:w="40" w:type="dxa"/>
            <w:vAlign w:val="bottom"/>
          </w:tcPr>
          <w:p>
            <w:pPr>
              <w:spacing w:after="0"/>
              <w:rPr>
                <w:sz w:val="16"/>
                <w:szCs w:val="16"/>
                <w:color w:val="auto"/>
              </w:rPr>
            </w:pPr>
          </w:p>
        </w:tc>
      </w:tr>
      <w:tr>
        <w:trPr>
          <w:trHeight w:val="189"/>
        </w:trPr>
        <w:tc>
          <w:tcPr>
            <w:tcW w:w="6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w w:val="88"/>
              </w:rPr>
              <w:t>(34,010,082)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(5,533,750)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88"/>
              </w:rPr>
              <w:t>(39,543,832)</w:t>
            </w:r>
          </w:p>
        </w:tc>
      </w:tr>
      <w:tr>
        <w:trPr>
          <w:trHeight w:val="197"/>
        </w:trPr>
        <w:tc>
          <w:tcPr>
            <w:tcW w:w="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r>
      <w:tr>
        <w:trPr>
          <w:trHeight w:val="196"/>
        </w:trPr>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4"/>
              </w:rPr>
              <w:t>126,306,324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16,171,308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4"/>
              </w:rPr>
              <w:t>142,477,632</w:t>
            </w:r>
          </w:p>
        </w:tc>
        <w:tc>
          <w:tcPr>
            <w:tcW w:w="40" w:type="dxa"/>
            <w:vAlign w:val="bottom"/>
          </w:tcPr>
          <w:p>
            <w:pPr>
              <w:spacing w:after="0"/>
              <w:rPr>
                <w:sz w:val="17"/>
                <w:szCs w:val="17"/>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3,638,956</w:t>
            </w:r>
          </w:p>
        </w:tc>
        <w:tc>
          <w:tcPr>
            <w:tcW w:w="260" w:type="dxa"/>
            <w:vAlign w:val="bottom"/>
          </w:tcPr>
          <w:p>
            <w:pPr>
              <w:spacing w:after="0"/>
              <w:rPr>
                <w:sz w:val="24"/>
                <w:szCs w:val="24"/>
                <w:color w:val="auto"/>
              </w:rPr>
            </w:pP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546,020</w:t>
            </w:r>
          </w:p>
        </w:tc>
        <w:tc>
          <w:tcPr>
            <w:tcW w:w="26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4,184,976</w:t>
            </w:r>
          </w:p>
        </w:tc>
        <w:tc>
          <w:tcPr>
            <w:tcW w:w="40" w:type="dxa"/>
            <w:vAlign w:val="bottom"/>
          </w:tcPr>
          <w:p>
            <w:pPr>
              <w:spacing w:after="0"/>
              <w:rPr>
                <w:sz w:val="24"/>
                <w:szCs w:val="24"/>
                <w:color w:val="auto"/>
              </w:rPr>
            </w:pP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554" w:lineRule="exact"/>
        <w:rPr>
          <w:sz w:val="20"/>
          <w:szCs w:val="20"/>
          <w:color w:val="auto"/>
        </w:rPr>
      </w:pPr>
    </w:p>
    <w:p>
      <w:pPr>
        <w:sectPr>
          <w:pgSz w:w="11900" w:h="16838" w:orient="portrait"/>
          <w:cols w:equalWidth="0" w:num="2">
            <w:col w:w="7120" w:space="440"/>
            <w:col w:w="38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00" w:type="dxa"/>
            <w:vAlign w:val="bottom"/>
            <w:gridSpan w:val="9"/>
          </w:tcPr>
          <w:p>
            <w:pPr>
              <w:jc w:val="right"/>
              <w:ind w:right="280"/>
              <w:spacing w:after="0"/>
              <w:rPr>
                <w:sz w:val="20"/>
                <w:szCs w:val="20"/>
                <w:color w:val="auto"/>
              </w:rPr>
            </w:pPr>
            <w:r>
              <w:rPr>
                <w:rFonts w:ascii="Arial" w:cs="Arial" w:eastAsia="Arial" w:hAnsi="Arial"/>
                <w:sz w:val="14"/>
                <w:szCs w:val="14"/>
                <w:b w:val="1"/>
                <w:bCs w:val="1"/>
                <w:color w:val="auto"/>
                <w:w w:val="87"/>
              </w:rPr>
              <w:t>March 4, 2011 (commencement of operations) to September 30, 2011</w:t>
            </w: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2"/>
              </w:rPr>
              <w:t>Second lien,</w:t>
            </w: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subordinated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604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debt and equity</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20" w:type="dxa"/>
            <w:vAlign w:val="bottom"/>
            <w:tcBorders>
              <w:bottom w:val="single" w:sz="8" w:color="auto"/>
            </w:tcBorders>
            <w:vMerge w:val="continue"/>
          </w:tcPr>
          <w:p>
            <w:pPr>
              <w:spacing w:after="0"/>
              <w:rPr>
                <w:sz w:val="12"/>
                <w:szCs w:val="12"/>
                <w:color w:val="auto"/>
              </w:rPr>
            </w:pPr>
          </w:p>
        </w:tc>
        <w:tc>
          <w:tcPr>
            <w:tcW w:w="6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720"/>
              <w:spacing w:after="0" w:line="148" w:lineRule="exact"/>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2"/>
                <w:szCs w:val="12"/>
                <w:color w:val="auto"/>
              </w:rPr>
            </w:pPr>
          </w:p>
        </w:tc>
        <w:tc>
          <w:tcPr>
            <w:tcW w:w="140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3"/>
              </w:rPr>
              <w:t>investments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67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Beginning Balance, March 4, 2011</w:t>
            </w: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60" w:type="dxa"/>
            <w:vAlign w:val="bottom"/>
            <w:gridSpan w:val="2"/>
            <w:vMerge w:val="continue"/>
            <w:shd w:val="clear" w:color="auto" w:fill="CCEEFF"/>
          </w:tcPr>
          <w:p>
            <w:pPr>
              <w:spacing w:after="0"/>
              <w:rPr>
                <w:sz w:val="14"/>
                <w:szCs w:val="14"/>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760" w:type="dxa"/>
            <w:vAlign w:val="bottom"/>
            <w:gridSpan w:val="2"/>
          </w:tcPr>
          <w:p>
            <w:pPr>
              <w:ind w:left="440"/>
              <w:spacing w:after="0"/>
              <w:rPr>
                <w:sz w:val="20"/>
                <w:szCs w:val="20"/>
                <w:color w:val="auto"/>
              </w:rPr>
            </w:pPr>
            <w:r>
              <w:rPr>
                <w:rFonts w:ascii="Arial" w:cs="Arial" w:eastAsia="Arial" w:hAnsi="Arial"/>
                <w:sz w:val="14"/>
                <w:szCs w:val="14"/>
                <w:color w:val="auto"/>
              </w:rPr>
              <w:t>Realized gains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218,684</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93,319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312,003</w:t>
            </w:r>
          </w:p>
        </w:tc>
        <w:tc>
          <w:tcPr>
            <w:tcW w:w="0" w:type="dxa"/>
            <w:vAlign w:val="bottom"/>
          </w:tcPr>
          <w:p>
            <w:pPr>
              <w:spacing w:after="0"/>
              <w:rPr>
                <w:sz w:val="1"/>
                <w:szCs w:val="1"/>
                <w:color w:val="auto"/>
              </w:rPr>
            </w:pPr>
          </w:p>
        </w:tc>
      </w:tr>
      <w:tr>
        <w:trPr>
          <w:trHeight w:val="196"/>
        </w:trPr>
        <w:tc>
          <w:tcPr>
            <w:tcW w:w="6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Unrealized depreciation</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(3,621,606)</w:t>
            </w: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(93,301)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(3,714,907)</w:t>
            </w:r>
          </w:p>
        </w:tc>
        <w:tc>
          <w:tcPr>
            <w:tcW w:w="0" w:type="dxa"/>
            <w:vAlign w:val="bottom"/>
          </w:tcPr>
          <w:p>
            <w:pPr>
              <w:spacing w:after="0"/>
              <w:rPr>
                <w:sz w:val="1"/>
                <w:szCs w:val="1"/>
                <w:color w:val="auto"/>
              </w:rPr>
            </w:pPr>
          </w:p>
        </w:tc>
      </w:tr>
      <w:tr>
        <w:trPr>
          <w:trHeight w:val="182"/>
        </w:trPr>
        <w:tc>
          <w:tcPr>
            <w:tcW w:w="6760" w:type="dxa"/>
            <w:vAlign w:val="bottom"/>
            <w:gridSpan w:val="2"/>
          </w:tcPr>
          <w:p>
            <w:pPr>
              <w:ind w:left="440"/>
              <w:spacing w:after="0"/>
              <w:rPr>
                <w:sz w:val="20"/>
                <w:szCs w:val="20"/>
                <w:color w:val="auto"/>
              </w:rPr>
            </w:pPr>
            <w:r>
              <w:rPr>
                <w:rFonts w:ascii="Arial" w:cs="Arial" w:eastAsia="Arial" w:hAnsi="Arial"/>
                <w:sz w:val="14"/>
                <w:szCs w:val="14"/>
                <w:color w:val="auto"/>
              </w:rPr>
              <w:t>Purchases, PIK and net discount accretion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124,246,206</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19,766,732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144,012,938</w:t>
            </w:r>
          </w:p>
        </w:tc>
        <w:tc>
          <w:tcPr>
            <w:tcW w:w="0" w:type="dxa"/>
            <w:vAlign w:val="bottom"/>
          </w:tcPr>
          <w:p>
            <w:pPr>
              <w:spacing w:after="0"/>
              <w:rPr>
                <w:sz w:val="1"/>
                <w:szCs w:val="1"/>
                <w:color w:val="auto"/>
              </w:rPr>
            </w:pPr>
          </w:p>
        </w:tc>
      </w:tr>
      <w:tr>
        <w:trPr>
          <w:trHeight w:val="196"/>
        </w:trPr>
        <w:tc>
          <w:tcPr>
            <w:tcW w:w="6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Sales / repayments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(28,543,905)</w:t>
            </w: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(4,530,635)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(33,074,540)</w:t>
            </w:r>
          </w:p>
        </w:tc>
        <w:tc>
          <w:tcPr>
            <w:tcW w:w="0" w:type="dxa"/>
            <w:vAlign w:val="bottom"/>
          </w:tcPr>
          <w:p>
            <w:pPr>
              <w:spacing w:after="0"/>
              <w:rPr>
                <w:sz w:val="1"/>
                <w:szCs w:val="1"/>
                <w:color w:val="auto"/>
              </w:rPr>
            </w:pPr>
          </w:p>
        </w:tc>
      </w:tr>
      <w:tr>
        <w:trPr>
          <w:trHeight w:val="183"/>
        </w:trPr>
        <w:tc>
          <w:tcPr>
            <w:tcW w:w="6760" w:type="dxa"/>
            <w:vAlign w:val="bottom"/>
            <w:gridSpan w:val="2"/>
          </w:tcPr>
          <w:p>
            <w:pPr>
              <w:ind w:left="440"/>
              <w:spacing w:after="0"/>
              <w:rPr>
                <w:sz w:val="20"/>
                <w:szCs w:val="20"/>
                <w:color w:val="auto"/>
              </w:rPr>
            </w:pPr>
            <w:r>
              <w:rPr>
                <w:rFonts w:ascii="Arial" w:cs="Arial" w:eastAsia="Arial" w:hAnsi="Arial"/>
                <w:sz w:val="14"/>
                <w:szCs w:val="14"/>
                <w:color w:val="auto"/>
              </w:rPr>
              <w:t>Transfers in and/or out of Level 3</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Ending Balance, September 30, 2011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92,299,379</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15,236,115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107,535,494</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4"/>
                <w:szCs w:val="14"/>
                <w:color w:val="auto"/>
                <w:w w:val="98"/>
              </w:rPr>
              <w:t>Net change in unrealized depreciation for the year reported within the net change in unrealized depreciation on</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7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760" w:type="dxa"/>
            <w:vAlign w:val="bottom"/>
            <w:gridSpan w:val="2"/>
          </w:tcPr>
          <w:p>
            <w:pPr>
              <w:spacing w:after="0" w:line="159" w:lineRule="exact"/>
              <w:rPr>
                <w:sz w:val="20"/>
                <w:szCs w:val="20"/>
                <w:color w:val="auto"/>
              </w:rPr>
            </w:pPr>
            <w:r>
              <w:rPr>
                <w:rFonts w:ascii="Arial" w:cs="Arial" w:eastAsia="Arial" w:hAnsi="Arial"/>
                <w:sz w:val="14"/>
                <w:szCs w:val="14"/>
                <w:color w:val="auto"/>
                <w:w w:val="90"/>
              </w:rPr>
              <w:t>investments in our Consolidated Statement of Operations attributable to our Level 3 assets still held at the reporting date.</w:t>
            </w:r>
          </w:p>
        </w:tc>
        <w:tc>
          <w:tcPr>
            <w:tcW w:w="3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(3,621,606)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(93,301)</w:t>
            </w:r>
          </w:p>
        </w:tc>
        <w:tc>
          <w:tcPr>
            <w:tcW w:w="4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(3,714,907)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040" w:type="dxa"/>
            <w:vAlign w:val="bottom"/>
            <w:vMerge w:val="restart"/>
          </w:tcPr>
          <w:p>
            <w:pPr>
              <w:ind w:left="4860"/>
              <w:spacing w:after="0"/>
              <w:rPr>
                <w:sz w:val="20"/>
                <w:szCs w:val="20"/>
                <w:color w:val="auto"/>
              </w:rPr>
            </w:pPr>
            <w:r>
              <w:rPr>
                <w:rFonts w:ascii="Arial" w:cs="Arial" w:eastAsia="Arial" w:hAnsi="Arial"/>
                <w:sz w:val="14"/>
                <w:szCs w:val="14"/>
                <w:color w:val="auto"/>
              </w:rPr>
              <w:t>F-42</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spacing w:after="0"/>
              <w:rPr>
                <w:sz w:val="24"/>
                <w:szCs w:val="24"/>
                <w:color w:val="auto"/>
              </w:rPr>
            </w:pPr>
          </w:p>
        </w:tc>
        <w:tc>
          <w:tcPr>
            <w:tcW w:w="6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2" w:lineRule="auto"/>
        <w:rPr>
          <w:sz w:val="20"/>
          <w:szCs w:val="20"/>
          <w:color w:val="auto"/>
        </w:rPr>
      </w:pPr>
      <w:r>
        <w:rPr>
          <w:rFonts w:ascii="Arial" w:cs="Arial" w:eastAsia="Arial" w:hAnsi="Arial"/>
          <w:sz w:val="14"/>
          <w:szCs w:val="14"/>
          <w:b w:val="1"/>
          <w:bCs w:val="1"/>
          <w:color w:val="auto"/>
        </w:rPr>
        <w:t>MARCH 31, 2012</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table shows a reconciliation of the beginning and ending balances for fair valued liabilities measured using significant unobservable inputs (Level 3) for the six months ended March 31,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2012.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00" w:type="dxa"/>
            <w:vAlign w:val="bottom"/>
          </w:tcPr>
          <w:p>
            <w:pPr>
              <w:spacing w:after="0"/>
              <w:rPr>
                <w:sz w:val="20"/>
                <w:szCs w:val="20"/>
                <w:color w:val="auto"/>
              </w:rPr>
            </w:pPr>
            <w:r>
              <w:rPr>
                <w:rFonts w:ascii="Arial" w:cs="Arial" w:eastAsia="Arial" w:hAnsi="Arial"/>
                <w:sz w:val="14"/>
                <w:szCs w:val="14"/>
                <w:b w:val="1"/>
                <w:bCs w:val="1"/>
                <w:color w:val="auto"/>
              </w:rPr>
              <w:t>Six Months Ended March 31, 2012</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5"/>
        </w:trPr>
        <w:tc>
          <w:tcPr>
            <w:tcW w:w="106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7"/>
              </w:rPr>
              <w:t>Carrying /</w:t>
            </w:r>
          </w:p>
        </w:tc>
      </w:tr>
      <w:tr>
        <w:trPr>
          <w:trHeight w:val="161"/>
        </w:trPr>
        <w:tc>
          <w:tcPr>
            <w:tcW w:w="10600" w:type="dxa"/>
            <w:vAlign w:val="bottom"/>
          </w:tcPr>
          <w:p>
            <w:pPr>
              <w:spacing w:after="0"/>
              <w:rPr>
                <w:sz w:val="20"/>
                <w:szCs w:val="20"/>
                <w:color w:val="auto"/>
              </w:rPr>
            </w:pPr>
            <w:r>
              <w:rPr>
                <w:rFonts w:ascii="Arial" w:cs="Arial" w:eastAsia="Arial" w:hAnsi="Arial"/>
                <w:sz w:val="14"/>
                <w:szCs w:val="14"/>
                <w:b w:val="1"/>
                <w:bCs w:val="1"/>
                <w:color w:val="auto"/>
              </w:rPr>
              <w:t>Long-Term Credit Facility</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Fair Value</w:t>
            </w:r>
          </w:p>
        </w:tc>
      </w:tr>
      <w:tr>
        <w:trPr>
          <w:trHeight w:val="169"/>
        </w:trPr>
        <w:tc>
          <w:tcPr>
            <w:tcW w:w="1060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Beginning Balance, September 30, 2011 (cost – $24,650,000)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$ 24,650,000</w:t>
            </w:r>
          </w:p>
        </w:tc>
        <w:tc>
          <w:tcPr>
            <w:tcW w:w="100" w:type="dxa"/>
            <w:vAlign w:val="bottom"/>
            <w:tcBorders>
              <w:top w:val="single" w:sz="8" w:color="CCEEFF"/>
            </w:tcBorders>
            <w:shd w:val="clear" w:color="auto" w:fill="CCEEFF"/>
          </w:tcPr>
          <w:p>
            <w:pPr>
              <w:spacing w:after="0"/>
              <w:rPr>
                <w:sz w:val="14"/>
                <w:szCs w:val="14"/>
                <w:color w:val="auto"/>
              </w:rPr>
            </w:pPr>
          </w:p>
        </w:tc>
      </w:tr>
      <w:tr>
        <w:trPr>
          <w:trHeight w:val="182"/>
        </w:trPr>
        <w:tc>
          <w:tcPr>
            <w:tcW w:w="10600" w:type="dxa"/>
            <w:vAlign w:val="bottom"/>
          </w:tcPr>
          <w:p>
            <w:pPr>
              <w:ind w:left="440"/>
              <w:spacing w:after="0"/>
              <w:rPr>
                <w:sz w:val="20"/>
                <w:szCs w:val="20"/>
                <w:color w:val="auto"/>
              </w:rPr>
            </w:pPr>
            <w:r>
              <w:rPr>
                <w:rFonts w:ascii="Arial" w:cs="Arial" w:eastAsia="Arial" w:hAnsi="Arial"/>
                <w:sz w:val="14"/>
                <w:szCs w:val="14"/>
                <w:color w:val="auto"/>
              </w:rPr>
              <w:t>Total unrealized depreciation included in earnings</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(239,000)</w:t>
            </w:r>
          </w:p>
        </w:tc>
      </w:tr>
      <w:tr>
        <w:trPr>
          <w:trHeight w:val="196"/>
        </w:trPr>
        <w:tc>
          <w:tcPr>
            <w:tcW w:w="106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Borrowings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54,050,000</w:t>
            </w:r>
          </w:p>
        </w:tc>
        <w:tc>
          <w:tcPr>
            <w:tcW w:w="100" w:type="dxa"/>
            <w:vAlign w:val="bottom"/>
            <w:shd w:val="clear" w:color="auto" w:fill="CCEEFF"/>
          </w:tcPr>
          <w:p>
            <w:pPr>
              <w:spacing w:after="0"/>
              <w:rPr>
                <w:sz w:val="17"/>
                <w:szCs w:val="17"/>
                <w:color w:val="auto"/>
              </w:rPr>
            </w:pPr>
          </w:p>
        </w:tc>
      </w:tr>
      <w:tr>
        <w:trPr>
          <w:trHeight w:val="182"/>
        </w:trPr>
        <w:tc>
          <w:tcPr>
            <w:tcW w:w="10600" w:type="dxa"/>
            <w:vAlign w:val="bottom"/>
          </w:tcPr>
          <w:p>
            <w:pPr>
              <w:ind w:left="440"/>
              <w:spacing w:after="0"/>
              <w:rPr>
                <w:sz w:val="20"/>
                <w:szCs w:val="20"/>
                <w:color w:val="auto"/>
              </w:rPr>
            </w:pPr>
            <w:r>
              <w:rPr>
                <w:rFonts w:ascii="Arial" w:cs="Arial" w:eastAsia="Arial" w:hAnsi="Arial"/>
                <w:sz w:val="14"/>
                <w:szCs w:val="14"/>
                <w:color w:val="auto"/>
              </w:rPr>
              <w:t>Repayments</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w w:val="95"/>
              </w:rPr>
              <w:t>(30,900,000)</w:t>
            </w:r>
          </w:p>
        </w:tc>
      </w:tr>
      <w:tr>
        <w:trPr>
          <w:trHeight w:val="196"/>
        </w:trPr>
        <w:tc>
          <w:tcPr>
            <w:tcW w:w="106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Transfers in and/or out of Level 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90"/>
        </w:trPr>
        <w:tc>
          <w:tcPr>
            <w:tcW w:w="10600" w:type="dxa"/>
            <w:vAlign w:val="bottom"/>
          </w:tcPr>
          <w:p>
            <w:pPr>
              <w:spacing w:after="0"/>
              <w:rPr>
                <w:sz w:val="20"/>
                <w:szCs w:val="20"/>
                <w:color w:val="auto"/>
              </w:rPr>
            </w:pPr>
            <w:r>
              <w:rPr>
                <w:rFonts w:ascii="Arial" w:cs="Arial" w:eastAsia="Arial" w:hAnsi="Arial"/>
                <w:sz w:val="14"/>
                <w:szCs w:val="14"/>
                <w:color w:val="auto"/>
              </w:rPr>
              <w:t>Ending Balance, March 31, 2012 (cost – $47,800,000)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$ 47,561,000</w:t>
            </w:r>
          </w:p>
        </w:tc>
        <w:tc>
          <w:tcPr>
            <w:tcW w:w="100" w:type="dxa"/>
            <w:vAlign w:val="bottom"/>
          </w:tcPr>
          <w:p>
            <w:pPr>
              <w:spacing w:after="0"/>
              <w:rPr>
                <w:sz w:val="16"/>
                <w:szCs w:val="16"/>
                <w:color w:val="auto"/>
              </w:rPr>
            </w:pPr>
          </w:p>
        </w:tc>
      </w:tr>
      <w:tr>
        <w:trPr>
          <w:trHeight w:val="20"/>
        </w:trPr>
        <w:tc>
          <w:tcPr>
            <w:tcW w:w="10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5" w:lineRule="exact"/>
        <w:rPr>
          <w:sz w:val="20"/>
          <w:szCs w:val="20"/>
          <w:color w:val="auto"/>
        </w:rPr>
      </w:pPr>
    </w:p>
    <w:p>
      <w:pPr>
        <w:ind w:right="40" w:firstLine="456"/>
        <w:spacing w:after="0" w:line="266" w:lineRule="auto"/>
        <w:rPr>
          <w:sz w:val="20"/>
          <w:szCs w:val="20"/>
          <w:color w:val="auto"/>
        </w:rPr>
      </w:pPr>
      <w:r>
        <w:rPr>
          <w:rFonts w:ascii="Arial" w:cs="Arial" w:eastAsia="Arial" w:hAnsi="Arial"/>
          <w:sz w:val="12"/>
          <w:szCs w:val="12"/>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six months ended March 31, 2012, we had a net change in unrealized (appreciation) depreciation of $(0.1) million and $0.2 million, respectively. As of March 31, 2012 and September 30, 2011, the Credit Facility had net unrealized depreciation of $0.2 million and zero, respectively. We use one or more nationally recognized independent valuation service to measure the fair value of the Credit Facility in a manner consistent with the valuation process that the board of directors uses to value investments.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40" w:type="dxa"/>
            <w:vAlign w:val="bottom"/>
            <w:gridSpan w:val="2"/>
          </w:tcPr>
          <w:p>
            <w:pPr>
              <w:ind w:left="460"/>
              <w:spacing w:after="0"/>
              <w:rPr>
                <w:sz w:val="20"/>
                <w:szCs w:val="20"/>
                <w:color w:val="auto"/>
              </w:rPr>
            </w:pPr>
            <w:r>
              <w:rPr>
                <w:rFonts w:ascii="Arial" w:cs="Arial" w:eastAsia="Arial" w:hAnsi="Arial"/>
                <w:sz w:val="14"/>
                <w:szCs w:val="14"/>
                <w:color w:val="auto"/>
                <w:w w:val="93"/>
              </w:rPr>
              <w:t>The following information sets forth the computation of basic and diluted per share net increase in net assets resulting from operations.</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7300" w:type="dxa"/>
            <w:vAlign w:val="bottom"/>
            <w:vMerge w:val="restart"/>
          </w:tcPr>
          <w:p>
            <w:pPr>
              <w:spacing w:after="0"/>
              <w:rPr>
                <w:sz w:val="24"/>
                <w:szCs w:val="2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68"/>
        </w:trPr>
        <w:tc>
          <w:tcPr>
            <w:tcW w:w="940" w:type="dxa"/>
            <w:vAlign w:val="bottom"/>
            <w:tcBorders>
              <w:bottom w:val="single" w:sz="8" w:color="auto"/>
            </w:tcBorders>
            <w:vMerge w:val="continue"/>
          </w:tcPr>
          <w:p>
            <w:pPr>
              <w:spacing w:after="0"/>
              <w:rPr>
                <w:sz w:val="14"/>
                <w:szCs w:val="14"/>
                <w:color w:val="auto"/>
              </w:rPr>
            </w:pPr>
          </w:p>
        </w:tc>
        <w:tc>
          <w:tcPr>
            <w:tcW w:w="7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March 31, 2012</w:t>
            </w:r>
          </w:p>
        </w:tc>
        <w:tc>
          <w:tcPr>
            <w:tcW w:w="80" w:type="dxa"/>
            <w:vAlign w:val="bottom"/>
          </w:tcPr>
          <w:p>
            <w:pPr>
              <w:spacing w:after="0"/>
              <w:rPr>
                <w:sz w:val="14"/>
                <w:szCs w:val="14"/>
                <w:color w:val="auto"/>
              </w:rPr>
            </w:pPr>
          </w:p>
        </w:tc>
        <w:tc>
          <w:tcPr>
            <w:tcW w:w="10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163"/>
        </w:trPr>
        <w:tc>
          <w:tcPr>
            <w:tcW w:w="8240" w:type="dxa"/>
            <w:vAlign w:val="bottom"/>
            <w:tcBorders>
              <w:top w:val="single" w:sz="8" w:color="CCEEFF"/>
            </w:tcBorders>
            <w:gridSpan w:val="2"/>
            <w:shd w:val="clear" w:color="auto" w:fill="CCEEFF"/>
          </w:tcPr>
          <w:p>
            <w:pPr>
              <w:spacing w:after="0" w:line="153" w:lineRule="exact"/>
              <w:rPr>
                <w:sz w:val="20"/>
                <w:szCs w:val="20"/>
                <w:color w:val="auto"/>
              </w:rPr>
            </w:pPr>
            <w:r>
              <w:rPr>
                <w:rFonts w:ascii="Arial" w:cs="Arial" w:eastAsia="Arial" w:hAnsi="Arial"/>
                <w:sz w:val="14"/>
                <w:szCs w:val="14"/>
                <w:color w:val="auto"/>
              </w:rPr>
              <w:t>Numerator for net increase in net assets resulting from operations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4,525,075</w:t>
            </w:r>
          </w:p>
        </w:tc>
        <w:tc>
          <w:tcPr>
            <w:tcW w:w="8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7,630,240</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40" w:type="dxa"/>
            <w:vAlign w:val="bottom"/>
            <w:gridSpan w:val="2"/>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6,850,667</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6,850,667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CASH EQUIVALENTS</w:t>
      </w:r>
    </w:p>
    <w:p>
      <w:pPr>
        <w:spacing w:after="0" w:line="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2"/>
          <w:szCs w:val="12"/>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March 31, 2012 and September 30, 2011, cash equivalents consisted of $3.8 million and $7.0 million, including amounts in money market funds, respectively.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F-43</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FINANCIAL HIGHLIGHTS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Our net assets and net asset value per share on March 31, 2012 were $96.7 million and $14.12 per share, respectively. Below are the financial highlights for the six months ended March 31, 2012.</w:t>
      </w:r>
    </w:p>
    <w:p>
      <w:pPr>
        <w:spacing w:after="0" w:line="19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20" w:type="dxa"/>
            <w:vAlign w:val="bottom"/>
            <w:gridSpan w:val="4"/>
          </w:tcPr>
          <w:p>
            <w:pPr>
              <w:ind w:left="1620"/>
              <w:spacing w:after="0"/>
              <w:rPr>
                <w:sz w:val="20"/>
                <w:szCs w:val="20"/>
                <w:color w:val="auto"/>
              </w:rPr>
            </w:pPr>
            <w:r>
              <w:rPr>
                <w:rFonts w:ascii="Arial" w:cs="Arial" w:eastAsia="Arial" w:hAnsi="Arial"/>
                <w:sz w:val="14"/>
                <w:szCs w:val="14"/>
                <w:b w:val="1"/>
                <w:bCs w:val="1"/>
                <w:color w:val="auto"/>
                <w:w w:val="97"/>
              </w:rPr>
              <w:t>Six Months Ended</w:t>
            </w: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March 31, 2012</w:t>
            </w:r>
          </w:p>
        </w:tc>
      </w:tr>
      <w:tr>
        <w:trPr>
          <w:trHeight w:val="129"/>
        </w:trPr>
        <w:tc>
          <w:tcPr>
            <w:tcW w:w="20" w:type="dxa"/>
            <w:vAlign w:val="bottom"/>
          </w:tcPr>
          <w:p>
            <w:pPr>
              <w:spacing w:after="0"/>
              <w:rPr>
                <w:sz w:val="11"/>
                <w:szCs w:val="11"/>
                <w:color w:val="auto"/>
              </w:rPr>
            </w:pPr>
          </w:p>
        </w:tc>
        <w:tc>
          <w:tcPr>
            <w:tcW w:w="49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0"/>
                <w:szCs w:val="10"/>
                <w:b w:val="1"/>
                <w:bCs w:val="1"/>
                <w:color w:val="auto"/>
              </w:rPr>
              <w:t>Per Share Data</w:t>
            </w:r>
            <w:r>
              <w:rPr>
                <w:rFonts w:ascii="Arial" w:cs="Arial" w:eastAsia="Arial" w:hAnsi="Arial"/>
                <w:sz w:val="14"/>
                <w:szCs w:val="14"/>
                <w:b w:val="1"/>
                <w:bCs w:val="1"/>
                <w:color w:val="auto"/>
                <w:vertAlign w:val="superscript"/>
              </w:rPr>
              <w:t>(1)</w:t>
            </w:r>
            <w:r>
              <w:rPr>
                <w:rFonts w:ascii="Arial" w:cs="Arial" w:eastAsia="Arial" w:hAnsi="Arial"/>
                <w:sz w:val="10"/>
                <w:szCs w:val="10"/>
                <w:b w:val="1"/>
                <w:bCs w:val="1"/>
                <w:color w:val="auto"/>
              </w:rPr>
              <w:t>:</w:t>
            </w:r>
          </w:p>
        </w:tc>
        <w:tc>
          <w:tcPr>
            <w:tcW w:w="16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700" w:type="dxa"/>
            <w:vAlign w:val="bottom"/>
            <w:gridSpan w:val="2"/>
          </w:tcPr>
          <w:p>
            <w:pPr>
              <w:ind w:left="162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0.43</w:t>
            </w:r>
          </w:p>
        </w:tc>
        <w:tc>
          <w:tcPr>
            <w:tcW w:w="1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Net change in realized and unrealized gain</w:t>
            </w:r>
          </w:p>
        </w:tc>
        <w:tc>
          <w:tcPr>
            <w:tcW w:w="16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0.69</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920" w:type="dxa"/>
            <w:vAlign w:val="bottom"/>
          </w:tcPr>
          <w:p>
            <w:pPr>
              <w:spacing w:after="0" w:line="149" w:lineRule="exact"/>
              <w:rPr>
                <w:sz w:val="20"/>
                <w:szCs w:val="20"/>
                <w:color w:val="auto"/>
              </w:rPr>
            </w:pPr>
            <w:r>
              <w:rPr>
                <w:rFonts w:ascii="Arial" w:cs="Arial" w:eastAsia="Arial" w:hAnsi="Arial"/>
                <w:sz w:val="11"/>
                <w:szCs w:val="11"/>
                <w:color w:val="auto"/>
              </w:rPr>
              <w:t xml:space="preserve">Dividends to stockholders </w:t>
            </w:r>
            <w:r>
              <w:rPr>
                <w:rFonts w:ascii="Arial" w:cs="Arial" w:eastAsia="Arial" w:hAnsi="Arial"/>
                <w:sz w:val="17"/>
                <w:szCs w:val="17"/>
                <w:color w:val="auto"/>
                <w:vertAlign w:val="superscript"/>
              </w:rPr>
              <w:t>(2)</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(0.44)</w:t>
            </w: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period</w:t>
            </w:r>
          </w:p>
        </w:tc>
        <w:tc>
          <w:tcPr>
            <w:tcW w:w="16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14.12</w:t>
            </w:r>
          </w:p>
        </w:tc>
        <w:tc>
          <w:tcPr>
            <w:tcW w:w="120" w:type="dxa"/>
            <w:vAlign w:val="bottom"/>
            <w:shd w:val="clear" w:color="auto" w:fill="CCEEFF"/>
          </w:tcPr>
          <w:p>
            <w:pPr>
              <w:spacing w:after="0"/>
              <w:rPr>
                <w:sz w:val="12"/>
                <w:szCs w:val="12"/>
                <w:color w:val="auto"/>
              </w:rPr>
            </w:pPr>
          </w:p>
        </w:tc>
      </w:tr>
      <w:tr>
        <w:trPr>
          <w:trHeight w:val="163"/>
        </w:trPr>
        <w:tc>
          <w:tcPr>
            <w:tcW w:w="4940" w:type="dxa"/>
            <w:vAlign w:val="bottom"/>
            <w:gridSpan w:val="2"/>
          </w:tcPr>
          <w:p>
            <w:pPr>
              <w:spacing w:after="0" w:line="155" w:lineRule="exact"/>
              <w:rPr>
                <w:sz w:val="20"/>
                <w:szCs w:val="20"/>
                <w:color w:val="auto"/>
              </w:rPr>
            </w:pPr>
            <w:r>
              <w:rPr>
                <w:rFonts w:ascii="Arial" w:cs="Arial" w:eastAsia="Arial" w:hAnsi="Arial"/>
                <w:sz w:val="14"/>
                <w:szCs w:val="14"/>
                <w:color w:val="auto"/>
              </w:rPr>
              <w:t>Per share market value, end of period</w:t>
            </w:r>
          </w:p>
        </w:tc>
        <w:tc>
          <w:tcPr>
            <w:tcW w:w="1620" w:type="dxa"/>
            <w:vAlign w:val="bottom"/>
          </w:tcPr>
          <w:p>
            <w:pPr>
              <w:spacing w:after="0"/>
              <w:rPr>
                <w:sz w:val="14"/>
                <w:szCs w:val="14"/>
                <w:color w:val="auto"/>
              </w:rPr>
            </w:pP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11.75</w:t>
            </w:r>
          </w:p>
        </w:tc>
        <w:tc>
          <w:tcPr>
            <w:tcW w:w="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Total return* </w:t>
            </w:r>
            <w:r>
              <w:rPr>
                <w:rFonts w:ascii="Arial" w:cs="Arial" w:eastAsia="Arial" w:hAnsi="Arial"/>
                <w:sz w:val="17"/>
                <w:szCs w:val="17"/>
                <w:color w:val="auto"/>
                <w:vertAlign w:val="superscript"/>
              </w:rPr>
              <w:t>(3)</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15.75%</w:t>
            </w:r>
          </w:p>
        </w:tc>
      </w:tr>
      <w:tr>
        <w:trPr>
          <w:trHeight w:val="156"/>
        </w:trPr>
        <w:tc>
          <w:tcPr>
            <w:tcW w:w="20" w:type="dxa"/>
            <w:vAlign w:val="bottom"/>
          </w:tcPr>
          <w:p>
            <w:pPr>
              <w:spacing w:after="0"/>
              <w:rPr>
                <w:sz w:val="13"/>
                <w:szCs w:val="13"/>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16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6,850,667</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Ratios / Supplemental Data: **</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Ratio of operating expenses to average net assets</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3.88%</w:t>
            </w: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Credit Facility related expenses to average net assets</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1.32%</w:t>
            </w: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Ratio of total expenses to average net assets</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5.20%</w:t>
            </w: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6.19%</w:t>
            </w:r>
          </w:p>
        </w:tc>
      </w:tr>
      <w:tr>
        <w:trPr>
          <w:trHeight w:val="156"/>
        </w:trPr>
        <w:tc>
          <w:tcPr>
            <w:tcW w:w="20" w:type="dxa"/>
            <w:vAlign w:val="bottom"/>
          </w:tcPr>
          <w:p>
            <w:pPr>
              <w:spacing w:after="0"/>
              <w:rPr>
                <w:sz w:val="13"/>
                <w:szCs w:val="13"/>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620" w:type="dxa"/>
            <w:vAlign w:val="bottom"/>
          </w:tcPr>
          <w:p>
            <w:pPr>
              <w:spacing w:after="0"/>
              <w:rPr>
                <w:sz w:val="13"/>
                <w:szCs w:val="13"/>
                <w:color w:val="auto"/>
              </w:rPr>
            </w:pPr>
          </w:p>
        </w:tc>
        <w:tc>
          <w:tcPr>
            <w:tcW w:w="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96,722,305</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debt outstanding</w:t>
            </w:r>
          </w:p>
        </w:tc>
        <w:tc>
          <w:tcPr>
            <w:tcW w:w="16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34,512,568</w:t>
            </w:r>
          </w:p>
        </w:tc>
        <w:tc>
          <w:tcPr>
            <w:tcW w:w="120" w:type="dxa"/>
            <w:vAlign w:val="bottom"/>
            <w:shd w:val="clear" w:color="auto" w:fill="CCEEFF"/>
          </w:tcPr>
          <w:p>
            <w:pPr>
              <w:spacing w:after="0"/>
              <w:rPr>
                <w:sz w:val="12"/>
                <w:szCs w:val="12"/>
                <w:color w:val="auto"/>
              </w:rPr>
            </w:pPr>
          </w:p>
        </w:tc>
      </w:tr>
      <w:tr>
        <w:trPr>
          <w:trHeight w:val="156"/>
        </w:trPr>
        <w:tc>
          <w:tcPr>
            <w:tcW w:w="4940" w:type="dxa"/>
            <w:vAlign w:val="bottom"/>
            <w:gridSpan w:val="2"/>
          </w:tcPr>
          <w:p>
            <w:pPr>
              <w:spacing w:after="0" w:line="155" w:lineRule="exact"/>
              <w:rPr>
                <w:sz w:val="20"/>
                <w:szCs w:val="20"/>
                <w:color w:val="auto"/>
              </w:rPr>
            </w:pPr>
            <w:r>
              <w:rPr>
                <w:rFonts w:ascii="Arial" w:cs="Arial" w:eastAsia="Arial" w:hAnsi="Arial"/>
                <w:sz w:val="14"/>
                <w:szCs w:val="14"/>
                <w:color w:val="auto"/>
              </w:rPr>
              <w:t>Average debt per share</w:t>
            </w:r>
          </w:p>
        </w:tc>
        <w:tc>
          <w:tcPr>
            <w:tcW w:w="1700" w:type="dxa"/>
            <w:vAlign w:val="bottom"/>
            <w:gridSpan w:val="2"/>
          </w:tcPr>
          <w:p>
            <w:pPr>
              <w:ind w:left="1620"/>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5.04</w:t>
            </w: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8" w:lineRule="exact"/>
        <w:rPr>
          <w:sz w:val="20"/>
          <w:szCs w:val="20"/>
          <w:color w:val="auto"/>
        </w:rPr>
      </w:pPr>
    </w:p>
    <w:p>
      <w:pPr>
        <w:ind w:right="8700" w:firstLine="8"/>
        <w:spacing w:after="0" w:line="268" w:lineRule="auto"/>
        <w:tabs>
          <w:tab w:leader="none" w:pos="216" w:val="left"/>
        </w:tabs>
        <w:numPr>
          <w:ilvl w:val="0"/>
          <w:numId w:val="90"/>
        </w:numPr>
        <w:rPr>
          <w:rFonts w:ascii="Arial" w:cs="Arial" w:eastAsia="Arial" w:hAnsi="Arial"/>
          <w:sz w:val="12"/>
          <w:szCs w:val="12"/>
          <w:color w:val="auto"/>
        </w:rPr>
      </w:pPr>
      <w:r>
        <w:rPr>
          <w:rFonts w:ascii="Arial" w:cs="Arial" w:eastAsia="Arial" w:hAnsi="Arial"/>
          <w:sz w:val="12"/>
          <w:szCs w:val="12"/>
          <w:color w:val="auto"/>
        </w:rPr>
        <w:t>Not annualized for periods less than one year. ** Annualized for periods less than one year.</w:t>
      </w:r>
    </w:p>
    <w:p>
      <w:pPr>
        <w:spacing w:after="0" w:line="182" w:lineRule="auto"/>
        <w:rPr>
          <w:rFonts w:ascii="Arial" w:cs="Arial" w:eastAsia="Arial" w:hAnsi="Arial"/>
          <w:sz w:val="12"/>
          <w:szCs w:val="12"/>
          <w:color w:val="auto"/>
        </w:rPr>
      </w:pPr>
      <w:r>
        <w:rPr>
          <w:rFonts w:ascii="Arial" w:cs="Arial" w:eastAsia="Arial" w:hAnsi="Arial"/>
          <w:sz w:val="17"/>
          <w:szCs w:val="17"/>
          <w:color w:val="auto"/>
          <w:vertAlign w:val="superscript"/>
        </w:rPr>
        <w:t>(1)</w:t>
      </w:r>
      <w:r>
        <w:rPr>
          <w:rFonts w:ascii="Arial" w:cs="Arial" w:eastAsia="Arial" w:hAnsi="Arial"/>
          <w:sz w:val="11"/>
          <w:szCs w:val="11"/>
          <w:color w:val="auto"/>
        </w:rPr>
        <w:t xml:space="preserve">  Per share data are calculated based on the weighted average shares outstanding for the period except for net asset value.</w:t>
      </w:r>
    </w:p>
    <w:p>
      <w:pPr>
        <w:spacing w:after="0" w:line="182" w:lineRule="auto"/>
        <w:rPr>
          <w:rFonts w:ascii="Arial" w:cs="Arial" w:eastAsia="Arial" w:hAnsi="Arial"/>
          <w:sz w:val="12"/>
          <w:szCs w:val="12"/>
          <w:color w:val="auto"/>
        </w:rPr>
      </w:pPr>
      <w:r>
        <w:rPr>
          <w:rFonts w:ascii="Arial" w:cs="Arial" w:eastAsia="Arial" w:hAnsi="Arial"/>
          <w:sz w:val="17"/>
          <w:szCs w:val="17"/>
          <w:color w:val="auto"/>
          <w:vertAlign w:val="superscript"/>
        </w:rPr>
        <w:t>(2)</w:t>
      </w:r>
      <w:r>
        <w:rPr>
          <w:rFonts w:ascii="Arial" w:cs="Arial" w:eastAsia="Arial" w:hAnsi="Arial"/>
          <w:sz w:val="11"/>
          <w:szCs w:val="11"/>
          <w:color w:val="auto"/>
        </w:rPr>
        <w:t xml:space="preserve">  Dividends and distributions are determined based on taxable income calculated in accordance with income tax regulations, which may differ from amounts determined under GAAP.</w:t>
      </w:r>
    </w:p>
    <w:p>
      <w:pPr>
        <w:spacing w:after="0"/>
        <w:rPr>
          <w:rFonts w:ascii="Arial" w:cs="Arial" w:eastAsia="Arial" w:hAnsi="Arial"/>
          <w:sz w:val="12"/>
          <w:szCs w:val="12"/>
          <w:color w:val="auto"/>
        </w:rPr>
      </w:pPr>
      <w:r>
        <w:rPr>
          <w:rFonts w:ascii="Arial" w:cs="Arial" w:eastAsia="Arial" w:hAnsi="Arial"/>
          <w:sz w:val="19"/>
          <w:szCs w:val="19"/>
          <w:color w:val="auto"/>
          <w:vertAlign w:val="superscript"/>
        </w:rPr>
        <w:t>(3)</w:t>
      </w:r>
      <w:r>
        <w:rPr>
          <w:rFonts w:ascii="Arial" w:cs="Arial" w:eastAsia="Arial" w:hAnsi="Arial"/>
          <w:sz w:val="12"/>
          <w:szCs w:val="12"/>
          <w:color w:val="auto"/>
        </w:rPr>
        <w:t xml:space="preserve">  Total return is based on the change in market price per share during the period and takes into account dividends and distributions, if any, reinvested in accordance with our dividend reinvestment plan.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CREDIT FACILITY</w:t>
      </w:r>
    </w:p>
    <w:p>
      <w:pPr>
        <w:spacing w:after="0" w:line="7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On June 23, 2011, Funding I entered into a five-year Credit Facility with affiliates of SunTrust Bank, or the Lender, an asset-backed commercial paper conduit administered by SunTrust Robinson Humphrey, Inc. The Credit Facility allows Funding I to borrow up to $100.0 million and contains an accordion feature whereby the Credit Facility can be expanded to $600.0 million, subject to satisfaction of certain conditions. As of March 31, 2012 and September 30, 2011, Funding I had $47.8 million and $24.7 million of outstanding borrowings under the Credit Facility, carried an interest rate of 2.54% and 2.53%, excluding the 0.50% undrawn commitment fee.</w:t>
      </w:r>
    </w:p>
    <w:p>
      <w:pPr>
        <w:spacing w:after="0" w:line="139"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substantially all of the assets of the Company.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required to be used for assets or liabilities for such compliance reporting). As of March 31, 2012, we were in compliance with our covenants relating to our Credit Facility.</w:t>
      </w:r>
    </w:p>
    <w:p>
      <w:pPr>
        <w:spacing w:after="0" w:line="140" w:lineRule="exact"/>
        <w:rPr>
          <w:sz w:val="20"/>
          <w:szCs w:val="20"/>
          <w:color w:val="auto"/>
        </w:rPr>
      </w:pPr>
    </w:p>
    <w:p>
      <w:pPr>
        <w:ind w:right="140" w:firstLine="456"/>
        <w:spacing w:after="0" w:line="228" w:lineRule="auto"/>
        <w:rPr>
          <w:sz w:val="20"/>
          <w:szCs w:val="20"/>
          <w:color w:val="auto"/>
        </w:rPr>
      </w:pPr>
      <w:r>
        <w:rPr>
          <w:rFonts w:ascii="Arial" w:cs="Arial" w:eastAsia="Arial" w:hAnsi="Arial"/>
          <w:sz w:val="14"/>
          <w:szCs w:val="14"/>
          <w:color w:val="auto"/>
        </w:rPr>
        <w:t>We own 100% of the equity interest in Funding I and will treat the indebtedness of Funding I as our leverage. In accordance with the 1940 Act, with certain limited exceptions, we are only allowed to borrow amounts such that our asset coverage, as defined in the 1940 Act, is at least 200% after such borrowing. 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2" w:lineRule="auto"/>
        <w:rPr>
          <w:sz w:val="20"/>
          <w:szCs w:val="20"/>
          <w:color w:val="auto"/>
        </w:rPr>
      </w:pPr>
      <w:r>
        <w:rPr>
          <w:rFonts w:ascii="Arial" w:cs="Arial" w:eastAsia="Arial" w:hAnsi="Arial"/>
          <w:sz w:val="14"/>
          <w:szCs w:val="14"/>
          <w:b w:val="1"/>
          <w:bCs w:val="1"/>
          <w:color w:val="auto"/>
        </w:rPr>
        <w:t>MARCH 31, 2012</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Our interest in Funding I (other than the management fees that the Investment Adviser has irrevocably directed to be paid to us)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COMMITMENTS AND CONTINGENCIES</w:t>
      </w:r>
    </w:p>
    <w:p>
      <w:pPr>
        <w:spacing w:after="0" w:line="71"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PART C</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OTHER INFORMATION</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25.</w:t>
      </w:r>
      <w:r>
        <w:rPr>
          <w:sz w:val="20"/>
          <w:szCs w:val="20"/>
          <w:color w:val="auto"/>
        </w:rPr>
        <w:tab/>
      </w:r>
      <w:r>
        <w:rPr>
          <w:rFonts w:ascii="Arial" w:cs="Arial" w:eastAsia="Arial" w:hAnsi="Arial"/>
          <w:sz w:val="11"/>
          <w:szCs w:val="11"/>
          <w:b w:val="1"/>
          <w:bCs w:val="1"/>
          <w:color w:val="auto"/>
        </w:rPr>
        <w:t>Financial statements and exhibits</w:t>
      </w:r>
    </w:p>
    <w:p>
      <w:pPr>
        <w:spacing w:after="0" w:line="192" w:lineRule="exact"/>
        <w:rPr>
          <w:sz w:val="20"/>
          <w:szCs w:val="20"/>
          <w:color w:val="auto"/>
        </w:rPr>
      </w:pPr>
    </w:p>
    <w:p>
      <w:pPr>
        <w:ind w:left="660" w:hanging="456"/>
        <w:spacing w:after="0"/>
        <w:tabs>
          <w:tab w:leader="none" w:pos="660" w:val="left"/>
        </w:tabs>
        <w:numPr>
          <w:ilvl w:val="0"/>
          <w:numId w:val="91"/>
        </w:numPr>
        <w:rPr>
          <w:rFonts w:ascii="Arial" w:cs="Arial" w:eastAsia="Arial" w:hAnsi="Arial"/>
          <w:sz w:val="14"/>
          <w:szCs w:val="14"/>
          <w:color w:val="auto"/>
        </w:rPr>
      </w:pPr>
      <w:r>
        <w:rPr>
          <w:rFonts w:ascii="Arial" w:cs="Arial" w:eastAsia="Arial" w:hAnsi="Arial"/>
          <w:sz w:val="14"/>
          <w:szCs w:val="14"/>
          <w:i w:val="1"/>
          <w:iCs w:val="1"/>
          <w:color w:val="auto"/>
        </w:rPr>
        <w:t>Financial Statements</w:t>
      </w:r>
    </w:p>
    <w:p>
      <w:pPr>
        <w:spacing w:after="0" w:line="203"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The Index to Consolidated Financial Statements on page F-1 of this Registration Statement is hereby incorporated by reference.</w:t>
      </w:r>
    </w:p>
    <w:p>
      <w:pPr>
        <w:spacing w:after="0" w:line="204" w:lineRule="exact"/>
        <w:rPr>
          <w:sz w:val="20"/>
          <w:szCs w:val="20"/>
          <w:color w:val="auto"/>
        </w:rPr>
      </w:pPr>
    </w:p>
    <w:p>
      <w:pPr>
        <w:ind w:left="660" w:hanging="456"/>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Exhibits.</w:t>
      </w:r>
    </w:p>
    <w:p>
      <w:pPr>
        <w:spacing w:after="0" w:line="163" w:lineRule="exact"/>
        <w:rPr>
          <w:sz w:val="20"/>
          <w:szCs w:val="20"/>
          <w:color w:val="auto"/>
        </w:rPr>
      </w:pPr>
    </w:p>
    <w:p>
      <w:pPr>
        <w:ind w:left="660" w:hanging="497"/>
        <w:spacing w:after="0"/>
        <w:tabs>
          <w:tab w:leader="none" w:pos="6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Articles of Amendment and Restatement of the Registrant (Incorporated by reference to the Registrant’s Registration Statement on Form N-2 (File No. 333-170243), filed on March 29, 2011).</w:t>
      </w:r>
    </w:p>
    <w:p>
      <w:pPr>
        <w:spacing w:after="0" w:line="186" w:lineRule="exact"/>
        <w:rPr>
          <w:rFonts w:ascii="Arial" w:cs="Arial" w:eastAsia="Arial" w:hAnsi="Arial"/>
          <w:sz w:val="12"/>
          <w:szCs w:val="12"/>
          <w:color w:val="auto"/>
        </w:rPr>
      </w:pPr>
    </w:p>
    <w:p>
      <w:pPr>
        <w:ind w:left="80" w:right="400" w:firstLine="79"/>
        <w:spacing w:after="0" w:line="563" w:lineRule="auto"/>
        <w:tabs>
          <w:tab w:leader="none" w:pos="670" w:val="left"/>
        </w:tabs>
        <w:numPr>
          <w:ilvl w:val="0"/>
          <w:numId w:val="93"/>
        </w:numPr>
        <w:rPr>
          <w:rFonts w:ascii="Arial" w:cs="Arial" w:eastAsia="Arial" w:hAnsi="Arial"/>
          <w:sz w:val="12"/>
          <w:szCs w:val="12"/>
          <w:color w:val="auto"/>
        </w:rPr>
      </w:pPr>
      <w:r>
        <w:rPr>
          <w:rFonts w:ascii="Arial" w:cs="Arial" w:eastAsia="Arial" w:hAnsi="Arial"/>
          <w:sz w:val="12"/>
          <w:szCs w:val="12"/>
          <w:color w:val="auto"/>
        </w:rPr>
        <w:t>Amended and Restated By-Laws of the Registrant (Incorporated by reference to Exhibit 3.2 to the Registrant’s Quarterly Report on Form 10-Q (File No. 814-00891), filed on May 3, 2012). (d)(1) Form of Share Certificate (Incorporated by reference to the Registrant’s Registration Statement on Form N-2 (File No. 333-170243), filed on April 5, 2011).</w:t>
      </w:r>
    </w:p>
    <w:p>
      <w:pPr>
        <w:sectPr>
          <w:pgSz w:w="11900" w:h="16838" w:orient="portrait"/>
          <w:cols w:equalWidth="0" w:num="1">
            <w:col w:w="11280"/>
          </w:cols>
          <w:pgMar w:left="240" w:top="459" w:right="379" w:bottom="1440" w:gutter="0" w:footer="0" w:header="0"/>
        </w:sectPr>
      </w:pP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color w:val="auto"/>
        </w:rPr>
        <w:t>(d)(2)**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of Subscription Certificate</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(d)(3)**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of Indenture.</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(d)(4)**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of Subscription Agent Agreement.</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(d)(5)**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of Warrant Agreement.</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(d)(6)**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T-1 Statement of Eligibility with respect to the Form of Indenture.</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(d)(7)**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of Articles Supplementary.</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660" w:hanging="497"/>
        <w:spacing w:after="0"/>
        <w:tabs>
          <w:tab w:leader="none" w:pos="660" w:val="left"/>
        </w:tabs>
        <w:numPr>
          <w:ilvl w:val="0"/>
          <w:numId w:val="94"/>
        </w:numPr>
        <w:rPr>
          <w:rFonts w:ascii="Arial" w:cs="Arial" w:eastAsia="Arial" w:hAnsi="Arial"/>
          <w:sz w:val="12"/>
          <w:szCs w:val="12"/>
          <w:color w:val="auto"/>
        </w:rPr>
      </w:pPr>
      <w:r>
        <w:rPr>
          <w:rFonts w:ascii="Arial" w:cs="Arial" w:eastAsia="Arial" w:hAnsi="Arial"/>
          <w:sz w:val="12"/>
          <w:szCs w:val="12"/>
          <w:color w:val="auto"/>
        </w:rPr>
        <w:t>Dividend Reinvestment Plan (Incorporated by reference to Exhibit 99(e) to the Registrant’s Registration Statement on Form N-2 (File No. 333-170243), filed on March 29, 2011).</w:t>
      </w:r>
    </w:p>
    <w:p>
      <w:pPr>
        <w:spacing w:after="0" w:line="186" w:lineRule="exact"/>
        <w:rPr>
          <w:sz w:val="20"/>
          <w:szCs w:val="20"/>
          <w:color w:val="auto"/>
        </w:rPr>
      </w:pPr>
    </w:p>
    <w:p>
      <w:pPr>
        <w:ind w:left="660" w:hanging="501"/>
        <w:spacing w:after="0"/>
        <w:tabs>
          <w:tab w:leader="none" w:pos="660" w:val="left"/>
        </w:tabs>
        <w:numPr>
          <w:ilvl w:val="0"/>
          <w:numId w:val="95"/>
        </w:numPr>
        <w:rPr>
          <w:rFonts w:ascii="Arial" w:cs="Arial" w:eastAsia="Arial" w:hAnsi="Arial"/>
          <w:sz w:val="12"/>
          <w:szCs w:val="12"/>
          <w:color w:val="auto"/>
        </w:rPr>
      </w:pPr>
      <w:r>
        <w:rPr>
          <w:rFonts w:ascii="Arial" w:cs="Arial" w:eastAsia="Arial" w:hAnsi="Arial"/>
          <w:sz w:val="12"/>
          <w:szCs w:val="12"/>
          <w:color w:val="auto"/>
        </w:rPr>
        <w:t>Investment Advisory Agreement (Incorporated by reference to Exhibit 99(g) to the Registrant’s Registration Statement on Form N-2 (File No. 333-170243), filed on March 29, 2011).</w:t>
      </w:r>
    </w:p>
    <w:p>
      <w:pPr>
        <w:sectPr>
          <w:pgSz w:w="11900" w:h="16838" w:orient="portrait"/>
          <w:cols w:equalWidth="0" w:num="1">
            <w:col w:w="11280"/>
          </w:cols>
          <w:pgMar w:left="240" w:top="459" w:right="379" w:bottom="1440" w:gutter="0" w:footer="0" w:header="0"/>
          <w:type w:val="continuous"/>
        </w:sectPr>
      </w:pPr>
    </w:p>
    <w:p>
      <w:pPr>
        <w:spacing w:after="0" w:line="186" w:lineRule="exact"/>
        <w:rPr>
          <w:sz w:val="20"/>
          <w:szCs w:val="20"/>
          <w:color w:val="auto"/>
        </w:rPr>
      </w:pPr>
    </w:p>
    <w:p>
      <w:pPr>
        <w:ind w:left="20"/>
        <w:spacing w:after="0"/>
        <w:rPr>
          <w:sz w:val="20"/>
          <w:szCs w:val="20"/>
          <w:color w:val="auto"/>
        </w:rPr>
      </w:pPr>
      <w:r>
        <w:rPr>
          <w:rFonts w:ascii="Arial" w:cs="Arial" w:eastAsia="Arial" w:hAnsi="Arial"/>
          <w:sz w:val="12"/>
          <w:szCs w:val="12"/>
          <w:color w:val="auto"/>
        </w:rPr>
        <w:t>(h)(1)**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Form of Underwriting Agreement for equity.</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(h)(2)**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of Underwriting Agreement for debt.</w:t>
      </w:r>
    </w:p>
    <w:p>
      <w:pPr>
        <w:spacing w:after="0" w:line="186"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660" w:hanging="486"/>
        <w:spacing w:after="0" w:line="239" w:lineRule="auto"/>
        <w:tabs>
          <w:tab w:leader="none" w:pos="6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Custodian Agreement between the Registrant and The Bank of New York Mellon (Incorporated by reference to Exhibit 99.(J) to the Registrant’s Registration Statement on Form N-2 (File No. 333-170243), filed on March 29, 2011).</w:t>
      </w:r>
    </w:p>
    <w:p>
      <w:pPr>
        <w:spacing w:after="0" w:line="152" w:lineRule="exact"/>
        <w:rPr>
          <w:sz w:val="20"/>
          <w:szCs w:val="20"/>
          <w:color w:val="auto"/>
        </w:rPr>
      </w:pPr>
    </w:p>
    <w:p>
      <w:pPr>
        <w:ind w:left="660" w:right="240" w:hanging="579"/>
        <w:spacing w:after="0" w:line="239" w:lineRule="auto"/>
        <w:tabs>
          <w:tab w:leader="none" w:pos="640" w:val="left"/>
        </w:tabs>
        <w:rPr>
          <w:sz w:val="20"/>
          <w:szCs w:val="20"/>
          <w:color w:val="auto"/>
        </w:rPr>
      </w:pPr>
      <w:r>
        <w:rPr>
          <w:rFonts w:ascii="Arial" w:cs="Arial" w:eastAsia="Arial" w:hAnsi="Arial"/>
          <w:sz w:val="14"/>
          <w:szCs w:val="14"/>
          <w:color w:val="auto"/>
        </w:rPr>
        <w:t>(k)(1)</w:t>
      </w:r>
      <w:r>
        <w:rPr>
          <w:sz w:val="20"/>
          <w:szCs w:val="20"/>
          <w:color w:val="auto"/>
        </w:rPr>
        <w:tab/>
      </w:r>
      <w:r>
        <w:rPr>
          <w:rFonts w:ascii="Arial" w:cs="Arial" w:eastAsia="Arial" w:hAnsi="Arial"/>
          <w:sz w:val="14"/>
          <w:szCs w:val="14"/>
          <w:color w:val="auto"/>
        </w:rPr>
        <w:t>Stock Transfer Agency Agreement between the Registrant and American Stock Transfer &amp; Trust Company, LLC (Incorporated by reference to Exhibit 99.(k)(1) to the Registrant’s Registration Statement on Form N-2 (File No. 333-170243), filed on March 29, 2011).</w:t>
      </w:r>
    </w:p>
    <w:p>
      <w:pPr>
        <w:spacing w:after="0" w:line="152" w:lineRule="exact"/>
        <w:rPr>
          <w:sz w:val="20"/>
          <w:szCs w:val="20"/>
          <w:color w:val="auto"/>
        </w:rPr>
      </w:pPr>
    </w:p>
    <w:p>
      <w:pPr>
        <w:ind w:left="660" w:right="160" w:hanging="579"/>
        <w:spacing w:after="0" w:line="239" w:lineRule="auto"/>
        <w:tabs>
          <w:tab w:leader="none" w:pos="640" w:val="left"/>
        </w:tabs>
        <w:rPr>
          <w:sz w:val="20"/>
          <w:szCs w:val="20"/>
          <w:color w:val="auto"/>
        </w:rPr>
      </w:pPr>
      <w:r>
        <w:rPr>
          <w:rFonts w:ascii="Arial" w:cs="Arial" w:eastAsia="Arial" w:hAnsi="Arial"/>
          <w:sz w:val="14"/>
          <w:szCs w:val="14"/>
          <w:color w:val="auto"/>
        </w:rPr>
        <w:t>(k)(2)</w:t>
      </w:r>
      <w:r>
        <w:rPr>
          <w:sz w:val="20"/>
          <w:szCs w:val="20"/>
          <w:color w:val="auto"/>
        </w:rPr>
        <w:tab/>
      </w:r>
      <w:r>
        <w:rPr>
          <w:rFonts w:ascii="Arial" w:cs="Arial" w:eastAsia="Arial" w:hAnsi="Arial"/>
          <w:sz w:val="14"/>
          <w:szCs w:val="14"/>
          <w:color w:val="auto"/>
        </w:rPr>
        <w:t>Administration Agreement between the Registrant and PennantPark Investment Administration, LLC (Incorporated by reference to Exhibit 99(k)(2) to the Registrant’s Registration Statement on Form N-2 (File No. 333-170243), filed on March 29, 2011).</w:t>
      </w:r>
    </w:p>
    <w:p>
      <w:pPr>
        <w:spacing w:after="0" w:line="152"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2"/>
          <w:szCs w:val="12"/>
          <w:color w:val="auto"/>
        </w:rPr>
        <w:t>(k)(3)</w:t>
      </w:r>
      <w:r>
        <w:rPr>
          <w:sz w:val="20"/>
          <w:szCs w:val="20"/>
          <w:color w:val="auto"/>
        </w:rPr>
        <w:tab/>
      </w:r>
      <w:r>
        <w:rPr>
          <w:rFonts w:ascii="Arial" w:cs="Arial" w:eastAsia="Arial" w:hAnsi="Arial"/>
          <w:sz w:val="12"/>
          <w:szCs w:val="12"/>
          <w:color w:val="auto"/>
        </w:rPr>
        <w:t>Trademark License Agreement (Incorporated by reference to Exhibit 99.(k)(3) to the Registrant’s Registration Statement on Form N-2 (File No. 333-170243), filed on March 29, 2011).</w:t>
      </w:r>
    </w:p>
    <w:p>
      <w:pPr>
        <w:spacing w:after="0" w:line="186" w:lineRule="exact"/>
        <w:rPr>
          <w:sz w:val="20"/>
          <w:szCs w:val="20"/>
          <w:color w:val="auto"/>
        </w:rPr>
      </w:pPr>
    </w:p>
    <w:p>
      <w:pPr>
        <w:ind w:left="660" w:right="60" w:hanging="579"/>
        <w:spacing w:after="0" w:line="230" w:lineRule="auto"/>
        <w:tabs>
          <w:tab w:leader="none" w:pos="640" w:val="left"/>
        </w:tabs>
        <w:rPr>
          <w:sz w:val="20"/>
          <w:szCs w:val="20"/>
          <w:color w:val="auto"/>
        </w:rPr>
      </w:pPr>
      <w:r>
        <w:rPr>
          <w:rFonts w:ascii="Arial" w:cs="Arial" w:eastAsia="Arial" w:hAnsi="Arial"/>
          <w:sz w:val="14"/>
          <w:szCs w:val="14"/>
          <w:color w:val="auto"/>
        </w:rPr>
        <w:t>(k)(4)</w:t>
      </w:r>
      <w:r>
        <w:rPr>
          <w:sz w:val="20"/>
          <w:szCs w:val="20"/>
          <w:color w:val="auto"/>
        </w:rPr>
        <w:tab/>
      </w:r>
      <w:r>
        <w:rPr>
          <w:rFonts w:ascii="Arial" w:cs="Arial" w:eastAsia="Arial" w:hAnsi="Arial"/>
          <w:sz w:val="14"/>
          <w:szCs w:val="14"/>
          <w:color w:val="auto"/>
        </w:rPr>
        <w:t>Revolving Credit and Security Agreement, dated as of June 23, 2011, among PennantPark Floating Rate Funding I, LLC, as the borrower, PennantPark Investment Advisers, LLC, as the collateral manager, the lenders from time to time party thereto, SunTrust Robinson Humphrey, Inc., as administrative agent, U.S. Bank National Association, as collateral agent, U.S. Bank National Association, as backup collateral manager, and U.S. Bank National Association, as custodian (Incorporated by reference to Exhibit 10.1 to the Registrant’s Periodic Report on Form 8-K, (File No. 814-00891), filed on June 29, 2011).</w:t>
      </w:r>
    </w:p>
    <w:p>
      <w:pPr>
        <w:spacing w:after="0" w:line="153" w:lineRule="exact"/>
        <w:rPr>
          <w:sz w:val="20"/>
          <w:szCs w:val="20"/>
          <w:color w:val="auto"/>
        </w:rPr>
      </w:pPr>
    </w:p>
    <w:p>
      <w:pPr>
        <w:ind w:left="660" w:right="460" w:hanging="579"/>
        <w:spacing w:after="0" w:line="318" w:lineRule="auto"/>
        <w:tabs>
          <w:tab w:leader="none" w:pos="640" w:val="left"/>
        </w:tabs>
        <w:rPr>
          <w:sz w:val="20"/>
          <w:szCs w:val="20"/>
          <w:color w:val="auto"/>
        </w:rPr>
      </w:pPr>
      <w:r>
        <w:rPr>
          <w:rFonts w:ascii="Arial" w:cs="Arial" w:eastAsia="Arial" w:hAnsi="Arial"/>
          <w:sz w:val="12"/>
          <w:szCs w:val="12"/>
          <w:color w:val="auto"/>
        </w:rPr>
        <w:t>(k)(5)</w:t>
      </w:r>
      <w:r>
        <w:rPr>
          <w:sz w:val="20"/>
          <w:szCs w:val="20"/>
          <w:color w:val="auto"/>
        </w:rPr>
        <w:tab/>
      </w:r>
      <w:r>
        <w:rPr>
          <w:rFonts w:ascii="Arial" w:cs="Arial" w:eastAsia="Arial" w:hAnsi="Arial"/>
          <w:sz w:val="12"/>
          <w:szCs w:val="12"/>
          <w:color w:val="auto"/>
        </w:rPr>
        <w:t>Purchase and Contribution Agreement, dated as of June 23, 2011, among PennantPark Floating Rate Capital Ltd., as the seller, and PennantPark Floating Rate Funding I, LLC, as the buyer (Incorporated by reference to Exhibit 10.2 to the Registrant’s Periodic Report on Form 8-K (File No. 814-00891), filed on June 29, 2011).</w:t>
      </w:r>
    </w:p>
    <w:p>
      <w:pPr>
        <w:spacing w:after="0" w:line="8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C-1</w:t>
      </w:r>
    </w:p>
    <w:p>
      <w:pPr>
        <w:sectPr>
          <w:pgSz w:w="11900" w:h="16838" w:orient="portrait"/>
          <w:cols w:equalWidth="0" w:num="1">
            <w:col w:w="11280"/>
          </w:cols>
          <w:pgMar w:left="240" w:top="459" w:right="379" w:bottom="1440" w:gutter="0" w:footer="0" w:header="0"/>
          <w:type w:val="continuous"/>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25.</w:t>
      </w:r>
      <w:r>
        <w:rPr>
          <w:sz w:val="20"/>
          <w:szCs w:val="20"/>
          <w:color w:val="auto"/>
        </w:rPr>
        <w:tab/>
      </w:r>
      <w:r>
        <w:rPr>
          <w:rFonts w:ascii="Arial" w:cs="Arial" w:eastAsia="Arial" w:hAnsi="Arial"/>
          <w:sz w:val="12"/>
          <w:szCs w:val="12"/>
          <w:b w:val="1"/>
          <w:bCs w:val="1"/>
          <w:color w:val="auto"/>
        </w:rPr>
        <w:t>Financial statements and exhibits (continued)</w:t>
      </w:r>
    </w:p>
    <w:p>
      <w:pPr>
        <w:spacing w:after="0" w:line="300" w:lineRule="exact"/>
        <w:rPr>
          <w:sz w:val="20"/>
          <w:szCs w:val="20"/>
          <w:color w:val="auto"/>
        </w:rPr>
      </w:pPr>
    </w:p>
    <w:p>
      <w:pPr>
        <w:ind w:left="920" w:hanging="588"/>
        <w:spacing w:after="0"/>
        <w:tabs>
          <w:tab w:leader="none" w:pos="920" w:val="left"/>
        </w:tabs>
        <w:numPr>
          <w:ilvl w:val="0"/>
          <w:numId w:val="97"/>
        </w:numPr>
        <w:rPr>
          <w:rFonts w:ascii="Arial" w:cs="Arial" w:eastAsia="Arial" w:hAnsi="Arial"/>
          <w:sz w:val="14"/>
          <w:szCs w:val="14"/>
          <w:color w:val="auto"/>
        </w:rPr>
      </w:pPr>
      <w:r>
        <w:rPr>
          <w:rFonts w:ascii="Arial" w:cs="Arial" w:eastAsia="Arial" w:hAnsi="Arial"/>
          <w:sz w:val="14"/>
          <w:szCs w:val="14"/>
          <w:i w:val="1"/>
          <w:iCs w:val="1"/>
          <w:color w:val="auto"/>
        </w:rPr>
        <w:t>Exhibits (Continued)</w:t>
      </w:r>
    </w:p>
    <w:p>
      <w:pPr>
        <w:spacing w:after="0" w:line="163"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600" w:type="dxa"/>
            <w:vAlign w:val="bottom"/>
          </w:tcPr>
          <w:p>
            <w:pPr>
              <w:jc w:val="center"/>
              <w:ind w:right="72"/>
              <w:spacing w:after="0"/>
              <w:rPr>
                <w:sz w:val="20"/>
                <w:szCs w:val="20"/>
                <w:color w:val="auto"/>
              </w:rPr>
            </w:pPr>
            <w:r>
              <w:rPr>
                <w:rFonts w:ascii="Arial" w:cs="Arial" w:eastAsia="Arial" w:hAnsi="Arial"/>
                <w:sz w:val="14"/>
                <w:szCs w:val="14"/>
                <w:color w:val="auto"/>
              </w:rPr>
              <w:t>(l)(1)**</w:t>
            </w:r>
          </w:p>
        </w:tc>
        <w:tc>
          <w:tcPr>
            <w:tcW w:w="10400" w:type="dxa"/>
            <w:vAlign w:val="bottom"/>
          </w:tcPr>
          <w:p>
            <w:pPr>
              <w:ind w:left="180"/>
              <w:spacing w:after="0"/>
              <w:rPr>
                <w:sz w:val="20"/>
                <w:szCs w:val="20"/>
                <w:color w:val="auto"/>
              </w:rPr>
            </w:pPr>
            <w:r>
              <w:rPr>
                <w:rFonts w:ascii="Arial" w:cs="Arial" w:eastAsia="Arial" w:hAnsi="Arial"/>
                <w:sz w:val="14"/>
                <w:szCs w:val="14"/>
                <w:color w:val="auto"/>
              </w:rPr>
              <w:t>Opinion and Consent of Venable LLP.</w:t>
            </w:r>
          </w:p>
        </w:tc>
      </w:tr>
      <w:tr>
        <w:trPr>
          <w:trHeight w:val="324"/>
        </w:trPr>
        <w:tc>
          <w:tcPr>
            <w:tcW w:w="600" w:type="dxa"/>
            <w:vAlign w:val="bottom"/>
          </w:tcPr>
          <w:p>
            <w:pPr>
              <w:jc w:val="center"/>
              <w:ind w:right="72"/>
              <w:spacing w:after="0"/>
              <w:rPr>
                <w:sz w:val="20"/>
                <w:szCs w:val="20"/>
                <w:color w:val="auto"/>
              </w:rPr>
            </w:pPr>
            <w:r>
              <w:rPr>
                <w:rFonts w:ascii="Arial" w:cs="Arial" w:eastAsia="Arial" w:hAnsi="Arial"/>
                <w:sz w:val="14"/>
                <w:szCs w:val="14"/>
                <w:color w:val="auto"/>
              </w:rPr>
              <w:t>(l)(2)**</w:t>
            </w:r>
          </w:p>
        </w:tc>
        <w:tc>
          <w:tcPr>
            <w:tcW w:w="10400" w:type="dxa"/>
            <w:vAlign w:val="bottom"/>
          </w:tcPr>
          <w:p>
            <w:pPr>
              <w:ind w:left="180"/>
              <w:spacing w:after="0"/>
              <w:rPr>
                <w:sz w:val="20"/>
                <w:szCs w:val="20"/>
                <w:color w:val="auto"/>
              </w:rPr>
            </w:pPr>
            <w:r>
              <w:rPr>
                <w:rFonts w:ascii="Arial" w:cs="Arial" w:eastAsia="Arial" w:hAnsi="Arial"/>
                <w:sz w:val="14"/>
                <w:szCs w:val="14"/>
                <w:color w:val="auto"/>
              </w:rPr>
              <w:t>Opinion and Consent of Dechert LLP.</w:t>
            </w:r>
          </w:p>
        </w:tc>
      </w:tr>
      <w:tr>
        <w:trPr>
          <w:trHeight w:val="324"/>
        </w:trPr>
        <w:tc>
          <w:tcPr>
            <w:tcW w:w="600" w:type="dxa"/>
            <w:vAlign w:val="bottom"/>
          </w:tcPr>
          <w:p>
            <w:pPr>
              <w:jc w:val="center"/>
              <w:ind w:right="72"/>
              <w:spacing w:after="0"/>
              <w:rPr>
                <w:sz w:val="20"/>
                <w:szCs w:val="20"/>
                <w:color w:val="auto"/>
              </w:rPr>
            </w:pPr>
            <w:r>
              <w:rPr>
                <w:rFonts w:ascii="Arial" w:cs="Arial" w:eastAsia="Arial" w:hAnsi="Arial"/>
                <w:sz w:val="14"/>
                <w:szCs w:val="14"/>
                <w:color w:val="auto"/>
                <w:w w:val="95"/>
              </w:rPr>
              <w:t>(n)(1)*</w:t>
            </w:r>
          </w:p>
        </w:tc>
        <w:tc>
          <w:tcPr>
            <w:tcW w:w="10400" w:type="dxa"/>
            <w:vAlign w:val="bottom"/>
          </w:tcPr>
          <w:p>
            <w:pPr>
              <w:ind w:left="180"/>
              <w:spacing w:after="0"/>
              <w:rPr>
                <w:sz w:val="20"/>
                <w:szCs w:val="20"/>
                <w:color w:val="auto"/>
              </w:rPr>
            </w:pPr>
            <w:r>
              <w:rPr>
                <w:rFonts w:ascii="Arial" w:cs="Arial" w:eastAsia="Arial" w:hAnsi="Arial"/>
                <w:sz w:val="14"/>
                <w:szCs w:val="14"/>
                <w:color w:val="auto"/>
              </w:rPr>
              <w:t>Consent of Independent Registered Public Accounting Firm.</w:t>
            </w:r>
          </w:p>
        </w:tc>
      </w:tr>
      <w:tr>
        <w:trPr>
          <w:trHeight w:val="324"/>
        </w:trPr>
        <w:tc>
          <w:tcPr>
            <w:tcW w:w="600" w:type="dxa"/>
            <w:vAlign w:val="bottom"/>
          </w:tcPr>
          <w:p>
            <w:pPr>
              <w:jc w:val="center"/>
              <w:ind w:right="72"/>
              <w:spacing w:after="0"/>
              <w:rPr>
                <w:sz w:val="20"/>
                <w:szCs w:val="20"/>
                <w:color w:val="auto"/>
              </w:rPr>
            </w:pPr>
            <w:r>
              <w:rPr>
                <w:rFonts w:ascii="Arial" w:cs="Arial" w:eastAsia="Arial" w:hAnsi="Arial"/>
                <w:sz w:val="14"/>
                <w:szCs w:val="14"/>
                <w:color w:val="auto"/>
                <w:w w:val="95"/>
              </w:rPr>
              <w:t>(n)(2)*</w:t>
            </w:r>
          </w:p>
        </w:tc>
        <w:tc>
          <w:tcPr>
            <w:tcW w:w="10400" w:type="dxa"/>
            <w:vAlign w:val="bottom"/>
          </w:tcPr>
          <w:p>
            <w:pPr>
              <w:ind w:left="180"/>
              <w:spacing w:after="0"/>
              <w:rPr>
                <w:sz w:val="20"/>
                <w:szCs w:val="20"/>
                <w:color w:val="auto"/>
              </w:rPr>
            </w:pPr>
            <w:r>
              <w:rPr>
                <w:rFonts w:ascii="Arial" w:cs="Arial" w:eastAsia="Arial" w:hAnsi="Arial"/>
                <w:sz w:val="14"/>
                <w:szCs w:val="14"/>
                <w:color w:val="auto"/>
              </w:rPr>
              <w:t>Awareness Letter of Independent Registered Public Accounting Firm.</w:t>
            </w:r>
          </w:p>
        </w:tc>
      </w:tr>
      <w:tr>
        <w:trPr>
          <w:trHeight w:val="300"/>
        </w:trPr>
        <w:tc>
          <w:tcPr>
            <w:tcW w:w="600" w:type="dxa"/>
            <w:vAlign w:val="bottom"/>
          </w:tcPr>
          <w:p>
            <w:pPr>
              <w:jc w:val="center"/>
              <w:ind w:right="72"/>
              <w:spacing w:after="0"/>
              <w:rPr>
                <w:sz w:val="20"/>
                <w:szCs w:val="20"/>
                <w:color w:val="auto"/>
              </w:rPr>
            </w:pPr>
            <w:r>
              <w:rPr>
                <w:rFonts w:ascii="Arial" w:cs="Arial" w:eastAsia="Arial" w:hAnsi="Arial"/>
                <w:sz w:val="14"/>
                <w:szCs w:val="14"/>
                <w:color w:val="auto"/>
                <w:w w:val="96"/>
              </w:rPr>
              <w:t>(r)(1)</w:t>
            </w:r>
          </w:p>
        </w:tc>
        <w:tc>
          <w:tcPr>
            <w:tcW w:w="10400" w:type="dxa"/>
            <w:vAlign w:val="bottom"/>
          </w:tcPr>
          <w:p>
            <w:pPr>
              <w:ind w:left="180"/>
              <w:spacing w:after="0"/>
              <w:rPr>
                <w:sz w:val="20"/>
                <w:szCs w:val="20"/>
                <w:color w:val="auto"/>
              </w:rPr>
            </w:pPr>
            <w:r>
              <w:rPr>
                <w:rFonts w:ascii="Arial" w:cs="Arial" w:eastAsia="Arial" w:hAnsi="Arial"/>
                <w:sz w:val="14"/>
                <w:szCs w:val="14"/>
                <w:color w:val="auto"/>
                <w:w w:val="88"/>
              </w:rPr>
              <w:t>Joint Code of Ethics of the Registrant and PennantPark Investment Advisers, LLC (Incorporated by reference to Exhibit 14.1 to the Registrant’s Annual Report on Form 10-K (File No. 814-</w:t>
            </w:r>
          </w:p>
        </w:tc>
      </w:tr>
      <w:tr>
        <w:trPr>
          <w:trHeight w:val="172"/>
        </w:trPr>
        <w:tc>
          <w:tcPr>
            <w:tcW w:w="600" w:type="dxa"/>
            <w:vAlign w:val="bottom"/>
          </w:tcPr>
          <w:p>
            <w:pPr>
              <w:spacing w:after="0"/>
              <w:rPr>
                <w:sz w:val="14"/>
                <w:szCs w:val="14"/>
                <w:color w:val="auto"/>
              </w:rPr>
            </w:pPr>
          </w:p>
        </w:tc>
        <w:tc>
          <w:tcPr>
            <w:tcW w:w="10400" w:type="dxa"/>
            <w:vAlign w:val="bottom"/>
          </w:tcPr>
          <w:p>
            <w:pPr>
              <w:ind w:left="180"/>
              <w:spacing w:after="0"/>
              <w:rPr>
                <w:sz w:val="20"/>
                <w:szCs w:val="20"/>
                <w:color w:val="auto"/>
              </w:rPr>
            </w:pPr>
            <w:r>
              <w:rPr>
                <w:rFonts w:ascii="Arial" w:cs="Arial" w:eastAsia="Arial" w:hAnsi="Arial"/>
                <w:sz w:val="14"/>
                <w:szCs w:val="14"/>
                <w:color w:val="auto"/>
              </w:rPr>
              <w:t>00891), filed on November 17, 2011).</w:t>
            </w:r>
          </w:p>
        </w:tc>
      </w:tr>
      <w:tr>
        <w:trPr>
          <w:trHeight w:val="324"/>
        </w:trPr>
        <w:tc>
          <w:tcPr>
            <w:tcW w:w="600" w:type="dxa"/>
            <w:vAlign w:val="bottom"/>
          </w:tcPr>
          <w:p>
            <w:pPr>
              <w:jc w:val="center"/>
              <w:ind w:right="92"/>
              <w:spacing w:after="0"/>
              <w:rPr>
                <w:sz w:val="20"/>
                <w:szCs w:val="20"/>
                <w:color w:val="auto"/>
              </w:rPr>
            </w:pPr>
            <w:r>
              <w:rPr>
                <w:rFonts w:ascii="Arial" w:cs="Arial" w:eastAsia="Arial" w:hAnsi="Arial"/>
                <w:sz w:val="14"/>
                <w:szCs w:val="14"/>
                <w:color w:val="auto"/>
                <w:w w:val="99"/>
              </w:rPr>
              <w:t>(s)(1)**</w:t>
            </w:r>
          </w:p>
        </w:tc>
        <w:tc>
          <w:tcPr>
            <w:tcW w:w="10400" w:type="dxa"/>
            <w:vAlign w:val="bottom"/>
          </w:tcPr>
          <w:p>
            <w:pPr>
              <w:ind w:left="180"/>
              <w:spacing w:after="0"/>
              <w:rPr>
                <w:sz w:val="20"/>
                <w:szCs w:val="20"/>
                <w:color w:val="auto"/>
              </w:rPr>
            </w:pPr>
            <w:r>
              <w:rPr>
                <w:rFonts w:ascii="Arial" w:cs="Arial" w:eastAsia="Arial" w:hAnsi="Arial"/>
                <w:sz w:val="14"/>
                <w:szCs w:val="14"/>
                <w:color w:val="auto"/>
              </w:rPr>
              <w:t>Form of Prospectus Supplement For Common Stock Offerings.</w:t>
            </w:r>
          </w:p>
        </w:tc>
      </w:tr>
      <w:tr>
        <w:trPr>
          <w:trHeight w:val="324"/>
        </w:trPr>
        <w:tc>
          <w:tcPr>
            <w:tcW w:w="600" w:type="dxa"/>
            <w:vAlign w:val="bottom"/>
          </w:tcPr>
          <w:p>
            <w:pPr>
              <w:jc w:val="center"/>
              <w:ind w:right="92"/>
              <w:spacing w:after="0"/>
              <w:rPr>
                <w:sz w:val="20"/>
                <w:szCs w:val="20"/>
                <w:color w:val="auto"/>
              </w:rPr>
            </w:pPr>
            <w:r>
              <w:rPr>
                <w:rFonts w:ascii="Arial" w:cs="Arial" w:eastAsia="Arial" w:hAnsi="Arial"/>
                <w:sz w:val="14"/>
                <w:szCs w:val="14"/>
                <w:color w:val="auto"/>
                <w:w w:val="99"/>
              </w:rPr>
              <w:t>(s)(2)**</w:t>
            </w:r>
          </w:p>
        </w:tc>
        <w:tc>
          <w:tcPr>
            <w:tcW w:w="10400" w:type="dxa"/>
            <w:vAlign w:val="bottom"/>
          </w:tcPr>
          <w:p>
            <w:pPr>
              <w:ind w:left="180"/>
              <w:spacing w:after="0"/>
              <w:rPr>
                <w:sz w:val="20"/>
                <w:szCs w:val="20"/>
                <w:color w:val="auto"/>
              </w:rPr>
            </w:pPr>
            <w:r>
              <w:rPr>
                <w:rFonts w:ascii="Arial" w:cs="Arial" w:eastAsia="Arial" w:hAnsi="Arial"/>
                <w:sz w:val="14"/>
                <w:szCs w:val="14"/>
                <w:color w:val="auto"/>
              </w:rPr>
              <w:t>Form of Prospectus Supplement For Preferred Stock Offerings.</w:t>
            </w:r>
          </w:p>
        </w:tc>
      </w:tr>
      <w:tr>
        <w:trPr>
          <w:trHeight w:val="324"/>
        </w:trPr>
        <w:tc>
          <w:tcPr>
            <w:tcW w:w="600" w:type="dxa"/>
            <w:vAlign w:val="bottom"/>
          </w:tcPr>
          <w:p>
            <w:pPr>
              <w:jc w:val="center"/>
              <w:ind w:right="92"/>
              <w:spacing w:after="0"/>
              <w:rPr>
                <w:sz w:val="20"/>
                <w:szCs w:val="20"/>
                <w:color w:val="auto"/>
              </w:rPr>
            </w:pPr>
            <w:r>
              <w:rPr>
                <w:rFonts w:ascii="Arial" w:cs="Arial" w:eastAsia="Arial" w:hAnsi="Arial"/>
                <w:sz w:val="14"/>
                <w:szCs w:val="14"/>
                <w:color w:val="auto"/>
                <w:w w:val="99"/>
              </w:rPr>
              <w:t>(s)(3)**</w:t>
            </w:r>
          </w:p>
        </w:tc>
        <w:tc>
          <w:tcPr>
            <w:tcW w:w="10400" w:type="dxa"/>
            <w:vAlign w:val="bottom"/>
          </w:tcPr>
          <w:p>
            <w:pPr>
              <w:ind w:left="180"/>
              <w:spacing w:after="0"/>
              <w:rPr>
                <w:sz w:val="20"/>
                <w:szCs w:val="20"/>
                <w:color w:val="auto"/>
              </w:rPr>
            </w:pPr>
            <w:r>
              <w:rPr>
                <w:rFonts w:ascii="Arial" w:cs="Arial" w:eastAsia="Arial" w:hAnsi="Arial"/>
                <w:sz w:val="14"/>
                <w:szCs w:val="14"/>
                <w:color w:val="auto"/>
              </w:rPr>
              <w:t>Form of Prospectus Supplement For Debt Offerings.</w:t>
            </w:r>
          </w:p>
        </w:tc>
      </w:tr>
      <w:tr>
        <w:trPr>
          <w:trHeight w:val="324"/>
        </w:trPr>
        <w:tc>
          <w:tcPr>
            <w:tcW w:w="600" w:type="dxa"/>
            <w:vAlign w:val="bottom"/>
          </w:tcPr>
          <w:p>
            <w:pPr>
              <w:jc w:val="center"/>
              <w:ind w:right="92"/>
              <w:spacing w:after="0"/>
              <w:rPr>
                <w:sz w:val="20"/>
                <w:szCs w:val="20"/>
                <w:color w:val="auto"/>
              </w:rPr>
            </w:pPr>
            <w:r>
              <w:rPr>
                <w:rFonts w:ascii="Arial" w:cs="Arial" w:eastAsia="Arial" w:hAnsi="Arial"/>
                <w:sz w:val="14"/>
                <w:szCs w:val="14"/>
                <w:color w:val="auto"/>
                <w:w w:val="99"/>
              </w:rPr>
              <w:t>(s)(4)**</w:t>
            </w:r>
          </w:p>
        </w:tc>
        <w:tc>
          <w:tcPr>
            <w:tcW w:w="10400" w:type="dxa"/>
            <w:vAlign w:val="bottom"/>
          </w:tcPr>
          <w:p>
            <w:pPr>
              <w:ind w:left="180"/>
              <w:spacing w:after="0"/>
              <w:rPr>
                <w:sz w:val="20"/>
                <w:szCs w:val="20"/>
                <w:color w:val="auto"/>
              </w:rPr>
            </w:pPr>
            <w:r>
              <w:rPr>
                <w:rFonts w:ascii="Arial" w:cs="Arial" w:eastAsia="Arial" w:hAnsi="Arial"/>
                <w:sz w:val="14"/>
                <w:szCs w:val="14"/>
                <w:color w:val="auto"/>
              </w:rPr>
              <w:t>Form of Prospectus Supplement For Rights Offerings.</w:t>
            </w:r>
          </w:p>
        </w:tc>
      </w:tr>
      <w:tr>
        <w:trPr>
          <w:trHeight w:val="324"/>
        </w:trPr>
        <w:tc>
          <w:tcPr>
            <w:tcW w:w="600" w:type="dxa"/>
            <w:vAlign w:val="bottom"/>
          </w:tcPr>
          <w:p>
            <w:pPr>
              <w:jc w:val="center"/>
              <w:ind w:right="92"/>
              <w:spacing w:after="0"/>
              <w:rPr>
                <w:sz w:val="20"/>
                <w:szCs w:val="20"/>
                <w:color w:val="auto"/>
              </w:rPr>
            </w:pPr>
            <w:r>
              <w:rPr>
                <w:rFonts w:ascii="Arial" w:cs="Arial" w:eastAsia="Arial" w:hAnsi="Arial"/>
                <w:sz w:val="14"/>
                <w:szCs w:val="14"/>
                <w:color w:val="auto"/>
                <w:w w:val="99"/>
              </w:rPr>
              <w:t>(s)(5)**</w:t>
            </w:r>
          </w:p>
        </w:tc>
        <w:tc>
          <w:tcPr>
            <w:tcW w:w="10400" w:type="dxa"/>
            <w:vAlign w:val="bottom"/>
          </w:tcPr>
          <w:p>
            <w:pPr>
              <w:ind w:left="180"/>
              <w:spacing w:after="0"/>
              <w:rPr>
                <w:sz w:val="20"/>
                <w:szCs w:val="20"/>
                <w:color w:val="auto"/>
              </w:rPr>
            </w:pPr>
            <w:r>
              <w:rPr>
                <w:rFonts w:ascii="Arial" w:cs="Arial" w:eastAsia="Arial" w:hAnsi="Arial"/>
                <w:sz w:val="14"/>
                <w:szCs w:val="14"/>
                <w:color w:val="auto"/>
              </w:rPr>
              <w:t>Form of Prospectus Supplement For Warrant Offerings.</w:t>
            </w:r>
          </w:p>
        </w:tc>
      </w:tr>
    </w:tbl>
    <w:p>
      <w:pPr>
        <w:spacing w:after="0" w:line="259" w:lineRule="exact"/>
        <w:rPr>
          <w:sz w:val="20"/>
          <w:szCs w:val="20"/>
          <w:color w:val="auto"/>
        </w:rPr>
      </w:pPr>
    </w:p>
    <w:p>
      <w:pPr>
        <w:ind w:left="580" w:hanging="572"/>
        <w:spacing w:after="0"/>
        <w:tabs>
          <w:tab w:leader="none" w:pos="5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Filed herewith</w:t>
      </w:r>
    </w:p>
    <w:p>
      <w:pPr>
        <w:ind w:left="580" w:hanging="572"/>
        <w:spacing w:after="0"/>
        <w:tabs>
          <w:tab w:leader="none" w:pos="5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176"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26.</w:t>
      </w:r>
      <w:r>
        <w:rPr>
          <w:sz w:val="20"/>
          <w:szCs w:val="20"/>
          <w:color w:val="auto"/>
        </w:rPr>
        <w:tab/>
      </w:r>
      <w:r>
        <w:rPr>
          <w:rFonts w:ascii="Arial" w:cs="Arial" w:eastAsia="Arial" w:hAnsi="Arial"/>
          <w:sz w:val="12"/>
          <w:szCs w:val="12"/>
          <w:b w:val="1"/>
          <w:bCs w:val="1"/>
          <w:color w:val="auto"/>
        </w:rPr>
        <w:t>Marketing arrangements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information contained under the heading “Plan of Distribution” in this Registration Statement is hereby incorporated by reference.</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27.</w:t>
      </w:r>
      <w:r>
        <w:rPr>
          <w:sz w:val="20"/>
          <w:szCs w:val="20"/>
          <w:color w:val="auto"/>
        </w:rPr>
        <w:tab/>
      </w:r>
      <w:r>
        <w:rPr>
          <w:rFonts w:ascii="Arial" w:cs="Arial" w:eastAsia="Arial" w:hAnsi="Arial"/>
          <w:sz w:val="11"/>
          <w:szCs w:val="11"/>
          <w:b w:val="1"/>
          <w:bCs w:val="1"/>
          <w:color w:val="auto"/>
        </w:rPr>
        <w:t>Other expenses of issuance and distribution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sets forth the estimated expenses to be incurred by the Registrant in connection with the offering described in this registration statement:</w:t>
      </w:r>
    </w:p>
    <w:p>
      <w:pPr>
        <w:sectPr>
          <w:pgSz w:w="11900" w:h="16838" w:orient="portrait"/>
          <w:cols w:equalWidth="0" w:num="1">
            <w:col w:w="11140"/>
          </w:cols>
          <w:pgMar w:left="240" w:top="459" w:right="519" w:bottom="1440" w:gutter="0" w:footer="0" w:header="0"/>
        </w:sectPr>
      </w:pPr>
    </w:p>
    <w:p>
      <w:pPr>
        <w:spacing w:after="0" w:line="190"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-94615</wp:posOffset>
            </wp:positionV>
            <wp:extent cx="4922520" cy="946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FINRA filing fee</w:t>
      </w:r>
    </w:p>
    <w:p>
      <w:pPr>
        <w:ind w:left="1840"/>
        <w:spacing w:after="0" w:line="222" w:lineRule="auto"/>
        <w:rPr>
          <w:sz w:val="20"/>
          <w:szCs w:val="20"/>
          <w:color w:val="auto"/>
        </w:rPr>
      </w:pPr>
      <w:r>
        <w:rPr>
          <w:rFonts w:ascii="Arial" w:cs="Arial" w:eastAsia="Arial" w:hAnsi="Arial"/>
          <w:sz w:val="14"/>
          <w:szCs w:val="14"/>
          <w:color w:val="auto"/>
        </w:rPr>
        <w:t>Printing (other than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Legal fees and expenses</w:t>
      </w:r>
    </w:p>
    <w:p>
      <w:pPr>
        <w:ind w:left="1840"/>
        <w:spacing w:after="0" w:line="222" w:lineRule="auto"/>
        <w:rPr>
          <w:sz w:val="20"/>
          <w:szCs w:val="20"/>
          <w:color w:val="auto"/>
        </w:rPr>
      </w:pPr>
      <w:r>
        <w:rPr>
          <w:rFonts w:ascii="Arial" w:cs="Arial" w:eastAsia="Arial" w:hAnsi="Arial"/>
          <w:sz w:val="14"/>
          <w:szCs w:val="14"/>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color w:val="auto"/>
        </w:rPr>
        <w:t>Miscellaneous fees and expenses</w:t>
      </w:r>
    </w:p>
    <w:p>
      <w:pPr>
        <w:spacing w:after="0" w:line="111"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Total</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All of the expenses set forth above shall be borne by the Registrant.</w:t>
      </w:r>
    </w:p>
    <w:p>
      <w:pPr>
        <w:spacing w:after="0" w:line="136" w:lineRule="exact"/>
        <w:rPr>
          <w:sz w:val="20"/>
          <w:szCs w:val="20"/>
          <w:color w:val="auto"/>
        </w:rPr>
      </w:pPr>
    </w:p>
    <w:p>
      <w:pPr>
        <w:jc w:val="right"/>
        <w:ind w:right="1666"/>
        <w:spacing w:after="0"/>
        <w:rPr>
          <w:sz w:val="20"/>
          <w:szCs w:val="20"/>
          <w:color w:val="auto"/>
        </w:rPr>
      </w:pPr>
      <w:r>
        <w:rPr>
          <w:rFonts w:ascii="Arial" w:cs="Arial" w:eastAsia="Arial" w:hAnsi="Arial"/>
          <w:sz w:val="14"/>
          <w:szCs w:val="14"/>
          <w:color w:val="auto"/>
        </w:rPr>
        <w:t>C-2</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894" w:hanging="894"/>
        <w:spacing w:after="0"/>
        <w:tabs>
          <w:tab w:leader="none" w:pos="894" w:val="left"/>
        </w:tabs>
        <w:numPr>
          <w:ilvl w:val="0"/>
          <w:numId w:val="100"/>
        </w:numPr>
        <w:rPr>
          <w:rFonts w:ascii="Arial" w:cs="Arial" w:eastAsia="Arial" w:hAnsi="Arial"/>
          <w:sz w:val="11"/>
          <w:szCs w:val="11"/>
          <w:color w:val="auto"/>
        </w:rPr>
      </w:pPr>
      <w:r>
        <w:rPr>
          <w:rFonts w:ascii="Arial" w:cs="Arial" w:eastAsia="Arial" w:hAnsi="Arial"/>
          <w:sz w:val="11"/>
          <w:szCs w:val="11"/>
          <w:color w:val="auto"/>
        </w:rPr>
        <w:t>17,190</w:t>
      </w:r>
    </w:p>
    <w:p>
      <w:pPr>
        <w:spacing w:after="0" w:line="34" w:lineRule="exact"/>
        <w:rPr>
          <w:sz w:val="20"/>
          <w:szCs w:val="20"/>
          <w:color w:val="auto"/>
        </w:rPr>
      </w:pPr>
    </w:p>
    <w:p>
      <w:pPr>
        <w:ind w:left="894" w:hanging="894"/>
        <w:spacing w:after="0"/>
        <w:tabs>
          <w:tab w:leader="none" w:pos="894" w:val="left"/>
        </w:tabs>
        <w:numPr>
          <w:ilvl w:val="0"/>
          <w:numId w:val="101"/>
        </w:numPr>
        <w:rPr>
          <w:rFonts w:ascii="Arial" w:cs="Arial" w:eastAsia="Arial" w:hAnsi="Arial"/>
          <w:sz w:val="11"/>
          <w:szCs w:val="11"/>
          <w:color w:val="auto"/>
        </w:rPr>
      </w:pPr>
      <w:r>
        <w:rPr>
          <w:rFonts w:ascii="Arial" w:cs="Arial" w:eastAsia="Arial" w:hAnsi="Arial"/>
          <w:sz w:val="11"/>
          <w:szCs w:val="11"/>
          <w:color w:val="auto"/>
        </w:rPr>
        <w:t>38,462</w:t>
      </w:r>
    </w:p>
    <w:p>
      <w:pPr>
        <w:spacing w:after="0" w:line="22" w:lineRule="exact"/>
        <w:rPr>
          <w:sz w:val="20"/>
          <w:szCs w:val="20"/>
          <w:color w:val="auto"/>
        </w:rPr>
      </w:pPr>
    </w:p>
    <w:p>
      <w:pPr>
        <w:ind w:left="894" w:hanging="894"/>
        <w:spacing w:after="0"/>
        <w:tabs>
          <w:tab w:leader="none" w:pos="894" w:val="left"/>
        </w:tabs>
        <w:numPr>
          <w:ilvl w:val="0"/>
          <w:numId w:val="102"/>
        </w:numPr>
        <w:rPr>
          <w:rFonts w:ascii="Arial" w:cs="Arial" w:eastAsia="Arial" w:hAnsi="Arial"/>
          <w:sz w:val="11"/>
          <w:szCs w:val="11"/>
          <w:color w:val="auto"/>
        </w:rPr>
      </w:pPr>
      <w:r>
        <w:rPr>
          <w:rFonts w:ascii="Arial" w:cs="Arial" w:eastAsia="Arial" w:hAnsi="Arial"/>
          <w:sz w:val="11"/>
          <w:szCs w:val="11"/>
          <w:color w:val="auto"/>
        </w:rPr>
        <w:t>15,500</w:t>
      </w:r>
    </w:p>
    <w:p>
      <w:pPr>
        <w:spacing w:after="0" w:line="22" w:lineRule="exact"/>
        <w:rPr>
          <w:sz w:val="20"/>
          <w:szCs w:val="20"/>
          <w:color w:val="auto"/>
        </w:rPr>
      </w:pPr>
    </w:p>
    <w:p>
      <w:pPr>
        <w:ind w:left="814" w:hanging="814"/>
        <w:spacing w:after="0"/>
        <w:tabs>
          <w:tab w:leader="none" w:pos="814" w:val="left"/>
        </w:tabs>
        <w:numPr>
          <w:ilvl w:val="0"/>
          <w:numId w:val="103"/>
        </w:numPr>
        <w:rPr>
          <w:rFonts w:ascii="Arial" w:cs="Arial" w:eastAsia="Arial" w:hAnsi="Arial"/>
          <w:sz w:val="12"/>
          <w:szCs w:val="12"/>
          <w:color w:val="auto"/>
        </w:rPr>
      </w:pPr>
      <w:r>
        <w:rPr>
          <w:rFonts w:ascii="Arial" w:cs="Arial" w:eastAsia="Arial" w:hAnsi="Arial"/>
          <w:sz w:val="12"/>
          <w:szCs w:val="12"/>
          <w:color w:val="auto"/>
        </w:rPr>
        <w:t>225,000</w:t>
      </w:r>
    </w:p>
    <w:p>
      <w:pPr>
        <w:spacing w:after="0" w:line="11" w:lineRule="exact"/>
        <w:rPr>
          <w:sz w:val="20"/>
          <w:szCs w:val="20"/>
          <w:color w:val="auto"/>
        </w:rPr>
      </w:pPr>
    </w:p>
    <w:p>
      <w:pPr>
        <w:ind w:left="814" w:hanging="814"/>
        <w:spacing w:after="0"/>
        <w:tabs>
          <w:tab w:leader="none" w:pos="814" w:val="left"/>
        </w:tabs>
        <w:numPr>
          <w:ilvl w:val="0"/>
          <w:numId w:val="104"/>
        </w:numPr>
        <w:rPr>
          <w:rFonts w:ascii="Arial" w:cs="Arial" w:eastAsia="Arial" w:hAnsi="Arial"/>
          <w:sz w:val="12"/>
          <w:szCs w:val="12"/>
          <w:color w:val="auto"/>
        </w:rPr>
      </w:pPr>
      <w:r>
        <w:rPr>
          <w:rFonts w:ascii="Arial" w:cs="Arial" w:eastAsia="Arial" w:hAnsi="Arial"/>
          <w:sz w:val="12"/>
          <w:szCs w:val="12"/>
          <w:color w:val="auto"/>
        </w:rPr>
        <w:t>400,000</w:t>
      </w:r>
    </w:p>
    <w:p>
      <w:pPr>
        <w:spacing w:after="0" w:line="11" w:lineRule="exact"/>
        <w:rPr>
          <w:sz w:val="20"/>
          <w:szCs w:val="20"/>
          <w:color w:val="auto"/>
        </w:rPr>
      </w:pPr>
    </w:p>
    <w:p>
      <w:pPr>
        <w:ind w:left="814" w:hanging="814"/>
        <w:spacing w:after="0"/>
        <w:tabs>
          <w:tab w:leader="none" w:pos="814" w:val="left"/>
        </w:tabs>
        <w:numPr>
          <w:ilvl w:val="0"/>
          <w:numId w:val="105"/>
        </w:numPr>
        <w:rPr>
          <w:rFonts w:ascii="Arial" w:cs="Arial" w:eastAsia="Arial" w:hAnsi="Arial"/>
          <w:sz w:val="12"/>
          <w:szCs w:val="12"/>
          <w:color w:val="auto"/>
        </w:rPr>
      </w:pPr>
      <w:r>
        <w:rPr>
          <w:rFonts w:ascii="Arial" w:cs="Arial" w:eastAsia="Arial" w:hAnsi="Arial"/>
          <w:sz w:val="12"/>
          <w:szCs w:val="12"/>
          <w:color w:val="auto"/>
        </w:rPr>
        <w:t>175,000</w:t>
      </w:r>
    </w:p>
    <w:p>
      <w:pPr>
        <w:spacing w:after="0" w:line="10" w:lineRule="exact"/>
        <w:rPr>
          <w:rFonts w:ascii="Arial" w:cs="Arial" w:eastAsia="Arial" w:hAnsi="Arial"/>
          <w:sz w:val="12"/>
          <w:szCs w:val="12"/>
          <w:color w:val="auto"/>
        </w:rPr>
      </w:pPr>
    </w:p>
    <w:p>
      <w:pPr>
        <w:ind w:left="814" w:hanging="814"/>
        <w:spacing w:after="0"/>
        <w:tabs>
          <w:tab w:leader="none" w:pos="814" w:val="left"/>
        </w:tabs>
        <w:numPr>
          <w:ilvl w:val="0"/>
          <w:numId w:val="105"/>
        </w:numPr>
        <w:rPr>
          <w:rFonts w:ascii="Arial" w:cs="Arial" w:eastAsia="Arial" w:hAnsi="Arial"/>
          <w:sz w:val="12"/>
          <w:szCs w:val="12"/>
          <w:color w:val="auto"/>
        </w:rPr>
      </w:pPr>
      <w:r>
        <w:rPr>
          <w:rFonts w:ascii="Arial" w:cs="Arial" w:eastAsia="Arial" w:hAnsi="Arial"/>
          <w:sz w:val="12"/>
          <w:szCs w:val="12"/>
          <w:color w:val="auto"/>
        </w:rPr>
        <w:t>128,848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5715</wp:posOffset>
            </wp:positionV>
            <wp:extent cx="84074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14" w:lineRule="exact"/>
        <w:rPr>
          <w:sz w:val="20"/>
          <w:szCs w:val="20"/>
          <w:color w:val="auto"/>
        </w:rPr>
      </w:pPr>
    </w:p>
    <w:p>
      <w:pPr>
        <w:ind w:left="714" w:hanging="714"/>
        <w:spacing w:after="0"/>
        <w:tabs>
          <w:tab w:leader="none" w:pos="714" w:val="left"/>
        </w:tabs>
        <w:numPr>
          <w:ilvl w:val="0"/>
          <w:numId w:val="106"/>
        </w:numPr>
        <w:rPr>
          <w:rFonts w:ascii="Arial" w:cs="Arial" w:eastAsia="Arial" w:hAnsi="Arial"/>
          <w:sz w:val="12"/>
          <w:szCs w:val="12"/>
          <w:color w:val="auto"/>
        </w:rPr>
      </w:pPr>
      <w:r>
        <w:rPr>
          <w:rFonts w:ascii="Arial" w:cs="Arial" w:eastAsia="Arial" w:hAnsi="Arial"/>
          <w:sz w:val="12"/>
          <w:szCs w:val="12"/>
          <w:color w:val="auto"/>
        </w:rPr>
        <w:t>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13335</wp:posOffset>
            </wp:positionV>
            <wp:extent cx="84074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30480</wp:posOffset>
            </wp:positionV>
            <wp:extent cx="84074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ectPr>
          <w:pgSz w:w="11900" w:h="16838" w:orient="portrait"/>
          <w:cols w:equalWidth="0" w:num="2">
            <w:col w:w="7486" w:space="720"/>
            <w:col w:w="2934"/>
          </w:cols>
          <w:pgMar w:left="240" w:top="459" w:right="51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28.</w:t>
      </w:r>
      <w:r>
        <w:rPr>
          <w:sz w:val="20"/>
          <w:szCs w:val="20"/>
          <w:color w:val="auto"/>
        </w:rPr>
        <w:tab/>
      </w:r>
      <w:r>
        <w:rPr>
          <w:rFonts w:ascii="Arial" w:cs="Arial" w:eastAsia="Arial" w:hAnsi="Arial"/>
          <w:sz w:val="12"/>
          <w:szCs w:val="12"/>
          <w:b w:val="1"/>
          <w:bCs w:val="1"/>
          <w:color w:val="auto"/>
        </w:rPr>
        <w:t>Persons controlled by or under common control with the registrant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lists sets forth each of the companies considered to be controlled by us as defined by the 1940 Act.</w:t>
      </w:r>
    </w:p>
    <w:p>
      <w:pPr>
        <w:spacing w:after="0" w:line="346"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Name of entity and place of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8890</wp:posOffset>
            </wp:positionV>
            <wp:extent cx="4922520" cy="1028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922520" cy="10287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color w:val="auto"/>
        </w:rPr>
        <w:t>PennantPark Floating Rate Funding I, LLC (Delaware)</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C-3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59"/>
        <w:spacing w:after="0"/>
        <w:rPr>
          <w:sz w:val="20"/>
          <w:szCs w:val="20"/>
          <w:color w:val="auto"/>
        </w:rPr>
      </w:pPr>
      <w:r>
        <w:rPr>
          <w:rFonts w:ascii="Arial" w:cs="Arial" w:eastAsia="Arial" w:hAnsi="Arial"/>
          <w:sz w:val="12"/>
          <w:szCs w:val="12"/>
          <w:b w:val="1"/>
          <w:bCs w:val="1"/>
          <w:color w:val="auto"/>
        </w:rPr>
        <w:t>Voting Securities</w:t>
      </w:r>
    </w:p>
    <w:p>
      <w:pPr>
        <w:spacing w:after="0" w:line="25" w:lineRule="exact"/>
        <w:rPr>
          <w:sz w:val="20"/>
          <w:szCs w:val="20"/>
          <w:color w:val="auto"/>
        </w:rPr>
      </w:pPr>
    </w:p>
    <w:p>
      <w:pPr>
        <w:jc w:val="center"/>
        <w:ind w:right="1059"/>
        <w:spacing w:after="0"/>
        <w:rPr>
          <w:sz w:val="20"/>
          <w:szCs w:val="20"/>
          <w:color w:val="auto"/>
        </w:rPr>
      </w:pPr>
      <w:r>
        <w:rPr>
          <w:rFonts w:ascii="Arial" w:cs="Arial" w:eastAsia="Arial" w:hAnsi="Arial"/>
          <w:sz w:val="11"/>
          <w:szCs w:val="11"/>
          <w:b w:val="1"/>
          <w:bCs w:val="1"/>
          <w:color w:val="auto"/>
        </w:rPr>
        <w:t>Owned Percentage</w:t>
      </w:r>
    </w:p>
    <w:p>
      <w:pPr>
        <w:spacing w:after="0" w:line="22" w:lineRule="exact"/>
        <w:rPr>
          <w:sz w:val="20"/>
          <w:szCs w:val="20"/>
          <w:color w:val="auto"/>
        </w:rPr>
      </w:pPr>
    </w:p>
    <w:p>
      <w:pPr>
        <w:jc w:val="right"/>
        <w:ind w:right="659"/>
        <w:spacing w:after="0"/>
        <w:rPr>
          <w:sz w:val="20"/>
          <w:szCs w:val="20"/>
          <w:color w:val="auto"/>
        </w:rPr>
      </w:pPr>
      <w:r>
        <w:rPr>
          <w:rFonts w:ascii="Arial" w:cs="Arial" w:eastAsia="Arial" w:hAnsi="Arial"/>
          <w:sz w:val="14"/>
          <w:szCs w:val="14"/>
          <w:color w:val="auto"/>
        </w:rPr>
        <w:t>100%</w:t>
      </w:r>
    </w:p>
    <w:p>
      <w:pPr>
        <w:sectPr>
          <w:pgSz w:w="11900" w:h="16838" w:orient="portrait"/>
          <w:cols w:equalWidth="0" w:num="2">
            <w:col w:w="7360" w:space="720"/>
            <w:col w:w="2139"/>
          </w:cols>
          <w:pgMar w:left="240" w:top="459" w:right="1440"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29.</w:t>
      </w:r>
      <w:r>
        <w:rPr>
          <w:sz w:val="20"/>
          <w:szCs w:val="20"/>
          <w:color w:val="auto"/>
        </w:rPr>
        <w:tab/>
      </w:r>
      <w:r>
        <w:rPr>
          <w:rFonts w:ascii="Arial" w:cs="Arial" w:eastAsia="Arial" w:hAnsi="Arial"/>
          <w:sz w:val="12"/>
          <w:szCs w:val="12"/>
          <w:b w:val="1"/>
          <w:bCs w:val="1"/>
          <w:color w:val="auto"/>
        </w:rPr>
        <w:t>Number of holders of shares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July 24, 2012</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 of Record Holders</w:t>
      </w:r>
    </w:p>
    <w:tbl>
      <w:tblPr>
        <w:tblLayout w:type="fixed"/>
        <w:tblInd w:w="0" w:type="dxa"/>
        <w:tblCellMar>
          <w:top w:w="0" w:type="dxa"/>
          <w:left w:w="0" w:type="dxa"/>
          <w:bottom w:w="0" w:type="dxa"/>
          <w:right w:w="0" w:type="dxa"/>
        </w:tblCellMar>
      </w:tblPr>
      <w:tr>
        <w:trPr>
          <w:trHeight w:val="169"/>
        </w:trPr>
        <w:tc>
          <w:tcPr>
            <w:tcW w:w="40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 Class</w:t>
            </w:r>
          </w:p>
        </w:tc>
        <w:tc>
          <w:tcPr>
            <w:tcW w:w="46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59"/>
        </w:trPr>
        <w:tc>
          <w:tcPr>
            <w:tcW w:w="4020" w:type="dxa"/>
            <w:vAlign w:val="bottom"/>
          </w:tcPr>
          <w:p>
            <w:pPr>
              <w:jc w:val="center"/>
              <w:spacing w:after="0" w:line="159" w:lineRule="exact"/>
              <w:rPr>
                <w:sz w:val="20"/>
                <w:szCs w:val="20"/>
                <w:color w:val="auto"/>
              </w:rPr>
            </w:pPr>
            <w:r>
              <w:rPr>
                <w:rFonts w:ascii="Arial" w:cs="Arial" w:eastAsia="Arial" w:hAnsi="Arial"/>
                <w:sz w:val="14"/>
                <w:szCs w:val="14"/>
                <w:color w:val="auto"/>
                <w:w w:val="87"/>
              </w:rPr>
              <w:t>Common Stock, $0.001 par value</w:t>
            </w:r>
          </w:p>
        </w:tc>
        <w:tc>
          <w:tcPr>
            <w:tcW w:w="5960" w:type="dxa"/>
            <w:vAlign w:val="bottom"/>
            <w:gridSpan w:val="2"/>
          </w:tcPr>
          <w:p>
            <w:pPr>
              <w:jc w:val="right"/>
              <w:ind w:right="620"/>
              <w:spacing w:after="0" w:line="153" w:lineRule="exact"/>
              <w:rPr>
                <w:sz w:val="20"/>
                <w:szCs w:val="20"/>
                <w:color w:val="auto"/>
              </w:rPr>
            </w:pPr>
            <w:r>
              <w:rPr>
                <w:rFonts w:ascii="Arial" w:cs="Arial" w:eastAsia="Arial" w:hAnsi="Arial"/>
                <w:sz w:val="14"/>
                <w:szCs w:val="14"/>
                <w:color w:val="auto"/>
              </w:rPr>
              <w:t>4</w:t>
            </w:r>
          </w:p>
        </w:tc>
      </w:tr>
      <w:tr>
        <w:trPr>
          <w:trHeight w:val="286"/>
        </w:trPr>
        <w:tc>
          <w:tcPr>
            <w:tcW w:w="4020" w:type="dxa"/>
            <w:vAlign w:val="bottom"/>
          </w:tcPr>
          <w:p>
            <w:pPr>
              <w:spacing w:after="0"/>
              <w:rPr>
                <w:sz w:val="24"/>
                <w:szCs w:val="24"/>
                <w:color w:val="auto"/>
              </w:rPr>
            </w:pPr>
          </w:p>
        </w:tc>
        <w:tc>
          <w:tcPr>
            <w:tcW w:w="5960" w:type="dxa"/>
            <w:vAlign w:val="bottom"/>
            <w:gridSpan w:val="2"/>
          </w:tcPr>
          <w:p>
            <w:pPr>
              <w:jc w:val="right"/>
              <w:ind w:right="4160"/>
              <w:spacing w:after="0"/>
              <w:rPr>
                <w:sz w:val="20"/>
                <w:szCs w:val="20"/>
                <w:color w:val="auto"/>
              </w:rPr>
            </w:pPr>
            <w:r>
              <w:rPr>
                <w:rFonts w:ascii="Arial" w:cs="Arial" w:eastAsia="Arial" w:hAnsi="Arial"/>
                <w:sz w:val="14"/>
                <w:szCs w:val="14"/>
                <w:color w:val="auto"/>
              </w:rPr>
              <w:t>C-4</w:t>
            </w:r>
          </w:p>
        </w:tc>
      </w:tr>
    </w:tbl>
    <w:p>
      <w:pPr>
        <w:sectPr>
          <w:pgSz w:w="11900" w:h="16838" w:orient="portrait"/>
          <w:cols w:equalWidth="0" w:num="1">
            <w:col w:w="10520"/>
          </w:cols>
          <w:pgMar w:left="240" w:top="460" w:right="11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30.</w:t>
      </w:r>
      <w:r>
        <w:rPr>
          <w:sz w:val="20"/>
          <w:szCs w:val="20"/>
          <w:color w:val="auto"/>
        </w:rPr>
        <w:tab/>
      </w:r>
      <w:r>
        <w:rPr>
          <w:rFonts w:ascii="Arial" w:cs="Arial" w:eastAsia="Arial" w:hAnsi="Arial"/>
          <w:sz w:val="12"/>
          <w:szCs w:val="12"/>
          <w:b w:val="1"/>
          <w:bCs w:val="1"/>
          <w:color w:val="auto"/>
        </w:rPr>
        <w:t>Indemnification</w:t>
      </w:r>
    </w:p>
    <w:p>
      <w:pPr>
        <w:spacing w:after="0" w:line="152"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The information contained under the heading “Description of our Capital Stock —Limitation on Liability of Directors and Officers; Indemnification and Advance of Expenses” is incorporated herein by reference.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C-5</w:t>
      </w:r>
    </w:p>
    <w:p>
      <w:pPr>
        <w:sectPr>
          <w:pgSz w:w="11900" w:h="16838" w:orient="portrait"/>
          <w:cols w:equalWidth="0" w:num="1">
            <w:col w:w="11360"/>
          </w:cols>
          <w:pgMar w:left="240" w:top="460" w:right="2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31.</w:t>
      </w:r>
      <w:r>
        <w:rPr>
          <w:sz w:val="20"/>
          <w:szCs w:val="20"/>
          <w:color w:val="auto"/>
        </w:rPr>
        <w:tab/>
      </w:r>
      <w:r>
        <w:rPr>
          <w:rFonts w:ascii="Arial" w:cs="Arial" w:eastAsia="Arial" w:hAnsi="Arial"/>
          <w:sz w:val="11"/>
          <w:szCs w:val="11"/>
          <w:b w:val="1"/>
          <w:bCs w:val="1"/>
          <w:color w:val="auto"/>
        </w:rPr>
        <w:t>Business and other connections of Investment Adviser</w:t>
      </w:r>
    </w:p>
    <w:p>
      <w:pPr>
        <w:spacing w:after="0" w:line="152"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Investment Adviser and its officers and directors is set forth in its Form ADV, as filed with the SEC (SEC File No. 801-67622), and is incorporated herein by reference.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32.</w:t>
      </w:r>
      <w:r>
        <w:rPr>
          <w:sz w:val="20"/>
          <w:szCs w:val="20"/>
          <w:color w:val="auto"/>
        </w:rPr>
        <w:tab/>
      </w:r>
      <w:r>
        <w:rPr>
          <w:rFonts w:ascii="Arial" w:cs="Arial" w:eastAsia="Arial" w:hAnsi="Arial"/>
          <w:sz w:val="11"/>
          <w:szCs w:val="11"/>
          <w:b w:val="1"/>
          <w:bCs w:val="1"/>
          <w:color w:val="auto"/>
        </w:rPr>
        <w:t>Location of accounts and records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All accounts, books and other documents required to be maintained by Section 31(a) of the 1940 Act, and the rules thereunder are maintained at the offices of:</w:t>
      </w:r>
    </w:p>
    <w:p>
      <w:pPr>
        <w:spacing w:after="0" w:line="173" w:lineRule="exact"/>
        <w:rPr>
          <w:sz w:val="20"/>
          <w:szCs w:val="20"/>
          <w:color w:val="auto"/>
        </w:rPr>
      </w:pPr>
    </w:p>
    <w:p>
      <w:pPr>
        <w:ind w:left="660" w:hanging="196"/>
        <w:spacing w:after="0"/>
        <w:tabs>
          <w:tab w:leader="none" w:pos="6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Registrant, PennantPark Floating Rate Capital Ltd., 590 Madison Avenue, 15th Floor, New York, NY 10022;</w:t>
      </w:r>
    </w:p>
    <w:p>
      <w:pPr>
        <w:spacing w:after="0" w:line="149" w:lineRule="exact"/>
        <w:rPr>
          <w:rFonts w:ascii="Arial" w:cs="Arial" w:eastAsia="Arial" w:hAnsi="Arial"/>
          <w:sz w:val="14"/>
          <w:szCs w:val="14"/>
          <w:color w:val="auto"/>
        </w:rPr>
      </w:pPr>
    </w:p>
    <w:p>
      <w:pPr>
        <w:ind w:left="660" w:hanging="196"/>
        <w:spacing w:after="0"/>
        <w:tabs>
          <w:tab w:leader="none" w:pos="6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Transfer Agent, American Stock Transfer &amp; Trust Company, LLC, 59 Maiden Lane, New York, NY 10038;</w:t>
      </w:r>
    </w:p>
    <w:p>
      <w:pPr>
        <w:spacing w:after="0" w:line="149" w:lineRule="exact"/>
        <w:rPr>
          <w:rFonts w:ascii="Arial" w:cs="Arial" w:eastAsia="Arial" w:hAnsi="Arial"/>
          <w:sz w:val="14"/>
          <w:szCs w:val="14"/>
          <w:color w:val="auto"/>
        </w:rPr>
      </w:pPr>
    </w:p>
    <w:p>
      <w:pPr>
        <w:ind w:left="660" w:hanging="196"/>
        <w:spacing w:after="0"/>
        <w:tabs>
          <w:tab w:leader="none" w:pos="6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Custodian, The Bank of New York Mellon, One Wall Street, New York, NY 10286; and</w:t>
      </w:r>
    </w:p>
    <w:p>
      <w:pPr>
        <w:spacing w:after="0" w:line="149" w:lineRule="exact"/>
        <w:rPr>
          <w:rFonts w:ascii="Arial" w:cs="Arial" w:eastAsia="Arial" w:hAnsi="Arial"/>
          <w:sz w:val="14"/>
          <w:szCs w:val="14"/>
          <w:color w:val="auto"/>
        </w:rPr>
      </w:pPr>
    </w:p>
    <w:p>
      <w:pPr>
        <w:ind w:left="5620" w:right="3579" w:hanging="5156"/>
        <w:spacing w:after="0" w:line="576" w:lineRule="auto"/>
        <w:tabs>
          <w:tab w:leader="none" w:pos="663"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Adviser, PennantPark Investment Advisers, LLC, 590 Madison Avenue, 15th Floor, New York, NY 10022. C-7</w:t>
      </w:r>
    </w:p>
    <w:p>
      <w:pPr>
        <w:sectPr>
          <w:pgSz w:w="11900" w:h="16838" w:orient="portrait"/>
          <w:cols w:equalWidth="0" w:num="1">
            <w:col w:w="10219"/>
          </w:cols>
          <w:pgMar w:left="240" w:top="459" w:right="1440"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33.</w:t>
      </w:r>
      <w:r>
        <w:rPr>
          <w:sz w:val="20"/>
          <w:szCs w:val="20"/>
          <w:color w:val="auto"/>
        </w:rPr>
        <w:tab/>
      </w:r>
      <w:r>
        <w:rPr>
          <w:rFonts w:ascii="Arial" w:cs="Arial" w:eastAsia="Arial" w:hAnsi="Arial"/>
          <w:sz w:val="11"/>
          <w:szCs w:val="11"/>
          <w:b w:val="1"/>
          <w:bCs w:val="1"/>
          <w:color w:val="auto"/>
        </w:rPr>
        <w:t>Management services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Not Applicable.</w:t>
      </w:r>
    </w:p>
    <w:p>
      <w:pPr>
        <w:spacing w:after="0" w:line="136"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C-8</w:t>
      </w:r>
    </w:p>
    <w:p>
      <w:pPr>
        <w:sectPr>
          <w:pgSz w:w="11900" w:h="16838" w:orient="portrait"/>
          <w:cols w:equalWidth="0" w:num="1">
            <w:col w:w="10219"/>
          </w:cols>
          <w:pgMar w:left="240" w:top="459" w:right="1440"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34.</w:t>
      </w:r>
      <w:r>
        <w:rPr>
          <w:sz w:val="20"/>
          <w:szCs w:val="20"/>
          <w:color w:val="auto"/>
        </w:rPr>
        <w:tab/>
      </w:r>
      <w:r>
        <w:rPr>
          <w:rFonts w:ascii="Arial" w:cs="Arial" w:eastAsia="Arial" w:hAnsi="Arial"/>
          <w:sz w:val="12"/>
          <w:szCs w:val="12"/>
          <w:b w:val="1"/>
          <w:bCs w:val="1"/>
          <w:color w:val="auto"/>
        </w:rPr>
        <w:t>Undertakings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Registrant hereby undertakes:</w:t>
      </w:r>
    </w:p>
    <w:p>
      <w:pPr>
        <w:spacing w:after="0" w:line="150" w:lineRule="exact"/>
        <w:rPr>
          <w:sz w:val="20"/>
          <w:szCs w:val="20"/>
          <w:color w:val="auto"/>
        </w:rPr>
      </w:pPr>
    </w:p>
    <w:p>
      <w:pPr>
        <w:ind w:left="460" w:firstLine="4"/>
        <w:spacing w:after="0" w:line="318" w:lineRule="auto"/>
        <w:tabs>
          <w:tab w:leader="none" w:pos="651" w:val="left"/>
        </w:tabs>
        <w:numPr>
          <w:ilvl w:val="0"/>
          <w:numId w:val="108"/>
        </w:numPr>
        <w:rPr>
          <w:rFonts w:ascii="Arial" w:cs="Arial" w:eastAsia="Arial" w:hAnsi="Arial"/>
          <w:sz w:val="12"/>
          <w:szCs w:val="12"/>
          <w:color w:val="auto"/>
        </w:rPr>
      </w:pPr>
      <w:r>
        <w:rPr>
          <w:rFonts w:ascii="Arial" w:cs="Arial" w:eastAsia="Arial" w:hAnsi="Arial"/>
          <w:sz w:val="12"/>
          <w:szCs w:val="12"/>
          <w:color w:val="auto"/>
        </w:rPr>
        <w:t>to suspend the offering of shares until the prospectus is amended if (1) subsequent to the effective date of its registration statement, the net asset value declines more than ten percent from its net asset value as of the effective date of the registrations statement or (2) the net asset value increases to an amount greater than its net proceeds as stated in the prospectus;</w:t>
      </w:r>
    </w:p>
    <w:p>
      <w:pPr>
        <w:spacing w:after="0" w:line="93" w:lineRule="exact"/>
        <w:rPr>
          <w:rFonts w:ascii="Arial" w:cs="Arial" w:eastAsia="Arial" w:hAnsi="Arial"/>
          <w:sz w:val="12"/>
          <w:szCs w:val="12"/>
          <w:color w:val="auto"/>
        </w:rPr>
      </w:pPr>
    </w:p>
    <w:p>
      <w:pPr>
        <w:ind w:left="660" w:hanging="196"/>
        <w:spacing w:after="0"/>
        <w:tabs>
          <w:tab w:leader="none" w:pos="66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49" w:lineRule="exact"/>
        <w:rPr>
          <w:rFonts w:ascii="Arial" w:cs="Arial" w:eastAsia="Arial" w:hAnsi="Arial"/>
          <w:sz w:val="14"/>
          <w:szCs w:val="14"/>
          <w:color w:val="auto"/>
        </w:rPr>
      </w:pPr>
    </w:p>
    <w:p>
      <w:pPr>
        <w:ind w:left="460" w:firstLine="4"/>
        <w:spacing w:after="0" w:line="278" w:lineRule="auto"/>
        <w:tabs>
          <w:tab w:leader="none" w:pos="651" w:val="left"/>
        </w:tabs>
        <w:numPr>
          <w:ilvl w:val="0"/>
          <w:numId w:val="108"/>
        </w:numPr>
        <w:rPr>
          <w:rFonts w:ascii="Arial" w:cs="Arial" w:eastAsia="Arial" w:hAnsi="Arial"/>
          <w:sz w:val="12"/>
          <w:szCs w:val="12"/>
          <w:color w:val="auto"/>
        </w:rPr>
      </w:pPr>
      <w:r>
        <w:rPr>
          <w:rFonts w:ascii="Arial" w:cs="Arial" w:eastAsia="Arial" w:hAnsi="Arial"/>
          <w:sz w:val="12"/>
          <w:szCs w:val="12"/>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(4)(a) to file, during any period in which offers or sales are being made, a post-effective amendment to the registration statement:</w:t>
      </w:r>
    </w:p>
    <w:p>
      <w:pPr>
        <w:spacing w:after="0" w:line="69" w:lineRule="exact"/>
        <w:rPr>
          <w:sz w:val="20"/>
          <w:szCs w:val="20"/>
          <w:color w:val="auto"/>
        </w:rPr>
      </w:pPr>
    </w:p>
    <w:p>
      <w:pPr>
        <w:ind w:left="860" w:hanging="167"/>
        <w:spacing w:after="0"/>
        <w:tabs>
          <w:tab w:leader="none" w:pos="860" w:val="left"/>
        </w:tabs>
        <w:numPr>
          <w:ilvl w:val="1"/>
          <w:numId w:val="109"/>
        </w:numPr>
        <w:rPr>
          <w:rFonts w:ascii="Arial" w:cs="Arial" w:eastAsia="Arial" w:hAnsi="Arial"/>
          <w:sz w:val="14"/>
          <w:szCs w:val="14"/>
          <w:color w:val="auto"/>
        </w:rPr>
      </w:pPr>
      <w:r>
        <w:rPr>
          <w:rFonts w:ascii="Arial" w:cs="Arial" w:eastAsia="Arial" w:hAnsi="Arial"/>
          <w:sz w:val="14"/>
          <w:szCs w:val="14"/>
          <w:color w:val="auto"/>
        </w:rPr>
        <w:t>to include any prospectus required by Section 10(a)(3) of the Securities Act;</w:t>
      </w:r>
    </w:p>
    <w:p>
      <w:pPr>
        <w:spacing w:after="0" w:line="68" w:lineRule="exact"/>
        <w:rPr>
          <w:rFonts w:ascii="Arial" w:cs="Arial" w:eastAsia="Arial" w:hAnsi="Arial"/>
          <w:sz w:val="14"/>
          <w:szCs w:val="14"/>
          <w:color w:val="auto"/>
        </w:rPr>
      </w:pPr>
    </w:p>
    <w:p>
      <w:pPr>
        <w:ind w:left="700" w:right="120" w:hanging="7"/>
        <w:spacing w:after="0" w:line="239" w:lineRule="auto"/>
        <w:tabs>
          <w:tab w:leader="none" w:pos="899" w:val="left"/>
        </w:tabs>
        <w:numPr>
          <w:ilvl w:val="1"/>
          <w:numId w:val="109"/>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57" w:lineRule="exact"/>
        <w:rPr>
          <w:rFonts w:ascii="Arial" w:cs="Arial" w:eastAsia="Arial" w:hAnsi="Arial"/>
          <w:sz w:val="14"/>
          <w:szCs w:val="14"/>
          <w:color w:val="auto"/>
        </w:rPr>
      </w:pPr>
    </w:p>
    <w:p>
      <w:pPr>
        <w:ind w:left="700" w:right="220" w:hanging="7"/>
        <w:spacing w:after="0" w:line="239" w:lineRule="auto"/>
        <w:tabs>
          <w:tab w:leader="none" w:pos="936" w:val="left"/>
        </w:tabs>
        <w:numPr>
          <w:ilvl w:val="1"/>
          <w:numId w:val="109"/>
        </w:numPr>
        <w:rPr>
          <w:rFonts w:ascii="Arial" w:cs="Arial" w:eastAsia="Arial" w:hAnsi="Arial"/>
          <w:sz w:val="14"/>
          <w:szCs w:val="14"/>
          <w:color w:val="auto"/>
        </w:rPr>
      </w:pPr>
      <w:r>
        <w:rPr>
          <w:rFonts w:ascii="Arial" w:cs="Arial" w:eastAsia="Arial" w:hAnsi="Arial"/>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8" w:lineRule="exact"/>
        <w:rPr>
          <w:rFonts w:ascii="Arial" w:cs="Arial" w:eastAsia="Arial" w:hAnsi="Arial"/>
          <w:sz w:val="14"/>
          <w:szCs w:val="14"/>
          <w:color w:val="auto"/>
        </w:rPr>
      </w:pPr>
    </w:p>
    <w:p>
      <w:pPr>
        <w:ind w:left="580" w:right="40" w:hanging="1"/>
        <w:spacing w:after="0" w:line="239" w:lineRule="auto"/>
        <w:tabs>
          <w:tab w:leader="none" w:pos="771"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57" w:lineRule="exact"/>
        <w:rPr>
          <w:rFonts w:ascii="Arial" w:cs="Arial" w:eastAsia="Arial" w:hAnsi="Arial"/>
          <w:sz w:val="14"/>
          <w:szCs w:val="14"/>
          <w:color w:val="auto"/>
        </w:rPr>
      </w:pPr>
    </w:p>
    <w:p>
      <w:pPr>
        <w:ind w:left="580" w:right="140" w:hanging="1"/>
        <w:spacing w:after="0" w:line="239" w:lineRule="auto"/>
        <w:tabs>
          <w:tab w:leader="none" w:pos="764"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7" w:lineRule="exact"/>
        <w:rPr>
          <w:rFonts w:ascii="Arial" w:cs="Arial" w:eastAsia="Arial" w:hAnsi="Arial"/>
          <w:sz w:val="14"/>
          <w:szCs w:val="14"/>
          <w:color w:val="auto"/>
        </w:rPr>
      </w:pPr>
    </w:p>
    <w:p>
      <w:pPr>
        <w:ind w:left="760" w:hanging="181"/>
        <w:spacing w:after="0"/>
        <w:tabs>
          <w:tab w:leader="none" w:pos="7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C-9</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580" w:hanging="1"/>
        <w:spacing w:after="0" w:line="270" w:lineRule="auto"/>
        <w:tabs>
          <w:tab w:leader="none" w:pos="764" w:val="left"/>
        </w:tabs>
        <w:numPr>
          <w:ilvl w:val="0"/>
          <w:numId w:val="111"/>
        </w:numPr>
        <w:rPr>
          <w:rFonts w:ascii="Arial" w:cs="Arial" w:eastAsia="Arial" w:hAnsi="Arial"/>
          <w:sz w:val="12"/>
          <w:szCs w:val="12"/>
          <w:color w:val="auto"/>
        </w:rPr>
      </w:pPr>
      <w:r>
        <w:rPr>
          <w:rFonts w:ascii="Arial" w:cs="Arial" w:eastAsia="Arial" w:hAnsi="Arial"/>
          <w:sz w:val="12"/>
          <w:szCs w:val="12"/>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40" w:lineRule="exact"/>
        <w:rPr>
          <w:rFonts w:ascii="Arial" w:cs="Arial" w:eastAsia="Arial" w:hAnsi="Arial"/>
          <w:sz w:val="12"/>
          <w:szCs w:val="12"/>
          <w:color w:val="auto"/>
        </w:rPr>
      </w:pPr>
    </w:p>
    <w:p>
      <w:pPr>
        <w:ind w:left="580" w:hanging="1"/>
        <w:spacing w:after="0" w:line="230" w:lineRule="auto"/>
        <w:tabs>
          <w:tab w:leader="none" w:pos="749"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58" w:lineRule="exact"/>
        <w:rPr>
          <w:rFonts w:ascii="Arial" w:cs="Arial" w:eastAsia="Arial" w:hAnsi="Arial"/>
          <w:sz w:val="14"/>
          <w:szCs w:val="14"/>
          <w:color w:val="auto"/>
        </w:rPr>
      </w:pPr>
    </w:p>
    <w:p>
      <w:pPr>
        <w:ind w:left="860" w:hanging="167"/>
        <w:spacing w:after="0"/>
        <w:tabs>
          <w:tab w:leader="none" w:pos="860" w:val="left"/>
        </w:tabs>
        <w:numPr>
          <w:ilvl w:val="1"/>
          <w:numId w:val="111"/>
        </w:numPr>
        <w:rPr>
          <w:rFonts w:ascii="Arial" w:cs="Arial" w:eastAsia="Arial" w:hAnsi="Arial"/>
          <w:sz w:val="14"/>
          <w:szCs w:val="14"/>
          <w:color w:val="auto"/>
        </w:rPr>
      </w:pPr>
      <w:r>
        <w:rPr>
          <w:rFonts w:ascii="Arial" w:cs="Arial" w:eastAsia="Arial" w:hAnsi="Arial"/>
          <w:sz w:val="14"/>
          <w:szCs w:val="14"/>
          <w:color w:val="auto"/>
        </w:rPr>
        <w:t>any preliminary prospectus or prospectus of the undersigned Registrant relating to the offering required to be filed pursuant to Rule 497 under the Securities Act;</w:t>
      </w:r>
    </w:p>
    <w:p>
      <w:pPr>
        <w:spacing w:after="0" w:line="68" w:lineRule="exact"/>
        <w:rPr>
          <w:rFonts w:ascii="Arial" w:cs="Arial" w:eastAsia="Arial" w:hAnsi="Arial"/>
          <w:sz w:val="14"/>
          <w:szCs w:val="14"/>
          <w:color w:val="auto"/>
        </w:rPr>
      </w:pPr>
    </w:p>
    <w:p>
      <w:pPr>
        <w:ind w:left="700" w:right="100" w:hanging="7"/>
        <w:spacing w:after="0" w:line="239" w:lineRule="auto"/>
        <w:tabs>
          <w:tab w:leader="none" w:pos="899" w:val="left"/>
        </w:tabs>
        <w:numPr>
          <w:ilvl w:val="1"/>
          <w:numId w:val="111"/>
        </w:numPr>
        <w:rPr>
          <w:rFonts w:ascii="Arial" w:cs="Arial" w:eastAsia="Arial" w:hAnsi="Arial"/>
          <w:sz w:val="14"/>
          <w:szCs w:val="14"/>
          <w:color w:val="auto"/>
        </w:rPr>
      </w:pPr>
      <w:r>
        <w:rPr>
          <w:rFonts w:ascii="Arial" w:cs="Arial" w:eastAsia="Arial" w:hAnsi="Arial"/>
          <w:sz w:val="14"/>
          <w:szCs w:val="14"/>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57" w:lineRule="exact"/>
        <w:rPr>
          <w:rFonts w:ascii="Arial" w:cs="Arial" w:eastAsia="Arial" w:hAnsi="Arial"/>
          <w:sz w:val="14"/>
          <w:szCs w:val="14"/>
          <w:color w:val="auto"/>
        </w:rPr>
      </w:pPr>
    </w:p>
    <w:p>
      <w:pPr>
        <w:ind w:left="920" w:hanging="227"/>
        <w:spacing w:after="0"/>
        <w:tabs>
          <w:tab w:leader="none" w:pos="920" w:val="left"/>
        </w:tabs>
        <w:numPr>
          <w:ilvl w:val="1"/>
          <w:numId w:val="111"/>
        </w:numPr>
        <w:rPr>
          <w:rFonts w:ascii="Arial" w:cs="Arial" w:eastAsia="Arial" w:hAnsi="Arial"/>
          <w:sz w:val="14"/>
          <w:szCs w:val="14"/>
          <w:color w:val="auto"/>
        </w:rPr>
      </w:pPr>
      <w:r>
        <w:rPr>
          <w:rFonts w:ascii="Arial" w:cs="Arial" w:eastAsia="Arial" w:hAnsi="Arial"/>
          <w:sz w:val="14"/>
          <w:szCs w:val="14"/>
          <w:color w:val="auto"/>
        </w:rPr>
        <w:t>any other communication that is an offer in the offering made by the undersigned Registrant to the purchaser;</w:t>
      </w:r>
    </w:p>
    <w:p>
      <w:pPr>
        <w:spacing w:after="0" w:line="68" w:lineRule="exact"/>
        <w:rPr>
          <w:rFonts w:ascii="Arial" w:cs="Arial" w:eastAsia="Arial" w:hAnsi="Arial"/>
          <w:sz w:val="14"/>
          <w:szCs w:val="14"/>
          <w:color w:val="auto"/>
        </w:rPr>
      </w:pPr>
    </w:p>
    <w:p>
      <w:pPr>
        <w:ind w:left="580" w:right="380" w:hanging="1"/>
        <w:spacing w:after="0" w:line="228" w:lineRule="auto"/>
        <w:tabs>
          <w:tab w:leader="none" w:pos="771"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to file a post-effective amendment to the registration statement, and to suspend any offers or sales pursuant the registration statement until such post-effective amendment has been declared effective under the 1993 Act, in the event the shares of the Registrant are trading below its net asset value and either (a) 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40" w:lineRule="exact"/>
        <w:rPr>
          <w:sz w:val="20"/>
          <w:szCs w:val="20"/>
          <w:color w:val="auto"/>
        </w:rPr>
      </w:pPr>
    </w:p>
    <w:p>
      <w:pPr>
        <w:ind w:left="460"/>
        <w:spacing w:after="0" w:line="233" w:lineRule="auto"/>
        <w:rPr>
          <w:sz w:val="20"/>
          <w:szCs w:val="20"/>
          <w:color w:val="auto"/>
        </w:rPr>
      </w:pPr>
      <w:r>
        <w:rPr>
          <w:rFonts w:ascii="Arial" w:cs="Arial" w:eastAsia="Arial" w:hAnsi="Arial"/>
          <w:sz w:val="14"/>
          <w:szCs w:val="14"/>
          <w:color w:val="auto"/>
        </w:rPr>
        <w:t>(5)(a) that for the purposes of determining any liability under the Securities Act of 1933, the information omitted from the form of prospectus filed as part of a registration statement in reliance upon Rule 430A and contained in the form of prospectus filed by the Registrant under Rule 497(h) under the Securities Act of 1933 shall be deemed to be part of the Registration Statement as of the time it was declared effective and</w:t>
      </w:r>
    </w:p>
    <w:p>
      <w:pPr>
        <w:spacing w:after="0" w:line="58" w:lineRule="exact"/>
        <w:rPr>
          <w:sz w:val="20"/>
          <w:szCs w:val="20"/>
          <w:color w:val="auto"/>
        </w:rPr>
      </w:pPr>
    </w:p>
    <w:p>
      <w:pPr>
        <w:ind w:left="580" w:right="460" w:hanging="1"/>
        <w:spacing w:after="0" w:line="318" w:lineRule="auto"/>
        <w:tabs>
          <w:tab w:leader="none" w:pos="771" w:val="left"/>
        </w:tabs>
        <w:numPr>
          <w:ilvl w:val="1"/>
          <w:numId w:val="112"/>
        </w:numPr>
        <w:rPr>
          <w:rFonts w:ascii="Arial" w:cs="Arial" w:eastAsia="Arial" w:hAnsi="Arial"/>
          <w:sz w:val="12"/>
          <w:szCs w:val="12"/>
          <w:color w:val="auto"/>
        </w:rPr>
      </w:pPr>
      <w:r>
        <w:rPr>
          <w:rFonts w:ascii="Arial" w:cs="Arial" w:eastAsia="Arial" w:hAnsi="Arial"/>
          <w:sz w:val="12"/>
          <w:szCs w:val="12"/>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93" w:lineRule="exact"/>
        <w:rPr>
          <w:rFonts w:ascii="Arial" w:cs="Arial" w:eastAsia="Arial" w:hAnsi="Arial"/>
          <w:sz w:val="12"/>
          <w:szCs w:val="12"/>
          <w:color w:val="auto"/>
        </w:rPr>
      </w:pPr>
    </w:p>
    <w:p>
      <w:pPr>
        <w:ind w:left="660" w:hanging="196"/>
        <w:spacing w:after="0"/>
        <w:tabs>
          <w:tab w:leader="none" w:pos="6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49" w:lineRule="exact"/>
        <w:rPr>
          <w:rFonts w:ascii="Arial" w:cs="Arial" w:eastAsia="Arial" w:hAnsi="Arial"/>
          <w:sz w:val="14"/>
          <w:szCs w:val="14"/>
          <w:color w:val="auto"/>
        </w:rPr>
      </w:pPr>
    </w:p>
    <w:p>
      <w:pPr>
        <w:ind w:left="460" w:right="80" w:firstLine="4"/>
        <w:spacing w:after="0" w:line="228" w:lineRule="auto"/>
        <w:tabs>
          <w:tab w:leader="none" w:pos="651"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net asset value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C-10</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00" w:firstLine="342"/>
        <w:spacing w:after="0" w:line="239" w:lineRule="auto"/>
        <w:rPr>
          <w:sz w:val="20"/>
          <w:szCs w:val="20"/>
          <w:color w:val="auto"/>
        </w:rPr>
      </w:pPr>
      <w:r>
        <w:rPr>
          <w:rFonts w:ascii="Arial" w:cs="Arial" w:eastAsia="Arial" w:hAnsi="Arial"/>
          <w:sz w:val="14"/>
          <w:szCs w:val="14"/>
          <w:color w:val="auto"/>
        </w:rPr>
        <w:t>Pursuant to the requirements of the Securities Act of 1933, the Registrant has duly caused this Pre-Effective Amendment No. 3 to the Registration Statement on Form N-2 to be signed on its behalf by the undersigned, thereunto duly authorized, in the City of New York, and State of New York, on the 25th day of July 2012.</w:t>
      </w:r>
    </w:p>
    <w:p>
      <w:pPr>
        <w:spacing w:after="0" w:line="17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  Arthur H. Penn</w:t>
            </w:r>
          </w:p>
        </w:tc>
      </w:tr>
      <w:tr>
        <w:trPr>
          <w:trHeight w:val="169"/>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H. Penn</w:t>
            </w:r>
          </w:p>
        </w:tc>
      </w:tr>
      <w:tr>
        <w:trPr>
          <w:trHeight w:val="204"/>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w:t>
            </w:r>
          </w:p>
        </w:tc>
      </w:tr>
      <w:tr>
        <w:trPr>
          <w:trHeight w:val="174"/>
        </w:trPr>
        <w:tc>
          <w:tcPr>
            <w:tcW w:w="42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Board</w:t>
            </w:r>
          </w:p>
        </w:tc>
      </w:tr>
    </w:tbl>
    <w:p>
      <w:pPr>
        <w:spacing w:after="0" w:line="152" w:lineRule="exact"/>
        <w:rPr>
          <w:sz w:val="20"/>
          <w:szCs w:val="20"/>
          <w:color w:val="auto"/>
        </w:rPr>
      </w:pPr>
    </w:p>
    <w:p>
      <w:pPr>
        <w:ind w:right="100" w:firstLine="342"/>
        <w:spacing w:after="0" w:line="239" w:lineRule="auto"/>
        <w:rPr>
          <w:sz w:val="20"/>
          <w:szCs w:val="20"/>
          <w:color w:val="auto"/>
        </w:rPr>
      </w:pPr>
      <w:r>
        <w:rPr>
          <w:rFonts w:ascii="Arial" w:cs="Arial" w:eastAsia="Arial" w:hAnsi="Arial"/>
          <w:sz w:val="14"/>
          <w:szCs w:val="14"/>
          <w:color w:val="auto"/>
        </w:rPr>
        <w:t>Pursuant to the requirements of the Securities Act of 1933, this Pre-Effective Amendment No. 1 to the Registration Statement has been signed by the following persons in the capacities set forth below on the 25th day of July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tcPr>
          <w:p>
            <w:pPr>
              <w:jc w:val="center"/>
              <w:ind w:right="2140"/>
              <w:spacing w:after="0"/>
              <w:rPr>
                <w:sz w:val="20"/>
                <w:szCs w:val="20"/>
                <w:color w:val="auto"/>
              </w:rPr>
            </w:pPr>
            <w:r>
              <w:rPr>
                <w:rFonts w:ascii="Arial" w:cs="Arial" w:eastAsia="Arial" w:hAnsi="Arial"/>
                <w:sz w:val="14"/>
                <w:szCs w:val="14"/>
                <w:b w:val="1"/>
                <w:bCs w:val="1"/>
                <w:color w:val="auto"/>
                <w:w w:val="89"/>
              </w:rPr>
              <w:t>Name</w:t>
            </w:r>
          </w:p>
        </w:tc>
        <w:tc>
          <w:tcPr>
            <w:tcW w:w="80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331"/>
        </w:trPr>
        <w:tc>
          <w:tcPr>
            <w:tcW w:w="6060" w:type="dxa"/>
            <w:vAlign w:val="bottom"/>
            <w:gridSpan w:val="8"/>
          </w:tcPr>
          <w:p>
            <w:pPr>
              <w:ind w:left="1940"/>
              <w:spacing w:after="0"/>
              <w:rPr>
                <w:sz w:val="20"/>
                <w:szCs w:val="20"/>
                <w:color w:val="auto"/>
              </w:rPr>
            </w:pPr>
            <w:r>
              <w:rPr>
                <w:rFonts w:ascii="Arial" w:cs="Arial" w:eastAsia="Arial" w:hAnsi="Arial"/>
                <w:sz w:val="14"/>
                <w:szCs w:val="14"/>
                <w:color w:val="auto"/>
              </w:rPr>
              <w:t>/S/  Arthur H. Penn</w:t>
            </w: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Chairman of the Board of Directors and Chief Executive Officer (Principal Executive Officer)</w:t>
            </w:r>
          </w:p>
        </w:tc>
      </w:tr>
      <w:tr>
        <w:trPr>
          <w:trHeight w:val="168"/>
        </w:trPr>
        <w:tc>
          <w:tcPr>
            <w:tcW w:w="19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3"/>
              </w:rPr>
              <w:t>Arthur H. Penn</w:t>
            </w:r>
          </w:p>
        </w:tc>
        <w:tc>
          <w:tcPr>
            <w:tcW w:w="2740" w:type="dxa"/>
            <w:vAlign w:val="bottom"/>
            <w:gridSpan w:val="2"/>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gridSpan w:val="5"/>
          </w:tcPr>
          <w:p>
            <w:pPr>
              <w:spacing w:after="0"/>
              <w:rPr>
                <w:sz w:val="20"/>
                <w:szCs w:val="20"/>
                <w:color w:val="auto"/>
              </w:rPr>
            </w:pPr>
            <w:r>
              <w:rPr>
                <w:rFonts w:ascii="Arial" w:cs="Arial" w:eastAsia="Arial" w:hAnsi="Arial"/>
                <w:sz w:val="14"/>
                <w:szCs w:val="14"/>
                <w:color w:val="auto"/>
              </w:rPr>
              <w:t>/S/  Aviv Efrat</w:t>
            </w: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Chief Financial Officer and Treasurer (Principal Financial and Accounting Officer)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Aviv Efrat</w:t>
            </w:r>
          </w:p>
        </w:tc>
        <w:tc>
          <w:tcPr>
            <w:tcW w:w="100" w:type="dxa"/>
            <w:vAlign w:val="bottom"/>
          </w:tcPr>
          <w:p>
            <w:pPr>
              <w:spacing w:after="0"/>
              <w:rPr>
                <w:sz w:val="14"/>
                <w:szCs w:val="14"/>
                <w:color w:val="auto"/>
              </w:rPr>
            </w:pP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3120" w:type="dxa"/>
            <w:vAlign w:val="bottom"/>
            <w:gridSpan w:val="4"/>
          </w:tcPr>
          <w:p>
            <w:pPr>
              <w:jc w:val="center"/>
              <w:ind w:left="20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Adam K. Bernstein</w:t>
            </w: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3120" w:type="dxa"/>
            <w:vAlign w:val="bottom"/>
            <w:gridSpan w:val="4"/>
          </w:tcPr>
          <w:p>
            <w:pPr>
              <w:jc w:val="center"/>
              <w:ind w:left="20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8"/>
              </w:rPr>
              <w:t>Jeffrey Flug</w:t>
            </w: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3120" w:type="dxa"/>
            <w:vAlign w:val="bottom"/>
            <w:gridSpan w:val="4"/>
          </w:tcPr>
          <w:p>
            <w:pPr>
              <w:jc w:val="center"/>
              <w:ind w:left="20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Marshall Brozost</w:t>
            </w: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3120" w:type="dxa"/>
            <w:vAlign w:val="bottom"/>
            <w:gridSpan w:val="4"/>
          </w:tcPr>
          <w:p>
            <w:pPr>
              <w:jc w:val="center"/>
              <w:ind w:left="20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Samuel L. Katz</w:t>
            </w:r>
          </w:p>
        </w:tc>
        <w:tc>
          <w:tcPr>
            <w:tcW w:w="2840" w:type="dxa"/>
            <w:vAlign w:val="bottom"/>
            <w:gridSpan w:val="3"/>
          </w:tcPr>
          <w:p>
            <w:pPr>
              <w:spacing w:after="0"/>
              <w:rPr>
                <w:sz w:val="14"/>
                <w:szCs w:val="14"/>
                <w:color w:val="auto"/>
              </w:rPr>
            </w:pPr>
          </w:p>
        </w:tc>
        <w:tc>
          <w:tcPr>
            <w:tcW w:w="5360" w:type="dxa"/>
            <w:vAlign w:val="bottom"/>
          </w:tcPr>
          <w:p>
            <w:pPr>
              <w:spacing w:after="0"/>
              <w:rPr>
                <w:sz w:val="14"/>
                <w:szCs w:val="14"/>
                <w:color w:val="auto"/>
              </w:rPr>
            </w:pPr>
          </w:p>
        </w:tc>
      </w:tr>
    </w:tbl>
    <w:p>
      <w:pPr>
        <w:spacing w:after="0" w:line="180" w:lineRule="exact"/>
        <w:rPr>
          <w:sz w:val="20"/>
          <w:szCs w:val="20"/>
          <w:color w:val="auto"/>
        </w:rPr>
      </w:pPr>
    </w:p>
    <w:p>
      <w:pPr>
        <w:ind w:left="5580" w:right="4460" w:hanging="5572"/>
        <w:spacing w:after="0" w:line="459" w:lineRule="auto"/>
        <w:tabs>
          <w:tab w:leader="none" w:pos="115" w:val="left"/>
        </w:tabs>
        <w:numPr>
          <w:ilvl w:val="0"/>
          <w:numId w:val="114"/>
        </w:numPr>
        <w:rPr>
          <w:rFonts w:ascii="Arial" w:cs="Arial" w:eastAsia="Arial" w:hAnsi="Arial"/>
          <w:sz w:val="14"/>
          <w:szCs w:val="14"/>
          <w:color w:val="auto"/>
        </w:rPr>
      </w:pPr>
      <w:r>
        <w:rPr>
          <w:rFonts w:ascii="Arial" w:cs="Arial" w:eastAsia="Arial" w:hAnsi="Arial"/>
          <w:sz w:val="14"/>
          <w:szCs w:val="14"/>
          <w:color w:val="auto"/>
        </w:rPr>
        <w:t>Signed by Aviv Efrat on behalf of those identified pursuant to his designation as an attorney-in-fact signed on March 14, 2012. C-11</w:t>
      </w:r>
    </w:p>
    <w:p>
      <w:pPr>
        <w:sectPr>
          <w:pgSz w:w="11900" w:h="16838" w:orient="portrait"/>
          <w:cols w:equalWidth="0" w:num="1">
            <w:col w:w="11420"/>
          </w:cols>
          <w:pgMar w:left="240" w:top="460"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(n)(1)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38" w:lineRule="exact"/>
        <w:rPr>
          <w:sz w:val="20"/>
          <w:szCs w:val="20"/>
          <w:color w:val="auto"/>
        </w:rPr>
      </w:pPr>
    </w:p>
    <w:p>
      <w:pPr>
        <w:ind w:right="480"/>
        <w:spacing w:after="0" w:line="318" w:lineRule="auto"/>
        <w:rPr>
          <w:sz w:val="20"/>
          <w:szCs w:val="20"/>
          <w:color w:val="auto"/>
        </w:rPr>
      </w:pPr>
      <w:r>
        <w:rPr>
          <w:rFonts w:ascii="Arial" w:cs="Arial" w:eastAsia="Arial" w:hAnsi="Arial"/>
          <w:sz w:val="12"/>
          <w:szCs w:val="12"/>
          <w:color w:val="auto"/>
        </w:rPr>
        <w:t>We consent to the use of our report dated November 17, 2011 for PennantPark Floating Rate Capital Ltd. and its Subsidiary included herein and to the references to our firm under the headings “Selected Financial Data”, “Senior Securities”, and “Independent Registered Public Accounting Firm” in the Pre-Effective Amendment No. 3 to the Registration Statement on Form 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534795" cy="3517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53479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July 25, 2012</w:t>
      </w:r>
    </w:p>
    <w:p>
      <w:pPr>
        <w:sectPr>
          <w:pgSz w:w="11900" w:h="16838" w:orient="portrait"/>
          <w:cols w:equalWidth="0" w:num="1">
            <w:col w:w="11420"/>
          </w:cols>
          <w:pgMar w:left="240" w:top="125"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(n)(2)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Awareness Letter of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Shareholders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Re: Pre-Effective Amendment No. 3 Shelf Registration Statement and Investment Company Act of 1940 File No. 814-00891.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With respect to the subject registration statement, we acknowledge our awareness of the use therein of our report dated May 3, 2012 related to our review of interim financial information.</w:t>
      </w:r>
    </w:p>
    <w:p>
      <w:pPr>
        <w:spacing w:after="0" w:line="173" w:lineRule="exact"/>
        <w:rPr>
          <w:sz w:val="20"/>
          <w:szCs w:val="20"/>
          <w:color w:val="auto"/>
        </w:rPr>
      </w:pPr>
    </w:p>
    <w:p>
      <w:pPr>
        <w:ind w:right="280"/>
        <w:spacing w:after="0" w:line="239" w:lineRule="auto"/>
        <w:rPr>
          <w:sz w:val="20"/>
          <w:szCs w:val="20"/>
          <w:color w:val="auto"/>
        </w:rPr>
      </w:pPr>
      <w:r>
        <w:rPr>
          <w:rFonts w:ascii="Arial" w:cs="Arial" w:eastAsia="Arial" w:hAnsi="Arial"/>
          <w:sz w:val="14"/>
          <w:szCs w:val="14"/>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534795" cy="3517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53479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July 25,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1)"/>
      <w:numFmt w:val="decimal"/>
      <w:start w:val="1"/>
    </w:lvl>
  </w:abstractNum>
  <w:abstractNum w:abstractNumId="3">
    <w:nsid w:val="354FE9F9"/>
    <w:multiLevelType w:val="hybridMultilevel"/>
    <w:lvl w:ilvl="0">
      <w:lvlJc w:val="left"/>
      <w:lvlText w:val="(%1)"/>
      <w:numFmt w:val="decimal"/>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1)"/>
      <w:numFmt w:val="decimal"/>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1)"/>
      <w:numFmt w:val="decimal"/>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1)"/>
      <w:numFmt w:val="decimal"/>
      <w:start w:val="1"/>
    </w:lvl>
  </w:abstractNum>
  <w:abstractNum w:abstractNumId="15">
    <w:nsid w:val="2F305DEF"/>
    <w:multiLevelType w:val="hybridMultilevel"/>
    <w:lvl w:ilvl="0">
      <w:lvlJc w:val="left"/>
      <w:lvlText w:val="(%1)"/>
      <w:numFmt w:val="decimal"/>
      <w:start w:val="1"/>
    </w:lvl>
  </w:abstractNum>
  <w:abstractNum w:abstractNumId="16">
    <w:nsid w:val="25A70BF7"/>
    <w:multiLevelType w:val="hybridMultilevel"/>
    <w:lvl w:ilvl="0">
      <w:lvlJc w:val="left"/>
      <w:lvlText w:val="%1."/>
      <w:numFmt w:val="decimal"/>
      <w:start w:val="820"/>
    </w:lvl>
  </w:abstractNum>
  <w:abstractNum w:abstractNumId="17">
    <w:nsid w:val="1DBABF00"/>
    <w:multiLevelType w:val="hybridMultilevel"/>
    <w:lvl w:ilvl="0">
      <w:lvlJc w:val="left"/>
      <w:lvlText w:val="(%1)"/>
      <w:numFmt w:val="decimal"/>
      <w:start w:val="1"/>
    </w:lvl>
  </w:abstractNum>
  <w:abstractNum w:abstractNumId="18">
    <w:nsid w:val="4AD084E9"/>
    <w:multiLevelType w:val="hybridMultilevel"/>
    <w:lvl w:ilvl="0">
      <w:lvlJc w:val="left"/>
      <w:lvlText w:val="(%1)"/>
      <w:numFmt w:val="decimal"/>
      <w:start w:val="1"/>
    </w:lvl>
  </w:abstractNum>
  <w:abstractNum w:abstractNumId="19">
    <w:nsid w:val="1F48EAA1"/>
    <w:multiLevelType w:val="hybridMultilevel"/>
    <w:lvl w:ilvl="0">
      <w:lvlJc w:val="left"/>
      <w:lvlText w:val="(%1)"/>
      <w:numFmt w:val="decimal"/>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1)"/>
      <w:numFmt w:val="decimal"/>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1)"/>
      <w:numFmt w:val="decimal"/>
      <w:start w:val="4"/>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1)"/>
      <w:numFmt w:val="decimal"/>
      <w:start w:val="3"/>
    </w:lvl>
  </w:abstractNum>
  <w:abstractNum w:abstractNumId="31">
    <w:nsid w:val="1EBA5D23"/>
    <w:multiLevelType w:val="hybridMultilevel"/>
    <w:lvl w:ilvl="0">
      <w:lvlJc w:val="left"/>
      <w:lvlText w:val="(%1)"/>
      <w:numFmt w:val="decimal"/>
      <w:start w:val="1"/>
    </w:lvl>
  </w:abstractNum>
  <w:abstractNum w:abstractNumId="32">
    <w:nsid w:val="661E3F1E"/>
    <w:multiLevelType w:val="hybridMultilevel"/>
    <w:lvl w:ilvl="0">
      <w:lvlJc w:val="left"/>
      <w:lvlText w:val="(%1)"/>
      <w:numFmt w:val="decimal"/>
      <w:start w:val="1"/>
    </w:lvl>
  </w:abstractNum>
  <w:abstractNum w:abstractNumId="33">
    <w:nsid w:val="5DC79EA8"/>
    <w:multiLevelType w:val="hybridMultilevel"/>
    <w:lvl w:ilvl="0">
      <w:lvlJc w:val="left"/>
      <w:lvlText w:val="(%1)"/>
      <w:numFmt w:val="decimal"/>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1)"/>
      <w:numFmt w:val="decimal"/>
      <w:start w:val="1"/>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1)"/>
      <w:numFmt w:val="decimal"/>
      <w:start w:val="1"/>
    </w:lvl>
  </w:abstractNum>
  <w:abstractNum w:abstractNumId="41">
    <w:nsid w:val="A0382C5"/>
    <w:multiLevelType w:val="hybridMultilevel"/>
    <w:lvl w:ilvl="0">
      <w:lvlJc w:val="left"/>
      <w:lvlText w:val="(%1)"/>
      <w:numFmt w:val="decimal"/>
      <w:start w:val="1"/>
    </w:lvl>
  </w:abstractNum>
  <w:abstractNum w:abstractNumId="42">
    <w:nsid w:val="8F2B15E"/>
    <w:multiLevelType w:val="hybridMultilevel"/>
    <w:lvl w:ilvl="0">
      <w:lvlJc w:val="left"/>
      <w:lvlText w:val="(%1)"/>
      <w:numFmt w:val="decimal"/>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1)"/>
      <w:numFmt w:val="lowerLetter"/>
      <w:start w:val="3"/>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
      <w:numFmt w:val="bullet"/>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
      <w:numFmt w:val="bullet"/>
      <w:start w:val="1"/>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
      <w:numFmt w:val="bullet"/>
      <w:start w:val="1"/>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
      <w:numFmt w:val="bullet"/>
      <w:start w:val="1"/>
    </w:lvl>
  </w:abstractNum>
  <w:abstractNum w:abstractNumId="62">
    <w:nsid w:val="14E17E33"/>
    <w:multiLevelType w:val="hybridMultilevel"/>
    <w:lvl w:ilvl="0">
      <w:lvlJc w:val="left"/>
      <w:lvlText w:val="•"/>
      <w:numFmt w:val="bullet"/>
      <w:start w:val="1"/>
    </w:lvl>
  </w:abstractNum>
  <w:abstractNum w:abstractNumId="63">
    <w:nsid w:val="3222E7CD"/>
    <w:multiLevelType w:val="hybridMultilevel"/>
    <w:lvl w:ilvl="0">
      <w:lvlJc w:val="left"/>
      <w:lvlText w:val="•"/>
      <w:numFmt w:val="bullet"/>
      <w:start w:val="1"/>
    </w:lvl>
  </w:abstractNum>
  <w:abstractNum w:abstractNumId="64">
    <w:nsid w:val="74DE0EE3"/>
    <w:multiLevelType w:val="hybridMultilevel"/>
    <w:lvl w:ilvl="0">
      <w:lvlJc w:val="left"/>
      <w:lvlText w:val="•"/>
      <w:numFmt w:val="bullet"/>
      <w:start w:val="1"/>
    </w:lvl>
  </w:abstractNum>
  <w:abstractNum w:abstractNumId="65">
    <w:nsid w:val="68EBC550"/>
    <w:multiLevelType w:val="hybridMultilevel"/>
    <w:lvl w:ilvl="0">
      <w:lvlJc w:val="left"/>
      <w:lvlText w:val="(%1)"/>
      <w:numFmt w:val="decimal"/>
      <w:start w:val="1"/>
    </w:lvl>
    <w:lvl w:ilvl="1">
      <w:lvlJc w:val="left"/>
      <w:lvlText w:val="(%2)"/>
      <w:numFmt w:val="lowerLetter"/>
      <w:start w:val="1"/>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
      <w:numFmt w:val="bullet"/>
      <w:start w:val="1"/>
    </w:lvl>
    <w:lvl w:ilvl="1">
      <w:lvlJc w:val="left"/>
      <w:lvlText w:val="%2)"/>
      <w:numFmt w:val="decimal"/>
      <w:start w:val="1"/>
    </w:lvl>
  </w:abstractNum>
  <w:abstractNum w:abstractNumId="69">
    <w:nsid w:val="39EE015C"/>
    <w:multiLevelType w:val="hybridMultilevel"/>
    <w:lvl w:ilvl="0">
      <w:lvlJc w:val="left"/>
      <w:lvlText w:val="•"/>
      <w:numFmt w:val="bullet"/>
      <w:start w:val="1"/>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
      <w:numFmt w:val="bullet"/>
      <w:start w:val="1"/>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
      <w:numFmt w:val="bullet"/>
      <w:start w:val="1"/>
    </w:lvl>
  </w:abstractNum>
  <w:abstractNum w:abstractNumId="76">
    <w:nsid w:val="49DA307D"/>
    <w:multiLevelType w:val="hybridMultilevel"/>
    <w:lvl w:ilvl="0">
      <w:lvlJc w:val="left"/>
      <w:lvlText w:val="(%1)"/>
      <w:numFmt w:val="decimal"/>
      <w:start w:val="1"/>
    </w:lvl>
  </w:abstractNum>
  <w:abstractNum w:abstractNumId="77">
    <w:nsid w:val="7055A5F5"/>
    <w:multiLevelType w:val="hybridMultilevel"/>
    <w:lvl w:ilvl="0">
      <w:lvlJc w:val="left"/>
      <w:lvlText w:val="(%1)"/>
      <w:numFmt w:val="decimal"/>
      <w:start w:val="1"/>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
      <w:numFmt w:val="bullet"/>
      <w:start w:val="1"/>
    </w:lvl>
  </w:abstractNum>
  <w:abstractNum w:abstractNumId="80">
    <w:nsid w:val="488AC1A"/>
    <w:multiLevelType w:val="hybridMultilevel"/>
    <w:lvl w:ilvl="0">
      <w:lvlJc w:val="left"/>
      <w:lvlText w:val="$"/>
      <w:numFmt w:val="bullet"/>
      <w:start w:val="1"/>
    </w:lvl>
  </w:abstractNum>
  <w:abstractNum w:abstractNumId="81">
    <w:nsid w:val="5FB8011C"/>
    <w:multiLevelType w:val="hybridMultilevel"/>
    <w:lvl w:ilvl="0">
      <w:lvlJc w:val="left"/>
      <w:lvlText w:val="*"/>
      <w:numFmt w:val="bullet"/>
      <w:start w:val="1"/>
    </w:lvl>
  </w:abstractNum>
  <w:abstractNum w:abstractNumId="82">
    <w:nsid w:val="6AA78F7F"/>
    <w:multiLevelType w:val="hybridMultilevel"/>
    <w:lvl w:ilvl="0">
      <w:lvlJc w:val="left"/>
      <w:lvlText w:val="**"/>
      <w:numFmt w:val="bullet"/>
      <w:start w:val="1"/>
    </w:lvl>
  </w:abstractNum>
  <w:abstractNum w:abstractNumId="83">
    <w:nsid w:val="7672BD23"/>
    <w:multiLevelType w:val="hybridMultilevel"/>
    <w:lvl w:ilvl="0">
      <w:lvlJc w:val="left"/>
      <w:lvlText w:val="(%1)"/>
      <w:numFmt w:val="decimal"/>
      <w:start w:val="1"/>
    </w:lvl>
  </w:abstractNum>
  <w:abstractNum w:abstractNumId="84">
    <w:nsid w:val="6FC75AF8"/>
    <w:multiLevelType w:val="hybridMultilevel"/>
    <w:lvl w:ilvl="0">
      <w:lvlJc w:val="left"/>
      <w:lvlText w:val="$"/>
      <w:numFmt w:val="bullet"/>
      <w:start w:val="1"/>
    </w:lvl>
  </w:abstractNum>
  <w:abstractNum w:abstractNumId="85">
    <w:nsid w:val="6A5F7029"/>
    <w:multiLevelType w:val="hybridMultilevel"/>
    <w:lvl w:ilvl="0">
      <w:lvlJc w:val="left"/>
      <w:lvlText w:val="(%1)"/>
      <w:numFmt w:val="decimal"/>
      <w:start w:val="1"/>
    </w:lvl>
  </w:abstractNum>
  <w:abstractNum w:abstractNumId="86">
    <w:nsid w:val="7D5E18F8"/>
    <w:multiLevelType w:val="hybridMultilevel"/>
    <w:lvl w:ilvl="0">
      <w:lvlJc w:val="left"/>
      <w:lvlText w:val="(%1)"/>
      <w:numFmt w:val="decimal"/>
      <w:start w:val="1"/>
    </w:lvl>
  </w:abstractNum>
  <w:abstractNum w:abstractNumId="87">
    <w:nsid w:val="5F3534A4"/>
    <w:multiLevelType w:val="hybridMultilevel"/>
    <w:lvl w:ilvl="0">
      <w:lvlJc w:val="left"/>
      <w:lvlText w:val="(%1)"/>
      <w:numFmt w:val="decimal"/>
      <w:start w:val="1"/>
    </w:lvl>
  </w:abstractNum>
  <w:abstractNum w:abstractNumId="88">
    <w:nsid w:val="73A1821B"/>
    <w:multiLevelType w:val="hybridMultilevel"/>
    <w:lvl w:ilvl="0">
      <w:lvlJc w:val="left"/>
      <w:lvlText w:val="(%1)"/>
      <w:numFmt w:val="decimal"/>
      <w:start w:val="1"/>
    </w:lvl>
  </w:abstractNum>
  <w:abstractNum w:abstractNumId="89">
    <w:nsid w:val="7DE67713"/>
    <w:multiLevelType w:val="hybridMultilevel"/>
    <w:lvl w:ilvl="0">
      <w:lvlJc w:val="left"/>
      <w:lvlText w:val="*"/>
      <w:numFmt w:val="bullet"/>
      <w:start w:val="1"/>
    </w:lvl>
  </w:abstractNum>
  <w:abstractNum w:abstractNumId="90">
    <w:nsid w:val="555C55B5"/>
    <w:multiLevelType w:val="hybridMultilevel"/>
    <w:lvl w:ilvl="0">
      <w:lvlJc w:val="left"/>
      <w:lvlText w:val="1"/>
      <w:numFmt w:val="bullet"/>
      <w:start w:val="1"/>
    </w:lvl>
  </w:abstractNum>
  <w:abstractNum w:abstractNumId="91">
    <w:nsid w:val="3FA62ACA"/>
    <w:multiLevelType w:val="hybridMultilevel"/>
    <w:lvl w:ilvl="0">
      <w:lvlJc w:val="left"/>
      <w:lvlText w:val="2"/>
      <w:numFmt w:val="bullet"/>
      <w:start w:val="1"/>
    </w:lvl>
  </w:abstractNum>
  <w:abstractNum w:abstractNumId="92">
    <w:nsid w:val="14FCE74E"/>
    <w:multiLevelType w:val="hybridMultilevel"/>
    <w:lvl w:ilvl="0">
      <w:lvlJc w:val="left"/>
      <w:lvlText w:val="(%1)"/>
      <w:numFmt w:val="lowerLetter"/>
      <w:start w:val="1"/>
    </w:lvl>
  </w:abstractNum>
  <w:abstractNum w:abstractNumId="93">
    <w:nsid w:val="6A3DD3E8"/>
    <w:multiLevelType w:val="hybridMultilevel"/>
    <w:lvl w:ilvl="0">
      <w:lvlJc w:val="left"/>
      <w:lvlText w:val="(%1)"/>
      <w:numFmt w:val="lowerLetter"/>
      <w:start w:val="5"/>
    </w:lvl>
  </w:abstractNum>
  <w:abstractNum w:abstractNumId="94">
    <w:nsid w:val="71C91298"/>
    <w:multiLevelType w:val="hybridMultilevel"/>
    <w:lvl w:ilvl="0">
      <w:lvlJc w:val="left"/>
      <w:lvlText w:val="(%1)"/>
      <w:numFmt w:val="lowerLetter"/>
      <w:start w:val="7"/>
    </w:lvl>
  </w:abstractNum>
  <w:abstractNum w:abstractNumId="95">
    <w:nsid w:val="9DAF632"/>
    <w:multiLevelType w:val="hybridMultilevel"/>
    <w:lvl w:ilvl="0">
      <w:lvlJc w:val="left"/>
      <w:lvlText w:val="(%1)"/>
      <w:numFmt w:val="lowerLetter"/>
      <w:start w:val="10"/>
    </w:lvl>
  </w:abstractNum>
  <w:abstractNum w:abstractNumId="96">
    <w:nsid w:val="53299938"/>
    <w:multiLevelType w:val="hybridMultilevel"/>
    <w:lvl w:ilvl="0">
      <w:lvlJc w:val="left"/>
      <w:lvlText w:val="2"/>
      <w:numFmt w:val="bullet"/>
      <w:start w:val="1"/>
    </w:lvl>
  </w:abstractNum>
  <w:abstractNum w:abstractNumId="97">
    <w:nsid w:val="1FBFE8E0"/>
    <w:multiLevelType w:val="hybridMultilevel"/>
    <w:lvl w:ilvl="0">
      <w:lvlJc w:val="left"/>
      <w:lvlText w:val="*"/>
      <w:numFmt w:val="bullet"/>
      <w:start w:val="1"/>
    </w:lvl>
  </w:abstractNum>
  <w:abstractNum w:abstractNumId="98">
    <w:nsid w:val="5092CA79"/>
    <w:multiLevelType w:val="hybridMultilevel"/>
    <w:lvl w:ilvl="0">
      <w:lvlJc w:val="left"/>
      <w:lvlText w:val="**"/>
      <w:numFmt w:val="bullet"/>
      <w:start w:val="1"/>
    </w:lvl>
  </w:abstractNum>
  <w:abstractNum w:abstractNumId="99">
    <w:nsid w:val="1D545C4D"/>
    <w:multiLevelType w:val="hybridMultilevel"/>
    <w:lvl w:ilvl="0">
      <w:lvlJc w:val="left"/>
      <w:lvlText w:val="$"/>
      <w:numFmt w:val="bullet"/>
      <w:start w:val="1"/>
    </w:lvl>
  </w:abstractNum>
  <w:abstractNum w:abstractNumId="100">
    <w:nsid w:val="59ADEA3D"/>
    <w:multiLevelType w:val="hybridMultilevel"/>
    <w:lvl w:ilvl="0">
      <w:lvlJc w:val="left"/>
      <w:lvlText w:val="$"/>
      <w:numFmt w:val="bullet"/>
      <w:start w:val="1"/>
    </w:lvl>
  </w:abstractNum>
  <w:abstractNum w:abstractNumId="101">
    <w:nsid w:val="288F1A34"/>
    <w:multiLevelType w:val="hybridMultilevel"/>
    <w:lvl w:ilvl="0">
      <w:lvlJc w:val="left"/>
      <w:lvlText w:val="$"/>
      <w:numFmt w:val="bullet"/>
      <w:start w:val="1"/>
    </w:lvl>
  </w:abstractNum>
  <w:abstractNum w:abstractNumId="102">
    <w:nsid w:val="2A155DBC"/>
    <w:multiLevelType w:val="hybridMultilevel"/>
    <w:lvl w:ilvl="0">
      <w:lvlJc w:val="left"/>
      <w:lvlText w:val="$"/>
      <w:numFmt w:val="bullet"/>
      <w:start w:val="1"/>
    </w:lvl>
  </w:abstractNum>
  <w:abstractNum w:abstractNumId="103">
    <w:nsid w:val="1D9F6E5F"/>
    <w:multiLevelType w:val="hybridMultilevel"/>
    <w:lvl w:ilvl="0">
      <w:lvlJc w:val="left"/>
      <w:lvlText w:val="$"/>
      <w:numFmt w:val="bullet"/>
      <w:start w:val="1"/>
    </w:lvl>
  </w:abstractNum>
  <w:abstractNum w:abstractNumId="104">
    <w:nsid w:val="97E1B4E"/>
    <w:multiLevelType w:val="hybridMultilevel"/>
    <w:lvl w:ilvl="0">
      <w:lvlJc w:val="left"/>
      <w:lvlText w:val="$"/>
      <w:numFmt w:val="bullet"/>
      <w:start w:val="1"/>
    </w:lvl>
  </w:abstractNum>
  <w:abstractNum w:abstractNumId="105">
    <w:nsid w:val="51088277"/>
    <w:multiLevelType w:val="hybridMultilevel"/>
    <w:lvl w:ilvl="0">
      <w:lvlJc w:val="left"/>
      <w:lvlText w:val="$"/>
      <w:numFmt w:val="bullet"/>
      <w:start w:val="1"/>
    </w:lvl>
  </w:abstractNum>
  <w:abstractNum w:abstractNumId="106">
    <w:nsid w:val="1CA0C5FA"/>
    <w:multiLevelType w:val="hybridMultilevel"/>
    <w:lvl w:ilvl="0">
      <w:lvlJc w:val="left"/>
      <w:lvlText w:val="(%1)"/>
      <w:numFmt w:val="decimal"/>
      <w:start w:val="1"/>
    </w:lvl>
  </w:abstractNum>
  <w:abstractNum w:abstractNumId="107">
    <w:nsid w:val="53584BCB"/>
    <w:multiLevelType w:val="hybridMultilevel"/>
    <w:lvl w:ilvl="0">
      <w:lvlJc w:val="left"/>
      <w:lvlText w:val="(%1)"/>
      <w:numFmt w:val="decimal"/>
      <w:start w:val="1"/>
    </w:lvl>
  </w:abstractNum>
  <w:abstractNum w:abstractNumId="108">
    <w:nsid w:val="415E286C"/>
    <w:multiLevelType w:val="hybridMultilevel"/>
    <w:lvl w:ilvl="0">
      <w:lvlJc w:val="left"/>
      <w:lvlText w:val="%1"/>
      <w:numFmt w:val="lowerLetter"/>
      <w:start w:val="1"/>
    </w:lvl>
    <w:lvl w:ilvl="1">
      <w:lvlJc w:val="left"/>
      <w:lvlText w:val="(%2)"/>
      <w:numFmt w:val="lowerRoman"/>
      <w:start w:val="1"/>
    </w:lvl>
  </w:abstractNum>
  <w:abstractNum w:abstractNumId="109">
    <w:nsid w:val="7C58FD05"/>
    <w:multiLevelType w:val="hybridMultilevel"/>
    <w:lvl w:ilvl="0">
      <w:lvlJc w:val="left"/>
      <w:lvlText w:val="(%1)"/>
      <w:numFmt w:val="lowerLetter"/>
      <w:start w:val="2"/>
    </w:lvl>
    <w:lvl w:ilvl="1">
      <w:lvlJc w:val="left"/>
      <w:lvlText w:val="%2"/>
      <w:numFmt w:val="lowerRoman"/>
      <w:start w:val="1"/>
    </w:lvl>
  </w:abstractNum>
  <w:abstractNum w:abstractNumId="110">
    <w:nsid w:val="23D86AAC"/>
    <w:multiLevelType w:val="hybridMultilevel"/>
    <w:lvl w:ilvl="0">
      <w:lvlJc w:val="left"/>
      <w:lvlText w:val="(%1)"/>
      <w:numFmt w:val="lowerLetter"/>
      <w:start w:val="5"/>
    </w:lvl>
    <w:lvl w:ilvl="1">
      <w:lvlJc w:val="left"/>
      <w:lvlText w:val="(%2)"/>
      <w:numFmt w:val="lowerRoman"/>
      <w:start w:val="1"/>
    </w:lvl>
  </w:abstractNum>
  <w:abstractNum w:abstractNumId="111">
    <w:nsid w:val="45E6D486"/>
    <w:multiLevelType w:val="hybridMultilevel"/>
    <w:lvl w:ilvl="0">
      <w:lvlJc w:val="left"/>
      <w:lvlText w:val="%1"/>
      <w:numFmt w:val="decimal"/>
      <w:start w:val="1"/>
    </w:lvl>
    <w:lvl w:ilvl="1">
      <w:lvlJc w:val="left"/>
      <w:lvlText w:val="(%2)"/>
      <w:numFmt w:val="lowerLetter"/>
      <w:start w:val="2"/>
    </w:lvl>
  </w:abstractNum>
  <w:abstractNum w:abstractNumId="112">
    <w:nsid w:val="5C10FE21"/>
    <w:multiLevelType w:val="hybridMultilevel"/>
    <w:lvl w:ilvl="0">
      <w:lvlJc w:val="left"/>
      <w:lvlText w:val="(%1)"/>
      <w:numFmt w:val="decimal"/>
      <w:start w:val="6"/>
    </w:lvl>
    <w:lvl w:ilvl="1">
      <w:lvlJc w:val="left"/>
      <w:lvlText w:val="%2"/>
      <w:numFmt w:val="lowerLetter"/>
      <w:start w:val="1"/>
    </w:lvl>
  </w:abstractNum>
  <w:abstractNum w:abstractNumId="113">
    <w:nsid w:val="E7FFA2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2019-12-09T20:40:42Z</dcterms:created>
  <dcterms:modified xsi:type="dcterms:W3CDTF">2019-12-09T20:40:42Z</dcterms:modified>
</cp:coreProperties>
</file>