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10-Q/A</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4" w:lineRule="exact"/>
        <w:rPr>
          <w:sz w:val="24"/>
          <w:szCs w:val="24"/>
          <w:color w:val="auto"/>
        </w:rPr>
      </w:pPr>
    </w:p>
    <w:p>
      <w:pPr>
        <w:ind w:left="3580" w:right="1840" w:hanging="3559"/>
        <w:spacing w:after="0" w:line="405" w:lineRule="auto"/>
        <w:tabs>
          <w:tab w:leader="none" w:pos="2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72"/>
        </w:trPr>
        <w:tc>
          <w:tcPr>
            <w:tcW w:w="7400" w:type="dxa"/>
            <w:vAlign w:val="bottom"/>
            <w:gridSpan w:val="2"/>
          </w:tcPr>
          <w:p>
            <w:pPr>
              <w:jc w:val="center"/>
              <w:ind w:left="3741"/>
              <w:spacing w:after="0"/>
              <w:rPr>
                <w:sz w:val="20"/>
                <w:szCs w:val="20"/>
                <w:color w:val="auto"/>
              </w:rPr>
            </w:pPr>
            <w:r>
              <w:rPr>
                <w:rFonts w:ascii="Times New Roman" w:cs="Times New Roman" w:eastAsia="Times New Roman" w:hAnsi="Times New Roman"/>
                <w:sz w:val="18"/>
                <w:szCs w:val="18"/>
                <w:b w:val="1"/>
                <w:bCs w:val="1"/>
                <w:color w:val="auto"/>
              </w:rPr>
              <w:t>COMMISSION FILE NUMBER: 814-00891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68"/>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31"/>
                <w:szCs w:val="31"/>
                <w:b w:val="1"/>
                <w:bCs w:val="1"/>
                <w:color w:val="auto"/>
                <w:w w:val="97"/>
              </w:rPr>
              <w:t>PENNANTPARK FLOATING RATE CAPITAL LTD.</w:t>
            </w: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left="378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840" w:type="dxa"/>
            <w:vAlign w:val="bottom"/>
          </w:tcPr>
          <w:p>
            <w:pPr>
              <w:jc w:val="right"/>
              <w:ind w:right="2270"/>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 or organization)</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(I.R.S. Employer Identification No.)</w:t>
            </w:r>
          </w:p>
        </w:tc>
        <w:tc>
          <w:tcPr>
            <w:tcW w:w="0" w:type="dxa"/>
            <w:vAlign w:val="bottom"/>
          </w:tcPr>
          <w:p>
            <w:pPr>
              <w:spacing w:after="0"/>
              <w:rPr>
                <w:sz w:val="1"/>
                <w:szCs w:val="1"/>
                <w:color w:val="auto"/>
              </w:rPr>
            </w:pPr>
          </w:p>
        </w:tc>
      </w:tr>
      <w:tr>
        <w:trPr>
          <w:trHeight w:val="495"/>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Miami Beach, Florida</w:t>
            </w:r>
          </w:p>
        </w:tc>
        <w:tc>
          <w:tcPr>
            <w:tcW w:w="38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4"/>
                <w:szCs w:val="14"/>
                <w:b w:val="1"/>
                <w:bCs w:val="1"/>
                <w:color w:val="auto"/>
              </w:rPr>
              <w:t>33139</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93"/>
        </w:trPr>
        <w:tc>
          <w:tcPr>
            <w:tcW w:w="686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(212) 905-1000</w:t>
            </w: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left="3761"/>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tbl>
      <w:tblPr>
        <w:tblLayout w:type="fixed"/>
        <w:tblInd w:w="480" w:type="dxa"/>
        <w:tblCellMar>
          <w:top w:w="0" w:type="dxa"/>
          <w:left w:w="0" w:type="dxa"/>
          <w:bottom w:w="0" w:type="dxa"/>
          <w:right w:w="0" w:type="dxa"/>
        </w:tblCellMar>
      </w:tblPr>
      <w:tr>
        <w:trPr>
          <w:trHeight w:val="18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61"/>
        </w:trPr>
        <w:tc>
          <w:tcPr>
            <w:tcW w:w="396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0"/>
        </w:trPr>
        <w:tc>
          <w:tcPr>
            <w:tcW w:w="396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PFLT</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6"/>
                <w:szCs w:val="16"/>
                <w:color w:val="auto"/>
              </w:rPr>
              <w:t>The New York Stock Exchange</w:t>
            </w:r>
          </w:p>
        </w:tc>
      </w:tr>
    </w:tbl>
    <w:p>
      <w:pPr>
        <w:spacing w:after="0" w:line="186" w:lineRule="exact"/>
        <w:rPr>
          <w:sz w:val="24"/>
          <w:szCs w:val="24"/>
          <w:color w:val="auto"/>
        </w:rPr>
      </w:pPr>
    </w:p>
    <w:p>
      <w:pPr>
        <w:ind w:firstLine="479"/>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right="20" w:firstLine="479"/>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right="160" w:firstLine="479"/>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08" w:lineRule="exact"/>
        <w:rPr>
          <w:sz w:val="24"/>
          <w:szCs w:val="24"/>
          <w:color w:val="auto"/>
        </w:rPr>
      </w:pPr>
    </w:p>
    <w:p>
      <w:pPr>
        <w:jc w:val="both"/>
        <w:ind w:right="80" w:firstLine="48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040"/>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$0.001 par value per share, outstanding as of August 3, 2022 was 41,345,638.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EXPLANATORY NOTE:</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registrant’s Form 10-Q filed with the SEC on August 3, 2022, did not include inline XBRL tagging. The sole purpose of this Amendment No. 1 to the registrant’s Form 10-Q for the quarterly period ended June 30, 2022 is to add inline XBRL tagging to the Form 10-Q in accordance with Rule 405 of Regulation S-T.</w:t>
      </w:r>
    </w:p>
    <w:p>
      <w:pPr>
        <w:spacing w:after="0" w:line="148"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4"/>
          <w:szCs w:val="14"/>
          <w:color w:val="auto"/>
        </w:rPr>
        <w:t>No changes have been made to the registrant’s Form 10-Q. This Amendment No. 1 does not reflect any subsequent events occurring after the original filing date of the Form 10-Q or modify or update in any way disclosures made in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FORM 10-Q FOR THE QUARTER ENDED JUNE 30, 2022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60" w:type="dxa"/>
            <w:vAlign w:val="bottom"/>
            <w:gridSpan w:val="15"/>
          </w:tcPr>
          <w:p>
            <w:pPr>
              <w:jc w:val="center"/>
              <w:ind w:right="1340"/>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1940" w:type="dxa"/>
            <w:vAlign w:val="bottom"/>
          </w:tcPr>
          <w:p>
            <w:pPr>
              <w:spacing w:after="0"/>
              <w:rPr>
                <w:sz w:val="13"/>
                <w:szCs w:val="13"/>
                <w:color w:val="auto"/>
              </w:rPr>
            </w:pPr>
          </w:p>
        </w:tc>
      </w:tr>
      <w:tr>
        <w:trPr>
          <w:trHeight w:val="453"/>
        </w:trPr>
        <w:tc>
          <w:tcPr>
            <w:tcW w:w="40" w:type="dxa"/>
            <w:vAlign w:val="bottom"/>
          </w:tcPr>
          <w:p>
            <w:pPr>
              <w:spacing w:after="0"/>
              <w:rPr>
                <w:sz w:val="24"/>
                <w:szCs w:val="24"/>
                <w:color w:val="auto"/>
              </w:rPr>
            </w:pPr>
          </w:p>
        </w:tc>
        <w:tc>
          <w:tcPr>
            <w:tcW w:w="344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2"/>
          </w:tcPr>
          <w:p>
            <w:pPr>
              <w:spacing w:after="0"/>
              <w:rPr>
                <w:sz w:val="24"/>
                <w:szCs w:val="24"/>
                <w:color w:val="auto"/>
              </w:rPr>
            </w:pPr>
          </w:p>
        </w:tc>
        <w:tc>
          <w:tcPr>
            <w:tcW w:w="218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June 30, 2022 (unaudited) and September 30,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and nine months ended June 30, 2022 and 2021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and nine months ended June 30, 2022 and 2021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nine months ended June 30, 2022 and 2021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June 30, 2022 (unaudited) and September 30, 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5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332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453"/>
        </w:trPr>
        <w:tc>
          <w:tcPr>
            <w:tcW w:w="40" w:type="dxa"/>
            <w:vAlign w:val="bottom"/>
          </w:tcPr>
          <w:p>
            <w:pPr>
              <w:spacing w:after="0"/>
              <w:rPr>
                <w:sz w:val="24"/>
                <w:szCs w:val="24"/>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5060" w:type="dxa"/>
            <w:vAlign w:val="bottom"/>
            <w:gridSpan w:val="9"/>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453"/>
        </w:trPr>
        <w:tc>
          <w:tcPr>
            <w:tcW w:w="40" w:type="dxa"/>
            <w:vAlign w:val="bottom"/>
          </w:tcPr>
          <w:p>
            <w:pPr>
              <w:spacing w:after="0"/>
              <w:rPr>
                <w:sz w:val="24"/>
                <w:szCs w:val="24"/>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452"/>
        </w:trPr>
        <w:tc>
          <w:tcPr>
            <w:tcW w:w="4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290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r>
      <w:tr>
        <w:trPr>
          <w:trHeight w:val="453"/>
        </w:trPr>
        <w:tc>
          <w:tcPr>
            <w:tcW w:w="40" w:type="dxa"/>
            <w:vAlign w:val="bottom"/>
          </w:tcPr>
          <w:p>
            <w:pPr>
              <w:spacing w:after="0"/>
              <w:rPr>
                <w:sz w:val="24"/>
                <w:szCs w:val="24"/>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453"/>
        </w:trPr>
        <w:tc>
          <w:tcPr>
            <w:tcW w:w="4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8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453"/>
        </w:trPr>
        <w:tc>
          <w:tcPr>
            <w:tcW w:w="40" w:type="dxa"/>
            <w:vAlign w:val="bottom"/>
          </w:tcPr>
          <w:p>
            <w:pPr>
              <w:spacing w:after="0"/>
              <w:rPr>
                <w:sz w:val="24"/>
                <w:szCs w:val="24"/>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53"/>
        </w:trPr>
        <w:tc>
          <w:tcPr>
            <w:tcW w:w="40" w:type="dxa"/>
            <w:vAlign w:val="bottom"/>
          </w:tcPr>
          <w:p>
            <w:pPr>
              <w:spacing w:after="0"/>
              <w:rPr>
                <w:sz w:val="24"/>
                <w:szCs w:val="24"/>
                <w:color w:val="auto"/>
              </w:rPr>
            </w:pPr>
          </w:p>
        </w:tc>
        <w:tc>
          <w:tcPr>
            <w:tcW w:w="4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514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53"/>
        </w:trPr>
        <w:tc>
          <w:tcPr>
            <w:tcW w:w="4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684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53"/>
        </w:trPr>
        <w:tc>
          <w:tcPr>
            <w:tcW w:w="40" w:type="dxa"/>
            <w:vAlign w:val="bottom"/>
          </w:tcPr>
          <w:p>
            <w:pPr>
              <w:spacing w:after="0"/>
              <w:rPr>
                <w:sz w:val="24"/>
                <w:szCs w:val="24"/>
                <w:color w:val="auto"/>
              </w:rPr>
            </w:pPr>
          </w:p>
        </w:tc>
        <w:tc>
          <w:tcPr>
            <w:tcW w:w="926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453"/>
        </w:trPr>
        <w:tc>
          <w:tcPr>
            <w:tcW w:w="40" w:type="dxa"/>
            <w:vAlign w:val="bottom"/>
          </w:tcPr>
          <w:p>
            <w:pPr>
              <w:spacing w:after="0"/>
              <w:rPr>
                <w:sz w:val="24"/>
                <w:szCs w:val="24"/>
                <w:color w:val="auto"/>
              </w:rPr>
            </w:pPr>
          </w:p>
        </w:tc>
        <w:tc>
          <w:tcPr>
            <w:tcW w:w="16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764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453"/>
        </w:trPr>
        <w:tc>
          <w:tcPr>
            <w:tcW w:w="4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8280" w:type="dxa"/>
            <w:vAlign w:val="bottom"/>
            <w:gridSpan w:val="23"/>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564"/>
        </w:trPr>
        <w:tc>
          <w:tcPr>
            <w:tcW w:w="4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4980" w:type="dxa"/>
            <w:vAlign w:val="bottom"/>
            <w:gridSpan w:val="16"/>
          </w:tcPr>
          <w:p>
            <w:pPr>
              <w:jc w:val="right"/>
              <w:ind w:right="28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300"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w:t>
      </w:r>
    </w:p>
    <w:p>
      <w:pPr>
        <w:spacing w:after="0" w:line="23" w:lineRule="exact"/>
        <w:rPr>
          <w:sz w:val="20"/>
          <w:szCs w:val="20"/>
          <w:color w:val="auto"/>
        </w:rPr>
      </w:pPr>
    </w:p>
    <w:p>
      <w:pPr>
        <w:jc w:val="both"/>
        <w:spacing w:after="0" w:line="168" w:lineRule="exact"/>
        <w:rPr>
          <w:sz w:val="20"/>
          <w:szCs w:val="20"/>
          <w:color w:val="auto"/>
        </w:rPr>
      </w:pPr>
      <w:r>
        <w:rPr>
          <w:rFonts w:ascii="Times New Roman" w:cs="Times New Roman" w:eastAsia="Times New Roman" w:hAnsi="Times New Roman"/>
          <w:sz w:val="14"/>
          <w:szCs w:val="14"/>
          <w:color w:val="auto"/>
        </w:rPr>
        <w:t>a regulated investment company under the Code;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2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CFF"/>
          </w:tcPr>
          <w:p>
            <w:pPr>
              <w:spacing w:after="0"/>
              <w:rPr>
                <w:sz w:val="14"/>
                <w:szCs w:val="14"/>
                <w:color w:val="auto"/>
              </w:rPr>
            </w:pPr>
          </w:p>
        </w:tc>
        <w:tc>
          <w:tcPr>
            <w:tcW w:w="34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6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Non-controlled, non-affiliated investments (cost— $924,233 and $824,542, respectively</w:t>
            </w: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944,658</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856,806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Non-controlled, affiliated investments (cost— $ —</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w:t>
            </w:r>
          </w:p>
        </w:tc>
        <w:tc>
          <w:tcPr>
            <w:tcW w:w="3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$22,380, respectively</w:t>
            </w:r>
          </w:p>
        </w:tc>
        <w:tc>
          <w:tcPr>
            <w:tcW w:w="320" w:type="dxa"/>
            <w:vAlign w:val="bottom"/>
          </w:tcPr>
          <w:p>
            <w:pPr>
              <w:spacing w:after="0"/>
              <w:rPr>
                <w:sz w:val="15"/>
                <w:szCs w:val="15"/>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Controlled, affiliated investments (cost— $294,469</w:t>
            </w:r>
          </w:p>
        </w:tc>
        <w:tc>
          <w:tcPr>
            <w:tcW w:w="28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and</w:t>
            </w:r>
          </w:p>
        </w:tc>
        <w:tc>
          <w:tcPr>
            <w:tcW w:w="34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4"/>
                <w:szCs w:val="14"/>
                <w:color w:val="auto"/>
              </w:rPr>
              <w:t>$223,714, respectively</w:t>
            </w:r>
          </w:p>
        </w:tc>
        <w:tc>
          <w:tcPr>
            <w:tcW w:w="320" w:type="dxa"/>
            <w:vAlign w:val="bottom"/>
            <w:tcBorders>
              <w:bottom w:val="single" w:sz="8" w:color="auto"/>
            </w:tcBorders>
            <w:shd w:val="clear" w:color="auto" w:fill="CCECFF"/>
          </w:tcPr>
          <w:p>
            <w:pPr>
              <w:spacing w:after="0"/>
              <w:rPr>
                <w:sz w:val="15"/>
                <w:szCs w:val="15"/>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281,784</w:t>
            </w: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217,380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investments (cost— $1,218,702 and $1,070,636, respectively</w:t>
            </w:r>
          </w:p>
        </w:tc>
        <w:tc>
          <w:tcPr>
            <w:tcW w:w="3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1,226,442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(cost—$40,632 and $49,825, respectively)</w:t>
            </w: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280" w:type="dxa"/>
            <w:vAlign w:val="bottom"/>
            <w:shd w:val="clear" w:color="auto" w:fill="CCECFF"/>
          </w:tcPr>
          <w:p>
            <w:pPr>
              <w:spacing w:after="0"/>
              <w:rPr>
                <w:sz w:val="15"/>
                <w:szCs w:val="15"/>
                <w:color w:val="auto"/>
              </w:rPr>
            </w:pPr>
          </w:p>
        </w:tc>
        <w:tc>
          <w:tcPr>
            <w:tcW w:w="34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6,609</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33,966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CCECFF"/>
            </w:tcBorders>
            <w:shd w:val="clear" w:color="auto" w:fill="CCECFF"/>
          </w:tcPr>
          <w:p>
            <w:pPr>
              <w:spacing w:after="0"/>
              <w:rPr>
                <w:sz w:val="14"/>
                <w:szCs w:val="14"/>
                <w:color w:val="auto"/>
              </w:rPr>
            </w:pPr>
          </w:p>
        </w:tc>
        <w:tc>
          <w:tcPr>
            <w:tcW w:w="344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top w:val="single" w:sz="8" w:color="auto"/>
              <w:bottom w:val="single" w:sz="8" w:color="auto"/>
            </w:tcBorders>
            <w:shd w:val="clear" w:color="auto" w:fill="CCECFF"/>
          </w:tcPr>
          <w:p>
            <w:pPr>
              <w:spacing w:after="0"/>
              <w:rPr>
                <w:sz w:val="14"/>
                <w:szCs w:val="14"/>
                <w:color w:val="auto"/>
              </w:rPr>
            </w:pP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1,291,154</w:t>
            </w:r>
          </w:p>
        </w:tc>
        <w:tc>
          <w:tcPr>
            <w:tcW w:w="24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1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1,170,856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280" w:type="dxa"/>
            <w:vAlign w:val="bottom"/>
            <w:shd w:val="clear" w:color="auto" w:fill="CCECFF"/>
          </w:tcPr>
          <w:p>
            <w:pPr>
              <w:spacing w:after="0"/>
              <w:rPr>
                <w:sz w:val="15"/>
                <w:szCs w:val="15"/>
                <w:color w:val="auto"/>
              </w:rPr>
            </w:pPr>
          </w:p>
        </w:tc>
        <w:tc>
          <w:tcPr>
            <w:tcW w:w="34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 at fair value (cost—$259,277 and $219,400, respectively) (See Notes 5 and 10)</w:t>
            </w: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253,443</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2023 Notes payable, at fair value (par—$97,006 and $117,793, respectively) (See Notes 5 and 10)</w:t>
            </w: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(par—$185,000 and $100,000, respectively) (See Notes 5 and 10)</w:t>
            </w: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182,082</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2031 Asset-Backed Debt, net (par—$228,000) (See Notes 5 and 10)</w:t>
            </w: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225,970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280" w:type="dxa"/>
            <w:vAlign w:val="bottom"/>
            <w:shd w:val="clear" w:color="auto" w:fill="CCECFF"/>
          </w:tcPr>
          <w:p>
            <w:pPr>
              <w:spacing w:after="0"/>
              <w:rPr>
                <w:sz w:val="15"/>
                <w:szCs w:val="15"/>
                <w:color w:val="auto"/>
              </w:rPr>
            </w:pPr>
          </w:p>
        </w:tc>
        <w:tc>
          <w:tcPr>
            <w:tcW w:w="34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 payable (See Note 3)</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Performance-based incentive fee payable (See Note 3)</w:t>
            </w:r>
          </w:p>
        </w:tc>
        <w:tc>
          <w:tcPr>
            <w:tcW w:w="34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280" w:type="dxa"/>
            <w:vAlign w:val="bottom"/>
            <w:tcBorders>
              <w:bottom w:val="single" w:sz="8" w:color="CCECFF"/>
            </w:tcBorders>
            <w:shd w:val="clear" w:color="auto" w:fill="CCECFF"/>
          </w:tcPr>
          <w:p>
            <w:pPr>
              <w:spacing w:after="0"/>
              <w:rPr>
                <w:sz w:val="15"/>
                <w:szCs w:val="15"/>
                <w:color w:val="auto"/>
              </w:rPr>
            </w:pPr>
          </w:p>
        </w:tc>
        <w:tc>
          <w:tcPr>
            <w:tcW w:w="344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786,241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280" w:type="dxa"/>
            <w:vAlign w:val="bottom"/>
            <w:shd w:val="clear" w:color="auto" w:fill="CCECFF"/>
          </w:tcPr>
          <w:p>
            <w:pPr>
              <w:spacing w:after="0"/>
              <w:rPr>
                <w:sz w:val="14"/>
                <w:szCs w:val="14"/>
                <w:color w:val="auto"/>
              </w:rPr>
            </w:pPr>
          </w:p>
        </w:tc>
        <w:tc>
          <w:tcPr>
            <w:tcW w:w="34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6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740" w:type="dxa"/>
            <w:vAlign w:val="bottom"/>
            <w:gridSpan w:val="3"/>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41,345,638 and 38,880,728 shares issued and outstanding, respectively</w:t>
            </w:r>
          </w:p>
        </w:tc>
        <w:tc>
          <w:tcPr>
            <w:tcW w:w="320" w:type="dxa"/>
            <w:vAlign w:val="bottom"/>
            <w:shd w:val="clear" w:color="auto" w:fill="CCECFF"/>
          </w:tcPr>
          <w:p>
            <w:pPr>
              <w:spacing w:after="0"/>
              <w:rPr>
                <w:sz w:val="12"/>
                <w:szCs w:val="12"/>
                <w:color w:val="auto"/>
              </w:rPr>
            </w:pPr>
          </w:p>
        </w:tc>
        <w:tc>
          <w:tcPr>
            <w:tcW w:w="16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4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320" w:type="dxa"/>
            <w:vAlign w:val="bottom"/>
            <w:shd w:val="clear" w:color="auto" w:fill="CCECFF"/>
          </w:tcPr>
          <w:p>
            <w:pPr>
              <w:spacing w:after="0"/>
              <w:rPr>
                <w:sz w:val="16"/>
                <w:szCs w:val="16"/>
                <w:color w:val="auto"/>
              </w:rPr>
            </w:pPr>
          </w:p>
        </w:tc>
        <w:tc>
          <w:tcPr>
            <w:tcW w:w="166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90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2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570,663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CFF"/>
          </w:tcPr>
          <w:p>
            <w:pPr>
              <w:spacing w:after="0"/>
              <w:rPr>
                <w:sz w:val="15"/>
                <w:szCs w:val="15"/>
                <w:color w:val="auto"/>
              </w:rPr>
            </w:pPr>
          </w:p>
        </w:tc>
        <w:tc>
          <w:tcPr>
            <w:tcW w:w="34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9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(65,791 )</w:t>
            </w:r>
          </w:p>
        </w:tc>
        <w:tc>
          <w:tcPr>
            <w:tcW w:w="280" w:type="dxa"/>
            <w:vAlign w:val="bottom"/>
            <w:shd w:val="clear" w:color="auto" w:fill="CCECFF"/>
          </w:tcPr>
          <w:p>
            <w:pPr>
              <w:spacing w:after="0"/>
              <w:rPr>
                <w:sz w:val="15"/>
                <w:szCs w:val="15"/>
                <w:color w:val="auto"/>
              </w:rPr>
            </w:pPr>
          </w:p>
        </w:tc>
        <w:tc>
          <w:tcPr>
            <w:tcW w:w="2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(48,242 )</w:t>
            </w:r>
          </w:p>
        </w:tc>
        <w:tc>
          <w:tcPr>
            <w:tcW w:w="0" w:type="dxa"/>
            <w:vAlign w:val="bottom"/>
          </w:tcPr>
          <w:p>
            <w:pPr>
              <w:spacing w:after="0"/>
              <w:rPr>
                <w:sz w:val="1"/>
                <w:szCs w:val="1"/>
                <w:color w:val="auto"/>
              </w:rPr>
            </w:pPr>
          </w:p>
        </w:tc>
      </w:tr>
      <w:tr>
        <w:trPr>
          <w:trHeight w:val="169"/>
        </w:trPr>
        <w:tc>
          <w:tcPr>
            <w:tcW w:w="30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top w:val="single" w:sz="8" w:color="CCECFF"/>
            </w:tcBorders>
          </w:tcPr>
          <w:p>
            <w:pPr>
              <w:spacing w:after="0"/>
              <w:rPr>
                <w:sz w:val="14"/>
                <w:szCs w:val="14"/>
                <w:color w:val="auto"/>
              </w:rPr>
            </w:pPr>
          </w:p>
        </w:tc>
        <w:tc>
          <w:tcPr>
            <w:tcW w:w="3440" w:type="dxa"/>
            <w:vAlign w:val="bottom"/>
            <w:tcBorders>
              <w:top w:val="single" w:sz="8" w:color="CCEC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504,913</w:t>
            </w:r>
          </w:p>
        </w:tc>
        <w:tc>
          <w:tcPr>
            <w:tcW w:w="240" w:type="dxa"/>
            <w:vAlign w:val="bottom"/>
            <w:tcBorders>
              <w:top w:val="single" w:sz="8" w:color="CCEC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2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CCECFF"/>
            </w:tcBorders>
            <w:shd w:val="clear" w:color="auto" w:fill="CCECFF"/>
          </w:tcPr>
          <w:p>
            <w:pPr>
              <w:spacing w:after="0"/>
              <w:rPr>
                <w:sz w:val="18"/>
                <w:szCs w:val="18"/>
                <w:color w:val="auto"/>
              </w:rPr>
            </w:pPr>
          </w:p>
        </w:tc>
        <w:tc>
          <w:tcPr>
            <w:tcW w:w="344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1,291,154</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1,170,856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12.21</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-3213735</wp:posOffset>
            </wp:positionV>
            <wp:extent cx="6858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-2527935</wp:posOffset>
            </wp:positionV>
            <wp:extent cx="6858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-1182370</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-402590</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-162560</wp:posOffset>
            </wp:positionV>
            <wp:extent cx="160274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2740" cy="16319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16,701</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14,495</w:t>
            </w:r>
          </w:p>
        </w:tc>
        <w:tc>
          <w:tcPr>
            <w:tcW w:w="2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49,753</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spacing w:after="0"/>
              <w:rPr>
                <w:sz w:val="15"/>
                <w:szCs w:val="15"/>
                <w:color w:val="auto"/>
              </w:rPr>
            </w:pPr>
          </w:p>
        </w:tc>
        <w:tc>
          <w:tcPr>
            <w:tcW w:w="12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25,729</w:t>
            </w:r>
          </w:p>
        </w:tc>
        <w:tc>
          <w:tcPr>
            <w:tcW w:w="26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20,906</w:t>
            </w:r>
          </w:p>
        </w:tc>
        <w:tc>
          <w:tcPr>
            <w:tcW w:w="22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76,699</w:t>
            </w:r>
          </w:p>
        </w:tc>
        <w:tc>
          <w:tcPr>
            <w:tcW w:w="22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61,074</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13,806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40,473</w:t>
            </w: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30,463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13,906</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40,773</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30,763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10,694</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220" w:type="dxa"/>
            <w:vAlign w:val="bottom"/>
          </w:tcPr>
          <w:p>
            <w:pPr>
              <w:spacing w:after="0"/>
              <w:rPr>
                <w:sz w:val="15"/>
                <w:szCs w:val="15"/>
                <w:color w:val="auto"/>
              </w:rPr>
            </w:pPr>
          </w:p>
        </w:tc>
        <w:tc>
          <w:tcPr>
            <w:tcW w:w="12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(20,588 )</w:t>
            </w:r>
          </w:p>
        </w:tc>
        <w:tc>
          <w:tcPr>
            <w:tcW w:w="24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(22,315 )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(21,640 )</w:t>
            </w:r>
          </w:p>
        </w:tc>
        <w:tc>
          <w:tcPr>
            <w:tcW w:w="0" w:type="dxa"/>
            <w:vAlign w:val="bottom"/>
          </w:tcPr>
          <w:p>
            <w:pPr>
              <w:spacing w:after="0"/>
              <w:rPr>
                <w:sz w:val="1"/>
                <w:szCs w:val="1"/>
                <w:color w:val="auto"/>
              </w:rPr>
            </w:pPr>
          </w:p>
        </w:tc>
      </w:tr>
      <w:tr>
        <w:trPr>
          <w:trHeight w:val="169"/>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w:t>
            </w:r>
          </w:p>
        </w:tc>
        <w:tc>
          <w:tcPr>
            <w:tcW w:w="220" w:type="dxa"/>
            <w:vAlign w:val="bottom"/>
            <w:tcBorders>
              <w:top w:val="single" w:sz="8" w:color="auto"/>
            </w:tcBorders>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(11,621</w:t>
            </w:r>
          </w:p>
        </w:tc>
        <w:tc>
          <w:tcPr>
            <w:tcW w:w="22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2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(11,204 )</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(6,281 )</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(12,243 )</w:t>
            </w: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28,407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and non-controlled, affiliated investments</w:t>
            </w:r>
          </w:p>
        </w:tc>
        <w:tc>
          <w:tcPr>
            <w:tcW w:w="220" w:type="dxa"/>
            <w:vAlign w:val="bottom"/>
          </w:tcPr>
          <w:p>
            <w:pPr>
              <w:spacing w:after="0"/>
              <w:rPr>
                <w:sz w:val="15"/>
                <w:szCs w:val="15"/>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(6,431 )</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on investments</w:t>
            </w:r>
          </w:p>
        </w:tc>
        <w:tc>
          <w:tcPr>
            <w:tcW w:w="2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(5,340 )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 (See Note 5 and 10)</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(11,317 )</w:t>
            </w:r>
          </w:p>
        </w:tc>
        <w:tc>
          <w:tcPr>
            <w:tcW w:w="0" w:type="dxa"/>
            <w:vAlign w:val="bottom"/>
          </w:tcPr>
          <w:p>
            <w:pPr>
              <w:spacing w:after="0"/>
              <w:rPr>
                <w:sz w:val="1"/>
                <w:szCs w:val="1"/>
                <w:color w:val="auto"/>
              </w:rPr>
            </w:pPr>
          </w:p>
        </w:tc>
      </w:tr>
      <w:tr>
        <w:trPr>
          <w:trHeight w:val="169"/>
        </w:trPr>
        <w:tc>
          <w:tcPr>
            <w:tcW w:w="5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debt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(17,609</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17,402</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220" w:type="dxa"/>
            <w:vAlign w:val="bottom"/>
            <w:tcBorders>
              <w:bottom w:val="single" w:sz="8" w:color="CCECFF"/>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37,460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(loss) gain from investments and debt</w:t>
            </w:r>
          </w:p>
        </w:tc>
        <w:tc>
          <w:tcPr>
            <w:tcW w:w="22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(16,908 )</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(19,334 )</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52,511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(See Note 7)</w:t>
            </w:r>
          </w:p>
        </w:tc>
        <w:tc>
          <w:tcPr>
            <w:tcW w:w="2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(0.12 )</w:t>
            </w:r>
          </w:p>
        </w:tc>
        <w:tc>
          <w:tcPr>
            <w:tcW w:w="24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0.38</w:t>
            </w:r>
          </w:p>
        </w:tc>
        <w:tc>
          <w:tcPr>
            <w:tcW w:w="220" w:type="dxa"/>
            <w:vAlign w:val="bottom"/>
          </w:tcPr>
          <w:p>
            <w:pPr>
              <w:spacing w:after="0"/>
              <w:rPr>
                <w:sz w:val="13"/>
                <w:szCs w:val="13"/>
                <w:color w:val="auto"/>
              </w:rPr>
            </w:pPr>
          </w:p>
        </w:tc>
        <w:tc>
          <w:tcPr>
            <w:tcW w:w="24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0.42</w:t>
            </w:r>
          </w:p>
        </w:tc>
        <w:tc>
          <w:tcPr>
            <w:tcW w:w="220" w:type="dxa"/>
            <w:vAlign w:val="bottom"/>
          </w:tcPr>
          <w:p>
            <w:pPr>
              <w:spacing w:after="0"/>
              <w:rPr>
                <w:sz w:val="13"/>
                <w:szCs w:val="13"/>
                <w:color w:val="auto"/>
              </w:rPr>
            </w:pPr>
          </w:p>
        </w:tc>
        <w:tc>
          <w:tcPr>
            <w:tcW w:w="26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220" w:type="dxa"/>
            <w:vAlign w:val="bottom"/>
            <w:tcBorders>
              <w:bottom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0.29</w:t>
            </w:r>
          </w:p>
        </w:tc>
        <w:tc>
          <w:tcPr>
            <w:tcW w:w="2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0.27</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0.90</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0.78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-3059430</wp:posOffset>
            </wp:positionV>
            <wp:extent cx="7747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-3059430</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-3059430</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-1910715</wp:posOffset>
            </wp:positionV>
            <wp:extent cx="7747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-1910715</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-1910715</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-539115</wp:posOffset>
            </wp:positionV>
            <wp:extent cx="774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-539115</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-539115</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-299720</wp:posOffset>
            </wp:positionV>
            <wp:extent cx="270891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08910"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issue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7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from operations:</w:t>
            </w: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11,823</w:t>
            </w:r>
          </w:p>
        </w:tc>
        <w:tc>
          <w:tcPr>
            <w:tcW w:w="2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2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35,926</w:t>
            </w:r>
          </w:p>
        </w:tc>
        <w:tc>
          <w:tcPr>
            <w:tcW w:w="2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30,311</w:t>
            </w:r>
          </w:p>
        </w:tc>
        <w:tc>
          <w:tcPr>
            <w:tcW w:w="100" w:type="dxa"/>
            <w:vAlign w:val="bottom"/>
          </w:tcPr>
          <w:p>
            <w:pPr>
              <w:spacing w:after="0"/>
              <w:rPr>
                <w:sz w:val="15"/>
                <w:szCs w:val="15"/>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(12,974 )</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(11,621 )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(15,260 )</w:t>
            </w: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4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(17,635 )</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(3,646 )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48,777</w:t>
            </w:r>
          </w:p>
        </w:tc>
        <w:tc>
          <w:tcPr>
            <w:tcW w:w="100" w:type="dxa"/>
            <w:vAlign w:val="bottom"/>
          </w:tcPr>
          <w:p>
            <w:pPr>
              <w:spacing w:after="0"/>
              <w:rPr>
                <w:sz w:val="15"/>
                <w:szCs w:val="15"/>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on investments</w:t>
            </w:r>
          </w:p>
        </w:tc>
        <w:tc>
          <w:tcPr>
            <w:tcW w:w="24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(5,340 )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(11,317 )</w:t>
            </w:r>
          </w:p>
        </w:tc>
      </w:tr>
      <w:tr>
        <w:trPr>
          <w:trHeight w:val="169"/>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52,511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24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(11,780 )</w:t>
            </w:r>
          </w:p>
        </w:tc>
        <w:tc>
          <w:tcPr>
            <w:tcW w:w="2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(11,050 )</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(34,141 )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(33,150 )</w:t>
            </w:r>
          </w:p>
        </w:tc>
      </w:tr>
      <w:tr>
        <w:trPr>
          <w:trHeight w:val="20"/>
        </w:trPr>
        <w:tc>
          <w:tcPr>
            <w:tcW w:w="57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240" w:type="dxa"/>
            <w:vAlign w:val="bottom"/>
          </w:tcPr>
          <w:p>
            <w:pPr>
              <w:spacing w:after="0"/>
              <w:rPr>
                <w:sz w:val="14"/>
                <w:szCs w:val="14"/>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(11,780 )</w:t>
            </w:r>
          </w:p>
        </w:tc>
        <w:tc>
          <w:tcPr>
            <w:tcW w:w="2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(11,050 )</w:t>
            </w:r>
          </w:p>
        </w:tc>
        <w:tc>
          <w:tcPr>
            <w:tcW w:w="2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(34,141 )</w:t>
            </w:r>
          </w:p>
        </w:tc>
        <w:tc>
          <w:tcPr>
            <w:tcW w:w="2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(33,150 )</w:t>
            </w:r>
          </w:p>
        </w:tc>
      </w:tr>
      <w:tr>
        <w:trPr>
          <w:trHeight w:val="169"/>
        </w:trPr>
        <w:tc>
          <w:tcPr>
            <w:tcW w:w="5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24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92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Public offering (See Note 1)</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7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24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(28 )</w:t>
            </w:r>
          </w:p>
        </w:tc>
        <w:tc>
          <w:tcPr>
            <w:tcW w:w="26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(486 )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78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in net assets resulting from capital transactions</w:t>
            </w: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24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C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31,850</w:t>
            </w:r>
          </w:p>
        </w:tc>
        <w:tc>
          <w:tcPr>
            <w:tcW w:w="220" w:type="dxa"/>
            <w:vAlign w:val="bottom"/>
            <w:tcBorders>
              <w:top w:val="single" w:sz="8" w:color="CCEC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tcPr>
          <w:p>
            <w:pPr>
              <w:spacing w:after="0"/>
              <w:rPr>
                <w:sz w:val="14"/>
                <w:szCs w:val="14"/>
                <w:color w:val="auto"/>
              </w:rPr>
            </w:pPr>
          </w:p>
        </w:tc>
      </w:tr>
      <w:tr>
        <w:trPr>
          <w:trHeight w:val="169"/>
        </w:trPr>
        <w:tc>
          <w:tcPr>
            <w:tcW w:w="5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(15,073</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2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14,300</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19,361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7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24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519,986</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492,974</w:t>
            </w:r>
          </w:p>
        </w:tc>
        <w:tc>
          <w:tcPr>
            <w:tcW w:w="2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477,270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End of period</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504,913</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496,631</w:t>
            </w:r>
          </w:p>
        </w:tc>
        <w:tc>
          <w:tcPr>
            <w:tcW w:w="22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504,912</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496,631</w:t>
            </w:r>
          </w:p>
        </w:tc>
        <w:tc>
          <w:tcPr>
            <w:tcW w:w="100" w:type="dxa"/>
            <w:vAlign w:val="bottom"/>
          </w:tcPr>
          <w:p>
            <w:pPr>
              <w:spacing w:after="0"/>
              <w:rPr>
                <w:sz w:val="14"/>
                <w:szCs w:val="14"/>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78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share activity:</w:t>
            </w: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6"/>
        </w:trPr>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from public offering</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136,072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2,464,910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-1559560</wp:posOffset>
            </wp:positionV>
            <wp:extent cx="7683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-1559560</wp:posOffset>
            </wp:positionV>
            <wp:extent cx="7683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-1559560</wp:posOffset>
            </wp:positionV>
            <wp:extent cx="6858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-1327785</wp:posOffset>
            </wp:positionV>
            <wp:extent cx="7683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-1327785</wp:posOffset>
            </wp:positionV>
            <wp:extent cx="7683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-1327785</wp:posOffset>
            </wp:positionV>
            <wp:extent cx="6858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7683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7683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-864870</wp:posOffset>
            </wp:positionV>
            <wp:extent cx="6858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7683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-624840</wp:posOffset>
            </wp:positionV>
            <wp:extent cx="7683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-624840</wp:posOffset>
            </wp:positionV>
            <wp:extent cx="6858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-393700</wp:posOffset>
            </wp:positionV>
            <wp:extent cx="7683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-393700</wp:posOffset>
            </wp:positionV>
            <wp:extent cx="7683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-393700</wp:posOffset>
            </wp:positionV>
            <wp:extent cx="6858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 w:name="page7"/>
    <w:bookmarkEnd w:id="6"/>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16,593</w:t>
            </w:r>
          </w:p>
        </w:tc>
        <w:tc>
          <w:tcPr>
            <w:tcW w:w="260" w:type="dxa"/>
            <w:vAlign w:val="bottom"/>
          </w:tcPr>
          <w:p>
            <w:pPr>
              <w:spacing w:after="0"/>
              <w:rPr>
                <w:sz w:val="15"/>
                <w:szCs w:val="15"/>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52,511</w:t>
            </w:r>
          </w:p>
        </w:tc>
        <w:tc>
          <w:tcPr>
            <w:tcW w:w="100" w:type="dxa"/>
            <w:vAlign w:val="bottom"/>
          </w:tcPr>
          <w:p>
            <w:pPr>
              <w:spacing w:after="0"/>
              <w:rPr>
                <w:sz w:val="15"/>
                <w:szCs w:val="15"/>
                <w:color w:val="auto"/>
              </w:rPr>
            </w:pPr>
          </w:p>
        </w:tc>
      </w:tr>
      <w:tr>
        <w:trPr>
          <w:trHeight w:val="139"/>
        </w:trPr>
        <w:tc>
          <w:tcPr>
            <w:tcW w:w="7720" w:type="dxa"/>
            <w:vAlign w:val="bottom"/>
            <w:shd w:val="clear" w:color="auto" w:fill="CCECFF"/>
          </w:tcPr>
          <w:p>
            <w:pPr>
              <w:ind w:left="38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w:t>
            </w:r>
          </w:p>
        </w:tc>
        <w:tc>
          <w:tcPr>
            <w:tcW w:w="9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5"/>
        </w:trPr>
        <w:tc>
          <w:tcPr>
            <w:tcW w:w="77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(used in) provided by operating activities:</w:t>
            </w:r>
          </w:p>
        </w:tc>
        <w:tc>
          <w:tcPr>
            <w:tcW w:w="98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6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(48,777 )</w:t>
            </w: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appreciation on debt</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(1,273 )</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100" w:type="dxa"/>
            <w:vAlign w:val="bottom"/>
            <w:shd w:val="clear" w:color="auto" w:fill="CCECFF"/>
          </w:tcPr>
          <w:p>
            <w:pPr>
              <w:spacing w:after="0"/>
              <w:rPr>
                <w:sz w:val="15"/>
                <w:szCs w:val="15"/>
                <w:color w:val="auto"/>
              </w:rPr>
            </w:pP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15,260</w:t>
            </w:r>
          </w:p>
        </w:tc>
        <w:tc>
          <w:tcPr>
            <w:tcW w:w="100" w:type="dxa"/>
            <w:vAlign w:val="bottom"/>
          </w:tcPr>
          <w:p>
            <w:pPr>
              <w:spacing w:after="0"/>
              <w:rPr>
                <w:sz w:val="15"/>
                <w:szCs w:val="15"/>
                <w:color w:val="auto"/>
              </w:rPr>
            </w:pP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(2,920 )</w:t>
            </w: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(1,927 )</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(553,106 )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(475,456 )</w:t>
            </w: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Payment-in-kind interest</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(1,203 )</w:t>
            </w: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(2,589 )</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397,184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565,539</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decrease in interest receivable</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(1,913 )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(2,646 )</w:t>
            </w: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Decrease (increase) in receivable for investments sold</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27,357</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(11,954 )</w:t>
            </w: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increase in prepaid expenses and other assets</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(10,127 )</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(Decrease) increase in payable for investments purchased</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(3,746 )</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23,477</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 interest payable on debt</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(955 )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(503 )</w:t>
            </w: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Increase (decrease) in base management fee payable</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(155 )</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(decrease) in performance-based incentive fee payable</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(419 )</w:t>
            </w: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Increase in deferred tax liability</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5,340</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 accrued other expenses</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(768 )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r>
      <w:tr>
        <w:trPr>
          <w:trHeight w:val="169"/>
        </w:trPr>
        <w:tc>
          <w:tcPr>
            <w:tcW w:w="772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(111,578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124,431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Proceeds from public offering</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32,336</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Offering costs</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(485 )</w:t>
            </w: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(33,904 )</w:t>
            </w: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(33,150 )</w:t>
            </w: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Repayment of 2023 Notes issuance (See Notes 5 and 10)</w:t>
            </w:r>
          </w:p>
        </w:tc>
        <w:tc>
          <w:tcPr>
            <w:tcW w:w="980" w:type="dxa"/>
            <w:vAlign w:val="bottom"/>
          </w:tcPr>
          <w:p>
            <w:pPr>
              <w:spacing w:after="0"/>
              <w:rPr>
                <w:sz w:val="15"/>
                <w:szCs w:val="15"/>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(20,787 )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(20,787 )</w:t>
            </w: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Proceeds from 2026 Notes issuance (See Notes 5 and 10)</w:t>
            </w: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84,333</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96,841</w:t>
            </w:r>
          </w:p>
        </w:tc>
        <w:tc>
          <w:tcPr>
            <w:tcW w:w="100" w:type="dxa"/>
            <w:vAlign w:val="bottom"/>
            <w:shd w:val="clear" w:color="auto" w:fill="CCECFF"/>
          </w:tcPr>
          <w:p>
            <w:pPr>
              <w:spacing w:after="0"/>
              <w:rPr>
                <w:sz w:val="15"/>
                <w:szCs w:val="15"/>
                <w:color w:val="auto"/>
              </w:rPr>
            </w:pPr>
          </w:p>
        </w:tc>
      </w:tr>
      <w:tr>
        <w:trPr>
          <w:trHeight w:val="176"/>
        </w:trPr>
        <w:tc>
          <w:tcPr>
            <w:tcW w:w="77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Borrowings under Credit Facility (See Notes 5 and 10)</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147,254</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255,500</w:t>
            </w:r>
          </w:p>
        </w:tc>
        <w:tc>
          <w:tcPr>
            <w:tcW w:w="100" w:type="dxa"/>
            <w:vAlign w:val="bottom"/>
          </w:tcPr>
          <w:p>
            <w:pPr>
              <w:spacing w:after="0"/>
              <w:rPr>
                <w:sz w:val="15"/>
                <w:szCs w:val="15"/>
                <w:color w:val="auto"/>
              </w:rPr>
            </w:pPr>
          </w:p>
        </w:tc>
      </w:tr>
      <w:tr>
        <w:trPr>
          <w:trHeight w:val="175"/>
        </w:trPr>
        <w:tc>
          <w:tcPr>
            <w:tcW w:w="77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Repayments under Credit Facility (See Notes 5 and 10)</w:t>
            </w:r>
          </w:p>
        </w:tc>
        <w:tc>
          <w:tcPr>
            <w:tcW w:w="98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(107,000 )</w:t>
            </w:r>
          </w:p>
        </w:tc>
        <w:tc>
          <w:tcPr>
            <w:tcW w:w="98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(430,699 )</w:t>
            </w:r>
          </w:p>
        </w:tc>
      </w:tr>
      <w:tr>
        <w:trPr>
          <w:trHeight w:val="20"/>
        </w:trPr>
        <w:tc>
          <w:tcPr>
            <w:tcW w:w="772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7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101,747</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(132,295 )</w:t>
            </w:r>
          </w:p>
        </w:tc>
      </w:tr>
      <w:tr>
        <w:trPr>
          <w:trHeight w:val="169"/>
        </w:trPr>
        <w:tc>
          <w:tcPr>
            <w:tcW w:w="7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equivalents</w:t>
            </w:r>
          </w:p>
        </w:tc>
        <w:tc>
          <w:tcPr>
            <w:tcW w:w="98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26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top w:val="single" w:sz="8" w:color="auto"/>
            </w:tcBorders>
            <w:shd w:val="clear" w:color="auto" w:fill="CCECFF"/>
          </w:tcPr>
          <w:p>
            <w:pPr>
              <w:spacing w:after="0"/>
              <w:rPr>
                <w:sz w:val="14"/>
                <w:szCs w:val="14"/>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(945 )</w:t>
            </w:r>
          </w:p>
        </w:tc>
      </w:tr>
      <w:tr>
        <w:trPr>
          <w:trHeight w:val="175"/>
        </w:trPr>
        <w:tc>
          <w:tcPr>
            <w:tcW w:w="7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8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60" w:type="dxa"/>
            <w:vAlign w:val="bottom"/>
            <w:tcBorders>
              <w:bottom w:val="single" w:sz="8" w:color="CCECFF"/>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57,512</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48,703</w:t>
            </w:r>
          </w:p>
        </w:tc>
        <w:tc>
          <w:tcPr>
            <w:tcW w:w="10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9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(20,610 )</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15,883</w:t>
            </w:r>
          </w:p>
        </w:tc>
        <w:tc>
          <w:tcPr>
            <w:tcW w:w="100" w:type="dxa"/>
            <w:vAlign w:val="bottom"/>
          </w:tcPr>
          <w:p>
            <w:pPr>
              <w:spacing w:after="0"/>
              <w:rPr>
                <w:sz w:val="15"/>
                <w:szCs w:val="15"/>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tcBorders>
              <w:bottom w:val="single" w:sz="8" w:color="CCECFF"/>
            </w:tcBorders>
            <w:shd w:val="clear" w:color="auto" w:fill="CCECFF"/>
          </w:tcPr>
          <w:p>
            <w:pPr>
              <w:ind w:left="200"/>
              <w:spacing w:after="0" w:line="156" w:lineRule="exact"/>
              <w:rPr>
                <w:sz w:val="20"/>
                <w:szCs w:val="20"/>
                <w:color w:val="auto"/>
              </w:rPr>
            </w:pPr>
            <w:r>
              <w:rPr>
                <w:rFonts w:ascii="Times New Roman" w:cs="Times New Roman" w:eastAsia="Times New Roman" w:hAnsi="Times New Roman"/>
                <w:sz w:val="14"/>
                <w:szCs w:val="14"/>
                <w:color w:val="auto"/>
              </w:rPr>
              <w:t>Taxes paid</w:t>
            </w:r>
          </w:p>
        </w:tc>
        <w:tc>
          <w:tcPr>
            <w:tcW w:w="980" w:type="dxa"/>
            <w:vAlign w:val="bottom"/>
            <w:tcBorders>
              <w:bottom w:val="single" w:sz="8" w:color="auto"/>
            </w:tcBorders>
            <w:shd w:val="clear" w:color="auto" w:fill="CCECFF"/>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2,557</w:t>
            </w:r>
          </w:p>
        </w:tc>
        <w:tc>
          <w:tcPr>
            <w:tcW w:w="260" w:type="dxa"/>
            <w:vAlign w:val="bottom"/>
            <w:tcBorders>
              <w:bottom w:val="single" w:sz="8" w:color="CCECFF"/>
            </w:tcBorders>
            <w:shd w:val="clear" w:color="auto" w:fill="CCECFF"/>
          </w:tcPr>
          <w:p>
            <w:pPr>
              <w:spacing w:after="0"/>
              <w:rPr>
                <w:sz w:val="17"/>
                <w:szCs w:val="17"/>
                <w:color w:val="auto"/>
              </w:rPr>
            </w:pPr>
          </w:p>
        </w:tc>
        <w:tc>
          <w:tcPr>
            <w:tcW w:w="980" w:type="dxa"/>
            <w:vAlign w:val="bottom"/>
            <w:tcBorders>
              <w:bottom w:val="single" w:sz="8" w:color="auto"/>
            </w:tcBorders>
            <w:shd w:val="clear" w:color="auto" w:fill="CCECFF"/>
          </w:tcPr>
          <w:p>
            <w:pPr>
              <w:jc w:val="right"/>
              <w:ind w:right="8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772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Non-cash exchanges and conversions</w:t>
            </w:r>
          </w:p>
        </w:tc>
        <w:tc>
          <w:tcPr>
            <w:tcW w:w="980" w:type="dxa"/>
            <w:vAlign w:val="bottom"/>
            <w:tcBorders>
              <w:bottom w:val="single" w:sz="8" w:color="auto"/>
            </w:tcBorders>
          </w:tcPr>
          <w:p>
            <w:pPr>
              <w:jc w:val="right"/>
              <w:ind w:right="8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50,352</w:t>
            </w: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ind w:right="8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20,491</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-2030730</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123444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16256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right"/>
              <w:ind w:right="3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w w:val="93"/>
              </w:rPr>
              <w:t>Investments in Non-Controlled, Non-Affiliated Portfolio Companies—187.1%</w:t>
            </w:r>
          </w:p>
        </w:tc>
        <w:tc>
          <w:tcPr>
            <w:tcW w:w="660" w:type="dxa"/>
            <w:vAlign w:val="bottom"/>
          </w:tcPr>
          <w:p>
            <w:pPr>
              <w:jc w:val="right"/>
              <w:ind w:right="235"/>
              <w:spacing w:after="0" w:line="63" w:lineRule="exact"/>
              <w:rPr>
                <w:sz w:val="20"/>
                <w:szCs w:val="20"/>
                <w:color w:val="auto"/>
              </w:rPr>
            </w:pPr>
            <w:r>
              <w:rPr>
                <w:rFonts w:ascii="Times New Roman" w:cs="Times New Roman" w:eastAsia="Times New Roman" w:hAnsi="Times New Roman"/>
                <w:sz w:val="7"/>
                <w:szCs w:val="7"/>
                <w:b w:val="1"/>
                <w:bCs w:val="1"/>
                <w:color w:val="auto"/>
              </w:rPr>
              <w:t>(3), (4)</w:t>
            </w: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Debt—166.7%</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4,890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9.24 %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4,863</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4,821</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10.25 %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Building Products</w:t>
            </w:r>
          </w:p>
        </w:tc>
        <w:tc>
          <w:tcPr>
            <w:tcW w:w="96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7,624</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7,574</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7,624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32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06/08/2023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97"/>
              </w:rPr>
              <w:t>(6)</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80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9"/>
              </w:rPr>
              <w:t>12/08/2022</w:t>
            </w:r>
          </w:p>
        </w:tc>
        <w:tc>
          <w:tcPr>
            <w:tcW w:w="140" w:type="dxa"/>
            <w:vAlign w:val="bottom"/>
          </w:tcPr>
          <w:p>
            <w:pPr>
              <w:spacing w:after="0"/>
              <w:rPr>
                <w:sz w:val="5"/>
                <w:szCs w:val="5"/>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3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3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06/10/2025</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8.65 %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14,140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13,974</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Any Hour Services</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07/21/2027</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Energy Equipment and Services</w:t>
            </w:r>
          </w:p>
        </w:tc>
        <w:tc>
          <w:tcPr>
            <w:tcW w:w="96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6.55 %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13,103</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12,961</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12,972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Any Hour Services Term Loan II</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01/14/2024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979</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07/21/2027</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6.72 %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6,224</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6,179</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6,193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7.75 %</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297</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297</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6.80 %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12,938</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12,832</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12,874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6.72 %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08"/>
        </w:trPr>
        <w:tc>
          <w:tcPr>
            <w:tcW w:w="3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API Holding III Corp.</w:t>
            </w:r>
          </w:p>
        </w:tc>
        <w:tc>
          <w:tcPr>
            <w:tcW w:w="800" w:type="dxa"/>
            <w:vAlign w:val="bottom"/>
            <w:gridSpan w:val="2"/>
          </w:tcPr>
          <w:p>
            <w:pPr>
              <w:jc w:val="center"/>
              <w:ind w:left="106"/>
              <w:spacing w:after="0" w:line="109" w:lineRule="exact"/>
              <w:rPr>
                <w:sz w:val="20"/>
                <w:szCs w:val="20"/>
                <w:color w:val="auto"/>
              </w:rPr>
            </w:pPr>
            <w:r>
              <w:rPr>
                <w:rFonts w:ascii="Times New Roman" w:cs="Times New Roman" w:eastAsia="Times New Roman" w:hAnsi="Times New Roman"/>
                <w:sz w:val="11"/>
                <w:szCs w:val="11"/>
                <w:color w:val="auto"/>
                <w:w w:val="95"/>
              </w:rPr>
              <w:t>05/11/2026</w:t>
            </w:r>
          </w:p>
        </w:tc>
        <w:tc>
          <w:tcPr>
            <w:tcW w:w="140" w:type="dxa"/>
            <w:vAlign w:val="bottom"/>
          </w:tcPr>
          <w:p>
            <w:pPr>
              <w:spacing w:after="0"/>
              <w:rPr>
                <w:sz w:val="9"/>
                <w:szCs w:val="9"/>
                <w:color w:val="auto"/>
              </w:rPr>
            </w:pP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960" w:type="dxa"/>
            <w:vAlign w:val="bottom"/>
            <w:gridSpan w:val="3"/>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5.92 %</w:t>
            </w:r>
          </w:p>
        </w:tc>
        <w:tc>
          <w:tcPr>
            <w:tcW w:w="14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L+425</w:t>
            </w:r>
          </w:p>
        </w:tc>
        <w:tc>
          <w:tcPr>
            <w:tcW w:w="9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5,820</w:t>
            </w:r>
          </w:p>
        </w:tc>
        <w:tc>
          <w:tcPr>
            <w:tcW w:w="9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5,799</w:t>
            </w:r>
          </w:p>
        </w:tc>
        <w:tc>
          <w:tcPr>
            <w:tcW w:w="9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5,165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6,680</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6,574</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8/23/2022</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2,819</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03/07/2028</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Beta Plus Technologies,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07/01/2029</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Internet Software and Services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6.85 %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3,258</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7.20 %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09/17/2024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2,469</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12/02/2022</w:t>
            </w: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7.39 %</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05/16/2024</w:t>
            </w: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7.25 %</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43,570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43,097</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43,135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By Light Professional IT Services, LLC (Revolver)</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05/16/2024</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6"/>
              </w:rPr>
              <w:t>High Tech Industries</w:t>
            </w:r>
          </w:p>
        </w:tc>
        <w:tc>
          <w:tcPr>
            <w:tcW w:w="96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7.91 %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877</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877</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868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9.74 %</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Cartessa Aesthetics,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05/13/2028</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Distributors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8.05 %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23,000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22,542</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22,540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05/13/2028</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8.05 %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05/13/2028</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7.39 %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8,125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8,008</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08/20/2026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Industries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1,581</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02/09/2026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7.48 %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8,058</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8,029</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02/07/2025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7.50 %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02/07/2025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6.91 %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3,970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01/13/2023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7.98 %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7.98 %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7.20 %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19,871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6,494</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6,486</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6,494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9.46 %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P+475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3,006</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3,006</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3,046</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08/31/2027</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Products</w:t>
            </w:r>
          </w:p>
        </w:tc>
        <w:tc>
          <w:tcPr>
            <w:tcW w:w="960" w:type="dxa"/>
            <w:vAlign w:val="bottom"/>
            <w:gridSpan w:val="3"/>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4,439</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4,363</w:t>
            </w:r>
          </w:p>
        </w:tc>
        <w:tc>
          <w:tcPr>
            <w:tcW w:w="9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4,439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7.50 %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08/31/2027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2,683</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tcPr>
          <w:p>
            <w:pPr>
              <w:jc w:val="center"/>
              <w:ind w:left="106"/>
              <w:spacing w:after="0" w:line="117" w:lineRule="exact"/>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17,156</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17,029</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16,658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06/30/2024</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96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7.15 %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3,259</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05/01/2028</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Hotels, Restaurants and Leisure</w:t>
            </w:r>
          </w:p>
        </w:tc>
        <w:tc>
          <w:tcPr>
            <w:tcW w:w="96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9.75 %</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5,169</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ECM Industries, LLC (Revolver)</w:t>
            </w:r>
          </w:p>
        </w:tc>
        <w:tc>
          <w:tcPr>
            <w:tcW w:w="800" w:type="dxa"/>
            <w:vAlign w:val="bottom"/>
            <w:gridSpan w:val="2"/>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9"/>
                <w:szCs w:val="9"/>
                <w:color w:val="auto"/>
              </w:rPr>
            </w:pP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L+475</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6.44 %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800" w:type="dxa"/>
            <w:vAlign w:val="bottom"/>
            <w:gridSpan w:val="2"/>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9"/>
                <w:szCs w:val="9"/>
                <w:color w:val="auto"/>
              </w:rPr>
            </w:pP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9"/>
                <w:szCs w:val="9"/>
                <w:color w:val="auto"/>
              </w:rPr>
            </w:pPr>
          </w:p>
        </w:tc>
        <w:tc>
          <w:tcPr>
            <w:tcW w:w="840" w:type="dxa"/>
            <w:vAlign w:val="bottom"/>
            <w:gridSpan w:val="2"/>
          </w:tcPr>
          <w:p>
            <w:pPr>
              <w:jc w:val="right"/>
              <w:ind w:right="1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229</w:t>
            </w:r>
          </w:p>
        </w:tc>
        <w:tc>
          <w:tcPr>
            <w:tcW w:w="22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line="109" w:lineRule="exact"/>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20" w:type="dxa"/>
            <w:vAlign w:val="bottom"/>
            <w:vMerge w:val="continue"/>
          </w:tcPr>
          <w:p>
            <w:pPr>
              <w:spacing w:after="0"/>
              <w:rPr>
                <w:sz w:val="10"/>
                <w:szCs w:val="10"/>
                <w:color w:val="auto"/>
              </w:rPr>
            </w:pP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10/05/2023</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6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6,146</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6,146</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6,146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10/05/2023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6.12 %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10/05/2023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06/15/2024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9.00 %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7,170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7,134</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6,991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03/15/2024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Intermediate II,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03/15/2027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Software</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03/15/2027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26"/>
        </w:trPr>
        <w:tc>
          <w:tcPr>
            <w:tcW w:w="332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05/31/2024</w:t>
            </w:r>
          </w:p>
        </w:tc>
        <w:tc>
          <w:tcPr>
            <w:tcW w:w="14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6.19 %</w:t>
            </w: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7.92 %</w:t>
            </w: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22,094</w:t>
            </w:r>
          </w:p>
        </w:tc>
        <w:tc>
          <w:tcPr>
            <w:tcW w:w="90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21,723</w:t>
            </w:r>
          </w:p>
        </w:tc>
        <w:tc>
          <w:tcPr>
            <w:tcW w:w="9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21,653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3,733</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Financial Services</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7.51 %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3,395</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3,332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2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7.43 %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4,443</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4,379</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12/31/2022</w:t>
            </w:r>
          </w:p>
        </w:tc>
        <w:tc>
          <w:tcPr>
            <w:tcW w:w="1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-7447280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-7266940</wp:posOffset>
            </wp:positionV>
            <wp:extent cx="713232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-7095490</wp:posOffset>
            </wp:positionV>
            <wp:extent cx="7132320"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-6924040</wp:posOffset>
            </wp:positionV>
            <wp:extent cx="713232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-6752590</wp:posOffset>
            </wp:positionV>
            <wp:extent cx="7132320" cy="85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-6409690</wp:posOffset>
            </wp:positionV>
            <wp:extent cx="7132320" cy="85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-6066790</wp:posOffset>
            </wp:positionV>
            <wp:extent cx="7132320" cy="85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-5895340</wp:posOffset>
            </wp:positionV>
            <wp:extent cx="713232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-5647055</wp:posOffset>
            </wp:positionV>
            <wp:extent cx="713232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-5475605</wp:posOffset>
            </wp:positionV>
            <wp:extent cx="7132320"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-5304155</wp:posOffset>
            </wp:positionV>
            <wp:extent cx="7132320"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-5132705</wp:posOffset>
            </wp:positionV>
            <wp:extent cx="7132320"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-4961255</wp:posOffset>
            </wp:positionV>
            <wp:extent cx="7132320" cy="85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-4618355</wp:posOffset>
            </wp:positionV>
            <wp:extent cx="713232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-4361180</wp:posOffset>
            </wp:positionV>
            <wp:extent cx="713232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-4189730</wp:posOffset>
            </wp:positionV>
            <wp:extent cx="713232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-4018280</wp:posOffset>
            </wp:positionV>
            <wp:extent cx="713232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-3846830</wp:posOffset>
            </wp:positionV>
            <wp:extent cx="713232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-3675380</wp:posOffset>
            </wp:positionV>
            <wp:extent cx="7132320" cy="85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-3503930</wp:posOffset>
            </wp:positionV>
            <wp:extent cx="713232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-3332480</wp:posOffset>
            </wp:positionV>
            <wp:extent cx="7132320" cy="85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-3161030</wp:posOffset>
            </wp:positionV>
            <wp:extent cx="7132320" cy="85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-2989580</wp:posOffset>
            </wp:positionV>
            <wp:extent cx="713232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-2646680</wp:posOffset>
            </wp:positionV>
            <wp:extent cx="7132320"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-2303780</wp:posOffset>
            </wp:positionV>
            <wp:extent cx="713232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-2132330</wp:posOffset>
            </wp:positionV>
            <wp:extent cx="713232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-1789430</wp:posOffset>
            </wp:positionV>
            <wp:extent cx="71323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-949325</wp:posOffset>
            </wp:positionV>
            <wp:extent cx="713232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1380" w:type="dxa"/>
            <w:vAlign w:val="bottom"/>
            <w:shd w:val="clear" w:color="auto" w:fill="CCECFF"/>
          </w:tcPr>
          <w:p>
            <w:pPr>
              <w:jc w:val="right"/>
              <w:ind w:right="366"/>
              <w:spacing w:after="0"/>
              <w:rPr>
                <w:sz w:val="20"/>
                <w:szCs w:val="20"/>
                <w:color w:val="auto"/>
              </w:rPr>
            </w:pPr>
            <w:r>
              <w:rPr>
                <w:rFonts w:ascii="Times New Roman" w:cs="Times New Roman" w:eastAsia="Times New Roman" w:hAnsi="Times New Roman"/>
                <w:sz w:val="11"/>
                <w:szCs w:val="11"/>
                <w:color w:val="auto"/>
              </w:rPr>
              <w:t>12/31/2026</w:t>
            </w:r>
          </w:p>
        </w:tc>
        <w:tc>
          <w:tcPr>
            <w:tcW w:w="2100" w:type="dxa"/>
            <w:vAlign w:val="bottom"/>
            <w:shd w:val="clear" w:color="auto" w:fill="CCECFF"/>
          </w:tcPr>
          <w:p>
            <w:pPr>
              <w:jc w:val="center"/>
              <w:ind w:right="146"/>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6.12 %</w:t>
            </w:r>
          </w:p>
        </w:tc>
        <w:tc>
          <w:tcPr>
            <w:tcW w:w="9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3M L+500</w:t>
            </w:r>
          </w:p>
        </w:tc>
        <w:tc>
          <w:tcPr>
            <w:tcW w:w="92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rPr>
              <w:t>280</w:t>
            </w:r>
          </w:p>
        </w:tc>
        <w:tc>
          <w:tcPr>
            <w:tcW w:w="9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rPr>
              <w:t>280</w:t>
            </w:r>
          </w:p>
        </w:tc>
        <w:tc>
          <w:tcPr>
            <w:tcW w:w="7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277</w:t>
            </w: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13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12/31/2026</w:t>
            </w:r>
          </w:p>
        </w:tc>
        <w:tc>
          <w:tcPr>
            <w:tcW w:w="210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8"/>
              </w:rPr>
              <w:t>Insurance</w:t>
            </w: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470</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(5 )</w:t>
            </w: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380" w:type="dxa"/>
            <w:vAlign w:val="bottom"/>
            <w:shd w:val="clear" w:color="auto" w:fill="CCECFF"/>
          </w:tcPr>
          <w:p>
            <w:pPr>
              <w:jc w:val="right"/>
              <w:ind w:right="366"/>
              <w:spacing w:after="0"/>
              <w:rPr>
                <w:sz w:val="20"/>
                <w:szCs w:val="20"/>
                <w:color w:val="auto"/>
              </w:rPr>
            </w:pPr>
            <w:r>
              <w:rPr>
                <w:rFonts w:ascii="Times New Roman" w:cs="Times New Roman" w:eastAsia="Times New Roman" w:hAnsi="Times New Roman"/>
                <w:sz w:val="11"/>
                <w:szCs w:val="11"/>
                <w:color w:val="auto"/>
              </w:rPr>
              <w:t>11/23/2028</w:t>
            </w:r>
          </w:p>
        </w:tc>
        <w:tc>
          <w:tcPr>
            <w:tcW w:w="2100" w:type="dxa"/>
            <w:vAlign w:val="bottom"/>
            <w:shd w:val="clear" w:color="auto" w:fill="CCECFF"/>
          </w:tcPr>
          <w:p>
            <w:pPr>
              <w:jc w:val="center"/>
              <w:ind w:right="14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8.25 %</w:t>
            </w:r>
          </w:p>
        </w:tc>
        <w:tc>
          <w:tcPr>
            <w:tcW w:w="9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3M L+600</w:t>
            </w:r>
          </w:p>
        </w:tc>
        <w:tc>
          <w:tcPr>
            <w:tcW w:w="92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rPr>
              <w:t>4,975</w:t>
            </w:r>
          </w:p>
        </w:tc>
        <w:tc>
          <w:tcPr>
            <w:tcW w:w="9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rPr>
              <w:t>4,882</w:t>
            </w:r>
          </w:p>
        </w:tc>
        <w:tc>
          <w:tcPr>
            <w:tcW w:w="7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4,876</w:t>
            </w: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(9)</w:t>
            </w:r>
          </w:p>
        </w:tc>
        <w:tc>
          <w:tcPr>
            <w:tcW w:w="13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11/23/2027</w:t>
            </w:r>
          </w:p>
        </w:tc>
        <w:tc>
          <w:tcPr>
            <w:tcW w:w="210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1,791</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(36 )</w:t>
            </w: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380" w:type="dxa"/>
            <w:vAlign w:val="bottom"/>
            <w:shd w:val="clear" w:color="auto" w:fill="CCECFF"/>
          </w:tcPr>
          <w:p>
            <w:pPr>
              <w:jc w:val="right"/>
              <w:ind w:right="366"/>
              <w:spacing w:after="0"/>
              <w:rPr>
                <w:sz w:val="20"/>
                <w:szCs w:val="20"/>
                <w:color w:val="auto"/>
              </w:rPr>
            </w:pPr>
            <w:r>
              <w:rPr>
                <w:rFonts w:ascii="Times New Roman" w:cs="Times New Roman" w:eastAsia="Times New Roman" w:hAnsi="Times New Roman"/>
                <w:sz w:val="11"/>
                <w:szCs w:val="11"/>
                <w:color w:val="auto"/>
              </w:rPr>
              <w:t>12/10/2024</w:t>
            </w:r>
          </w:p>
        </w:tc>
        <w:tc>
          <w:tcPr>
            <w:tcW w:w="2100" w:type="dxa"/>
            <w:vAlign w:val="bottom"/>
            <w:shd w:val="clear" w:color="auto" w:fill="CCECFF"/>
          </w:tcPr>
          <w:p>
            <w:pPr>
              <w:jc w:val="center"/>
              <w:ind w:right="146"/>
              <w:spacing w:after="0"/>
              <w:rPr>
                <w:sz w:val="20"/>
                <w:szCs w:val="20"/>
                <w:color w:val="auto"/>
              </w:rPr>
            </w:pPr>
            <w:r>
              <w:rPr>
                <w:rFonts w:ascii="Times New Roman" w:cs="Times New Roman" w:eastAsia="Times New Roman" w:hAnsi="Times New Roman"/>
                <w:sz w:val="11"/>
                <w:szCs w:val="11"/>
                <w:color w:val="auto"/>
                <w:w w:val="92"/>
              </w:rPr>
              <w:t>Media</w:t>
            </w:r>
          </w:p>
        </w:tc>
        <w:tc>
          <w:tcPr>
            <w:tcW w:w="112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6.00 %</w:t>
            </w:r>
          </w:p>
        </w:tc>
        <w:tc>
          <w:tcPr>
            <w:tcW w:w="9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rPr>
              <w:t>8,479</w:t>
            </w:r>
          </w:p>
        </w:tc>
        <w:tc>
          <w:tcPr>
            <w:tcW w:w="9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rPr>
              <w:t>8,434</w:t>
            </w:r>
          </w:p>
        </w:tc>
        <w:tc>
          <w:tcPr>
            <w:tcW w:w="7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8,310</w:t>
            </w: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(9)</w:t>
            </w:r>
          </w:p>
        </w:tc>
        <w:tc>
          <w:tcPr>
            <w:tcW w:w="13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12/10/2024</w:t>
            </w:r>
          </w:p>
        </w:tc>
        <w:tc>
          <w:tcPr>
            <w:tcW w:w="2100" w:type="dxa"/>
            <w:vAlign w:val="bottom"/>
          </w:tcPr>
          <w:p>
            <w:pPr>
              <w:jc w:val="center"/>
              <w:ind w:right="146"/>
              <w:spacing w:after="0"/>
              <w:rPr>
                <w:sz w:val="20"/>
                <w:szCs w:val="20"/>
                <w:color w:val="auto"/>
              </w:rPr>
            </w:pPr>
            <w:r>
              <w:rPr>
                <w:rFonts w:ascii="Times New Roman" w:cs="Times New Roman" w:eastAsia="Times New Roman" w:hAnsi="Times New Roman"/>
                <w:sz w:val="11"/>
                <w:szCs w:val="11"/>
                <w:color w:val="auto"/>
                <w:w w:val="92"/>
              </w:rPr>
              <w:t>Media</w:t>
            </w:r>
          </w:p>
        </w:tc>
        <w:tc>
          <w:tcPr>
            <w:tcW w:w="11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1,686</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(17 )</w:t>
            </w:r>
          </w:p>
        </w:tc>
      </w:tr>
      <w:tr>
        <w:trPr>
          <w:trHeight w:val="135"/>
        </w:trPr>
        <w:tc>
          <w:tcPr>
            <w:tcW w:w="30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1380" w:type="dxa"/>
            <w:vAlign w:val="bottom"/>
            <w:shd w:val="clear" w:color="auto" w:fill="CCECFF"/>
          </w:tcPr>
          <w:p>
            <w:pPr>
              <w:jc w:val="right"/>
              <w:ind w:right="366"/>
              <w:spacing w:after="0"/>
              <w:rPr>
                <w:sz w:val="20"/>
                <w:szCs w:val="20"/>
                <w:color w:val="auto"/>
              </w:rPr>
            </w:pPr>
            <w:r>
              <w:rPr>
                <w:rFonts w:ascii="Times New Roman" w:cs="Times New Roman" w:eastAsia="Times New Roman" w:hAnsi="Times New Roman"/>
                <w:sz w:val="11"/>
                <w:szCs w:val="11"/>
                <w:color w:val="auto"/>
              </w:rPr>
              <w:t>12/10/2024</w:t>
            </w:r>
          </w:p>
        </w:tc>
        <w:tc>
          <w:tcPr>
            <w:tcW w:w="2100" w:type="dxa"/>
            <w:vAlign w:val="bottom"/>
            <w:shd w:val="clear" w:color="auto" w:fill="CCECFF"/>
          </w:tcPr>
          <w:p>
            <w:pPr>
              <w:jc w:val="center"/>
              <w:ind w:right="146"/>
              <w:spacing w:after="0"/>
              <w:rPr>
                <w:sz w:val="20"/>
                <w:szCs w:val="20"/>
                <w:color w:val="auto"/>
              </w:rPr>
            </w:pPr>
            <w:r>
              <w:rPr>
                <w:rFonts w:ascii="Times New Roman" w:cs="Times New Roman" w:eastAsia="Times New Roman" w:hAnsi="Times New Roman"/>
                <w:sz w:val="11"/>
                <w:szCs w:val="11"/>
                <w:color w:val="auto"/>
                <w:w w:val="92"/>
              </w:rPr>
              <w:t>Media</w:t>
            </w:r>
          </w:p>
        </w:tc>
        <w:tc>
          <w:tcPr>
            <w:tcW w:w="1120" w:type="dxa"/>
            <w:vAlign w:val="bottom"/>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6.67 %</w:t>
            </w:r>
          </w:p>
        </w:tc>
        <w:tc>
          <w:tcPr>
            <w:tcW w:w="980" w:type="dxa"/>
            <w:vAlign w:val="bottom"/>
            <w:shd w:val="clear" w:color="auto" w:fill="CCECFF"/>
          </w:tcPr>
          <w:p>
            <w:pPr>
              <w:jc w:val="right"/>
              <w:ind w:right="266"/>
              <w:spacing w:after="0"/>
              <w:rPr>
                <w:sz w:val="20"/>
                <w:szCs w:val="20"/>
                <w:color w:val="auto"/>
              </w:rPr>
            </w:pPr>
            <w:r>
              <w:rPr>
                <w:rFonts w:ascii="Times New Roman" w:cs="Times New Roman" w:eastAsia="Times New Roman" w:hAnsi="Times New Roman"/>
                <w:sz w:val="11"/>
                <w:szCs w:val="11"/>
                <w:color w:val="auto"/>
              </w:rPr>
              <w:t>1M L+500</w:t>
            </w:r>
          </w:p>
        </w:tc>
        <w:tc>
          <w:tcPr>
            <w:tcW w:w="920" w:type="dxa"/>
            <w:vAlign w:val="bottom"/>
            <w:shd w:val="clear" w:color="auto" w:fill="CCECFF"/>
          </w:tcPr>
          <w:p>
            <w:pPr>
              <w:jc w:val="right"/>
              <w:ind w:right="286"/>
              <w:spacing w:after="0"/>
              <w:rPr>
                <w:sz w:val="20"/>
                <w:szCs w:val="20"/>
                <w:color w:val="auto"/>
              </w:rPr>
            </w:pPr>
            <w:r>
              <w:rPr>
                <w:rFonts w:ascii="Times New Roman" w:cs="Times New Roman" w:eastAsia="Times New Roman" w:hAnsi="Times New Roman"/>
                <w:sz w:val="11"/>
                <w:szCs w:val="11"/>
                <w:color w:val="auto"/>
              </w:rPr>
              <w:t>116</w:t>
            </w:r>
          </w:p>
        </w:tc>
        <w:tc>
          <w:tcPr>
            <w:tcW w:w="940" w:type="dxa"/>
            <w:vAlign w:val="bottom"/>
            <w:shd w:val="clear" w:color="auto" w:fill="CCECFF"/>
          </w:tcPr>
          <w:p>
            <w:pPr>
              <w:jc w:val="right"/>
              <w:ind w:right="326"/>
              <w:spacing w:after="0"/>
              <w:rPr>
                <w:sz w:val="20"/>
                <w:szCs w:val="20"/>
                <w:color w:val="auto"/>
              </w:rPr>
            </w:pPr>
            <w:r>
              <w:rPr>
                <w:rFonts w:ascii="Times New Roman" w:cs="Times New Roman" w:eastAsia="Times New Roman" w:hAnsi="Times New Roman"/>
                <w:sz w:val="11"/>
                <w:szCs w:val="11"/>
                <w:color w:val="auto"/>
              </w:rPr>
              <w:t>116</w:t>
            </w:r>
          </w:p>
        </w:tc>
        <w:tc>
          <w:tcPr>
            <w:tcW w:w="7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9" w:name="page10"/>
    <w:bookmarkEnd w:id="9"/>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right"/>
              <w:ind w:right="36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9"/>
                <w:szCs w:val="9"/>
                <w:color w:val="auto"/>
              </w:rPr>
            </w:pPr>
          </w:p>
        </w:tc>
        <w:tc>
          <w:tcPr>
            <w:tcW w:w="740" w:type="dxa"/>
            <w:vAlign w:val="bottom"/>
          </w:tcPr>
          <w:p>
            <w:pPr>
              <w:jc w:val="right"/>
              <w:ind w:right="20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60" w:type="dxa"/>
            <w:vAlign w:val="bottom"/>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34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IDC Infusion Services, Inc.</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12/30/2026</w:t>
            </w:r>
          </w:p>
        </w:tc>
        <w:tc>
          <w:tcPr>
            <w:tcW w:w="140" w:type="dxa"/>
            <w:vAlign w:val="bottom"/>
          </w:tcPr>
          <w:p>
            <w:pPr>
              <w:spacing w:after="0"/>
              <w:rPr>
                <w:sz w:val="8"/>
                <w:szCs w:val="8"/>
                <w:color w:val="auto"/>
              </w:rPr>
            </w:pPr>
          </w:p>
        </w:tc>
        <w:tc>
          <w:tcPr>
            <w:tcW w:w="230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7.21</w:t>
            </w:r>
          </w:p>
        </w:tc>
        <w:tc>
          <w:tcPr>
            <w:tcW w:w="240" w:type="dxa"/>
            <w:vAlign w:val="bottom"/>
          </w:tcPr>
          <w:p>
            <w:pPr>
              <w:jc w:val="right"/>
              <w:ind w:right="86"/>
              <w:spacing w:after="0" w:line="97" w:lineRule="exact"/>
              <w:rPr>
                <w:sz w:val="20"/>
                <w:szCs w:val="20"/>
                <w:color w:val="auto"/>
              </w:rPr>
            </w:pPr>
            <w:r>
              <w:rPr>
                <w:rFonts w:ascii="Times New Roman" w:cs="Times New Roman" w:eastAsia="Times New Roman" w:hAnsi="Times New Roman"/>
                <w:sz w:val="11"/>
                <w:szCs w:val="11"/>
                <w:color w:val="auto"/>
                <w:w w:val="86"/>
              </w:rPr>
              <w:t>%</w:t>
            </w: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8"/>
                <w:szCs w:val="8"/>
                <w:color w:val="auto"/>
              </w:rPr>
            </w:pP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2,991</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2,964</w:t>
            </w:r>
          </w:p>
        </w:tc>
        <w:tc>
          <w:tcPr>
            <w:tcW w:w="220" w:type="dxa"/>
            <w:vAlign w:val="bottom"/>
          </w:tcPr>
          <w:p>
            <w:pPr>
              <w:spacing w:after="0"/>
              <w:rPr>
                <w:sz w:val="8"/>
                <w:szCs w:val="8"/>
                <w:color w:val="auto"/>
              </w:rPr>
            </w:pPr>
          </w:p>
        </w:tc>
        <w:tc>
          <w:tcPr>
            <w:tcW w:w="240" w:type="dxa"/>
            <w:vAlign w:val="bottom"/>
            <w:tcBorders>
              <w:top w:val="single" w:sz="8" w:color="auto"/>
            </w:tcBorders>
          </w:tcPr>
          <w:p>
            <w:pPr>
              <w:jc w:val="right"/>
              <w:ind w:right="1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2,961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12/30/2026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09/22/2028</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8.02 %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9.52 %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09/22/2027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Acquisitionco,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11/15/2027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Software</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3,916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11/15/2027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11/15/2027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12/07/2023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Providers and Services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9.08 %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14,991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Infolinks Media Buyco,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11/01/2026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2,631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2,585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11/01/2023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15,688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15,644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08/27/2025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7.58 %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15,846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03/03/2028</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9.67 %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Kinetic Purchaser,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11/10/2027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17,471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17,152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Kinetic Purchaser, LLC -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11/10/2026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(69 )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02/18/2027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9.25 %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10,537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10,338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10,432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9.38 %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9.70 %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(PIK 5.00%)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9.70 %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(PIK 5.00%)</w:t>
            </w: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40" w:type="dxa"/>
            <w:vAlign w:val="bottom"/>
            <w:vMerge w:val="continue"/>
          </w:tcPr>
          <w:p>
            <w:pPr>
              <w:spacing w:after="0"/>
              <w:rPr>
                <w:sz w:val="8"/>
                <w:szCs w:val="8"/>
                <w:color w:val="auto"/>
              </w:rPr>
            </w:pP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11/09/2026</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Leisure Products</w:t>
            </w:r>
          </w:p>
        </w:tc>
        <w:tc>
          <w:tcPr>
            <w:tcW w:w="1080" w:type="dxa"/>
            <w:vAlign w:val="bottom"/>
            <w:gridSpan w:val="3"/>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3,757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3,685</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3,719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11/09/2026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24,407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24,096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23,919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7.42 %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02/03/2026</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4,309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MAG DS Corp.</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04/01/2027</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3,724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3,580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7.17 %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5,968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Internet Software and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 Term Loan II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(142 )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14,763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14,668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03/28/2024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7.20 %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3,440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3,420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03/28/2024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03/28/2024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6.88 %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03/28/2024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Distributors</w:t>
            </w:r>
          </w:p>
        </w:tc>
        <w:tc>
          <w:tcPr>
            <w:tcW w:w="120" w:type="dxa"/>
            <w:vAlign w:val="bottom"/>
          </w:tcPr>
          <w:p>
            <w:pPr>
              <w:spacing w:after="0"/>
              <w:rPr>
                <w:sz w:val="11"/>
                <w:szCs w:val="11"/>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6.95 %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+ 475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1,980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13"/>
                <w:szCs w:val="13"/>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Air Freight and Logistics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7.92 %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8,884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8,729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7,213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7,082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09/03/2027</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6.01 %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4,535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Owl Acquisition,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02/04/2028</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080" w:type="dxa"/>
            <w:vAlign w:val="bottom"/>
            <w:gridSpan w:val="3"/>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Construction and Building</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9.32 %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25,838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25,485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25,321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9.32 %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PL Acquisitionco,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11/09/2027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080" w:type="dxa"/>
            <w:vAlign w:val="bottom"/>
            <w:gridSpan w:val="3"/>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rPr>
              <w:t>8.17 %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6,126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6,029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PL Acquisitionco, LLC -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11/09/2027</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080" w:type="dxa"/>
            <w:vAlign w:val="bottom"/>
            <w:gridSpan w:val="3"/>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8.00 %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05/08/2026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0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08/07/2025</w:t>
            </w:r>
          </w:p>
        </w:tc>
        <w:tc>
          <w:tcPr>
            <w:tcW w:w="14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12.75 %</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L+1,050</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3,331</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2,907</w:t>
            </w:r>
          </w:p>
        </w:tc>
        <w:tc>
          <w:tcPr>
            <w:tcW w:w="2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3,297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06"/>
              <w:spacing w:after="0"/>
              <w:rPr>
                <w:sz w:val="20"/>
                <w:szCs w:val="20"/>
                <w:color w:val="auto"/>
              </w:rPr>
            </w:pPr>
            <w:r>
              <w:rPr>
                <w:rFonts w:ascii="Times New Roman" w:cs="Times New Roman" w:eastAsia="Times New Roman" w:hAnsi="Times New Roman"/>
                <w:sz w:val="11"/>
                <w:szCs w:val="11"/>
                <w:color w:val="auto"/>
              </w:rPr>
              <w:t>(PIK 11.50%)</w:t>
            </w:r>
          </w:p>
        </w:tc>
        <w:tc>
          <w:tcPr>
            <w:tcW w:w="7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Quantic Electronics, LLC</w:t>
            </w:r>
          </w:p>
        </w:tc>
        <w:tc>
          <w:tcPr>
            <w:tcW w:w="800" w:type="dxa"/>
            <w:vAlign w:val="bottom"/>
            <w:gridSpan w:val="2"/>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11/19/2026</w:t>
            </w:r>
          </w:p>
        </w:tc>
        <w:tc>
          <w:tcPr>
            <w:tcW w:w="140" w:type="dxa"/>
            <w:vAlign w:val="bottom"/>
          </w:tcPr>
          <w:p>
            <w:pPr>
              <w:spacing w:after="0"/>
              <w:rPr>
                <w:sz w:val="8"/>
                <w:szCs w:val="8"/>
                <w:color w:val="auto"/>
              </w:rPr>
            </w:pPr>
          </w:p>
        </w:tc>
        <w:tc>
          <w:tcPr>
            <w:tcW w:w="23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080" w:type="dxa"/>
            <w:vAlign w:val="bottom"/>
            <w:gridSpan w:val="3"/>
          </w:tcPr>
          <w:p>
            <w:pPr>
              <w:jc w:val="right"/>
              <w:ind w:right="86"/>
              <w:spacing w:after="0" w:line="95" w:lineRule="exact"/>
              <w:rPr>
                <w:sz w:val="20"/>
                <w:szCs w:val="20"/>
                <w:color w:val="auto"/>
              </w:rPr>
            </w:pPr>
            <w:r>
              <w:rPr>
                <w:rFonts w:ascii="Times New Roman" w:cs="Times New Roman" w:eastAsia="Times New Roman" w:hAnsi="Times New Roman"/>
                <w:sz w:val="10"/>
                <w:szCs w:val="10"/>
                <w:color w:val="auto"/>
              </w:rPr>
              <w:t>8.38 %</w:t>
            </w:r>
          </w:p>
        </w:tc>
        <w:tc>
          <w:tcPr>
            <w:tcW w:w="7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1M L+600</w:t>
            </w:r>
          </w:p>
        </w:tc>
        <w:tc>
          <w:tcPr>
            <w:tcW w:w="9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5,369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5,284</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5,262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40" w:type="dxa"/>
            <w:vAlign w:val="bottom"/>
            <w:vMerge w:val="continue"/>
          </w:tcPr>
          <w:p>
            <w:pPr>
              <w:spacing w:after="0"/>
              <w:rPr>
                <w:sz w:val="10"/>
                <w:szCs w:val="10"/>
                <w:color w:val="auto"/>
              </w:rPr>
            </w:pPr>
          </w:p>
        </w:tc>
        <w:tc>
          <w:tcPr>
            <w:tcW w:w="800" w:type="dxa"/>
            <w:vAlign w:val="bottom"/>
            <w:gridSpan w:val="2"/>
          </w:tcPr>
          <w:p>
            <w:pPr>
              <w:jc w:val="center"/>
              <w:ind w:left="86"/>
              <w:spacing w:after="0" w:line="116" w:lineRule="exact"/>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60" w:type="dxa"/>
            <w:vAlign w:val="bottom"/>
            <w:gridSpan w:val="2"/>
          </w:tcPr>
          <w:p>
            <w:pPr>
              <w:jc w:val="right"/>
              <w:ind w:right="20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2,159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0"/>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40" w:type="dxa"/>
            <w:vAlign w:val="bottom"/>
            <w:vMerge w:val="continue"/>
          </w:tcPr>
          <w:p>
            <w:pPr>
              <w:spacing w:after="0"/>
              <w:rPr>
                <w:sz w:val="10"/>
                <w:szCs w:val="10"/>
                <w:color w:val="auto"/>
              </w:rPr>
            </w:pPr>
          </w:p>
        </w:tc>
        <w:tc>
          <w:tcPr>
            <w:tcW w:w="800" w:type="dxa"/>
            <w:vAlign w:val="bottom"/>
            <w:gridSpan w:val="2"/>
          </w:tcPr>
          <w:p>
            <w:pPr>
              <w:jc w:val="center"/>
              <w:ind w:left="86"/>
              <w:spacing w:after="0" w:line="116" w:lineRule="exact"/>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080" w:type="dxa"/>
            <w:vAlign w:val="bottom"/>
            <w:gridSpan w:val="3"/>
          </w:tcPr>
          <w:p>
            <w:pPr>
              <w:jc w:val="right"/>
              <w:ind w:right="86"/>
              <w:spacing w:after="0" w:line="116" w:lineRule="exact"/>
              <w:rPr>
                <w:sz w:val="20"/>
                <w:szCs w:val="20"/>
                <w:color w:val="auto"/>
              </w:rPr>
            </w:pPr>
            <w:r>
              <w:rPr>
                <w:rFonts w:ascii="Times New Roman" w:cs="Times New Roman" w:eastAsia="Times New Roman" w:hAnsi="Times New Roman"/>
                <w:sz w:val="11"/>
                <w:szCs w:val="11"/>
                <w:color w:val="auto"/>
              </w:rPr>
              <w:t>7.57 %</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40" w:type="dxa"/>
            <w:vAlign w:val="bottom"/>
            <w:vMerge w:val="continue"/>
          </w:tcPr>
          <w:p>
            <w:pPr>
              <w:spacing w:after="0"/>
              <w:rPr>
                <w:sz w:val="10"/>
                <w:szCs w:val="10"/>
                <w:color w:val="auto"/>
              </w:rPr>
            </w:pPr>
          </w:p>
        </w:tc>
        <w:tc>
          <w:tcPr>
            <w:tcW w:w="800" w:type="dxa"/>
            <w:vAlign w:val="bottom"/>
            <w:gridSpan w:val="2"/>
          </w:tcPr>
          <w:p>
            <w:pPr>
              <w:jc w:val="center"/>
              <w:ind w:left="86"/>
              <w:spacing w:after="0" w:line="116" w:lineRule="exact"/>
              <w:rPr>
                <w:sz w:val="20"/>
                <w:szCs w:val="20"/>
                <w:color w:val="auto"/>
              </w:rPr>
            </w:pPr>
            <w:r>
              <w:rPr>
                <w:rFonts w:ascii="Times New Roman" w:cs="Times New Roman" w:eastAsia="Times New Roman" w:hAnsi="Times New Roman"/>
                <w:sz w:val="11"/>
                <w:szCs w:val="11"/>
                <w:color w:val="auto"/>
                <w:w w:val="99"/>
              </w:rPr>
              <w:t>11/19/2026</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60" w:type="dxa"/>
            <w:vAlign w:val="bottom"/>
            <w:gridSpan w:val="2"/>
          </w:tcPr>
          <w:p>
            <w:pPr>
              <w:jc w:val="right"/>
              <w:ind w:right="20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0"/>
                <w:szCs w:val="10"/>
                <w:color w:val="auto"/>
              </w:rPr>
            </w:pP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Questex, LLC</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80" w:type="dxa"/>
            <w:vAlign w:val="bottom"/>
            <w:gridSpan w:val="3"/>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rPr>
              <w:t>6.70 %</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7,218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7,158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6,893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09/09/2024</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4"/>
                <w:szCs w:val="14"/>
                <w:color w:val="auto"/>
              </w:rPr>
            </w:pPr>
          </w:p>
        </w:tc>
        <w:tc>
          <w:tcPr>
            <w:tcW w:w="96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-6308725</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-6137275</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-5965825</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-5794375</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-5622925</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-5451475</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-5280025</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-4765675</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8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80" w:type="dxa"/>
            <w:vAlign w:val="bottom"/>
            <w:gridSpan w:val="2"/>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Rancho Health MSO, Inc. </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8"/>
                <w:szCs w:val="8"/>
                <w:color w:val="auto"/>
              </w:rPr>
            </w:pPr>
          </w:p>
        </w:tc>
        <w:tc>
          <w:tcPr>
            <w:tcW w:w="23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6.51</w:t>
            </w:r>
          </w:p>
        </w:tc>
        <w:tc>
          <w:tcPr>
            <w:tcW w:w="260" w:type="dxa"/>
            <w:vAlign w:val="bottom"/>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w w:val="86"/>
              </w:rPr>
              <w:t>%</w:t>
            </w: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200" w:type="dxa"/>
            <w:vAlign w:val="bottom"/>
          </w:tcPr>
          <w:p>
            <w:pPr>
              <w:spacing w:after="0"/>
              <w:rPr>
                <w:sz w:val="8"/>
                <w:szCs w:val="8"/>
                <w:color w:val="auto"/>
              </w:rPr>
            </w:pPr>
          </w:p>
        </w:tc>
        <w:tc>
          <w:tcPr>
            <w:tcW w:w="7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1,042</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1,042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Leisure Products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1,459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17,187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Riverpoint Medical,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7.74 %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7,980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7,919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7,781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06/20/2025</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2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03/10/2025</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8.45 %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15,226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7,484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7,401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7,484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32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tcPr>
          <w:p>
            <w:pPr>
              <w:spacing w:after="0"/>
              <w:rPr>
                <w:sz w:val="9"/>
                <w:szCs w:val="9"/>
                <w:color w:val="auto"/>
              </w:rPr>
            </w:pP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100" w:type="dxa"/>
            <w:vAlign w:val="bottom"/>
            <w:gridSpan w:val="3"/>
          </w:tcPr>
          <w:p>
            <w:pPr>
              <w:jc w:val="right"/>
              <w:ind w:right="106"/>
              <w:spacing w:after="0" w:line="109" w:lineRule="exact"/>
              <w:rPr>
                <w:sz w:val="20"/>
                <w:szCs w:val="20"/>
                <w:color w:val="auto"/>
              </w:rPr>
            </w:pPr>
            <w:r>
              <w:rPr>
                <w:rFonts w:ascii="Times New Roman" w:cs="Times New Roman" w:eastAsia="Times New Roman" w:hAnsi="Times New Roman"/>
                <w:sz w:val="11"/>
                <w:szCs w:val="11"/>
                <w:color w:val="auto"/>
              </w:rPr>
              <w:t>7.15 %</w:t>
            </w: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3,588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3,559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3,552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32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Sargent &amp; Greenleaf Inc. (Revolver)</w:t>
            </w:r>
          </w:p>
        </w:tc>
        <w:tc>
          <w:tcPr>
            <w:tcW w:w="800" w:type="dxa"/>
            <w:vAlign w:val="bottom"/>
            <w:gridSpan w:val="2"/>
            <w:shd w:val="clear" w:color="auto" w:fill="CCECFF"/>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12/20/2024</w:t>
            </w:r>
          </w:p>
        </w:tc>
        <w:tc>
          <w:tcPr>
            <w:tcW w:w="140" w:type="dxa"/>
            <w:vAlign w:val="bottom"/>
            <w:shd w:val="clear" w:color="auto" w:fill="CCECFF"/>
          </w:tcPr>
          <w:p>
            <w:pPr>
              <w:spacing w:after="0"/>
              <w:rPr>
                <w:sz w:val="8"/>
                <w:szCs w:val="8"/>
                <w:color w:val="auto"/>
              </w:rPr>
            </w:pPr>
          </w:p>
        </w:tc>
        <w:tc>
          <w:tcPr>
            <w:tcW w:w="230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100" w:type="dxa"/>
            <w:vAlign w:val="bottom"/>
            <w:gridSpan w:val="3"/>
            <w:shd w:val="clear" w:color="auto" w:fill="CCECFF"/>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7.00 %</w:t>
            </w:r>
          </w:p>
        </w:tc>
        <w:tc>
          <w:tcPr>
            <w:tcW w:w="7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1M L+550</w:t>
            </w:r>
          </w:p>
        </w:tc>
        <w:tc>
          <w:tcPr>
            <w:tcW w:w="940" w:type="dxa"/>
            <w:vAlign w:val="bottom"/>
            <w:gridSpan w:val="2"/>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1,056</w:t>
            </w:r>
          </w:p>
        </w:tc>
        <w:tc>
          <w:tcPr>
            <w:tcW w:w="2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1,056</w:t>
            </w:r>
          </w:p>
        </w:tc>
        <w:tc>
          <w:tcPr>
            <w:tcW w:w="2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52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1,046</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23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8.70 %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SOFR + 500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14,578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14,478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8.58 %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Sigma Defense Systems,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10.75 %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11,040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10,796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10,874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10.75 %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12/18/2025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Systems Holding Company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978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974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05/03/2024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10/14/2025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6.32 %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1,936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1,936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Smile Brands Inc. 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7.42 %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5,757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5,716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02/26/2025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14,785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7.38 %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 + 575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2,024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1,995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 (Revolver)</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7.38 %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Spendmend Holdings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03/01/2028</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12/11/2026</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6.92 %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w:t>
            </w:r>
          </w:p>
        </w:tc>
        <w:tc>
          <w:tcPr>
            <w:tcW w:w="800" w:type="dxa"/>
            <w:vAlign w:val="bottom"/>
            <w:gridSpan w:val="2"/>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08/16/2027</w:t>
            </w:r>
          </w:p>
        </w:tc>
        <w:tc>
          <w:tcPr>
            <w:tcW w:w="140" w:type="dxa"/>
            <w:vAlign w:val="bottom"/>
          </w:tcPr>
          <w:p>
            <w:pPr>
              <w:spacing w:after="0"/>
              <w:rPr>
                <w:sz w:val="8"/>
                <w:szCs w:val="8"/>
                <w:color w:val="auto"/>
              </w:rPr>
            </w:pPr>
          </w:p>
        </w:tc>
        <w:tc>
          <w:tcPr>
            <w:tcW w:w="23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Aerospace and Defense</w:t>
            </w:r>
          </w:p>
        </w:tc>
        <w:tc>
          <w:tcPr>
            <w:tcW w:w="1100" w:type="dxa"/>
            <w:vAlign w:val="bottom"/>
            <w:gridSpan w:val="3"/>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8.83 %</w:t>
            </w:r>
          </w:p>
        </w:tc>
        <w:tc>
          <w:tcPr>
            <w:tcW w:w="7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SOFR+600</w:t>
            </w:r>
          </w:p>
        </w:tc>
        <w:tc>
          <w:tcPr>
            <w:tcW w:w="9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18,607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18,269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18,309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320" w:type="dxa"/>
            <w:vAlign w:val="bottom"/>
            <w:shd w:val="clear" w:color="auto" w:fill="CCECFF"/>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(Revolver)</w:t>
            </w:r>
          </w:p>
        </w:tc>
        <w:tc>
          <w:tcPr>
            <w:tcW w:w="800" w:type="dxa"/>
            <w:vAlign w:val="bottom"/>
            <w:gridSpan w:val="2"/>
            <w:shd w:val="clear" w:color="auto" w:fill="CCECFF"/>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08/16/2027</w:t>
            </w:r>
          </w:p>
        </w:tc>
        <w:tc>
          <w:tcPr>
            <w:tcW w:w="140" w:type="dxa"/>
            <w:vAlign w:val="bottom"/>
            <w:shd w:val="clear" w:color="auto" w:fill="CCECFF"/>
          </w:tcPr>
          <w:p>
            <w:pPr>
              <w:spacing w:after="0"/>
              <w:rPr>
                <w:sz w:val="8"/>
                <w:szCs w:val="8"/>
                <w:color w:val="auto"/>
              </w:rPr>
            </w:pPr>
          </w:p>
        </w:tc>
        <w:tc>
          <w:tcPr>
            <w:tcW w:w="230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Aerospace and Defense</w:t>
            </w:r>
          </w:p>
        </w:tc>
        <w:tc>
          <w:tcPr>
            <w:tcW w:w="120" w:type="dxa"/>
            <w:vAlign w:val="bottom"/>
            <w:shd w:val="clear" w:color="auto" w:fill="CCECFF"/>
          </w:tcPr>
          <w:p>
            <w:pPr>
              <w:spacing w:after="0"/>
              <w:rPr>
                <w:sz w:val="8"/>
                <w:szCs w:val="8"/>
                <w:color w:val="auto"/>
              </w:rPr>
            </w:pPr>
          </w:p>
        </w:tc>
        <w:tc>
          <w:tcPr>
            <w:tcW w:w="980" w:type="dxa"/>
            <w:vAlign w:val="bottom"/>
            <w:gridSpan w:val="2"/>
            <w:shd w:val="clear" w:color="auto" w:fill="CCECFF"/>
          </w:tcPr>
          <w:p>
            <w:pPr>
              <w:jc w:val="right"/>
              <w:ind w:right="226"/>
              <w:spacing w:after="0" w:line="95"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5,188</w:t>
            </w:r>
          </w:p>
        </w:tc>
        <w:tc>
          <w:tcPr>
            <w:tcW w:w="22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540" w:type="dxa"/>
            <w:vAlign w:val="bottom"/>
            <w:shd w:val="clear" w:color="auto" w:fill="CCEC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620" w:type="dxa"/>
            <w:vAlign w:val="bottom"/>
            <w:gridSpan w:val="2"/>
            <w:shd w:val="clear" w:color="auto" w:fill="CCECFF"/>
          </w:tcPr>
          <w:p>
            <w:pPr>
              <w:jc w:val="right"/>
              <w:ind w:right="60"/>
              <w:spacing w:after="0" w:line="95" w:lineRule="exact"/>
              <w:rPr>
                <w:sz w:val="20"/>
                <w:szCs w:val="20"/>
                <w:color w:val="auto"/>
              </w:rPr>
            </w:pPr>
            <w:r>
              <w:rPr>
                <w:rFonts w:ascii="Times New Roman" w:cs="Times New Roman" w:eastAsia="Times New Roman" w:hAnsi="Times New Roman"/>
                <w:sz w:val="10"/>
                <w:szCs w:val="10"/>
                <w:color w:val="auto"/>
              </w:rPr>
              <w:t>(83 )</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4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23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TAC LifePort Purchaser, LLC</w:t>
            </w:r>
          </w:p>
        </w:tc>
        <w:tc>
          <w:tcPr>
            <w:tcW w:w="80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6"/>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475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467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473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4"/>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11/20/2025</w:t>
            </w: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Wireless Telecommunication Services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8.25 %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L+350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07/18/2025</w:t>
            </w: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6.85 %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5,808</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5,727</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8.12 %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4,934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4,876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Bluebird Group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6,297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6,187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07/27/2026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Infosoft Group,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09/16/2024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7.22 %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15,316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15,208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15,163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7.01 %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2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11/24/2025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10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7.67 %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24,783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24,422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24,287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03/26/2026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8.76 %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5,468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5,392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06/16/2025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Tyto Athene,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04/01/2028</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6.47 %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12,676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12,512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11,991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UBEO,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17,972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17,888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17,613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04/03/2024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20" w:type="dxa"/>
            <w:vAlign w:val="bottom"/>
          </w:tcPr>
          <w:p>
            <w:pPr>
              <w:spacing w:after="0"/>
              <w:rPr>
                <w:sz w:val="13"/>
                <w:szCs w:val="13"/>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17"/>
        </w:trPr>
        <w:tc>
          <w:tcPr>
            <w:tcW w:w="33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Unique Indoor Comfort,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05/24/2027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100" w:type="dxa"/>
            <w:vAlign w:val="bottom"/>
            <w:gridSpan w:val="3"/>
          </w:tcPr>
          <w:p>
            <w:pPr>
              <w:jc w:val="right"/>
              <w:ind w:right="106"/>
              <w:spacing w:after="0" w:line="117" w:lineRule="exact"/>
              <w:rPr>
                <w:sz w:val="20"/>
                <w:szCs w:val="20"/>
                <w:color w:val="auto"/>
              </w:rPr>
            </w:pPr>
            <w:r>
              <w:rPr>
                <w:rFonts w:ascii="Times New Roman" w:cs="Times New Roman" w:eastAsia="Times New Roman" w:hAnsi="Times New Roman"/>
                <w:sz w:val="11"/>
                <w:szCs w:val="11"/>
                <w:color w:val="auto"/>
              </w:rPr>
              <w:t>7.45 %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 + 525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4,988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4,914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Term Loan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05/24/2027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1"/>
                <w:szCs w:val="11"/>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05/24/2027</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3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03/31/2027</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100" w:type="dxa"/>
            <w:vAlign w:val="bottom"/>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11.00 %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Wildcat Buyerco, Inc.</w:t>
            </w:r>
          </w:p>
        </w:tc>
        <w:tc>
          <w:tcPr>
            <w:tcW w:w="800" w:type="dxa"/>
            <w:vAlign w:val="bottom"/>
            <w:gridSpan w:val="2"/>
          </w:tcPr>
          <w:p>
            <w:pPr>
              <w:jc w:val="center"/>
              <w:ind w:left="86"/>
              <w:spacing w:after="0" w:line="95" w:lineRule="exact"/>
              <w:rPr>
                <w:sz w:val="20"/>
                <w:szCs w:val="20"/>
                <w:color w:val="auto"/>
              </w:rPr>
            </w:pPr>
            <w:r>
              <w:rPr>
                <w:rFonts w:ascii="Times New Roman" w:cs="Times New Roman" w:eastAsia="Times New Roman" w:hAnsi="Times New Roman"/>
                <w:sz w:val="10"/>
                <w:szCs w:val="10"/>
                <w:color w:val="auto"/>
              </w:rPr>
              <w:t>02/27/2026</w:t>
            </w:r>
          </w:p>
        </w:tc>
        <w:tc>
          <w:tcPr>
            <w:tcW w:w="140" w:type="dxa"/>
            <w:vAlign w:val="bottom"/>
          </w:tcPr>
          <w:p>
            <w:pPr>
              <w:spacing w:after="0"/>
              <w:rPr>
                <w:sz w:val="8"/>
                <w:szCs w:val="8"/>
                <w:color w:val="auto"/>
              </w:rPr>
            </w:pPr>
          </w:p>
        </w:tc>
        <w:tc>
          <w:tcPr>
            <w:tcW w:w="23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Electronic Equipment, Instruments, and</w:t>
            </w:r>
          </w:p>
        </w:tc>
        <w:tc>
          <w:tcPr>
            <w:tcW w:w="1100" w:type="dxa"/>
            <w:vAlign w:val="bottom"/>
            <w:gridSpan w:val="3"/>
          </w:tcPr>
          <w:p>
            <w:pPr>
              <w:jc w:val="right"/>
              <w:ind w:right="106"/>
              <w:spacing w:after="0" w:line="95" w:lineRule="exact"/>
              <w:rPr>
                <w:sz w:val="20"/>
                <w:szCs w:val="20"/>
                <w:color w:val="auto"/>
              </w:rPr>
            </w:pPr>
            <w:r>
              <w:rPr>
                <w:rFonts w:ascii="Times New Roman" w:cs="Times New Roman" w:eastAsia="Times New Roman" w:hAnsi="Times New Roman"/>
                <w:sz w:val="10"/>
                <w:szCs w:val="10"/>
                <w:color w:val="auto"/>
              </w:rPr>
              <w:t>7.83 %</w:t>
            </w:r>
          </w:p>
        </w:tc>
        <w:tc>
          <w:tcPr>
            <w:tcW w:w="70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3M L+575</w:t>
            </w:r>
          </w:p>
        </w:tc>
        <w:tc>
          <w:tcPr>
            <w:tcW w:w="940" w:type="dxa"/>
            <w:vAlign w:val="bottom"/>
            <w:gridSpan w:val="2"/>
          </w:tcPr>
          <w:p>
            <w:pPr>
              <w:jc w:val="right"/>
              <w:spacing w:after="0" w:line="95" w:lineRule="exact"/>
              <w:rPr>
                <w:sz w:val="20"/>
                <w:szCs w:val="20"/>
                <w:color w:val="auto"/>
              </w:rPr>
            </w:pPr>
            <w:r>
              <w:rPr>
                <w:rFonts w:ascii="Times New Roman" w:cs="Times New Roman" w:eastAsia="Times New Roman" w:hAnsi="Times New Roman"/>
                <w:sz w:val="10"/>
                <w:szCs w:val="10"/>
                <w:color w:val="auto"/>
              </w:rPr>
              <w:t>9,020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8,898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8,778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Term Loan 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20" w:type="dxa"/>
            <w:vAlign w:val="bottom"/>
            <w:vMerge w:val="continue"/>
          </w:tcPr>
          <w:p>
            <w:pPr>
              <w:spacing w:after="0"/>
              <w:rPr>
                <w:sz w:val="10"/>
                <w:szCs w:val="10"/>
                <w:color w:val="auto"/>
              </w:rPr>
            </w:pPr>
          </w:p>
        </w:tc>
        <w:tc>
          <w:tcPr>
            <w:tcW w:w="800" w:type="dxa"/>
            <w:vAlign w:val="bottom"/>
            <w:gridSpan w:val="2"/>
          </w:tcPr>
          <w:p>
            <w:pPr>
              <w:jc w:val="center"/>
              <w:ind w:left="106"/>
              <w:spacing w:after="0" w:line="116" w:lineRule="exact"/>
              <w:rPr>
                <w:sz w:val="20"/>
                <w:szCs w:val="20"/>
                <w:color w:val="auto"/>
              </w:rPr>
            </w:pPr>
            <w:r>
              <w:rPr>
                <w:rFonts w:ascii="Times New Roman" w:cs="Times New Roman" w:eastAsia="Times New Roman" w:hAnsi="Times New Roman"/>
                <w:sz w:val="11"/>
                <w:szCs w:val="11"/>
                <w:color w:val="auto"/>
                <w:w w:val="95"/>
              </w:rPr>
              <w:t>05/11/2023</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80" w:type="dxa"/>
            <w:vAlign w:val="bottom"/>
            <w:gridSpan w:val="2"/>
          </w:tcPr>
          <w:p>
            <w:pPr>
              <w:jc w:val="right"/>
              <w:ind w:right="22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937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20" w:type="dxa"/>
            <w:vAlign w:val="bottom"/>
            <w:vMerge w:val="continue"/>
          </w:tcPr>
          <w:p>
            <w:pPr>
              <w:spacing w:after="0"/>
              <w:rPr>
                <w:sz w:val="10"/>
                <w:szCs w:val="10"/>
                <w:color w:val="auto"/>
              </w:rPr>
            </w:pPr>
          </w:p>
        </w:tc>
        <w:tc>
          <w:tcPr>
            <w:tcW w:w="800" w:type="dxa"/>
            <w:vAlign w:val="bottom"/>
            <w:gridSpan w:val="2"/>
          </w:tcPr>
          <w:p>
            <w:pPr>
              <w:jc w:val="center"/>
              <w:ind w:left="86"/>
              <w:spacing w:after="0" w:line="116" w:lineRule="exact"/>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100" w:type="dxa"/>
            <w:vAlign w:val="bottom"/>
            <w:gridSpan w:val="3"/>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rPr>
              <w:t>6.99 %</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20" w:type="dxa"/>
            <w:vAlign w:val="bottom"/>
            <w:vMerge w:val="continue"/>
          </w:tcPr>
          <w:p>
            <w:pPr>
              <w:spacing w:after="0"/>
              <w:rPr>
                <w:sz w:val="10"/>
                <w:szCs w:val="10"/>
                <w:color w:val="auto"/>
              </w:rPr>
            </w:pPr>
          </w:p>
        </w:tc>
        <w:tc>
          <w:tcPr>
            <w:tcW w:w="800" w:type="dxa"/>
            <w:vAlign w:val="bottom"/>
            <w:gridSpan w:val="2"/>
          </w:tcPr>
          <w:p>
            <w:pPr>
              <w:jc w:val="center"/>
              <w:ind w:left="86"/>
              <w:spacing w:after="0" w:line="116" w:lineRule="exact"/>
              <w:rPr>
                <w:sz w:val="20"/>
                <w:szCs w:val="20"/>
                <w:color w:val="auto"/>
              </w:rPr>
            </w:pPr>
            <w:r>
              <w:rPr>
                <w:rFonts w:ascii="Times New Roman" w:cs="Times New Roman" w:eastAsia="Times New Roman" w:hAnsi="Times New Roman"/>
                <w:sz w:val="11"/>
                <w:szCs w:val="11"/>
                <w:color w:val="auto"/>
                <w:w w:val="99"/>
              </w:rPr>
              <w:t>02/27/2026</w:t>
            </w:r>
          </w:p>
        </w:tc>
        <w:tc>
          <w:tcPr>
            <w:tcW w:w="140" w:type="dxa"/>
            <w:vAlign w:val="bottom"/>
          </w:tcPr>
          <w:p>
            <w:pPr>
              <w:spacing w:after="0"/>
              <w:rPr>
                <w:sz w:val="10"/>
                <w:szCs w:val="10"/>
                <w:color w:val="auto"/>
              </w:rPr>
            </w:pPr>
          </w:p>
        </w:tc>
        <w:tc>
          <w:tcPr>
            <w:tcW w:w="23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80" w:type="dxa"/>
            <w:vAlign w:val="bottom"/>
            <w:gridSpan w:val="2"/>
          </w:tcPr>
          <w:p>
            <w:pPr>
              <w:jc w:val="right"/>
              <w:ind w:right="22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0"/>
                <w:szCs w:val="10"/>
                <w:color w:val="auto"/>
              </w:rPr>
            </w:pP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470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2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Zips Car Wash, LLC</w:t>
            </w:r>
          </w:p>
        </w:tc>
        <w:tc>
          <w:tcPr>
            <w:tcW w:w="80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9"/>
              </w:rPr>
              <w:t>03/01/2024</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Automobiles</w:t>
            </w:r>
          </w:p>
        </w:tc>
        <w:tc>
          <w:tcPr>
            <w:tcW w:w="1100" w:type="dxa"/>
            <w:vAlign w:val="bottom"/>
            <w:gridSpan w:val="3"/>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rPr>
              <w:t>8.27 %</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L+725</w:t>
            </w:r>
          </w:p>
        </w:tc>
        <w:tc>
          <w:tcPr>
            <w:tcW w:w="9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20,857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20,635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20,439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Zips Car Wash, LLC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03/01/2024</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tcPr>
          <w:p>
            <w:pPr>
              <w:spacing w:after="0"/>
              <w:rPr>
                <w:sz w:val="14"/>
                <w:szCs w:val="14"/>
                <w:color w:val="auto"/>
              </w:rPr>
            </w:pPr>
          </w:p>
        </w:tc>
        <w:tc>
          <w:tcPr>
            <w:tcW w:w="9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858,691</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841,848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32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Debt—0.1%</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auto"/>
              </w:rPr>
              <w:t xml:space="preserve">0.00 % </w:t>
            </w:r>
            <w:r>
              <w:rPr>
                <w:rFonts w:ascii="Times New Roman" w:cs="Times New Roman" w:eastAsia="Times New Roman" w:hAnsi="Times New Roman"/>
                <w:sz w:val="14"/>
                <w:szCs w:val="14"/>
                <w:color w:val="auto"/>
                <w:vertAlign w:val="superscript"/>
              </w:rPr>
              <w:t>(6)</w:t>
            </w: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04/23/2025</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100" w:type="dxa"/>
            <w:vAlign w:val="bottom"/>
            <w:gridSpan w:val="3"/>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80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02/04/2027</w:t>
            </w:r>
          </w:p>
        </w:tc>
        <w:tc>
          <w:tcPr>
            <w:tcW w:w="14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tcBorders>
              <w:bottom w:val="single" w:sz="8" w:color="CCECFF"/>
            </w:tcBorders>
            <w:gridSpan w:val="3"/>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11.12 %</w:t>
            </w:r>
          </w:p>
        </w:tc>
        <w:tc>
          <w:tcPr>
            <w:tcW w:w="7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-6659880</wp:posOffset>
            </wp:positionV>
            <wp:extent cx="713232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-6480175</wp:posOffset>
            </wp:positionV>
            <wp:extent cx="7132320" cy="857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-6308725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-6137275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-5794375</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-5297170</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-5125720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-4782820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-4611370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-4268470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-1122680</wp:posOffset>
            </wp:positionV>
            <wp:extent cx="713232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-102235</wp:posOffset>
            </wp:positionV>
            <wp:extent cx="6858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 w:name="page12"/>
    <w:bookmarkEnd w:id="11"/>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635</wp:posOffset>
            </wp:positionV>
            <wp:extent cx="1178560" cy="415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78560" cy="415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96"/>
        </w:trPr>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56"/>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1.6%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4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06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1,236,027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1,236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12.00 %</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20.00 %</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343,861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19.00 %</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13.50 %</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8,859</w:t>
            </w:r>
          </w:p>
        </w:tc>
        <w:tc>
          <w:tcPr>
            <w:tcW w:w="22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8,330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Equity/Warrants— 18.6%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04/10/2024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Athletico Holdings,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4,678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Parent,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Champions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615,484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328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0"/>
                <w:szCs w:val="10"/>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Exigo,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541,667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280" w:type="dxa"/>
            <w:vAlign w:val="bottom"/>
            <w:vMerge w:val="restart"/>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328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30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gridSpan w:val="2"/>
            <w:shd w:val="clear" w:color="auto" w:fill="CCECFF"/>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Gauge Lash Coinvest LLC </w:t>
            </w:r>
            <w:r>
              <w:rPr>
                <w:rFonts w:ascii="Times New Roman" w:cs="Times New Roman" w:eastAsia="Times New Roman" w:hAnsi="Times New Roman"/>
                <w:sz w:val="11"/>
                <w:szCs w:val="11"/>
                <w:color w:val="auto"/>
                <w:vertAlign w:val="superscript"/>
              </w:rPr>
              <w:t>(7)</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1,485,953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227</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7,682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Icon Partners V C,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1,851,852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1,852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648,148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2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28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Imagine Topco, LP (Common)</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1,236,027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ITC Infusion Co-invest,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Equipment and Supplied</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59,211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Wholesale</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1,948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Kinetic Purchaser,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1,734,775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Title, LLC</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819,231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MSpark, LLC</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3,988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1,288</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gridSpan w:val="2"/>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1,973,370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North Haven Saints Equity Holdings, LP</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223,602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vertAlign w:val="subscript"/>
              </w:rPr>
              <w:t>(8)</w:t>
            </w:r>
            <w:r>
              <w:rPr>
                <w:rFonts w:ascii="Times New Roman" w:cs="Times New Roman" w:eastAsia="Times New Roman" w:hAnsi="Times New Roman"/>
                <w:sz w:val="11"/>
                <w:szCs w:val="11"/>
                <w:color w:val="auto"/>
                <w:w w:val="95"/>
              </w:rPr>
              <w:t xml:space="preserve">OceanSound Discovery Equity, LP (Holdco Sands Intermediate, LLC) </w:t>
            </w:r>
            <w:r>
              <w:rPr>
                <w:rFonts w:ascii="Times New Roman" w:cs="Times New Roman" w:eastAsia="Times New Roman" w:hAnsi="Times New Roman"/>
                <w:sz w:val="14"/>
                <w:szCs w:val="14"/>
                <w:color w:val="auto"/>
                <w:w w:val="95"/>
                <w:vertAlign w:val="superscript"/>
              </w:rPr>
              <w:t>(7),</w:t>
            </w:r>
          </w:p>
        </w:tc>
        <w:tc>
          <w:tcPr>
            <w:tcW w:w="120" w:type="dxa"/>
            <w:vAlign w:val="bottom"/>
          </w:tcPr>
          <w:p>
            <w:pPr>
              <w:spacing w:after="0"/>
              <w:rPr>
                <w:sz w:val="16"/>
                <w:szCs w:val="16"/>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743,750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(8)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(94 )</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11,167,847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Pink Lily Holdco, LLC (PL Acquisitions,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1,735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4"/>
                <w:szCs w:val="14"/>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-7011670</wp:posOffset>
            </wp:positionV>
            <wp:extent cx="20828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-6917055</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-6745605</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-6574155</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-6402705</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-6231255</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-5974080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-5794375</wp:posOffset>
            </wp:positionV>
            <wp:extent cx="7132320" cy="265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-5442585</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-5271135</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-5099685</wp:posOffset>
            </wp:positionV>
            <wp:extent cx="713232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-4671060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-4499610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-4328160</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-4079875</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-3908425</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2" w:name="page13"/>
    <w:bookmarkEnd w:id="12"/>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6"/>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0"/>
                <w:szCs w:val="10"/>
                <w:color w:val="auto"/>
              </w:rPr>
            </w:pPr>
          </w:p>
        </w:tc>
        <w:tc>
          <w:tcPr>
            <w:tcW w:w="640" w:type="dxa"/>
            <w:vAlign w:val="bottom"/>
            <w:tcBorders>
              <w:top w:val="single" w:sz="8" w:color="auto"/>
            </w:tcBorders>
          </w:tcPr>
          <w:p>
            <w:pPr>
              <w:ind w:left="5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64,634</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646</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680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Seaway Topco, LP</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 L2 Holdings, LLC (Ledge Lounger, Inc.)</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360,103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28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1,368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216,925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r>
              <w:rPr>
                <w:rFonts w:ascii="Times New Roman" w:cs="Times New Roman" w:eastAsia="Times New Roman" w:hAnsi="Times New Roman"/>
                <w:sz w:val="14"/>
                <w:szCs w:val="14"/>
                <w:color w:val="auto"/>
                <w:vertAlign w:val="superscript"/>
              </w:rPr>
              <w:t>(8) (9)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148,681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3,762,257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34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93,819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w w:val="97"/>
              </w:rPr>
              <w:t>Total Investments in Non-Controlled, Non-Affiliated Portfolio Companies</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924,233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944,658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Companies—55.8% </w:t>
            </w:r>
            <w:r>
              <w:rPr>
                <w:rFonts w:ascii="Times New Roman" w:cs="Times New Roman" w:eastAsia="Times New Roman" w:hAnsi="Times New Roman"/>
                <w:sz w:val="13"/>
                <w:szCs w:val="13"/>
                <w:b w:val="1"/>
                <w:bCs w:val="1"/>
                <w:color w:val="auto"/>
                <w:vertAlign w:val="superscript"/>
              </w:rPr>
              <w:t>(3), (4)</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Debt—43.7%</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09/30/2025</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6.69 %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6.25%)</w:t>
            </w: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09/30/2025</w:t>
            </w:r>
          </w:p>
        </w:tc>
        <w:tc>
          <w:tcPr>
            <w:tcW w:w="26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82"/>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Marketplace Events, LLC</w:t>
            </w:r>
          </w:p>
        </w:tc>
        <w:tc>
          <w:tcPr>
            <w:tcW w:w="64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rPr>
              <w:t>09/30/2026</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60" w:type="dxa"/>
            <w:vAlign w:val="bottom"/>
            <w:gridSpan w:val="3"/>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rPr>
              <w:t>6.69 %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26,771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19,200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05/06/2024</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212,963</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220,534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4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Interests—12.1%</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58,755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61,250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294,469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281,784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Investments—242.9%</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1,218,702</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1,226,442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Equivalents—8.0%</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16,199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40,632</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40,616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Equivalents—250.9%</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1,259,334</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1,267,058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Borders>
              <w:bottom w:val="single" w:sz="8" w:color="CCECFF"/>
            </w:tcBorders>
            <w:gridSpan w:val="2"/>
            <w:shd w:val="clear" w:color="auto" w:fill="CCEC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Assets—(150.9)%</w:t>
            </w:r>
          </w:p>
        </w:tc>
        <w:tc>
          <w:tcPr>
            <w:tcW w:w="64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30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auto"/>
            </w:tcBorders>
            <w:shd w:val="clear" w:color="auto" w:fill="CCECFF"/>
          </w:tcPr>
          <w:p>
            <w:pPr>
              <w:spacing w:after="0"/>
              <w:rPr>
                <w:sz w:val="10"/>
                <w:szCs w:val="10"/>
                <w:color w:val="auto"/>
              </w:rPr>
            </w:pPr>
          </w:p>
        </w:tc>
        <w:tc>
          <w:tcPr>
            <w:tcW w:w="56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(762,145</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-3916680</wp:posOffset>
            </wp:positionV>
            <wp:extent cx="7132320" cy="939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-3736975</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-3222625</wp:posOffset>
            </wp:positionV>
            <wp:extent cx="7132320" cy="857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-2708275</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713232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-1499235</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-873760</wp:posOffset>
            </wp:positionV>
            <wp:extent cx="68580" cy="1028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-685165</wp:posOffset>
            </wp:positionV>
            <wp:extent cx="6858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68580"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380" w:right="100" w:hanging="372"/>
        <w:spacing w:after="0" w:line="216" w:lineRule="auto"/>
        <w:tabs>
          <w:tab w:leader="none" w:pos="409"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Times New Roman" w:cs="Times New Roman" w:eastAsia="Times New Roman" w:hAnsi="Times New Roman"/>
          <w:sz w:val="16"/>
          <w:szCs w:val="16"/>
          <w:color w:val="auto"/>
          <w:vertAlign w:val="superscript"/>
        </w:rPr>
      </w:pP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ind w:left="380" w:right="2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19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Non-income producing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(See Note 10) and held through PennantPark CLO I, Ltd.</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Investment is held through our Taxable Subsidiary (See Note 1).</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2022, qualifying assets represent 78% of our total assets and non-qualifying assets represent 22% of our total assets.</w:t>
      </w:r>
    </w:p>
    <w:p>
      <w:pPr>
        <w:ind w:left="380" w:hanging="372"/>
        <w:spacing w:after="0" w:line="191"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Par amount is denominated in Australian Dollars (AUD) as denoted.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3" w:name="page14"/>
    <w:bookmarkEnd w:id="13"/>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4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 xml:space="preserve">x  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44"/>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x   Maturity   x</w:t>
            </w: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x</w:t>
            </w: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x</w:t>
            </w: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x</w:t>
            </w: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x</w:t>
            </w:r>
          </w:p>
        </w:tc>
        <w:tc>
          <w:tcPr>
            <w:tcW w:w="140" w:type="dxa"/>
            <w:vAlign w:val="bottom"/>
          </w:tcPr>
          <w:p>
            <w:pPr>
              <w:spacing w:after="0"/>
              <w:rPr>
                <w:sz w:val="12"/>
                <w:szCs w:val="12"/>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jc w:val="right"/>
              <w:ind w:right="244"/>
              <w:spacing w:after="0"/>
              <w:rPr>
                <w:sz w:val="20"/>
                <w:szCs w:val="20"/>
                <w:color w:val="auto"/>
              </w:rPr>
            </w:pPr>
            <w:r>
              <w:rPr>
                <w:rFonts w:ascii="Times New Roman" w:cs="Times New Roman" w:eastAsia="Times New Roman" w:hAnsi="Times New Roman"/>
                <w:sz w:val="7"/>
                <w:szCs w:val="7"/>
                <w:b w:val="1"/>
                <w:bCs w:val="1"/>
                <w:color w:val="auto"/>
              </w:rPr>
              <w:t>(3), (4)</w:t>
            </w:r>
          </w:p>
        </w:tc>
        <w:tc>
          <w:tcPr>
            <w:tcW w:w="140" w:type="dxa"/>
            <w:vAlign w:val="bottom"/>
            <w:vMerge w:val="restart"/>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34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w w:val="94"/>
              </w:rPr>
              <w:t>Investments in Non-Controlled, Non-Affiliated Portfolio Companies—174.6%</w:t>
            </w:r>
          </w:p>
        </w:tc>
        <w:tc>
          <w:tcPr>
            <w:tcW w:w="6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Debt—155.8%</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08/11/2025</w:t>
            </w: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2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5,996</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5,910</w:t>
            </w:r>
          </w:p>
        </w:tc>
        <w:tc>
          <w:tcPr>
            <w:tcW w:w="4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4,988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4,917</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05/06/2026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5,069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5,016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07/24/2025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(99 )</w:t>
            </w:r>
          </w:p>
        </w:tc>
        <w:tc>
          <w:tcPr>
            <w:tcW w:w="0" w:type="dxa"/>
            <w:vAlign w:val="bottom"/>
          </w:tcPr>
          <w:p>
            <w:pPr>
              <w:spacing w:after="0"/>
              <w:rPr>
                <w:sz w:val="1"/>
                <w:szCs w:val="1"/>
                <w:color w:val="auto"/>
              </w:rPr>
            </w:pPr>
          </w:p>
        </w:tc>
      </w:tr>
      <w:tr>
        <w:trPr>
          <w:trHeight w:val="125"/>
        </w:trPr>
        <w:tc>
          <w:tcPr>
            <w:tcW w:w="334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5"/>
              </w:rPr>
              <w:t>12/21/2023</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6.50 %</w:t>
            </w:r>
          </w:p>
        </w:tc>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L+550</w:t>
            </w:r>
          </w:p>
        </w:tc>
        <w:tc>
          <w:tcPr>
            <w:tcW w:w="2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8,905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8,818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8,816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34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09/09/2021</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340" w:type="dxa"/>
            <w:vAlign w:val="bottom"/>
            <w:vMerge w:val="restart"/>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780" w:type="dxa"/>
            <w:vAlign w:val="bottom"/>
            <w:gridSpan w:val="2"/>
            <w:vMerge w:val="restart"/>
          </w:tcPr>
          <w:p>
            <w:pPr>
              <w:jc w:val="center"/>
              <w:ind w:left="86"/>
              <w:spacing w:after="0"/>
              <w:rPr>
                <w:sz w:val="20"/>
                <w:szCs w:val="20"/>
                <w:color w:val="auto"/>
              </w:rPr>
            </w:pPr>
            <w:r>
              <w:rPr>
                <w:rFonts w:ascii="Times New Roman" w:cs="Times New Roman" w:eastAsia="Times New Roman" w:hAnsi="Times New Roman"/>
                <w:sz w:val="11"/>
                <w:szCs w:val="11"/>
                <w:color w:val="auto"/>
                <w:w w:val="95"/>
              </w:rPr>
              <w:t>12/08/2022</w:t>
            </w:r>
          </w:p>
        </w:tc>
        <w:tc>
          <w:tcPr>
            <w:tcW w:w="140" w:type="dxa"/>
            <w:vAlign w:val="bottom"/>
          </w:tcPr>
          <w:p>
            <w:pPr>
              <w:spacing w:after="0"/>
              <w:rPr>
                <w:sz w:val="5"/>
                <w:szCs w:val="5"/>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5"/>
                <w:szCs w:val="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3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6,373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07/21/2027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6.50 %</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07/31/2025</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L+525</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6,897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6,802</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01/31/2022</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13,179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07/29/2024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07/29/2024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08"/>
        </w:trPr>
        <w:tc>
          <w:tcPr>
            <w:tcW w:w="334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API Technologies Corp.</w:t>
            </w:r>
          </w:p>
        </w:tc>
        <w:tc>
          <w:tcPr>
            <w:tcW w:w="780" w:type="dxa"/>
            <w:vAlign w:val="bottom"/>
            <w:gridSpan w:val="2"/>
          </w:tcPr>
          <w:p>
            <w:pPr>
              <w:jc w:val="center"/>
              <w:ind w:left="86"/>
              <w:spacing w:after="0" w:line="109" w:lineRule="exact"/>
              <w:rPr>
                <w:sz w:val="20"/>
                <w:szCs w:val="20"/>
                <w:color w:val="auto"/>
              </w:rPr>
            </w:pPr>
            <w:r>
              <w:rPr>
                <w:rFonts w:ascii="Times New Roman" w:cs="Times New Roman" w:eastAsia="Times New Roman" w:hAnsi="Times New Roman"/>
                <w:sz w:val="11"/>
                <w:szCs w:val="11"/>
                <w:color w:val="auto"/>
                <w:w w:val="95"/>
              </w:rPr>
              <w:t>05/11/2026</w:t>
            </w:r>
          </w:p>
        </w:tc>
        <w:tc>
          <w:tcPr>
            <w:tcW w:w="140" w:type="dxa"/>
            <w:vAlign w:val="bottom"/>
          </w:tcPr>
          <w:p>
            <w:pPr>
              <w:spacing w:after="0"/>
              <w:rPr>
                <w:sz w:val="9"/>
                <w:szCs w:val="9"/>
                <w:color w:val="auto"/>
              </w:rPr>
            </w:pPr>
          </w:p>
        </w:tc>
        <w:tc>
          <w:tcPr>
            <w:tcW w:w="230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9"/>
                <w:szCs w:val="9"/>
                <w:color w:val="auto"/>
              </w:rPr>
            </w:pPr>
          </w:p>
        </w:tc>
        <w:tc>
          <w:tcPr>
            <w:tcW w:w="84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4.33 %</w:t>
            </w:r>
          </w:p>
        </w:tc>
        <w:tc>
          <w:tcPr>
            <w:tcW w:w="14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L+425</w:t>
            </w:r>
          </w:p>
        </w:tc>
        <w:tc>
          <w:tcPr>
            <w:tcW w:w="20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5,865</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5,841</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5,689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4,963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4,863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4,863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06/29/2022</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By Light Professional IT Services,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05/16/2022</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22,681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22,627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22,681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05/16/2022</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11/14/2023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(PIK 9.50%)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Cano Health,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11/23/2027</w:t>
            </w: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2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5.25 %</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10,500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10,293</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10,290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08/20/2026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CHA Holdings,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04/10/2025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Environmental Industries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1,593</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08/31/2023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Compex Legal Services,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02/09/2026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7,653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7,530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7,566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02/07/2025</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Confluent Health,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06/24/2026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 Providers and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5.08 %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3,920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01/13/2023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07/13/2027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CoolSys,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08/04/2028</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1,909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1,890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CoolSys,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08/04/2028</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08/16/2027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08/05/2025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5.85 %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13,078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05/14/2022</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(129 )</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05/22/2026</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5.08 %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L+575</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6,514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P+475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2,927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2,927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10/19/2022</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9,485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9,297</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9,296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08/27/2026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17,671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17,515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17,547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11/03/2025</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21"/>
        </w:trPr>
        <w:tc>
          <w:tcPr>
            <w:tcW w:w="33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78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03/07/2022</w:t>
            </w:r>
          </w:p>
        </w:tc>
        <w:tc>
          <w:tcPr>
            <w:tcW w:w="14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Hotel, Gaming and Leisure</w:t>
            </w:r>
          </w:p>
        </w:tc>
        <w:tc>
          <w:tcPr>
            <w:tcW w:w="120" w:type="dxa"/>
            <w:vAlign w:val="bottom"/>
            <w:shd w:val="clear" w:color="auto" w:fill="CCECFF"/>
          </w:tcPr>
          <w:p>
            <w:pPr>
              <w:spacing w:after="0"/>
              <w:rPr>
                <w:sz w:val="10"/>
                <w:szCs w:val="10"/>
                <w:color w:val="auto"/>
              </w:rPr>
            </w:pPr>
          </w:p>
        </w:tc>
        <w:tc>
          <w:tcPr>
            <w:tcW w:w="840" w:type="dxa"/>
            <w:vAlign w:val="bottom"/>
            <w:gridSpan w:val="2"/>
            <w:shd w:val="clear" w:color="auto" w:fill="CCEC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14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200" w:type="dxa"/>
            <w:vAlign w:val="bottom"/>
            <w:shd w:val="clear" w:color="auto" w:fill="CCECFF"/>
          </w:tcPr>
          <w:p>
            <w:pPr>
              <w:spacing w:after="0"/>
              <w:rPr>
                <w:sz w:val="10"/>
                <w:szCs w:val="10"/>
                <w:color w:val="auto"/>
              </w:rPr>
            </w:pPr>
          </w:p>
        </w:tc>
        <w:tc>
          <w:tcPr>
            <w:tcW w:w="7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13,217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13,191</w:t>
            </w:r>
          </w:p>
        </w:tc>
        <w:tc>
          <w:tcPr>
            <w:tcW w:w="2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13,019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3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(PIK 3.50%)</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03/31/2028</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Hotels, Restaurants and Leisure</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L+750</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5,256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5,205</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5,374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34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0"/>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40" w:type="dxa"/>
            <w:vAlign w:val="bottom"/>
            <w:vMerge w:val="continue"/>
          </w:tcPr>
          <w:p>
            <w:pPr>
              <w:spacing w:after="0"/>
              <w:rPr>
                <w:sz w:val="10"/>
                <w:szCs w:val="10"/>
                <w:color w:val="auto"/>
              </w:rPr>
            </w:pPr>
          </w:p>
        </w:tc>
        <w:tc>
          <w:tcPr>
            <w:tcW w:w="780" w:type="dxa"/>
            <w:vAlign w:val="bottom"/>
            <w:gridSpan w:val="2"/>
          </w:tcPr>
          <w:p>
            <w:pPr>
              <w:jc w:val="center"/>
              <w:ind w:left="86"/>
              <w:spacing w:after="0" w:line="125" w:lineRule="exact"/>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1M L+500</w:t>
            </w:r>
          </w:p>
        </w:tc>
        <w:tc>
          <w:tcPr>
            <w:tcW w:w="200" w:type="dxa"/>
            <w:vAlign w:val="bottom"/>
          </w:tcPr>
          <w:p>
            <w:pPr>
              <w:spacing w:after="0"/>
              <w:rPr>
                <w:sz w:val="10"/>
                <w:szCs w:val="10"/>
                <w:color w:val="auto"/>
              </w:rPr>
            </w:pPr>
          </w:p>
        </w:tc>
        <w:tc>
          <w:tcPr>
            <w:tcW w:w="7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6,951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6,951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6,951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10/05/2023</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06/15/2022</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7.75 %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L+675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7,189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7,180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05/31/2024</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2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5.07 %</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17,413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17,082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05/14/2026</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03/16/2026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Diversified Financial Services</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3,483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08/10/2023</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08/10/2027</w:t>
            </w:r>
          </w:p>
        </w:tc>
        <w:tc>
          <w:tcPr>
            <w:tcW w:w="1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17"/>
        </w:trPr>
        <w:tc>
          <w:tcPr>
            <w:tcW w:w="33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0"/>
                <w:szCs w:val="10"/>
                <w:color w:val="auto"/>
              </w:rPr>
            </w:pPr>
          </w:p>
        </w:tc>
        <w:tc>
          <w:tcPr>
            <w:tcW w:w="8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14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20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3,397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12/31/2022</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67"/>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12/31/2026</w:t>
            </w:r>
          </w:p>
        </w:tc>
        <w:tc>
          <w:tcPr>
            <w:tcW w:w="1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12/19/2025</w:t>
            </w:r>
          </w:p>
        </w:tc>
        <w:tc>
          <w:tcPr>
            <w:tcW w:w="14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7.50 %</w:t>
            </w: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8"/>
                <w:szCs w:val="8"/>
                <w:color w:val="auto"/>
              </w:rPr>
            </w:pPr>
          </w:p>
        </w:tc>
        <w:tc>
          <w:tcPr>
            <w:tcW w:w="840" w:type="dxa"/>
            <w:vAlign w:val="bottom"/>
            <w:gridSpan w:val="2"/>
          </w:tcPr>
          <w:p>
            <w:pPr>
              <w:jc w:val="right"/>
              <w:ind w:right="20"/>
              <w:spacing w:after="0" w:line="103" w:lineRule="exact"/>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L+450</w:t>
            </w:r>
          </w:p>
        </w:tc>
        <w:tc>
          <w:tcPr>
            <w:tcW w:w="200" w:type="dxa"/>
            <w:vAlign w:val="bottom"/>
          </w:tcPr>
          <w:p>
            <w:pPr>
              <w:spacing w:after="0"/>
              <w:rPr>
                <w:sz w:val="8"/>
                <w:szCs w:val="8"/>
                <w:color w:val="auto"/>
              </w:rPr>
            </w:pPr>
          </w:p>
        </w:tc>
        <w:tc>
          <w:tcPr>
            <w:tcW w:w="7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7,341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7,296</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7,267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5.50 %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12/10/2024</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35"/>
        </w:trPr>
        <w:tc>
          <w:tcPr>
            <w:tcW w:w="33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09/22/2028</w:t>
            </w:r>
          </w:p>
        </w:tc>
        <w:tc>
          <w:tcPr>
            <w:tcW w:w="1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6.75 %</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09/22/2027</w:t>
            </w:r>
          </w:p>
        </w:tc>
        <w:tc>
          <w:tcPr>
            <w:tcW w:w="1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-7207250</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-6855460</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-6684010</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-6512560</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-6341110</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-6169660</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-5998210</wp:posOffset>
            </wp:positionV>
            <wp:extent cx="713232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-5655310</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-5483860</wp:posOffset>
            </wp:positionV>
            <wp:extent cx="713232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-5235575</wp:posOffset>
            </wp:positionV>
            <wp:extent cx="713232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-5064125</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-4892675</wp:posOffset>
            </wp:positionV>
            <wp:extent cx="713232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-4464050</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-4292600</wp:posOffset>
            </wp:positionV>
            <wp:extent cx="713232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-4121150</wp:posOffset>
            </wp:positionV>
            <wp:extent cx="713232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-3949700</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-3778250</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-3606800</wp:posOffset>
            </wp:positionV>
            <wp:extent cx="713232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-3435350</wp:posOffset>
            </wp:positionV>
            <wp:extent cx="713232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-3263900</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-3092450</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-2749550</wp:posOffset>
            </wp:positionV>
            <wp:extent cx="713232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-2406650</wp:posOffset>
            </wp:positionV>
            <wp:extent cx="713232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-2235200</wp:posOffset>
            </wp:positionV>
            <wp:extent cx="713232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-1806575</wp:posOffset>
            </wp:positionV>
            <wp:extent cx="713232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-1043305</wp:posOffset>
            </wp:positionV>
            <wp:extent cx="713232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4" w:name="page15"/>
    <w:bookmarkEnd w:id="14"/>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34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360" w:type="dxa"/>
            <w:vAlign w:val="bottom"/>
            <w:tcBorders>
              <w:top w:val="single" w:sz="8" w:color="auto"/>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IMIA Holdings, Inc.</w:t>
            </w:r>
          </w:p>
        </w:tc>
        <w:tc>
          <w:tcPr>
            <w:tcW w:w="140" w:type="dxa"/>
            <w:vAlign w:val="bottom"/>
          </w:tcPr>
          <w:p>
            <w:pPr>
              <w:spacing w:after="0"/>
              <w:rPr>
                <w:sz w:val="8"/>
                <w:szCs w:val="8"/>
                <w:color w:val="auto"/>
              </w:rPr>
            </w:pPr>
          </w:p>
        </w:tc>
        <w:tc>
          <w:tcPr>
            <w:tcW w:w="66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5"/>
              </w:rPr>
              <w:t>04/09/2027</w:t>
            </w:r>
          </w:p>
        </w:tc>
        <w:tc>
          <w:tcPr>
            <w:tcW w:w="120" w:type="dxa"/>
            <w:vAlign w:val="bottom"/>
          </w:tcPr>
          <w:p>
            <w:pPr>
              <w:spacing w:after="0"/>
              <w:rPr>
                <w:sz w:val="8"/>
                <w:szCs w:val="8"/>
                <w:color w:val="auto"/>
              </w:rPr>
            </w:pPr>
          </w:p>
        </w:tc>
        <w:tc>
          <w:tcPr>
            <w:tcW w:w="232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6.75</w:t>
            </w:r>
          </w:p>
        </w:tc>
        <w:tc>
          <w:tcPr>
            <w:tcW w:w="220" w:type="dxa"/>
            <w:vAlign w:val="bottom"/>
          </w:tcPr>
          <w:p>
            <w:pPr>
              <w:jc w:val="right"/>
              <w:ind w:right="66"/>
              <w:spacing w:after="0" w:line="97" w:lineRule="exact"/>
              <w:rPr>
                <w:sz w:val="20"/>
                <w:szCs w:val="20"/>
                <w:color w:val="auto"/>
              </w:rPr>
            </w:pPr>
            <w:r>
              <w:rPr>
                <w:rFonts w:ascii="Times New Roman" w:cs="Times New Roman" w:eastAsia="Times New Roman" w:hAnsi="Times New Roman"/>
                <w:sz w:val="11"/>
                <w:szCs w:val="11"/>
                <w:color w:val="auto"/>
                <w:w w:val="86"/>
              </w:rPr>
              <w:t>%</w:t>
            </w:r>
          </w:p>
        </w:tc>
        <w:tc>
          <w:tcPr>
            <w:tcW w:w="7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3M L+600</w:t>
            </w:r>
          </w:p>
        </w:tc>
        <w:tc>
          <w:tcPr>
            <w:tcW w:w="200" w:type="dxa"/>
            <w:vAlign w:val="bottom"/>
          </w:tcPr>
          <w:p>
            <w:pPr>
              <w:spacing w:after="0"/>
              <w:rPr>
                <w:sz w:val="8"/>
                <w:szCs w:val="8"/>
                <w:color w:val="auto"/>
              </w:rPr>
            </w:pP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13,144</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12,904</w:t>
            </w:r>
          </w:p>
        </w:tc>
        <w:tc>
          <w:tcPr>
            <w:tcW w:w="220" w:type="dxa"/>
            <w:vAlign w:val="bottom"/>
          </w:tcPr>
          <w:p>
            <w:pPr>
              <w:spacing w:after="0"/>
              <w:rPr>
                <w:sz w:val="8"/>
                <w:szCs w:val="8"/>
                <w:color w:val="auto"/>
              </w:rPr>
            </w:pPr>
          </w:p>
        </w:tc>
        <w:tc>
          <w:tcPr>
            <w:tcW w:w="240" w:type="dxa"/>
            <w:vAlign w:val="bottom"/>
            <w:tcBorders>
              <w:top w:val="single" w:sz="8" w:color="auto"/>
            </w:tcBorders>
          </w:tcPr>
          <w:p>
            <w:pPr>
              <w:jc w:val="right"/>
              <w:ind w:right="1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12,881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04/09/2027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Innova Medical Ophthalmics Inc. </w:t>
            </w:r>
            <w:r>
              <w:rPr>
                <w:rFonts w:ascii="Times New Roman" w:cs="Times New Roman" w:eastAsia="Times New Roman" w:hAnsi="Times New Roman"/>
                <w:sz w:val="14"/>
                <w:szCs w:val="14"/>
                <w:color w:val="auto"/>
                <w:vertAlign w:val="superscript"/>
              </w:rPr>
              <w:t>(5), (10)</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Innova Medical Ophthalmics Inc. (Revolver) </w:t>
            </w:r>
            <w:r>
              <w:rPr>
                <w:rFonts w:ascii="Times New Roman" w:cs="Times New Roman" w:eastAsia="Times New Roman" w:hAnsi="Times New Roman"/>
                <w:sz w:val="14"/>
                <w:szCs w:val="14"/>
                <w:color w:val="auto"/>
                <w:vertAlign w:val="superscript"/>
              </w:rPr>
              <w:t>(5), (7), (10)</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09/29/2023</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16,167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16,095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16,167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09/29/2023</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07/09/2023</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02/18/2027</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Products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31,662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30,960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31,029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08/16/2026</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08/16/2026</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shd w:val="clear" w:color="auto" w:fill="CCEC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9,487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9,453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8,892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(PIK 5.00%)</w:t>
            </w: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tcPr>
          <w:p>
            <w:pPr>
              <w:spacing w:after="0"/>
              <w:rPr>
                <w:sz w:val="10"/>
                <w:szCs w:val="10"/>
                <w:color w:val="auto"/>
              </w:rPr>
            </w:pPr>
          </w:p>
        </w:tc>
        <w:tc>
          <w:tcPr>
            <w:tcW w:w="23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1,691</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(PIK 5.00%)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29,607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29,160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29,607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Lombart Brothers, Inc.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14,285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14,208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14,285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07/20/2027</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07/31/2028</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5.75 %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66"/>
              <w:spacing w:after="0" w:line="103" w:lineRule="exact"/>
              <w:rPr>
                <w:sz w:val="20"/>
                <w:szCs w:val="20"/>
                <w:color w:val="auto"/>
              </w:rPr>
            </w:pPr>
            <w:r>
              <w:rPr>
                <w:rFonts w:ascii="Times New Roman" w:cs="Times New Roman" w:eastAsia="Times New Roman" w:hAnsi="Times New Roman"/>
                <w:sz w:val="11"/>
                <w:szCs w:val="11"/>
                <w:color w:val="auto"/>
                <w:w w:val="95"/>
              </w:rPr>
              <w:t>05/14/2026</w:t>
            </w:r>
          </w:p>
        </w:tc>
        <w:tc>
          <w:tcPr>
            <w:tcW w:w="120" w:type="dxa"/>
            <w:vAlign w:val="bottom"/>
          </w:tcPr>
          <w:p>
            <w:pPr>
              <w:spacing w:after="0"/>
              <w:rPr>
                <w:sz w:val="8"/>
                <w:szCs w:val="8"/>
                <w:color w:val="auto"/>
              </w:rPr>
            </w:pPr>
          </w:p>
        </w:tc>
        <w:tc>
          <w:tcPr>
            <w:tcW w:w="23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6,113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5,998</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6,052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05/14/2026</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04/16/2027</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25,250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25,029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24,997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09/28/2022</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09/28/2022</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09/28/2022</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09/28/2027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08/19/2026</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07/09/2026</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5.75 %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3,195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3,156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07/09/2023</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07/09/2026</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05/07/2027</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Air Freight and Logistics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8,952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8,779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09/03/2027</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Consumer Finance</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03/27/2024</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Construction and Building</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22,636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22,296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05/18/2026</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10/19/2022</w:t>
            </w: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shd w:val="clear" w:color="auto" w:fill="CCECFF"/>
          </w:tcPr>
          <w:p>
            <w:pPr>
              <w:spacing w:after="0"/>
              <w:rPr>
                <w:sz w:val="12"/>
                <w:szCs w:val="12"/>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5.70 %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5,074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5,037</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20" w:type="dxa"/>
            <w:vAlign w:val="bottom"/>
          </w:tcPr>
          <w:p>
            <w:pPr>
              <w:spacing w:after="0"/>
              <w:rPr>
                <w:sz w:val="10"/>
                <w:szCs w:val="10"/>
                <w:color w:val="auto"/>
              </w:rPr>
            </w:pPr>
          </w:p>
        </w:tc>
        <w:tc>
          <w:tcPr>
            <w:tcW w:w="23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L+1,050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(PIK 11.50%)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Quantic Electronics, LLC</w:t>
            </w:r>
          </w:p>
        </w:tc>
        <w:tc>
          <w:tcPr>
            <w:tcW w:w="800" w:type="dxa"/>
            <w:vAlign w:val="bottom"/>
            <w:gridSpan w:val="2"/>
          </w:tcPr>
          <w:p>
            <w:pPr>
              <w:jc w:val="center"/>
              <w:ind w:left="66"/>
              <w:spacing w:after="0" w:line="109" w:lineRule="exact"/>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9"/>
                <w:szCs w:val="9"/>
                <w:color w:val="auto"/>
              </w:rPr>
            </w:pPr>
          </w:p>
        </w:tc>
        <w:tc>
          <w:tcPr>
            <w:tcW w:w="23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060" w:type="dxa"/>
            <w:vAlign w:val="bottom"/>
            <w:gridSpan w:val="3"/>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8,716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8,583</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8,542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60" w:type="dxa"/>
            <w:vAlign w:val="bottom"/>
            <w:vMerge w:val="continue"/>
          </w:tcPr>
          <w:p>
            <w:pPr>
              <w:spacing w:after="0"/>
              <w:rPr>
                <w:sz w:val="10"/>
                <w:szCs w:val="10"/>
                <w:color w:val="auto"/>
              </w:rPr>
            </w:pPr>
          </w:p>
        </w:tc>
        <w:tc>
          <w:tcPr>
            <w:tcW w:w="800" w:type="dxa"/>
            <w:vAlign w:val="bottom"/>
            <w:gridSpan w:val="2"/>
          </w:tcPr>
          <w:p>
            <w:pPr>
              <w:jc w:val="center"/>
              <w:ind w:left="66"/>
              <w:spacing w:after="0" w:line="116" w:lineRule="exact"/>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0"/>
                <w:szCs w:val="10"/>
                <w:color w:val="auto"/>
              </w:rPr>
            </w:pPr>
          </w:p>
        </w:tc>
        <w:tc>
          <w:tcPr>
            <w:tcW w:w="23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40" w:type="dxa"/>
            <w:vAlign w:val="bottom"/>
            <w:gridSpan w:val="2"/>
          </w:tcPr>
          <w:p>
            <w:pPr>
              <w:jc w:val="right"/>
              <w:ind w:right="1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2,810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40"/>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60" w:type="dxa"/>
            <w:vAlign w:val="bottom"/>
            <w:vMerge w:val="continue"/>
          </w:tcPr>
          <w:p>
            <w:pPr>
              <w:spacing w:after="0"/>
              <w:rPr>
                <w:sz w:val="10"/>
                <w:szCs w:val="10"/>
                <w:color w:val="auto"/>
              </w:rPr>
            </w:pPr>
          </w:p>
        </w:tc>
        <w:tc>
          <w:tcPr>
            <w:tcW w:w="800" w:type="dxa"/>
            <w:vAlign w:val="bottom"/>
            <w:gridSpan w:val="2"/>
          </w:tcPr>
          <w:p>
            <w:pPr>
              <w:jc w:val="center"/>
              <w:ind w:left="66"/>
              <w:spacing w:after="0" w:line="116" w:lineRule="exact"/>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tcPr>
          <w:p>
            <w:pPr>
              <w:spacing w:after="0"/>
              <w:rPr>
                <w:sz w:val="10"/>
                <w:szCs w:val="10"/>
                <w:color w:val="auto"/>
              </w:rPr>
            </w:pPr>
          </w:p>
        </w:tc>
        <w:tc>
          <w:tcPr>
            <w:tcW w:w="23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40" w:type="dxa"/>
            <w:vAlign w:val="bottom"/>
            <w:gridSpan w:val="2"/>
          </w:tcPr>
          <w:p>
            <w:pPr>
              <w:jc w:val="right"/>
              <w:ind w:right="1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Questex, LLC (Revolver)</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718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09/09/2024</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01/29/2026</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Leisure Products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1,493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1,466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01/29/2026</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06/28/2022</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6,694</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Research Now Group, Inc. and Dynata, LLC</w:t>
            </w:r>
          </w:p>
        </w:tc>
        <w:tc>
          <w:tcPr>
            <w:tcW w:w="80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0"/>
                <w:szCs w:val="10"/>
                <w:color w:val="auto"/>
              </w:rPr>
            </w:pPr>
          </w:p>
        </w:tc>
        <w:tc>
          <w:tcPr>
            <w:tcW w:w="23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6.50 %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17,322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17,099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Riverpoint Medical,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8,115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8,039</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03/10/2025</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16,174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66"/>
              <w:spacing w:after="0" w:line="103" w:lineRule="exact"/>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8"/>
                <w:szCs w:val="8"/>
                <w:color w:val="auto"/>
              </w:rPr>
            </w:pPr>
          </w:p>
        </w:tc>
        <w:tc>
          <w:tcPr>
            <w:tcW w:w="23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7,906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7,796</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7,708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08"/>
        </w:trPr>
        <w:tc>
          <w:tcPr>
            <w:tcW w:w="336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tcPr>
          <w:p>
            <w:pPr>
              <w:jc w:val="center"/>
              <w:ind w:left="66"/>
              <w:spacing w:after="0" w:line="109" w:lineRule="exact"/>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9"/>
                <w:szCs w:val="9"/>
                <w:color w:val="auto"/>
              </w:rPr>
            </w:pPr>
          </w:p>
        </w:tc>
        <w:tc>
          <w:tcPr>
            <w:tcW w:w="23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060" w:type="dxa"/>
            <w:vAlign w:val="bottom"/>
            <w:gridSpan w:val="3"/>
          </w:tcPr>
          <w:p>
            <w:pPr>
              <w:jc w:val="right"/>
              <w:ind w:right="66"/>
              <w:spacing w:after="0" w:line="109" w:lineRule="exact"/>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3,694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3,656</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3,694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6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rPr>
              <w:t>Sargent &amp; Greenleaf Inc. (Revolver)</w:t>
            </w:r>
          </w:p>
        </w:tc>
        <w:tc>
          <w:tcPr>
            <w:tcW w:w="800" w:type="dxa"/>
            <w:vAlign w:val="bottom"/>
            <w:gridSpan w:val="2"/>
          </w:tcPr>
          <w:p>
            <w:pPr>
              <w:jc w:val="center"/>
              <w:ind w:left="66"/>
              <w:spacing w:after="0" w:line="116" w:lineRule="exact"/>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0"/>
                <w:szCs w:val="10"/>
                <w:color w:val="auto"/>
              </w:rPr>
            </w:pPr>
          </w:p>
        </w:tc>
        <w:tc>
          <w:tcPr>
            <w:tcW w:w="23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060" w:type="dxa"/>
            <w:vAlign w:val="bottom"/>
            <w:gridSpan w:val="3"/>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7.00 %</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(7),(9)</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360" w:type="dxa"/>
            <w:vAlign w:val="bottom"/>
            <w:vMerge w:val="continue"/>
          </w:tcPr>
          <w:p>
            <w:pPr>
              <w:spacing w:after="0"/>
              <w:rPr>
                <w:sz w:val="10"/>
                <w:szCs w:val="10"/>
                <w:color w:val="auto"/>
              </w:rPr>
            </w:pPr>
          </w:p>
        </w:tc>
        <w:tc>
          <w:tcPr>
            <w:tcW w:w="800" w:type="dxa"/>
            <w:vAlign w:val="bottom"/>
            <w:gridSpan w:val="2"/>
          </w:tcPr>
          <w:p>
            <w:pPr>
              <w:jc w:val="center"/>
              <w:ind w:left="66"/>
              <w:spacing w:after="0" w:line="116" w:lineRule="exact"/>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0"/>
                <w:szCs w:val="10"/>
                <w:color w:val="auto"/>
              </w:rPr>
            </w:pPr>
          </w:p>
        </w:tc>
        <w:tc>
          <w:tcPr>
            <w:tcW w:w="23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20" w:type="dxa"/>
            <w:vAlign w:val="bottom"/>
          </w:tcPr>
          <w:p>
            <w:pPr>
              <w:spacing w:after="0"/>
              <w:rPr>
                <w:sz w:val="10"/>
                <w:szCs w:val="10"/>
                <w:color w:val="auto"/>
              </w:rPr>
            </w:pPr>
          </w:p>
        </w:tc>
        <w:tc>
          <w:tcPr>
            <w:tcW w:w="940" w:type="dxa"/>
            <w:vAlign w:val="bottom"/>
            <w:gridSpan w:val="2"/>
          </w:tcPr>
          <w:p>
            <w:pPr>
              <w:jc w:val="right"/>
              <w:ind w:right="18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Components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13,377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36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Schlesinger Global, Inc. (Revolver)</w:t>
            </w:r>
          </w:p>
        </w:tc>
        <w:tc>
          <w:tcPr>
            <w:tcW w:w="800" w:type="dxa"/>
            <w:vAlign w:val="bottom"/>
            <w:gridSpan w:val="2"/>
          </w:tcPr>
          <w:p>
            <w:pPr>
              <w:jc w:val="center"/>
              <w:ind w:left="66"/>
              <w:spacing w:after="0" w:line="103" w:lineRule="exact"/>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8"/>
                <w:szCs w:val="8"/>
                <w:color w:val="auto"/>
              </w:rPr>
            </w:pPr>
          </w:p>
        </w:tc>
        <w:tc>
          <w:tcPr>
            <w:tcW w:w="23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1,181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1,181</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1,128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07/14/2025</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Sigma Defense Systems, LLC</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5"/>
              </w:rPr>
              <w:t>IT Services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9.75 %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787</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3"/>
                <w:szCs w:val="13"/>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Systems Holding Company</w:t>
            </w:r>
          </w:p>
        </w:tc>
        <w:tc>
          <w:tcPr>
            <w:tcW w:w="800" w:type="dxa"/>
            <w:vAlign w:val="bottom"/>
            <w:gridSpan w:val="2"/>
          </w:tcPr>
          <w:p>
            <w:pPr>
              <w:jc w:val="center"/>
              <w:ind w:left="66"/>
              <w:spacing w:after="0" w:line="117" w:lineRule="exact"/>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0"/>
                <w:szCs w:val="10"/>
                <w:color w:val="auto"/>
              </w:rPr>
            </w:pPr>
          </w:p>
        </w:tc>
        <w:tc>
          <w:tcPr>
            <w:tcW w:w="23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8.50 %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11,700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11,598</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11,583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12/31/2021</w:t>
            </w:r>
          </w:p>
        </w:tc>
        <w:tc>
          <w:tcPr>
            <w:tcW w:w="12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8.50 %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-7148830</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-6977380</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-6805930</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-6634480</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-6463030</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21259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259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-5777230</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-5091430</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-4234180</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5" w:name="page16"/>
    <w:bookmarkEnd w:id="15"/>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4"/>
                <w:szCs w:val="14"/>
                <w:color w:val="auto"/>
              </w:rPr>
            </w:pPr>
          </w:p>
        </w:tc>
        <w:tc>
          <w:tcPr>
            <w:tcW w:w="92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29"/>
        </w:trPr>
        <w:tc>
          <w:tcPr>
            <w:tcW w:w="32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10/14/2024</w:t>
            </w:r>
          </w:p>
        </w:tc>
        <w:tc>
          <w:tcPr>
            <w:tcW w:w="260" w:type="dxa"/>
            <w:vAlign w:val="bottom"/>
            <w:shd w:val="clear" w:color="auto" w:fill="CCECFF"/>
          </w:tcPr>
          <w:p>
            <w:pPr>
              <w:spacing w:after="0"/>
              <w:rPr>
                <w:sz w:val="11"/>
                <w:szCs w:val="11"/>
                <w:color w:val="auto"/>
              </w:rPr>
            </w:pPr>
          </w:p>
        </w:tc>
        <w:tc>
          <w:tcPr>
            <w:tcW w:w="23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20" w:type="dxa"/>
            <w:vAlign w:val="bottom"/>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2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07/19/2021</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7.00 %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Snak Club,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07/19/2021</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02/26/2025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6.00 %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14,752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02/26/2022</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11.00 %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12/11/2026</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5.33 %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03/01/2026</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7.00 %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03/01/2026</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11/20/2025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Wireless Telecommunication Services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5.50 %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07/18/2025</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7.00 %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07/27/2026</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8.00 %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07/27/2026</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09/16/2024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2,734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08/30/2027</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11/24/2025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03/26/2026</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03/26/2026</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06/16/2025</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7.25 %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06/16/2025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04/01/2028</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6.25 %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04/01/2026</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04/03/2024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5.50 %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 (Revolver)</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04/03/2024</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5.50 %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04/03/2024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08/30/2024</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5.50 %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4,776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06/10/2025</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7.75 %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03/31/2027</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6.75 %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12,147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Wildcat Buyerco, Inc.</w:t>
            </w:r>
          </w:p>
        </w:tc>
        <w:tc>
          <w:tcPr>
            <w:tcW w:w="760" w:type="dxa"/>
            <w:vAlign w:val="bottom"/>
            <w:gridSpan w:val="2"/>
          </w:tcPr>
          <w:p>
            <w:pPr>
              <w:jc w:val="center"/>
              <w:ind w:left="86"/>
              <w:spacing w:after="0" w:line="108" w:lineRule="exact"/>
              <w:rPr>
                <w:sz w:val="20"/>
                <w:szCs w:val="20"/>
                <w:color w:val="auto"/>
              </w:rPr>
            </w:pPr>
            <w:r>
              <w:rPr>
                <w:rFonts w:ascii="Times New Roman" w:cs="Times New Roman" w:eastAsia="Times New Roman" w:hAnsi="Times New Roman"/>
                <w:sz w:val="11"/>
                <w:szCs w:val="11"/>
                <w:color w:val="auto"/>
                <w:w w:val="99"/>
              </w:rPr>
              <w:t>02/27/2026</w:t>
            </w:r>
          </w:p>
        </w:tc>
        <w:tc>
          <w:tcPr>
            <w:tcW w:w="260" w:type="dxa"/>
            <w:vAlign w:val="bottom"/>
          </w:tcPr>
          <w:p>
            <w:pPr>
              <w:spacing w:after="0"/>
              <w:rPr>
                <w:sz w:val="9"/>
                <w:szCs w:val="9"/>
                <w:color w:val="auto"/>
              </w:rPr>
            </w:pPr>
          </w:p>
        </w:tc>
        <w:tc>
          <w:tcPr>
            <w:tcW w:w="23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060" w:type="dxa"/>
            <w:vAlign w:val="bottom"/>
            <w:gridSpan w:val="3"/>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rPr>
              <w:t>6.00 %</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3,057</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3,039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3,042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80" w:type="dxa"/>
            <w:vAlign w:val="bottom"/>
            <w:shd w:val="clear" w:color="auto" w:fill="CCECFF"/>
          </w:tcPr>
          <w:p>
            <w:pPr>
              <w:ind w:left="20"/>
              <w:spacing w:after="0" w:line="112" w:lineRule="exact"/>
              <w:rPr>
                <w:sz w:val="20"/>
                <w:szCs w:val="20"/>
                <w:color w:val="auto"/>
              </w:rPr>
            </w:pPr>
            <w:r>
              <w:rPr>
                <w:rFonts w:ascii="Times New Roman" w:cs="Times New Roman" w:eastAsia="Times New Roman" w:hAnsi="Times New Roman"/>
                <w:sz w:val="9"/>
                <w:szCs w:val="9"/>
                <w:color w:val="auto"/>
              </w:rPr>
              <w:t xml:space="preserve">Wildcat Buyerco, Inc. </w:t>
            </w:r>
            <w:r>
              <w:rPr>
                <w:rFonts w:ascii="Times New Roman" w:cs="Times New Roman" w:eastAsia="Times New Roman" w:hAnsi="Times New Roman"/>
                <w:sz w:val="12"/>
                <w:szCs w:val="12"/>
                <w:color w:val="auto"/>
                <w:vertAlign w:val="superscript"/>
              </w:rPr>
              <w:t>(7), (9)</w:t>
            </w:r>
          </w:p>
        </w:tc>
        <w:tc>
          <w:tcPr>
            <w:tcW w:w="760" w:type="dxa"/>
            <w:vAlign w:val="bottom"/>
            <w:gridSpan w:val="2"/>
            <w:shd w:val="clear" w:color="auto" w:fill="CCECFF"/>
          </w:tcPr>
          <w:p>
            <w:pPr>
              <w:jc w:val="center"/>
              <w:ind w:left="86"/>
              <w:spacing w:after="0" w:line="112" w:lineRule="exact"/>
              <w:rPr>
                <w:sz w:val="20"/>
                <w:szCs w:val="20"/>
                <w:color w:val="auto"/>
              </w:rPr>
            </w:pPr>
            <w:r>
              <w:rPr>
                <w:rFonts w:ascii="Times New Roman" w:cs="Times New Roman" w:eastAsia="Times New Roman" w:hAnsi="Times New Roman"/>
                <w:sz w:val="11"/>
                <w:szCs w:val="11"/>
                <w:color w:val="auto"/>
                <w:w w:val="99"/>
              </w:rPr>
              <w:t>02/27/2022</w:t>
            </w:r>
          </w:p>
        </w:tc>
        <w:tc>
          <w:tcPr>
            <w:tcW w:w="260" w:type="dxa"/>
            <w:vAlign w:val="bottom"/>
            <w:shd w:val="clear" w:color="auto" w:fill="CCECFF"/>
          </w:tcPr>
          <w:p>
            <w:pPr>
              <w:spacing w:after="0"/>
              <w:rPr>
                <w:sz w:val="9"/>
                <w:szCs w:val="9"/>
                <w:color w:val="auto"/>
              </w:rPr>
            </w:pPr>
          </w:p>
        </w:tc>
        <w:tc>
          <w:tcPr>
            <w:tcW w:w="230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shd w:val="clear" w:color="auto" w:fill="CCECFF"/>
          </w:tcPr>
          <w:p>
            <w:pPr>
              <w:spacing w:after="0"/>
              <w:rPr>
                <w:sz w:val="9"/>
                <w:szCs w:val="9"/>
                <w:color w:val="auto"/>
              </w:rPr>
            </w:pPr>
          </w:p>
        </w:tc>
        <w:tc>
          <w:tcPr>
            <w:tcW w:w="920" w:type="dxa"/>
            <w:vAlign w:val="bottom"/>
            <w:gridSpan w:val="2"/>
            <w:shd w:val="clear" w:color="auto" w:fill="CCECFF"/>
          </w:tcPr>
          <w:p>
            <w:pPr>
              <w:jc w:val="right"/>
              <w:ind w:right="166"/>
              <w:spacing w:after="0" w:line="11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2,491</w:t>
            </w:r>
          </w:p>
        </w:tc>
        <w:tc>
          <w:tcPr>
            <w:tcW w:w="2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540" w:type="dxa"/>
            <w:vAlign w:val="bottom"/>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520" w:type="dxa"/>
            <w:vAlign w:val="bottom"/>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80" w:type="dxa"/>
            <w:vAlign w:val="bottom"/>
          </w:tcPr>
          <w:p>
            <w:pPr>
              <w:ind w:left="20"/>
              <w:spacing w:after="0" w:line="108" w:lineRule="exact"/>
              <w:rPr>
                <w:sz w:val="20"/>
                <w:szCs w:val="20"/>
                <w:color w:val="auto"/>
              </w:rPr>
            </w:pPr>
            <w:r>
              <w:rPr>
                <w:rFonts w:ascii="Times New Roman" w:cs="Times New Roman" w:eastAsia="Times New Roman" w:hAnsi="Times New Roman"/>
                <w:sz w:val="9"/>
                <w:szCs w:val="9"/>
                <w:color w:val="auto"/>
              </w:rPr>
              <w:t xml:space="preserve">Wildcat Buyerco, Inc. (Revolver) </w:t>
            </w:r>
            <w:r>
              <w:rPr>
                <w:rFonts w:ascii="Times New Roman" w:cs="Times New Roman" w:eastAsia="Times New Roman" w:hAnsi="Times New Roman"/>
                <w:sz w:val="12"/>
                <w:szCs w:val="12"/>
                <w:color w:val="auto"/>
                <w:vertAlign w:val="superscript"/>
              </w:rPr>
              <w:t>(7), (9)</w:t>
            </w:r>
          </w:p>
        </w:tc>
        <w:tc>
          <w:tcPr>
            <w:tcW w:w="760" w:type="dxa"/>
            <w:vAlign w:val="bottom"/>
            <w:gridSpan w:val="2"/>
          </w:tcPr>
          <w:p>
            <w:pPr>
              <w:jc w:val="center"/>
              <w:ind w:left="86"/>
              <w:spacing w:after="0" w:line="108" w:lineRule="exact"/>
              <w:rPr>
                <w:sz w:val="20"/>
                <w:szCs w:val="20"/>
                <w:color w:val="auto"/>
              </w:rPr>
            </w:pPr>
            <w:r>
              <w:rPr>
                <w:rFonts w:ascii="Times New Roman" w:cs="Times New Roman" w:eastAsia="Times New Roman" w:hAnsi="Times New Roman"/>
                <w:sz w:val="11"/>
                <w:szCs w:val="11"/>
                <w:color w:val="auto"/>
                <w:w w:val="99"/>
              </w:rPr>
              <w:t>02/27/2026</w:t>
            </w:r>
          </w:p>
        </w:tc>
        <w:tc>
          <w:tcPr>
            <w:tcW w:w="260" w:type="dxa"/>
            <w:vAlign w:val="bottom"/>
          </w:tcPr>
          <w:p>
            <w:pPr>
              <w:spacing w:after="0"/>
              <w:rPr>
                <w:sz w:val="9"/>
                <w:szCs w:val="9"/>
                <w:color w:val="auto"/>
              </w:rPr>
            </w:pPr>
          </w:p>
        </w:tc>
        <w:tc>
          <w:tcPr>
            <w:tcW w:w="23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9"/>
                <w:szCs w:val="9"/>
                <w:color w:val="auto"/>
              </w:rPr>
            </w:pPr>
          </w:p>
        </w:tc>
        <w:tc>
          <w:tcPr>
            <w:tcW w:w="920" w:type="dxa"/>
            <w:vAlign w:val="bottom"/>
            <w:gridSpan w:val="2"/>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534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772,799</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764,584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04/23/2025</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15.00 %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(PIK 15.00%)</w:t>
            </w: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11/30/2024</w:t>
            </w:r>
          </w:p>
        </w:tc>
        <w:tc>
          <w:tcPr>
            <w:tcW w:w="26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060" w:type="dxa"/>
            <w:vAlign w:val="bottom"/>
            <w:gridSpan w:val="3"/>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11.00 %</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L+1,000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(PIK 11.00%)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6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02/04/2027</w:t>
            </w:r>
          </w:p>
        </w:tc>
        <w:tc>
          <w:tcPr>
            <w:tcW w:w="260" w:type="dxa"/>
            <w:vAlign w:val="bottom"/>
            <w:tcBorders>
              <w:bottom w:val="single" w:sz="8" w:color="CCECFF"/>
            </w:tcBorders>
            <w:shd w:val="clear" w:color="auto" w:fill="CCECFF"/>
          </w:tcPr>
          <w:p>
            <w:pPr>
              <w:spacing w:after="0"/>
              <w:rPr>
                <w:sz w:val="12"/>
                <w:szCs w:val="12"/>
                <w:color w:val="auto"/>
              </w:rPr>
            </w:pPr>
          </w:p>
        </w:tc>
        <w:tc>
          <w:tcPr>
            <w:tcW w:w="23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tcBorders>
              <w:bottom w:val="single" w:sz="8" w:color="CCECFF"/>
            </w:tcBorders>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11.00 %</w:t>
            </w:r>
          </w:p>
        </w:tc>
        <w:tc>
          <w:tcPr>
            <w:tcW w:w="7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3,343</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shd w:val="clear" w:color="auto" w:fill="CCECFF"/>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Preferred Equity— 1.3%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1,458</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22</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20" w:type="dxa"/>
            <w:vAlign w:val="bottom"/>
            <w:gridSpan w:val="2"/>
            <w:shd w:val="clear" w:color="auto" w:fill="CCEC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11.00 %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12.00 %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UniTek Global Services, Inc. -</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46"/>
              <w:spacing w:after="0" w:line="117" w:lineRule="exact"/>
              <w:rPr>
                <w:sz w:val="20"/>
                <w:szCs w:val="20"/>
                <w:color w:val="auto"/>
              </w:rPr>
            </w:pPr>
            <w:r>
              <w:rPr>
                <w:rFonts w:ascii="Times New Roman" w:cs="Times New Roman" w:eastAsia="Times New Roman" w:hAnsi="Times New Roman"/>
                <w:sz w:val="11"/>
                <w:szCs w:val="11"/>
                <w:color w:val="auto"/>
              </w:rPr>
              <w:t>20.00 %</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343,861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19.00 %</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13.50 %</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top w:val="single" w:sz="8" w:color="auto"/>
              <w:bottom w:val="single" w:sz="8" w:color="auto"/>
            </w:tcBorders>
            <w:shd w:val="clear" w:color="auto" w:fill="CCECFF"/>
          </w:tcPr>
          <w:p>
            <w:pPr>
              <w:spacing w:after="0"/>
              <w:rPr>
                <w:sz w:val="11"/>
                <w:szCs w:val="11"/>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7,016</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8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b w:val="1"/>
                <w:bCs w:val="1"/>
                <w:color w:val="auto"/>
              </w:rPr>
              <w:t xml:space="preserve">Common Equity/Warrants— 16.8% </w:t>
            </w:r>
            <w:r>
              <w:rPr>
                <w:rFonts w:ascii="Times New Roman" w:cs="Times New Roman" w:eastAsia="Times New Roman" w:hAnsi="Times New Roman"/>
                <w:sz w:val="14"/>
                <w:szCs w:val="14"/>
                <w:b w:val="1"/>
                <w:bCs w:val="1"/>
                <w:color w:val="auto"/>
                <w:vertAlign w:val="superscript"/>
              </w:rPr>
              <w:t>(6)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04/10/2024</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0"/>
                <w:szCs w:val="10"/>
                <w:color w:val="auto"/>
              </w:rPr>
            </w:pPr>
          </w:p>
        </w:tc>
        <w:tc>
          <w:tcPr>
            <w:tcW w:w="920" w:type="dxa"/>
            <w:vAlign w:val="bottom"/>
            <w:gridSpan w:val="2"/>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0"/>
                <w:szCs w:val="10"/>
                <w:color w:val="auto"/>
              </w:rPr>
            </w:pPr>
          </w:p>
        </w:tc>
        <w:tc>
          <w:tcPr>
            <w:tcW w:w="2300" w:type="dxa"/>
            <w:vAlign w:val="bottom"/>
            <w:shd w:val="clear" w:color="auto" w:fill="CCECFF"/>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166"/>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13,333</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17" w:lineRule="exact"/>
              <w:rPr>
                <w:sz w:val="20"/>
                <w:szCs w:val="20"/>
                <w:color w:val="auto"/>
              </w:rPr>
            </w:pPr>
            <w:r>
              <w:rPr>
                <w:rFonts w:ascii="Times New Roman" w:cs="Times New Roman" w:eastAsia="Times New Roman" w:hAnsi="Times New Roman"/>
                <w:sz w:val="11"/>
                <w:szCs w:val="11"/>
                <w:color w:val="auto"/>
              </w:rPr>
              <w:t>200</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20" w:type="dxa"/>
            <w:vAlign w:val="bottom"/>
            <w:gridSpan w:val="2"/>
            <w:shd w:val="clear" w:color="auto" w:fill="CCEC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(7), (8)</w:t>
            </w:r>
          </w:p>
        </w:tc>
        <w:tc>
          <w:tcPr>
            <w:tcW w:w="12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3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Parent,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Holdings, LLC </w:t>
            </w:r>
            <w:r>
              <w:rPr>
                <w:rFonts w:ascii="Times New Roman" w:cs="Times New Roman" w:eastAsia="Times New Roman" w:hAnsi="Times New Roman"/>
                <w:sz w:val="14"/>
                <w:szCs w:val="14"/>
                <w:color w:val="auto"/>
                <w:vertAlign w:val="superscript"/>
              </w:rPr>
              <w:t>(7),(8)</w:t>
            </w:r>
          </w:p>
        </w:tc>
        <w:tc>
          <w:tcPr>
            <w:tcW w:w="120" w:type="dxa"/>
            <w:vAlign w:val="bottom"/>
          </w:tcPr>
          <w:p>
            <w:pPr>
              <w:spacing w:after="0"/>
              <w:rPr>
                <w:sz w:val="16"/>
                <w:szCs w:val="16"/>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0" w:type="dxa"/>
            <w:vAlign w:val="bottom"/>
          </w:tcPr>
          <w:p>
            <w:pPr>
              <w:spacing w:after="0"/>
              <w:rPr>
                <w:sz w:val="16"/>
                <w:szCs w:val="16"/>
                <w:color w:val="auto"/>
              </w:rPr>
            </w:pPr>
          </w:p>
        </w:tc>
        <w:tc>
          <w:tcPr>
            <w:tcW w:w="92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-3507105</wp:posOffset>
            </wp:positionV>
            <wp:extent cx="68580" cy="939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-3507105</wp:posOffset>
            </wp:positionV>
            <wp:extent cx="68580" cy="939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-2898140</wp:posOffset>
            </wp:positionV>
            <wp:extent cx="68580" cy="1028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-2898140</wp:posOffset>
            </wp:positionV>
            <wp:extent cx="68580" cy="1028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-1329690</wp:posOffset>
            </wp:positionV>
            <wp:extent cx="68580" cy="939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-1329690</wp:posOffset>
            </wp:positionV>
            <wp:extent cx="68580" cy="939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9398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6" w:name="page17"/>
    <w:bookmarkEnd w:id="16"/>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Delta InvestCo LP (Sigma Defense Systems, LLC) </w:t>
            </w:r>
            <w:r>
              <w:rPr>
                <w:rFonts w:ascii="Times New Roman" w:cs="Times New Roman" w:eastAsia="Times New Roman" w:hAnsi="Times New Roman"/>
                <w:sz w:val="11"/>
                <w:szCs w:val="11"/>
                <w:color w:val="auto"/>
                <w:vertAlign w:val="superscript"/>
              </w:rPr>
              <w:t>(7), (8)</w:t>
            </w:r>
          </w:p>
        </w:tc>
        <w:tc>
          <w:tcPr>
            <w:tcW w:w="120" w:type="dxa"/>
            <w:vAlign w:val="bottom"/>
          </w:tcPr>
          <w:p>
            <w:pPr>
              <w:spacing w:after="0"/>
              <w:rPr>
                <w:sz w:val="8"/>
                <w:szCs w:val="8"/>
                <w:color w:val="auto"/>
              </w:rPr>
            </w:pPr>
          </w:p>
        </w:tc>
        <w:tc>
          <w:tcPr>
            <w:tcW w:w="640" w:type="dxa"/>
            <w:vAlign w:val="bottom"/>
            <w:tcBorders>
              <w:top w:val="single" w:sz="8" w:color="auto"/>
            </w:tcBorders>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8"/>
                <w:szCs w:val="8"/>
                <w:color w:val="auto"/>
              </w:rPr>
            </w:pP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700" w:type="dxa"/>
            <w:vAlign w:val="bottom"/>
            <w:tcBorders>
              <w:top w:val="single" w:sz="8" w:color="auto"/>
            </w:tcBorders>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7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502,435</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502</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8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430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502,435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26"/>
        </w:trPr>
        <w:tc>
          <w:tcPr>
            <w:tcW w:w="34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00" w:type="dxa"/>
            <w:vAlign w:val="bottom"/>
            <w:gridSpan w:val="2"/>
            <w:vMerge w:val="continue"/>
          </w:tcPr>
          <w:p>
            <w:pPr>
              <w:spacing w:after="0"/>
              <w:rPr>
                <w:sz w:val="10"/>
                <w:szCs w:val="10"/>
                <w:color w:val="auto"/>
              </w:rPr>
            </w:pPr>
          </w:p>
        </w:tc>
        <w:tc>
          <w:tcPr>
            <w:tcW w:w="640" w:type="dxa"/>
            <w:vAlign w:val="bottom"/>
          </w:tcPr>
          <w:p>
            <w:pPr>
              <w:ind w:left="520"/>
              <w:spacing w:after="0" w:line="125"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2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2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1"/>
                <w:szCs w:val="11"/>
                <w:color w:val="auto"/>
              </w:rPr>
              <w:t>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251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Times New Roman" w:cs="Times New Roman" w:eastAsia="Times New Roman" w:hAnsi="Times New Roman"/>
                <w:sz w:val="11"/>
                <w:szCs w:val="11"/>
                <w:color w:val="auto"/>
              </w:rPr>
              <w:t>288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6,051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Gauge InfosoftCoInvest, LLC</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2,217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 (8), (9)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Building Products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324,675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IIN Group Holdings, LLC</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Consumer Services</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5,040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JWC/UMA Holdings, L.P. (Urology Management Associates,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Wholesale</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1,381,741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 (Mailsouth Inc.)</w:t>
            </w: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3,988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1,288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802,162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vertAlign w:val="subscript"/>
              </w:rPr>
              <w:t>(8)</w:t>
            </w:r>
            <w:r>
              <w:rPr>
                <w:rFonts w:ascii="Times New Roman" w:cs="Times New Roman" w:eastAsia="Times New Roman" w:hAnsi="Times New Roman"/>
                <w:sz w:val="11"/>
                <w:szCs w:val="11"/>
                <w:color w:val="auto"/>
                <w:w w:val="99"/>
              </w:rPr>
              <w:t xml:space="preserve">OceanSound Discovery Equity, LP (Holdco Sands Intermediate, LLC) </w:t>
            </w:r>
            <w:r>
              <w:rPr>
                <w:rFonts w:ascii="Times New Roman" w:cs="Times New Roman" w:eastAsia="Times New Roman" w:hAnsi="Times New Roman"/>
                <w:sz w:val="14"/>
                <w:szCs w:val="14"/>
                <w:color w:val="auto"/>
                <w:w w:val="99"/>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173,638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1"/>
                <w:szCs w:val="11"/>
                <w:color w:val="auto"/>
              </w:rPr>
              <w:t xml:space="preserve">Oral Surgery (ITC) Holdings, LLC (OIS Management Services,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15,321,693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28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0"/>
                <w:szCs w:val="10"/>
                <w:color w:val="auto"/>
              </w:rPr>
            </w:pPr>
          </w:p>
        </w:tc>
        <w:tc>
          <w:tcPr>
            <w:tcW w:w="640" w:type="dxa"/>
            <w:vAlign w:val="bottom"/>
          </w:tcPr>
          <w:p>
            <w:pPr>
              <w:ind w:left="5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28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28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8"/>
                <w:szCs w:val="8"/>
                <w:color w:val="auto"/>
              </w:rPr>
            </w:pPr>
          </w:p>
        </w:tc>
        <w:tc>
          <w:tcPr>
            <w:tcW w:w="640" w:type="dxa"/>
            <w:vAlign w:val="bottom"/>
          </w:tcPr>
          <w:p>
            <w:pPr>
              <w:ind w:left="5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23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1,178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w:t>
            </w:r>
          </w:p>
        </w:tc>
        <w:tc>
          <w:tcPr>
            <w:tcW w:w="140" w:type="dxa"/>
            <w:vAlign w:val="bottom"/>
          </w:tcPr>
          <w:p>
            <w:pPr>
              <w:spacing w:after="0"/>
              <w:rPr>
                <w:sz w:val="10"/>
                <w:szCs w:val="1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Components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64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41,384</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82,342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w w:val="97"/>
              </w:rPr>
              <w:t>Total Investments in Non-Controlled, Non-Affiliated Portfolio Companies</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824,542</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856,806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Affiliated Portfolio Companies—1.5% </w:t>
            </w:r>
            <w:r>
              <w:rPr>
                <w:rFonts w:ascii="Times New Roman" w:cs="Times New Roman" w:eastAsia="Times New Roman" w:hAnsi="Times New Roman"/>
                <w:sz w:val="13"/>
                <w:szCs w:val="13"/>
                <w:b w:val="1"/>
                <w:bCs w:val="1"/>
                <w:color w:val="auto"/>
                <w:vertAlign w:val="superscript"/>
              </w:rPr>
              <w:t>(3), (4)</w:t>
            </w: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DBI Holdings, LLC, Term Loan B</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02/02/2026</w:t>
            </w:r>
          </w:p>
        </w:tc>
        <w:tc>
          <w:tcPr>
            <w:tcW w:w="260" w:type="dxa"/>
            <w:vAlign w:val="bottom"/>
            <w:shd w:val="clear" w:color="auto" w:fill="CCECFF"/>
          </w:tcPr>
          <w:p>
            <w:pPr>
              <w:spacing w:after="0"/>
              <w:rPr>
                <w:sz w:val="12"/>
                <w:szCs w:val="12"/>
                <w:color w:val="auto"/>
              </w:rPr>
            </w:pPr>
          </w:p>
        </w:tc>
        <w:tc>
          <w:tcPr>
            <w:tcW w:w="23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11.00 %</w:t>
            </w:r>
          </w:p>
        </w:tc>
        <w:tc>
          <w:tcPr>
            <w:tcW w:w="7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DBI Holding, LLC - 1.5 Lien Term Loan </w:t>
            </w:r>
            <w:r>
              <w:rPr>
                <w:rFonts w:ascii="Times New Roman" w:cs="Times New Roman" w:eastAsia="Times New Roman" w:hAnsi="Times New Roman"/>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3.00%)</w:t>
            </w: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05/01/2023</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14.00 %</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14.00%)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5,594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 0.4% </w:t>
            </w:r>
            <w:r>
              <w:rPr>
                <w:rFonts w:ascii="Times New Roman" w:cs="Times New Roman" w:eastAsia="Times New Roman" w:hAnsi="Times New Roman"/>
                <w:sz w:val="11"/>
                <w:szCs w:val="11"/>
                <w:b w:val="1"/>
                <w:bCs w:val="1"/>
                <w:color w:val="auto"/>
                <w:vertAlign w:val="superscript"/>
              </w:rPr>
              <w:t>(6)</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14.00 %</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9,414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16,455</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1,839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0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 0.0% </w:t>
            </w:r>
            <w:r>
              <w:rPr>
                <w:rFonts w:ascii="Times New Roman" w:cs="Times New Roman" w:eastAsia="Times New Roman" w:hAnsi="Times New Roman"/>
                <w:sz w:val="11"/>
                <w:szCs w:val="11"/>
                <w:b w:val="1"/>
                <w:bCs w:val="1"/>
                <w:color w:val="auto"/>
                <w:vertAlign w:val="superscript"/>
              </w:rPr>
              <w:t>(6)</w:t>
            </w: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(8)</w:t>
            </w:r>
          </w:p>
        </w:tc>
        <w:tc>
          <w:tcPr>
            <w:tcW w:w="64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1,489,508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Common Equity</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34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6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22,380</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-6454140</wp:posOffset>
            </wp:positionV>
            <wp:extent cx="20828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-6360160</wp:posOffset>
            </wp:positionV>
            <wp:extent cx="7132320" cy="857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-6111240</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-5939790</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-5682615</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-5511165</wp:posOffset>
            </wp:positionV>
            <wp:extent cx="713232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-5339715</wp:posOffset>
            </wp:positionV>
            <wp:extent cx="713232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-5082540</wp:posOffset>
            </wp:positionV>
            <wp:extent cx="713232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-4825365</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-4396740</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-3882390</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-3488055</wp:posOffset>
            </wp:positionV>
            <wp:extent cx="713232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-2802255</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-2287905</wp:posOffset>
            </wp:positionV>
            <wp:extent cx="7132320" cy="857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2082800" cy="1714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8280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265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3689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7" w:name="page18"/>
    <w:bookmarkEnd w:id="17"/>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00" w:type="dxa"/>
            <w:vAlign w:val="bottom"/>
          </w:tcPr>
          <w:p>
            <w:pPr>
              <w:spacing w:after="0"/>
              <w:rPr>
                <w:sz w:val="10"/>
                <w:szCs w:val="10"/>
                <w:color w:val="auto"/>
              </w:rPr>
            </w:pPr>
          </w:p>
        </w:tc>
        <w:tc>
          <w:tcPr>
            <w:tcW w:w="74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5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4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3"/>
                <w:szCs w:val="13"/>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00" w:type="dxa"/>
            <w:vAlign w:val="bottom"/>
          </w:tcPr>
          <w:p>
            <w:pPr>
              <w:spacing w:after="0"/>
              <w:rPr>
                <w:sz w:val="13"/>
                <w:szCs w:val="13"/>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Companies—44.3% </w:t>
            </w:r>
            <w:r>
              <w:rPr>
                <w:rFonts w:ascii="Times New Roman" w:cs="Times New Roman" w:eastAsia="Times New Roman" w:hAnsi="Times New Roman"/>
                <w:sz w:val="13"/>
                <w:szCs w:val="13"/>
                <w:b w:val="1"/>
                <w:bCs w:val="1"/>
                <w:color w:val="auto"/>
                <w:vertAlign w:val="superscript"/>
              </w:rPr>
              <w:t>(3), (4)</w:t>
            </w: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4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Debt—34.6%</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09/30/2025</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6.25 %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6.25%)</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09/30/2025</w:t>
            </w:r>
          </w:p>
        </w:tc>
        <w:tc>
          <w:tcPr>
            <w:tcW w:w="240" w:type="dxa"/>
            <w:vAlign w:val="bottom"/>
          </w:tcPr>
          <w:p>
            <w:pPr>
              <w:spacing w:after="0"/>
              <w:rPr>
                <w:sz w:val="10"/>
                <w:szCs w:val="10"/>
                <w:color w:val="auto"/>
              </w:rPr>
            </w:pPr>
          </w:p>
        </w:tc>
        <w:tc>
          <w:tcPr>
            <w:tcW w:w="23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w w:val="72"/>
              </w:rPr>
              <w:t>(6)</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82"/>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40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Marketplace Events, LLC</w:t>
            </w:r>
          </w:p>
        </w:tc>
        <w:tc>
          <w:tcPr>
            <w:tcW w:w="6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09/30/2026</w:t>
            </w:r>
          </w:p>
        </w:tc>
        <w:tc>
          <w:tcPr>
            <w:tcW w:w="240" w:type="dxa"/>
            <w:vAlign w:val="bottom"/>
          </w:tcPr>
          <w:p>
            <w:pPr>
              <w:spacing w:after="0"/>
              <w:rPr>
                <w:sz w:val="10"/>
                <w:szCs w:val="10"/>
                <w:color w:val="auto"/>
              </w:rPr>
            </w:pPr>
          </w:p>
        </w:tc>
        <w:tc>
          <w:tcPr>
            <w:tcW w:w="2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1"/>
                <w:szCs w:val="11"/>
                <w:color w:val="auto"/>
              </w:rPr>
              <w:t>0.00 %</w:t>
            </w:r>
          </w:p>
        </w:tc>
        <w:tc>
          <w:tcPr>
            <w:tcW w:w="120" w:type="dxa"/>
            <w:vAlign w:val="bottom"/>
            <w:vMerge w:val="continue"/>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25,542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19,047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25,542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05/06/2024</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8.13 %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163,339</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169,834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4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Interests—9.7%</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6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60,375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47,546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223,714</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217,380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Investments—220.5%</w:t>
            </w:r>
          </w:p>
        </w:tc>
        <w:tc>
          <w:tcPr>
            <w:tcW w:w="6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1,070,636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1,081,619</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Equivalents—10.2%</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49,825</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Equivalents—230.6%</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1,120,461</w:t>
            </w: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1,131,444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0" w:type="dxa"/>
            <w:vAlign w:val="bottom"/>
            <w:tcBorders>
              <w:bottom w:val="single" w:sz="8" w:color="CCECFF"/>
            </w:tcBorders>
            <w:gridSpan w:val="2"/>
            <w:shd w:val="clear" w:color="auto" w:fill="CCEC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Assets—(130.6)%</w:t>
            </w:r>
          </w:p>
        </w:tc>
        <w:tc>
          <w:tcPr>
            <w:tcW w:w="64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30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7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auto"/>
            </w:tcBorders>
            <w:shd w:val="clear" w:color="auto" w:fill="CCECFF"/>
          </w:tcPr>
          <w:p>
            <w:pPr>
              <w:spacing w:after="0"/>
              <w:rPr>
                <w:sz w:val="10"/>
                <w:szCs w:val="10"/>
                <w:color w:val="auto"/>
              </w:rPr>
            </w:pPr>
          </w:p>
        </w:tc>
        <w:tc>
          <w:tcPr>
            <w:tcW w:w="56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(640,833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2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939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-873760</wp:posOffset>
            </wp:positionV>
            <wp:extent cx="68580" cy="1028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028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-685165</wp:posOffset>
            </wp:positionV>
            <wp:extent cx="68580" cy="939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939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68580" cy="1200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17145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0" w:right="20" w:hanging="372"/>
        <w:spacing w:after="0" w:line="229" w:lineRule="auto"/>
        <w:tabs>
          <w:tab w:leader="none" w:pos="38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10" w:lineRule="exact"/>
        <w:rPr>
          <w:rFonts w:ascii="Times New Roman" w:cs="Times New Roman" w:eastAsia="Times New Roman" w:hAnsi="Times New Roman"/>
          <w:sz w:val="16"/>
          <w:szCs w:val="16"/>
          <w:color w:val="auto"/>
          <w:vertAlign w:val="superscript"/>
        </w:rPr>
      </w:pPr>
    </w:p>
    <w:p>
      <w:pPr>
        <w:ind w:left="380" w:right="2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9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Non-income producing securities.</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is held through our Taxable Subsidiary (See Note 1).</w:t>
      </w:r>
    </w:p>
    <w:p>
      <w:pPr>
        <w:spacing w:after="0" w:line="24"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0" w:lineRule="exact"/>
        <w:rPr>
          <w:rFonts w:ascii="Times New Roman" w:cs="Times New Roman" w:eastAsia="Times New Roman" w:hAnsi="Times New Roman"/>
          <w:sz w:val="16"/>
          <w:szCs w:val="16"/>
          <w:color w:val="auto"/>
          <w:vertAlign w:val="superscript"/>
        </w:rPr>
      </w:pPr>
    </w:p>
    <w:p>
      <w:pPr>
        <w:ind w:left="380" w:right="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81% of our total assets and non-qualifying assets represent 19% of our total assets.</w:t>
      </w:r>
    </w:p>
    <w:p>
      <w:pPr>
        <w:ind w:left="380" w:hanging="372"/>
        <w:spacing w:after="0" w:line="19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Par amount is denominated in Canadian Dollars (C$) as denoted.</w:t>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8" w:name="page19"/>
    <w:bookmarkEnd w:id="18"/>
    <w:p>
      <w:pPr>
        <w:ind w:left="326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2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was organized as a Maryland corporation in October 2010. We are a closed-end, externally managed, non-diversified investment company that has elected to be treated as a BDC under the 1940 Act. 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17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32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$300 million at LIBOR (or an alternative risk-free floating interest rate index) plus 225 basis points during the revolving period. The Credit Facility is secured by all of the assets held by Funding I. See Note 10.</w:t>
      </w:r>
    </w:p>
    <w:p>
      <w:pPr>
        <w:spacing w:after="0" w:line="1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connection with the issuance of the 2023 Notes, we have dual listed our common stock on the Tel Aviv Stock Exchange or TASE.</w:t>
      </w:r>
    </w:p>
    <w:p>
      <w:pPr>
        <w:spacing w:after="0" w:line="20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general, unsecured obligations and rank equal in right of payment with all existing and future senior unsecured indebtedness. The 2026 Notes are effectively subordinated to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83"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4"/>
          <w:szCs w:val="14"/>
          <w:color w:val="auto"/>
        </w:rPr>
        <w:t>In April 2021, we formed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June 30, 2022, our capital commitment of $15.3 million is fully funded and we hold 23.08% of the total outstanding Class A Units of PTSF and a 4.99% voting interest in the general partner which manages PTSF.</w:t>
      </w:r>
    </w:p>
    <w:p>
      <w:pPr>
        <w:spacing w:after="0" w:line="164"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4"/>
          <w:szCs w:val="14"/>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On May 5, 2022, we amended the Equity Distribution Agreements to update references from NASDAQ to NYSE and reflect that the agents are now represented by Kirkland &amp; Ellis LLP. The Equity Distribution Agreements, as amended,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350"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4"/>
          <w:szCs w:val="14"/>
          <w:color w:val="auto"/>
        </w:rPr>
        <w:t>During the three months ended June 30, 2022, we issued 136,072 shares of our Common Stock under the ATM Program at a weighted-average price of $13.38 per share, raising $1.8 million of gross proceeds. Net proceeds were $1.8 million after commissions to the Sales Agents on shares sold. During the nine months ended June 30, 2022, we issued 2,464,910 shares of our Common Stock under the ATM Program at a weighted-average price of $13.12 per share, raising $32.3 million of gross proceeds. Net proceeds were $31.9 million after commissions to the Sales Agents on shares sold. As of June 30, 2022, we had $41.3 million available under the ATM Program.</w:t>
      </w:r>
    </w:p>
    <w:p>
      <w:pPr>
        <w:spacing w:after="0" w:line="164" w:lineRule="exact"/>
        <w:rPr>
          <w:sz w:val="20"/>
          <w:szCs w:val="20"/>
          <w:color w:val="auto"/>
        </w:rPr>
      </w:pPr>
    </w:p>
    <w:p>
      <w:pPr>
        <w:jc w:val="both"/>
        <w:ind w:firstLine="372"/>
        <w:spacing w:after="0" w:line="271" w:lineRule="auto"/>
        <w:rPr>
          <w:sz w:val="20"/>
          <w:szCs w:val="20"/>
          <w:color w:val="auto"/>
        </w:rPr>
      </w:pPr>
      <w:r>
        <w:rPr>
          <w:rFonts w:ascii="Times New Roman" w:cs="Times New Roman" w:eastAsia="Times New Roman" w:hAnsi="Times New Roman"/>
          <w:sz w:val="14"/>
          <w:szCs w:val="14"/>
          <w:color w:val="auto"/>
        </w:rPr>
        <w:t>Since inception of the ATM Program through June 30, 2022, we have issued 2,573,564 shares of our Common Stock at a weighted-average price of $13.11, raising $33.7 million of gross proceeds. Net proceeds were $33.2 million after commissions to the Sales Agents on shares sold. We incurred $0.5 million of legal and other offering costs associated with establishing the ATM Program.</w:t>
      </w:r>
    </w:p>
    <w:p>
      <w:pPr>
        <w:spacing w:after="0" w:line="157" w:lineRule="exact"/>
        <w:rPr>
          <w:sz w:val="20"/>
          <w:szCs w:val="20"/>
          <w:color w:val="auto"/>
        </w:rPr>
      </w:pPr>
    </w:p>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219"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novel coronavirus (“COVID-19”),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35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Investment Valuations</w:t>
      </w:r>
    </w:p>
    <w:p>
      <w:pPr>
        <w:spacing w:after="0" w:line="20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71" w:lineRule="exact"/>
        <w:rPr>
          <w:sz w:val="20"/>
          <w:szCs w:val="20"/>
          <w:color w:val="auto"/>
        </w:rPr>
      </w:pPr>
    </w:p>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35" w:lineRule="exact"/>
        <w:rPr>
          <w:sz w:val="20"/>
          <w:szCs w:val="20"/>
          <w:color w:val="auto"/>
        </w:rPr>
      </w:pPr>
    </w:p>
    <w:p>
      <w:pPr>
        <w:ind w:left="840" w:right="20" w:hanging="383"/>
        <w:spacing w:after="0" w:line="282"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6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217" w:lineRule="exact"/>
        <w:rPr>
          <w:rFonts w:ascii="Times New Roman" w:cs="Times New Roman" w:eastAsia="Times New Roman" w:hAnsi="Times New Roman"/>
          <w:sz w:val="14"/>
          <w:szCs w:val="14"/>
          <w:color w:val="auto"/>
        </w:rPr>
      </w:pPr>
    </w:p>
    <w:p>
      <w:pPr>
        <w:jc w:val="both"/>
        <w:ind w:left="84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76" w:lineRule="exact"/>
        <w:rPr>
          <w:rFonts w:ascii="Times New Roman" w:cs="Times New Roman" w:eastAsia="Times New Roman" w:hAnsi="Times New Roman"/>
          <w:sz w:val="14"/>
          <w:szCs w:val="14"/>
          <w:color w:val="auto"/>
        </w:rPr>
      </w:pPr>
    </w:p>
    <w:p>
      <w:pPr>
        <w:jc w:val="both"/>
        <w:ind w:left="84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76" w:lineRule="exact"/>
        <w:rPr>
          <w:rFonts w:ascii="Times New Roman" w:cs="Times New Roman" w:eastAsia="Times New Roman" w:hAnsi="Times New Roman"/>
          <w:sz w:val="14"/>
          <w:szCs w:val="14"/>
          <w:color w:val="auto"/>
        </w:rPr>
      </w:pPr>
    </w:p>
    <w:p>
      <w:pPr>
        <w:ind w:left="840" w:hanging="383"/>
        <w:spacing w:after="0" w:line="282"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Security Transactions, Revenue Recognition, and Realized/Unrealized Gains or Losses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77" w:lineRule="exact"/>
        <w:rPr>
          <w:sz w:val="20"/>
          <w:szCs w:val="20"/>
          <w:color w:val="auto"/>
        </w:rPr>
      </w:pPr>
    </w:p>
    <w:p>
      <w:pPr>
        <w:jc w:val="both"/>
        <w:ind w:firstLine="449"/>
        <w:spacing w:after="0" w:line="250"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2022, we had two portfolio companies on non-accrual, representing 0.9% and 0.1% of our overall portfolio on a cost and fair value basis, respectively. As of September 30, 2021, we had two portfolio companies on non-accrual, representing 2.7% and 2.6% of our overall portfolio on a cost and fair value basis, respectively.</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Income Taxes</w:t>
      </w:r>
    </w:p>
    <w:p>
      <w:pPr>
        <w:spacing w:after="0" w:line="208"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and nine months ended June 30, 2022 and 2021, we recorded a provision for taxes on net investment income of $0.1 million and $0.3 million, respectively, pertaining to federal excise tax.</w:t>
      </w:r>
    </w:p>
    <w:p>
      <w:pPr>
        <w:spacing w:after="0" w:line="16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62"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For the three and nine months ended June 30, 2022, the Company recognized a provision for taxes of zero and $5.3 million, respectively, on unrealized appreciation on investments by the Taxable Subsidiary. For the three and nine months ended June 30,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June 30, 2022 and September 30, 2021, $5.3 million and zero, respectively, was accrued as a deferred tax liability on the Consolidated Statements of Assets and Liabilities relating to unrealized gain on investments. During the three and nine months ended June 30, 2022, the Company paid zero and $1.2 million, respectively, in taxes on realized gains on the sale of investments held by the Taxable Subsidiary, resulting in a $1.2 million prepaid tax asset as of June 30, 2022 included under prepaid expenses and other assets in the consolidated statement of assets and liabilities.</w:t>
      </w:r>
    </w:p>
    <w:p>
      <w:pPr>
        <w:spacing w:after="0" w:line="18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Distributions and Capital Transactions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Capital transactions through offerings of our common stock are recorded when issued and offering costs are charged as a reduction of capital upon issuance of our common stock.</w:t>
      </w:r>
    </w:p>
    <w:p>
      <w:pPr>
        <w:spacing w:after="0" w:line="200" w:lineRule="exact"/>
        <w:rPr>
          <w:sz w:val="20"/>
          <w:szCs w:val="20"/>
          <w:color w:val="auto"/>
        </w:rPr>
      </w:pPr>
    </w:p>
    <w:p>
      <w:pPr>
        <w:ind w:left="460" w:hanging="197"/>
        <w:spacing w:after="0"/>
        <w:tabs>
          <w:tab w:leader="none" w:pos="46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21" w:lineRule="exact"/>
        <w:rPr>
          <w:rFonts w:ascii="Times New Roman" w:cs="Times New Roman" w:eastAsia="Times New Roman" w:hAnsi="Times New Roman"/>
          <w:sz w:val="14"/>
          <w:szCs w:val="14"/>
          <w:b w:val="1"/>
          <w:bCs w:val="1"/>
          <w:i w:val="1"/>
          <w:iCs w:val="1"/>
          <w:color w:val="auto"/>
        </w:rPr>
      </w:pPr>
    </w:p>
    <w:p>
      <w:pPr>
        <w:ind w:left="4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03" w:lineRule="exact"/>
        <w:rPr>
          <w:rFonts w:ascii="Times New Roman" w:cs="Times New Roman" w:eastAsia="Times New Roman" w:hAnsi="Times New Roman"/>
          <w:sz w:val="14"/>
          <w:szCs w:val="14"/>
          <w:b w:val="1"/>
          <w:bCs w:val="1"/>
          <w:i w:val="1"/>
          <w:iCs w:val="1"/>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17" w:lineRule="exact"/>
        <w:rPr>
          <w:rFonts w:ascii="Times New Roman" w:cs="Times New Roman" w:eastAsia="Times New Roman" w:hAnsi="Times New Roman"/>
          <w:sz w:val="14"/>
          <w:szCs w:val="14"/>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Consolidation</w:t>
      </w:r>
    </w:p>
    <w:p>
      <w:pPr>
        <w:spacing w:after="0" w:line="208"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Asset Transfers and Servicing</w:t>
      </w:r>
    </w:p>
    <w:p>
      <w:pPr>
        <w:spacing w:after="0" w:line="208"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(h) Recent Accounting Pronouncements</w:t>
      </w: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6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(a)  Investment Management Agreement</w:t>
      </w:r>
    </w:p>
    <w:p>
      <w:pPr>
        <w:spacing w:after="0" w:line="20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208"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2022, the Investment Adviser earned a base management fee of $3.1 million and $8.9 million respectively, from us. For the three and nine months ended June 30, 2021, the Investment Adviser earned a base management fee of $2.6 million and $7.9 million, respectively, from us.</w:t>
      </w: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90" w:lineRule="exact"/>
        <w:rPr>
          <w:sz w:val="20"/>
          <w:szCs w:val="20"/>
          <w:color w:val="auto"/>
        </w:rPr>
      </w:pPr>
    </w:p>
    <w:p>
      <w:pPr>
        <w:jc w:val="both"/>
        <w:ind w:firstLine="449"/>
        <w:spacing w:after="0" w:line="248"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2022, the Investment Adviser earned $2.6 million and $8.5 million, respectively, in incentive fees on net investment income from us. For the three and nine months ended June 30, 2021, the Investment Adviser earned $1.7 million and $4.7 million, respectively, in incentive fees on net investment income from us.</w:t>
      </w:r>
    </w:p>
    <w:p>
      <w:pPr>
        <w:spacing w:after="0" w:line="173"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fees. For the three and nine months ended June 30, 2022 and 2021, the Investment Adviser did not accrue an incentive fee on capital gains, as calculated under the Investment Management Agreement (as described above).</w:t>
      </w:r>
    </w:p>
    <w:p>
      <w:pPr>
        <w:spacing w:after="0" w:line="13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nine months ended June 30, 2022 and 2021, was zero.</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2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2022, we reimbursed the Administrator approximately $(0.3) million and $0.6 million, respectively, including expenses the Administrator incurred for services described above. For the three and nine months ended June 30, 2021, we reimbursed the Administrator approximately $0.1 million and $0.8 million, respectively, including expenses the Administrator, for services described above.</w:t>
      </w:r>
    </w:p>
    <w:p>
      <w:pPr>
        <w:spacing w:after="0" w:line="1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on matters related to potential or actual investments and transactions, including tax structuring and/or due diligence.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and nine months ended June 30, 2022 and 2021.</w:t>
      </w:r>
    </w:p>
    <w:p>
      <w:pPr>
        <w:spacing w:after="0" w:line="20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and nine months ended June 30, 2022, we sold $16.8 million and $197.2 in investments to PSSL at fair value, respectively, and recognized $(0.1) million and $(0.6) million of net realized losses, respectively, for the same period. For the three and nine months ended June 30, 2021, we sold $98.9 million and $224.1 million in investments to PSSL at fair value, respectively, and recognized $0.3 million and $0.6 million of net realized gains, respectively.</w:t>
      </w:r>
    </w:p>
    <w:p>
      <w:pPr>
        <w:spacing w:after="0" w:line="17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For the three and nine months ended June 30, 2022, we sold no investments to PTSF. For the three and nine months ended June 30, 2021, we sold $81.4 Million in investments to PTSF at fair value and recognized $0.4 million of net realized gains.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2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and nine months ended June 30, 2022 totaled $105.1 million and $554.3 million, respectively. Purchases of investments, including PIK interest, for the three and nine months ended June 30, 2021 totaled $248.8 million and $478.0 million, respectively. Sales and repayments of investments for the three and nine months ended June 30, 2022 totaled $55.0 million and $397.2 million, respectively. Sales and repayments of investments for the three and nine months ended June 30, 2021 totaled $283.3 million and $565.5 million, respectively.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3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881,473</w:t>
            </w:r>
          </w:p>
        </w:tc>
        <w:tc>
          <w:tcPr>
            <w:tcW w:w="2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872,201</w:t>
            </w:r>
          </w:p>
        </w:tc>
        <w:tc>
          <w:tcPr>
            <w:tcW w:w="26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795,263</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793,543</w:t>
            </w:r>
          </w:p>
        </w:tc>
        <w:tc>
          <w:tcPr>
            <w:tcW w:w="100" w:type="dxa"/>
            <w:vAlign w:val="bottom"/>
            <w:shd w:val="clear" w:color="auto" w:fill="CCECFF"/>
          </w:tcPr>
          <w:p>
            <w:pPr>
              <w:spacing w:after="0"/>
              <w:rPr>
                <w:sz w:val="14"/>
                <w:szCs w:val="14"/>
                <w:color w:val="auto"/>
              </w:rPr>
            </w:pPr>
          </w:p>
        </w:tc>
      </w:tr>
      <w:tr>
        <w:trPr>
          <w:trHeight w:val="17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 in PSSL</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140,875</w:t>
            </w:r>
          </w:p>
        </w:tc>
        <w:tc>
          <w:tcPr>
            <w:tcW w:w="100" w:type="dxa"/>
            <w:vAlign w:val="bottom"/>
          </w:tcPr>
          <w:p>
            <w:pPr>
              <w:spacing w:after="0"/>
              <w:rPr>
                <w:sz w:val="15"/>
                <w:szCs w:val="15"/>
                <w:color w:val="auto"/>
              </w:rPr>
            </w:pPr>
          </w:p>
        </w:tc>
      </w:tr>
      <w:tr>
        <w:trPr>
          <w:trHeight w:val="175"/>
        </w:trPr>
        <w:tc>
          <w:tcPr>
            <w:tcW w:w="4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4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8,937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100" w:type="dxa"/>
            <w:vAlign w:val="bottom"/>
            <w:shd w:val="clear" w:color="auto" w:fill="CCECFF"/>
          </w:tcPr>
          <w:p>
            <w:pPr>
              <w:spacing w:after="0"/>
              <w:rPr>
                <w:sz w:val="15"/>
                <w:szCs w:val="15"/>
                <w:color w:val="auto"/>
              </w:rPr>
            </w:pPr>
          </w:p>
        </w:tc>
      </w:tr>
      <w:tr>
        <w:trPr>
          <w:trHeight w:val="175"/>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64,429</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104,644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93,396</w:t>
            </w:r>
          </w:p>
        </w:tc>
        <w:tc>
          <w:tcPr>
            <w:tcW w:w="100" w:type="dxa"/>
            <w:vAlign w:val="bottom"/>
          </w:tcPr>
          <w:p>
            <w:pPr>
              <w:spacing w:after="0"/>
              <w:rPr>
                <w:sz w:val="15"/>
                <w:szCs w:val="15"/>
                <w:color w:val="auto"/>
              </w:rPr>
            </w:pPr>
          </w:p>
        </w:tc>
      </w:tr>
      <w:tr>
        <w:trPr>
          <w:trHeight w:val="175"/>
        </w:trPr>
        <w:tc>
          <w:tcPr>
            <w:tcW w:w="4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 interests in PSSL</w:t>
            </w:r>
          </w:p>
        </w:tc>
        <w:tc>
          <w:tcPr>
            <w:tcW w:w="340" w:type="dxa"/>
            <w:vAlign w:val="bottom"/>
            <w:tcBorders>
              <w:bottom w:val="single" w:sz="8" w:color="auto"/>
            </w:tcBorders>
            <w:shd w:val="clear" w:color="auto" w:fill="CCECFF"/>
          </w:tcPr>
          <w:p>
            <w:pPr>
              <w:spacing w:after="0"/>
              <w:rPr>
                <w:sz w:val="15"/>
                <w:szCs w:val="15"/>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81,506</w:t>
            </w:r>
          </w:p>
        </w:tc>
        <w:tc>
          <w:tcPr>
            <w:tcW w:w="28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58,755</w:t>
            </w:r>
          </w:p>
        </w:tc>
        <w:tc>
          <w:tcPr>
            <w:tcW w:w="260" w:type="dxa"/>
            <w:vAlign w:val="bottom"/>
            <w:tcBorders>
              <w:bottom w:val="single" w:sz="8" w:color="CCECFF"/>
            </w:tcBorders>
            <w:shd w:val="clear" w:color="auto" w:fill="CCECFF"/>
          </w:tcPr>
          <w:p>
            <w:pPr>
              <w:spacing w:after="0"/>
              <w:rPr>
                <w:sz w:val="15"/>
                <w:szCs w:val="15"/>
                <w:color w:val="auto"/>
              </w:rPr>
            </w:pPr>
          </w:p>
        </w:tc>
        <w:tc>
          <w:tcPr>
            <w:tcW w:w="340" w:type="dxa"/>
            <w:vAlign w:val="bottom"/>
            <w:tcBorders>
              <w:bottom w:val="single" w:sz="8" w:color="auto"/>
            </w:tcBorders>
            <w:shd w:val="clear" w:color="auto" w:fill="CCECFF"/>
          </w:tcPr>
          <w:p>
            <w:pPr>
              <w:spacing w:after="0"/>
              <w:rPr>
                <w:sz w:val="15"/>
                <w:szCs w:val="15"/>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60,375</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44,856</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1,218,702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1,226,442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1,070,636</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100" w:type="dxa"/>
            <w:vAlign w:val="bottom"/>
          </w:tcPr>
          <w:p>
            <w:pPr>
              <w:spacing w:after="0"/>
              <w:rPr>
                <w:sz w:val="14"/>
                <w:szCs w:val="14"/>
                <w:color w:val="auto"/>
              </w:rPr>
            </w:pPr>
          </w:p>
        </w:tc>
      </w:tr>
      <w:tr>
        <w:trPr>
          <w:trHeight w:val="169"/>
        </w:trPr>
        <w:tc>
          <w:tcPr>
            <w:tcW w:w="4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40,632</w:t>
            </w:r>
          </w:p>
        </w:tc>
        <w:tc>
          <w:tcPr>
            <w:tcW w:w="28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49,825</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1,259,334</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1,267,058</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1,120,461</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1,131,445</w:t>
            </w:r>
          </w:p>
        </w:tc>
        <w:tc>
          <w:tcPr>
            <w:tcW w:w="100" w:type="dxa"/>
            <w:vAlign w:val="bottom"/>
          </w:tcPr>
          <w:p>
            <w:pPr>
              <w:spacing w:after="0"/>
              <w:rPr>
                <w:sz w:val="14"/>
                <w:szCs w:val="14"/>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-702310</wp:posOffset>
            </wp:positionV>
            <wp:extent cx="76835"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-702310</wp:posOffset>
            </wp:positionV>
            <wp:extent cx="68580"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-702310</wp:posOffset>
            </wp:positionV>
            <wp:extent cx="68580" cy="1289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28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-462280</wp:posOffset>
            </wp:positionV>
            <wp:extent cx="76835"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-462280</wp:posOffset>
            </wp:positionV>
            <wp:extent cx="68580" cy="146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-462280</wp:posOffset>
            </wp:positionV>
            <wp:extent cx="68580"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46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20" w:type="dxa"/>
            <w:vAlign w:val="bottom"/>
          </w:tcPr>
          <w:p>
            <w:pPr>
              <w:spacing w:after="0"/>
              <w:rPr>
                <w:sz w:val="18"/>
                <w:szCs w:val="18"/>
                <w:color w:val="auto"/>
              </w:rPr>
            </w:pPr>
          </w:p>
        </w:tc>
        <w:tc>
          <w:tcPr>
            <w:tcW w:w="18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 xml:space="preserve">June 30, 2022 </w:t>
            </w:r>
            <w:r>
              <w:rPr>
                <w:rFonts w:ascii="Times New Roman" w:cs="Times New Roman" w:eastAsia="Times New Roman" w:hAnsi="Times New Roman"/>
                <w:sz w:val="19"/>
                <w:szCs w:val="19"/>
                <w:b w:val="1"/>
                <w:bCs w:val="1"/>
                <w:color w:val="auto"/>
                <w:vertAlign w:val="superscript"/>
              </w:rPr>
              <w:t>(1)</w:t>
            </w:r>
          </w:p>
        </w:tc>
        <w:tc>
          <w:tcPr>
            <w:tcW w:w="18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xml:space="preserve">September 30, 2021 </w:t>
            </w:r>
            <w:r>
              <w:rPr>
                <w:rFonts w:ascii="Times New Roman" w:cs="Times New Roman" w:eastAsia="Times New Roman" w:hAnsi="Times New Roman"/>
                <w:sz w:val="19"/>
                <w:szCs w:val="19"/>
                <w:b w:val="1"/>
                <w:bCs w:val="1"/>
                <w:color w:val="auto"/>
                <w:vertAlign w:val="superscript"/>
              </w:rPr>
              <w:t>(1)</w:t>
            </w:r>
          </w:p>
        </w:tc>
      </w:tr>
      <w:tr>
        <w:trPr>
          <w:trHeight w:val="169"/>
        </w:trPr>
        <w:tc>
          <w:tcPr>
            <w:tcW w:w="744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120" w:type="dxa"/>
            <w:vAlign w:val="bottom"/>
            <w:shd w:val="clear" w:color="auto" w:fill="CCECFF"/>
          </w:tcPr>
          <w:p>
            <w:pPr>
              <w:spacing w:after="0"/>
              <w:rPr>
                <w:sz w:val="14"/>
                <w:szCs w:val="14"/>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High Tech Industries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IT 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Personal Products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Automobiles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Capital Equipment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Distributors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c>
          <w:tcPr>
            <w:tcW w:w="18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 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Air Freight and Logistics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Building Products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r>
      <w:tr>
        <w:trPr>
          <w:trHeight w:val="176"/>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 Finance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5"/>
                <w:szCs w:val="15"/>
                <w:color w:val="auto"/>
              </w:rPr>
            </w:pP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Internet Software and Services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Leisure Products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8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Textiles, Apparel and Luxury Goods</w:t>
            </w:r>
          </w:p>
        </w:tc>
        <w:tc>
          <w:tcPr>
            <w:tcW w:w="1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8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Wholesale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5"/>
        </w:trPr>
        <w:tc>
          <w:tcPr>
            <w:tcW w:w="74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 Gaming and Leisure</w:t>
            </w:r>
          </w:p>
        </w:tc>
        <w:tc>
          <w:tcPr>
            <w:tcW w:w="120" w:type="dxa"/>
            <w:vAlign w:val="bottom"/>
            <w:shd w:val="clear" w:color="auto" w:fill="CCECFF"/>
          </w:tcPr>
          <w:p>
            <w:pPr>
              <w:spacing w:after="0"/>
              <w:rPr>
                <w:sz w:val="15"/>
                <w:szCs w:val="15"/>
                <w:color w:val="auto"/>
              </w:rPr>
            </w:pPr>
          </w:p>
        </w:tc>
        <w:tc>
          <w:tcPr>
            <w:tcW w:w="18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5"/>
                <w:szCs w:val="15"/>
                <w:color w:val="auto"/>
              </w:rPr>
            </w:pPr>
          </w:p>
        </w:tc>
      </w:tr>
      <w:tr>
        <w:trPr>
          <w:trHeight w:val="175"/>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Media: Advertising, Printing and Publishing</w:t>
            </w:r>
          </w:p>
        </w:tc>
        <w:tc>
          <w:tcPr>
            <w:tcW w:w="120" w:type="dxa"/>
            <w:vAlign w:val="bottom"/>
          </w:tcPr>
          <w:p>
            <w:pPr>
              <w:spacing w:after="0"/>
              <w:rPr>
                <w:sz w:val="15"/>
                <w:szCs w:val="15"/>
                <w:color w:val="auto"/>
              </w:rPr>
            </w:pPr>
          </w:p>
        </w:tc>
        <w:tc>
          <w:tcPr>
            <w:tcW w:w="18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r>
      <w:tr>
        <w:trPr>
          <w:trHeight w:val="175"/>
        </w:trPr>
        <w:tc>
          <w:tcPr>
            <w:tcW w:w="744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120" w:type="dxa"/>
            <w:vAlign w:val="bottom"/>
            <w:tcBorders>
              <w:bottom w:val="single" w:sz="8" w:color="CCECFF"/>
            </w:tcBorders>
            <w:shd w:val="clear" w:color="auto" w:fill="CCECFF"/>
          </w:tcPr>
          <w:p>
            <w:pPr>
              <w:spacing w:after="0"/>
              <w:rPr>
                <w:sz w:val="15"/>
                <w:szCs w:val="15"/>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CECFF"/>
            </w:tcBorders>
            <w:shd w:val="clear" w:color="auto" w:fill="CCECFF"/>
          </w:tcPr>
          <w:p>
            <w:pPr>
              <w:spacing w:after="0"/>
              <w:rPr>
                <w:sz w:val="15"/>
                <w:szCs w:val="15"/>
                <w:color w:val="auto"/>
              </w:rPr>
            </w:pPr>
          </w:p>
        </w:tc>
      </w:tr>
      <w:tr>
        <w:trPr>
          <w:trHeight w:val="169"/>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100 </w:t>
            </w:r>
            <w:r>
              <w:rPr>
                <w:rFonts w:ascii="Times New Roman" w:cs="Times New Roman" w:eastAsia="Times New Roman" w:hAnsi="Times New Roman"/>
                <w:sz w:val="14"/>
                <w:szCs w:val="14"/>
                <w:color w:val="auto"/>
                <w:highlight w:val="white"/>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100 </w:t>
            </w:r>
            <w:r>
              <w:rPr>
                <w:rFonts w:ascii="Times New Roman" w:cs="Times New Roman" w:eastAsia="Times New Roman" w:hAnsi="Times New Roman"/>
                <w:sz w:val="14"/>
                <w:szCs w:val="14"/>
                <w:color w:val="auto"/>
                <w:highlight w:val="white"/>
              </w:rPr>
              <w:t>%</w:t>
            </w:r>
          </w:p>
        </w:tc>
      </w:tr>
      <w:tr>
        <w:trPr>
          <w:trHeight w:val="20"/>
        </w:trPr>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0"/>
        </w:trPr>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7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Excludes investments in PSSL.</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2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2022 and September 30, 2021, PSSL had total assets of $790.3 million and $603.6 million, respectively. As of June 30, 2022, at fair value, the largest investment in a single portfolio company in PSSL was $19.1 million and the five largest investments totaled $86.6 million. As of September 30, 2021, at fair value, the largest investment in a single portfolio company in PSSL was $18.9 million and the five largest investments totaled $84.3 million. PSSL invests in portfolio companies in the same industries in which we may directly invest.</w:t>
      </w:r>
    </w:p>
    <w:p>
      <w:pPr>
        <w:spacing w:after="0" w:line="16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June 30, 2022 and September 30, 2021, we and Kemper owned 87.5% and 12.5%, respectively, of each of the outstanding first lien secured debt and equity interests. As of the same dates, our investment in PSSL consisted of first lien secured debt of $190.2 million (additional $19.9 million unfunded) and $140.9 million (additional $29.4 million unfunded), respectively, and equity interests of $81.5 million (additional $8.5 million unfunded) and $60.4 million (additional $12.6 million unfunded), respectively.</w:t>
      </w:r>
    </w:p>
    <w:p>
      <w:pPr>
        <w:spacing w:after="0" w:line="17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May 2022 PSSL has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ectPr>
          <w:pgSz w:w="11900" w:h="16838" w:orient="portrait"/>
          <w:cols w:equalWidth="0" w:num="1">
            <w:col w:w="11240"/>
          </w:cols>
          <w:pgMar w:left="320" w:top="114"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jc w:val="both"/>
        <w:ind w:right="20" w:firstLine="449"/>
        <w:spacing w:after="0" w:line="256"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4"/>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746,819</w:t>
            </w:r>
          </w:p>
        </w:tc>
        <w:tc>
          <w:tcPr>
            <w:tcW w:w="30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19,126</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32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86,629</w:t>
            </w:r>
          </w:p>
        </w:tc>
        <w:tc>
          <w:tcPr>
            <w:tcW w:w="30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84,287</w:t>
            </w:r>
          </w:p>
        </w:tc>
        <w:tc>
          <w:tcPr>
            <w:tcW w:w="12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382"/>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June 30, 2022 (Par and $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- 1,107.3%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8,910</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8,804</w:t>
            </w:r>
          </w:p>
        </w:tc>
        <w:tc>
          <w:tcPr>
            <w:tcW w:w="460" w:type="dxa"/>
            <w:vAlign w:val="bottom"/>
            <w:gridSpan w:val="2"/>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11/30/2026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9.24 %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6.50 %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11,143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11,073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7.44 %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12/2/2022</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7.39 %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5/16/2024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11/14/2023</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9.74 %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L+325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12,346</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7.58 %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4/10/2025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8/31/2023</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6.91 %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8/5/2025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4"/>
              </w:rPr>
              <w:t>11/3/2025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15,138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7.15 %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6.32 %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12,968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12,783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7.63 %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7.92 %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14,489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11/23/2028</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11/15/2027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6.91 %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8.81 %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9/29/2023</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7.58 %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3/3/2028</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9.67 %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19,124</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11/10/2027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14,391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14,097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9.70 %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7/20/2027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4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9/30/2026</w:t>
            </w:r>
          </w:p>
        </w:tc>
        <w:tc>
          <w:tcPr>
            <w:tcW w:w="12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6.69 %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3/28/2024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6/6/2024</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14,462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7/9/2026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6.95 %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SOFR+475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5/7/2027</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7.92 %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3/27/2024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6.01 %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9.32 %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6.57 %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9,340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11/9/2027</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8.17 %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8.50 %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8.20 %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6.50 %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10,596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1/3/2025</w:t>
            </w: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0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10"/>
                <w:szCs w:val="10"/>
                <w:color w:val="auto"/>
              </w:rPr>
            </w:pPr>
          </w:p>
        </w:tc>
        <w:tc>
          <w:tcPr>
            <w:tcW w:w="760" w:type="dxa"/>
            <w:vAlign w:val="bottom"/>
          </w:tcPr>
          <w:p>
            <w:pPr>
              <w:jc w:val="right"/>
              <w:ind w:right="20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180" w:type="dxa"/>
            <w:vAlign w:val="bottom"/>
            <w:gridSpan w:val="2"/>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shd w:val="clear" w:color="auto" w:fill="CCECFF"/>
          </w:tcPr>
          <w:p>
            <w:pPr>
              <w:spacing w:after="0"/>
              <w:rPr>
                <w:sz w:val="11"/>
                <w:szCs w:val="11"/>
                <w:color w:val="auto"/>
              </w:rPr>
            </w:pPr>
          </w:p>
        </w:tc>
        <w:tc>
          <w:tcPr>
            <w:tcW w:w="23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2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32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8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2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5,348</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2/13/2020</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8.70 %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10.75 %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14,810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5.62 %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11/5/2019</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7.42 %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3/23/2022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7.38 %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6/8/2021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6.92 %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96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System Planning and Analysis, Inc. (f/k/a Management Consulting</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&amp; Research,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12/3/2021</w:t>
            </w:r>
          </w:p>
        </w:tc>
        <w:tc>
          <w:tcPr>
            <w:tcW w:w="26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8.83 %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3/17/2021</w:t>
            </w:r>
          </w:p>
        </w:tc>
        <w:tc>
          <w:tcPr>
            <w:tcW w:w="26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4,356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6/8/2021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10,248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6.85 %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8.06 %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8/26/2021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5/26/2021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7.19 %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7.17 %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2/7/2020</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6.97 %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5/6/2022</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7.67 %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14,990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7/17/2019</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8.76 %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10/21/2021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6.47 %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11/6/2018</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6.75 %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11.00 %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7.95 %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16,741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749,409</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743,558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- 4.4%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4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300" w:type="dxa"/>
            <w:vAlign w:val="bottom"/>
            <w:tcBorders>
              <w:bottom w:val="single" w:sz="8" w:color="CCECFF"/>
            </w:tcBorders>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10.75 %</w:t>
            </w:r>
          </w:p>
        </w:tc>
        <w:tc>
          <w:tcPr>
            <w:tcW w:w="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8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2,959</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2,959</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118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- 1,112.2%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752,368</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- 58.4%</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39,197</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39,197</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—1,170.5%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791,565</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6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(1,070.5)%</w:t>
            </w:r>
          </w:p>
        </w:tc>
        <w:tc>
          <w:tcPr>
            <w:tcW w:w="120" w:type="dxa"/>
            <w:vAlign w:val="bottom"/>
            <w:tcBorders>
              <w:bottom w:val="single" w:sz="8" w:color="CCECFF"/>
            </w:tcBorders>
            <w:shd w:val="clear" w:color="auto" w:fill="CCECFF"/>
          </w:tcPr>
          <w:p>
            <w:pPr>
              <w:spacing w:after="0"/>
              <w:rPr>
                <w:sz w:val="8"/>
                <w:szCs w:val="8"/>
                <w:color w:val="auto"/>
              </w:rPr>
            </w:pPr>
          </w:p>
        </w:tc>
        <w:tc>
          <w:tcPr>
            <w:tcW w:w="6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38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32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auto"/>
            </w:tcBorders>
            <w:shd w:val="clear" w:color="auto" w:fill="CCECFF"/>
          </w:tcPr>
          <w:p>
            <w:pPr>
              <w:spacing w:after="0"/>
              <w:rPr>
                <w:sz w:val="8"/>
                <w:szCs w:val="8"/>
                <w:color w:val="auto"/>
              </w:rPr>
            </w:pPr>
          </w:p>
        </w:tc>
        <w:tc>
          <w:tcPr>
            <w:tcW w:w="54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(718,859</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-1327785</wp:posOffset>
            </wp:positionV>
            <wp:extent cx="6858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179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-1062355</wp:posOffset>
            </wp:positionV>
            <wp:extent cx="68580" cy="1028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-693420</wp:posOffset>
            </wp:positionV>
            <wp:extent cx="68580" cy="1028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028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68580" cy="1200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01" w:lineRule="exact"/>
        <w:rPr>
          <w:sz w:val="20"/>
          <w:szCs w:val="20"/>
          <w:color w:val="auto"/>
        </w:rPr>
      </w:pPr>
    </w:p>
    <w:p>
      <w:pPr>
        <w:jc w:val="both"/>
        <w:ind w:left="380" w:right="120" w:hanging="372"/>
        <w:spacing w:after="0" w:line="234"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spacing w:after="0" w:line="20"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2021 (Par and $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0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8,852</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11/14/2023</w:t>
            </w:r>
          </w:p>
        </w:tc>
        <w:tc>
          <w:tcPr>
            <w:tcW w:w="1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9.50 %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L+850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9.50%)</w:t>
            </w: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Cano Health</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11/23/2027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L+675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9,454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CoolSys,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08/04/2028</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05/22/2026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5.08 %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11/03/2025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03/07/2022</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5,624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3.50%)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03/312028</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06/17/2028</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01/02/2024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Trding Companies &amp; Distributors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12/19/2025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16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L+750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8"/>
              </w:rPr>
              <w:t>02/3/2026</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5,606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Hotel, Gaming and Leisure</w:t>
            </w:r>
          </w:p>
        </w:tc>
        <w:tc>
          <w:tcPr>
            <w:tcW w:w="116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4,411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6.25%)</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Marketplace Events, LLC - Super Priority First Lien Unfunded Term</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08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vertAlign w:val="subscript"/>
              </w:rPr>
              <w:t>Loan</w:t>
            </w:r>
            <w:r>
              <w:rPr>
                <w:rFonts w:ascii="Times New Roman" w:cs="Times New Roman" w:eastAsia="Times New Roman" w:hAnsi="Times New Roman"/>
                <w:sz w:val="6"/>
                <w:szCs w:val="6"/>
                <w:color w:val="auto"/>
              </w:rPr>
              <w:t xml:space="preserve"> (3)(4)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2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Education &amp; Culture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06/06/2024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05/8/2026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5.63 %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10,592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5.32 %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857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7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Spread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346"/>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Above</w:t>
            </w:r>
          </w:p>
        </w:tc>
        <w:tc>
          <w:tcPr>
            <w:tcW w:w="200" w:type="dxa"/>
            <w:vAlign w:val="bottom"/>
          </w:tcPr>
          <w:p>
            <w:pPr>
              <w:spacing w:after="0"/>
              <w:rPr>
                <w:sz w:val="10"/>
                <w:szCs w:val="10"/>
                <w:color w:val="auto"/>
              </w:rPr>
            </w:pPr>
          </w:p>
        </w:tc>
        <w:tc>
          <w:tcPr>
            <w:tcW w:w="1120" w:type="dxa"/>
            <w:vAlign w:val="bottom"/>
            <w:gridSpan w:val="3"/>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7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3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12/23/2025</w:t>
            </w:r>
          </w:p>
        </w:tc>
        <w:tc>
          <w:tcPr>
            <w:tcW w:w="260" w:type="dxa"/>
            <w:vAlign w:val="bottom"/>
            <w:shd w:val="clear" w:color="auto" w:fill="CCECFF"/>
          </w:tcPr>
          <w:p>
            <w:pPr>
              <w:spacing w:after="0"/>
              <w:rPr>
                <w:sz w:val="11"/>
                <w:szCs w:val="11"/>
                <w:color w:val="auto"/>
              </w:rPr>
            </w:pPr>
          </w:p>
        </w:tc>
        <w:tc>
          <w:tcPr>
            <w:tcW w:w="25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2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4,506</w:t>
            </w:r>
          </w:p>
        </w:tc>
        <w:tc>
          <w:tcPr>
            <w:tcW w:w="22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12/11/2026</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5.33 %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03/01/2026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11/20/2025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07/18/2025</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10/31/2025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07/27/2026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09/16/2024</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08/30/2027</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11/24/2025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03/26/2026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06/16/2025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08/27/2024</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11,334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04/03/2024</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1080" w:type="dxa"/>
            <w:vAlign w:val="bottom"/>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08/30/2024</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11,030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03/31/2027</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80" w:type="dxa"/>
            <w:vAlign w:val="bottom"/>
            <w:tcBorders>
              <w:bottom w:val="single" w:sz="8" w:color="CCECFF"/>
            </w:tcBorders>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02/27/2026</w:t>
            </w: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06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558,880</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557,732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7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Second Lien Secured Debt - 10.5%</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7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DBI Intermediate Holdco, LLC, Term Loan B </w:t>
            </w:r>
            <w:r>
              <w:rPr>
                <w:rFonts w:ascii="Times New Roman" w:cs="Times New Roman" w:eastAsia="Times New Roman" w:hAnsi="Times New Roman"/>
                <w:sz w:val="14"/>
                <w:szCs w:val="14"/>
                <w:color w:val="auto"/>
                <w:vertAlign w:val="superscript"/>
              </w:rPr>
              <w:t>(4)</w:t>
            </w:r>
          </w:p>
        </w:tc>
        <w:tc>
          <w:tcPr>
            <w:tcW w:w="1080" w:type="dxa"/>
            <w:vAlign w:val="bottom"/>
            <w:gridSpan w:val="3"/>
          </w:tcPr>
          <w:p>
            <w:pPr>
              <w:jc w:val="center"/>
              <w:ind w:left="406"/>
              <w:spacing w:after="0"/>
              <w:rPr>
                <w:sz w:val="20"/>
                <w:szCs w:val="20"/>
                <w:color w:val="auto"/>
              </w:rPr>
            </w:pPr>
            <w:r>
              <w:rPr>
                <w:rFonts w:ascii="Times New Roman" w:cs="Times New Roman" w:eastAsia="Times New Roman" w:hAnsi="Times New Roman"/>
                <w:sz w:val="11"/>
                <w:szCs w:val="11"/>
                <w:color w:val="auto"/>
                <w:w w:val="99"/>
              </w:rPr>
              <w:t>02/02/2026</w:t>
            </w:r>
          </w:p>
        </w:tc>
        <w:tc>
          <w:tcPr>
            <w:tcW w:w="26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P(IK 9.00%)</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1080" w:type="dxa"/>
            <w:vAlign w:val="bottom"/>
            <w:tcBorders>
              <w:bottom w:val="single" w:sz="8" w:color="CCECFF"/>
            </w:tcBorders>
            <w:gridSpan w:val="3"/>
            <w:shd w:val="clear" w:color="auto" w:fill="CCECFF"/>
          </w:tcPr>
          <w:p>
            <w:pPr>
              <w:jc w:val="center"/>
              <w:ind w:left="406"/>
              <w:spacing w:after="0"/>
              <w:rPr>
                <w:sz w:val="20"/>
                <w:szCs w:val="20"/>
                <w:color w:val="auto"/>
              </w:rPr>
            </w:pPr>
            <w:r>
              <w:rPr>
                <w:rFonts w:ascii="Times New Roman" w:cs="Times New Roman" w:eastAsia="Times New Roman" w:hAnsi="Times New Roman"/>
                <w:sz w:val="11"/>
                <w:szCs w:val="11"/>
                <w:color w:val="auto"/>
                <w:w w:val="99"/>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06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9.50 %</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70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Equity Securities - 3.3%</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(4)</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13.00 %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(4)</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4"/>
                <w:szCs w:val="14"/>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3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12,002</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- 1101.7%</w:t>
            </w:r>
          </w:p>
        </w:tc>
        <w:tc>
          <w:tcPr>
            <w:tcW w:w="3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576,263</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564,783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- 55.3%</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3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28,387</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28,374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—1,157.1%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604,650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0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(1057.1)%</w:t>
            </w:r>
          </w:p>
        </w:tc>
        <w:tc>
          <w:tcPr>
            <w:tcW w:w="34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6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5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60" w:type="dxa"/>
            <w:vAlign w:val="bottom"/>
            <w:tcBorders>
              <w:bottom w:val="single" w:sz="8" w:color="auto"/>
            </w:tcBorders>
            <w:shd w:val="clear" w:color="auto" w:fill="CCECFF"/>
          </w:tcPr>
          <w:p>
            <w:pPr>
              <w:spacing w:after="0"/>
              <w:rPr>
                <w:sz w:val="8"/>
                <w:szCs w:val="8"/>
                <w:color w:val="auto"/>
              </w:rPr>
            </w:pPr>
          </w:p>
        </w:tc>
        <w:tc>
          <w:tcPr>
            <w:tcW w:w="68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(541,893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885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-873760</wp:posOffset>
            </wp:positionV>
            <wp:extent cx="68580" cy="1028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028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-685165</wp:posOffset>
            </wp:positionV>
            <wp:extent cx="68580" cy="939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939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-325120</wp:posOffset>
            </wp:positionV>
            <wp:extent cx="68580" cy="1200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7145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80" w:right="20" w:hanging="372"/>
        <w:spacing w:after="0" w:line="222"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PSSL ($ in thousands):</w:t>
            </w:r>
          </w:p>
        </w:tc>
        <w:tc>
          <w:tcPr>
            <w:tcW w:w="180" w:type="dxa"/>
            <w:vAlign w:val="bottom"/>
          </w:tcPr>
          <w:p>
            <w:pPr>
              <w:spacing w:after="0"/>
              <w:rPr>
                <w:sz w:val="16"/>
                <w:szCs w:val="16"/>
                <w:color w:val="auto"/>
              </w:rPr>
            </w:pPr>
          </w:p>
        </w:tc>
        <w:tc>
          <w:tcPr>
            <w:tcW w:w="16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(cost—$752,368 and $576,263, 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746,819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(cost—$39,197 and $28,387, respectively)</w:t>
            </w: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39,190</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CFF"/>
          </w:tcPr>
          <w:p>
            <w:pPr>
              <w:spacing w:after="0"/>
              <w:rPr>
                <w:sz w:val="14"/>
                <w:szCs w:val="14"/>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790,328</w:t>
            </w:r>
          </w:p>
        </w:tc>
        <w:tc>
          <w:tcPr>
            <w:tcW w:w="3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6,609</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249,500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243,213</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242,757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217,350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0" w:type="dxa"/>
            <w:vAlign w:val="bottom"/>
            <w:tcBorders>
              <w:bottom w:val="single" w:sz="8" w:color="auto"/>
            </w:tcBorders>
            <w:shd w:val="clear" w:color="auto" w:fill="CCECFF"/>
          </w:tcPr>
          <w:p>
            <w:pPr>
              <w:spacing w:after="0"/>
              <w:rPr>
                <w:sz w:val="15"/>
                <w:szCs w:val="15"/>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3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723,179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80" w:type="dxa"/>
            <w:vAlign w:val="bottom"/>
            <w:tcBorders>
              <w:bottom w:val="single" w:sz="8" w:color="auto"/>
            </w:tcBorders>
            <w:shd w:val="clear" w:color="auto" w:fill="CCECFF"/>
          </w:tcPr>
          <w:p>
            <w:pPr>
              <w:spacing w:after="0"/>
              <w:rPr>
                <w:sz w:val="14"/>
                <w:szCs w:val="14"/>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67,149</w:t>
            </w:r>
          </w:p>
        </w:tc>
        <w:tc>
          <w:tcPr>
            <w:tcW w:w="3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51,263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790,328</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-1285240</wp:posOffset>
            </wp:positionV>
            <wp:extent cx="68580" cy="1200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200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-384810</wp:posOffset>
            </wp:positionV>
            <wp:extent cx="68580" cy="1282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282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-144780</wp:posOffset>
            </wp:positionV>
            <wp:extent cx="68580" cy="145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June 30, 2022 and September 30, 2021, PSSL had unfunded commitments to fund investments of $0.6 million and $0.6 million, respectively.</w:t>
      </w:r>
    </w:p>
    <w:p>
      <w:pPr>
        <w:sectPr>
          <w:pgSz w:w="11900" w:h="16838" w:orient="portrait"/>
          <w:cols w:equalWidth="0" w:num="1">
            <w:col w:w="11240"/>
          </w:cols>
          <w:pgMar w:left="320" w:top="114"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PSSL ($ in thousands):</w:t>
            </w:r>
          </w:p>
        </w:tc>
        <w:tc>
          <w:tcPr>
            <w:tcW w:w="120" w:type="dxa"/>
            <w:vAlign w:val="bottom"/>
          </w:tcPr>
          <w:p>
            <w:pPr>
              <w:spacing w:after="0"/>
              <w:rPr>
                <w:sz w:val="16"/>
                <w:szCs w:val="16"/>
                <w:color w:val="auto"/>
              </w:rPr>
            </w:pPr>
          </w:p>
        </w:tc>
        <w:tc>
          <w:tcPr>
            <w:tcW w:w="266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26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36,467</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9,283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2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7,109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2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 currency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currency translations: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(3,403 )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(14,956 )</w:t>
            </w:r>
          </w:p>
        </w:tc>
        <w:tc>
          <w:tcPr>
            <w:tcW w:w="30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(4,679 )</w:t>
            </w:r>
          </w:p>
        </w:tc>
        <w:tc>
          <w:tcPr>
            <w:tcW w:w="0" w:type="dxa"/>
            <w:vAlign w:val="bottom"/>
          </w:tcPr>
          <w:p>
            <w:pPr>
              <w:spacing w:after="0"/>
              <w:rPr>
                <w:sz w:val="1"/>
                <w:szCs w:val="1"/>
                <w:color w:val="auto"/>
              </w:rPr>
            </w:pPr>
          </w:p>
        </w:tc>
      </w:tr>
      <w:tr>
        <w:trPr>
          <w:trHeight w:val="17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(5,232 )</w:t>
            </w:r>
          </w:p>
        </w:tc>
        <w:tc>
          <w:tcPr>
            <w:tcW w:w="1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2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credit facility</w:t>
            </w:r>
          </w:p>
        </w:tc>
        <w:tc>
          <w:tcPr>
            <w:tcW w:w="120" w:type="dxa"/>
            <w:vAlign w:val="bottom"/>
            <w:shd w:val="clear" w:color="auto" w:fill="CCECFF"/>
          </w:tcPr>
          <w:p>
            <w:pPr>
              <w:spacing w:after="0"/>
              <w:rPr>
                <w:sz w:val="11"/>
                <w:szCs w:val="11"/>
                <w:color w:val="auto"/>
              </w:rPr>
            </w:pPr>
          </w:p>
        </w:tc>
        <w:tc>
          <w:tcPr>
            <w:tcW w:w="1180" w:type="dxa"/>
            <w:vAlign w:val="bottom"/>
            <w:gridSpan w:val="2"/>
            <w:vMerge w:val="restart"/>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(5,232 )</w:t>
            </w:r>
          </w:p>
        </w:tc>
        <w:tc>
          <w:tcPr>
            <w:tcW w:w="120" w:type="dxa"/>
            <w:vAlign w:val="bottom"/>
            <w:shd w:val="clear" w:color="auto" w:fill="CCECFF"/>
          </w:tcPr>
          <w:p>
            <w:pPr>
              <w:spacing w:after="0"/>
              <w:rPr>
                <w:sz w:val="11"/>
                <w:szCs w:val="11"/>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4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120" w:type="dxa"/>
            <w:vAlign w:val="bottom"/>
            <w:shd w:val="clear" w:color="auto" w:fill="CCECFF"/>
          </w:tcPr>
          <w:p>
            <w:pPr>
              <w:spacing w:after="0"/>
              <w:rPr>
                <w:sz w:val="15"/>
                <w:szCs w:val="15"/>
                <w:color w:val="auto"/>
              </w:rPr>
            </w:pPr>
          </w:p>
        </w:tc>
        <w:tc>
          <w:tcPr>
            <w:tcW w:w="1180" w:type="dxa"/>
            <w:vAlign w:val="bottom"/>
            <w:gridSpan w:val="2"/>
            <w:vMerge w:val="continue"/>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00" w:type="dxa"/>
            <w:vAlign w:val="bottom"/>
            <w:vMerge w:val="continue"/>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vMerge w:val="continue"/>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vMerge w:val="continue"/>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2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credit facility foreign</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(5,256 )</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(1,483 )</w:t>
            </w:r>
          </w:p>
        </w:tc>
        <w:tc>
          <w:tcPr>
            <w:tcW w:w="28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(8,631 )</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-2142490</wp:posOffset>
            </wp:positionV>
            <wp:extent cx="76835" cy="1289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-2142490</wp:posOffset>
            </wp:positionV>
            <wp:extent cx="68580" cy="1289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-2142490</wp:posOffset>
            </wp:positionV>
            <wp:extent cx="68580" cy="1289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1289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-1456690</wp:posOffset>
            </wp:positionV>
            <wp:extent cx="76835" cy="1289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-1456690</wp:posOffset>
            </wp:positionV>
            <wp:extent cx="68580" cy="1289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-1456690</wp:posOffset>
            </wp:positionV>
            <wp:extent cx="68580" cy="128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1289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-1216660</wp:posOffset>
            </wp:positionV>
            <wp:extent cx="76835" cy="2146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-1216660</wp:posOffset>
            </wp:positionV>
            <wp:extent cx="68580" cy="2146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-1216660</wp:posOffset>
            </wp:positionV>
            <wp:extent cx="68580" cy="2146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2146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-350520</wp:posOffset>
            </wp:positionV>
            <wp:extent cx="76835" cy="2146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-350520</wp:posOffset>
            </wp:positionV>
            <wp:extent cx="68580" cy="2146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-350520</wp:posOffset>
            </wp:positionV>
            <wp:extent cx="68580" cy="21463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2146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 management or incentive fees are payable by PSSL. If any fees were to be charged, they would be separately disclosed in the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2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17" w:lineRule="exact"/>
        <w:rPr>
          <w:sz w:val="20"/>
          <w:szCs w:val="20"/>
          <w:color w:val="auto"/>
        </w:rPr>
      </w:pPr>
    </w:p>
    <w:p>
      <w:pPr>
        <w:ind w:left="300"/>
        <w:spacing w:after="0"/>
        <w:tabs>
          <w:tab w:leader="none" w:pos="152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540" w:right="300" w:hanging="1241"/>
        <w:spacing w:after="0" w:line="242" w:lineRule="auto"/>
        <w:tabs>
          <w:tab w:leader="none" w:pos="152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96" w:lineRule="exact"/>
        <w:rPr>
          <w:sz w:val="20"/>
          <w:szCs w:val="20"/>
          <w:color w:val="auto"/>
        </w:rPr>
      </w:pPr>
    </w:p>
    <w:p>
      <w:pPr>
        <w:jc w:val="both"/>
        <w:ind w:left="1540" w:right="300" w:hanging="1241"/>
        <w:spacing w:after="0" w:line="250" w:lineRule="auto"/>
        <w:tabs>
          <w:tab w:leader="none" w:pos="152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32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6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8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5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81"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 ($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w:t>
            </w:r>
          </w:p>
        </w:tc>
        <w:tc>
          <w:tcPr>
            <w:tcW w:w="2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101,193</w:t>
            </w:r>
          </w:p>
        </w:tc>
        <w:tc>
          <w:tcPr>
            <w:tcW w:w="28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19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7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961,189</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7.4% - 21.8% (10.1%)</w:t>
            </w:r>
          </w:p>
        </w:tc>
        <w:tc>
          <w:tcPr>
            <w:tcW w:w="0" w:type="dxa"/>
            <w:vAlign w:val="bottom"/>
          </w:tcPr>
          <w:p>
            <w:pPr>
              <w:spacing w:after="0"/>
              <w:rPr>
                <w:sz w:val="1"/>
                <w:szCs w:val="1"/>
                <w:color w:val="auto"/>
              </w:rPr>
            </w:pPr>
          </w:p>
        </w:tc>
      </w:tr>
      <w:tr>
        <w:trPr>
          <w:trHeight w:val="176"/>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5.3x</w:t>
            </w:r>
          </w:p>
        </w:tc>
        <w:tc>
          <w:tcPr>
            <w:tcW w:w="0" w:type="dxa"/>
            <w:vAlign w:val="bottom"/>
          </w:tcPr>
          <w:p>
            <w:pPr>
              <w:spacing w:after="0"/>
              <w:rPr>
                <w:sz w:val="1"/>
                <w:szCs w:val="1"/>
                <w:color w:val="auto"/>
              </w:rPr>
            </w:pPr>
          </w:p>
        </w:tc>
      </w:tr>
      <w:tr>
        <w:trPr>
          <w:trHeight w:val="176"/>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89,875</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3.4x - 21.5x (12.5x)</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DLOM</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9"/>
              </w:rPr>
              <w:t>1,157,135</w:t>
            </w:r>
          </w:p>
        </w:tc>
        <w:tc>
          <w:tcPr>
            <w:tcW w:w="28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9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Debt Category</w:t>
            </w:r>
          </w:p>
        </w:tc>
        <w:tc>
          <w:tcPr>
            <w:tcW w:w="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6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ind w:right="9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253,443</w:t>
            </w:r>
          </w:p>
        </w:tc>
        <w:tc>
          <w:tcPr>
            <w:tcW w:w="28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7"/>
                <w:szCs w:val="17"/>
                <w:color w:val="auto"/>
              </w:rPr>
            </w:pPr>
          </w:p>
        </w:tc>
        <w:tc>
          <w:tcPr>
            <w:tcW w:w="190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tcBorders>
              <w:bottom w:val="single" w:sz="8" w:color="CCECFF"/>
            </w:tcBorders>
            <w:gridSpan w:val="2"/>
            <w:shd w:val="clear" w:color="auto" w:fill="CCECFF"/>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32"/>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24"/>
                <w:szCs w:val="24"/>
                <w:color w:val="auto"/>
              </w:rPr>
            </w:pP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September</w:t>
            </w:r>
          </w:p>
        </w:tc>
        <w:tc>
          <w:tcPr>
            <w:tcW w:w="280" w:type="dxa"/>
            <w:vAlign w:val="bottom"/>
          </w:tcPr>
          <w:p>
            <w:pPr>
              <w:spacing w:after="0"/>
              <w:rPr>
                <w:sz w:val="24"/>
                <w:szCs w:val="24"/>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24"/>
                <w:szCs w:val="24"/>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69"/>
        </w:trPr>
        <w:tc>
          <w:tcPr>
            <w:tcW w:w="3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1100" w:type="dxa"/>
            <w:vAlign w:val="bottom"/>
            <w:tcBorders>
              <w:top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177,480</w:t>
            </w:r>
          </w:p>
        </w:tc>
        <w:tc>
          <w:tcPr>
            <w:tcW w:w="280" w:type="dxa"/>
            <w:vAlign w:val="bottom"/>
          </w:tcPr>
          <w:p>
            <w:pPr>
              <w:spacing w:after="0"/>
              <w:rPr>
                <w:sz w:val="14"/>
                <w:szCs w:val="14"/>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4"/>
                <w:szCs w:val="14"/>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4"/>
                <w:szCs w:val="14"/>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754,004</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5.6% – 13.0% (7.5%)</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 – 14.0% (11.8%)</w:t>
            </w:r>
          </w:p>
        </w:tc>
        <w:tc>
          <w:tcPr>
            <w:tcW w:w="0" w:type="dxa"/>
            <w:vAlign w:val="bottom"/>
          </w:tcPr>
          <w:p>
            <w:pPr>
              <w:spacing w:after="0"/>
              <w:rPr>
                <w:sz w:val="1"/>
                <w:szCs w:val="1"/>
                <w:color w:val="auto"/>
              </w:rPr>
            </w:pPr>
          </w:p>
        </w:tc>
      </w:tr>
      <w:tr>
        <w:trPr>
          <w:trHeight w:val="17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2,934</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1.8x</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5.4x</w:t>
            </w:r>
          </w:p>
        </w:tc>
        <w:tc>
          <w:tcPr>
            <w:tcW w:w="0" w:type="dxa"/>
            <w:vAlign w:val="bottom"/>
          </w:tcPr>
          <w:p>
            <w:pPr>
              <w:spacing w:after="0"/>
              <w:rPr>
                <w:sz w:val="1"/>
                <w:szCs w:val="1"/>
                <w:color w:val="auto"/>
              </w:rPr>
            </w:pPr>
          </w:p>
        </w:tc>
      </w:tr>
      <w:tr>
        <w:trPr>
          <w:trHeight w:val="17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70,253</w:t>
            </w:r>
          </w:p>
        </w:tc>
        <w:tc>
          <w:tcPr>
            <w:tcW w:w="28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4.7x – 18.5x (11.5x)</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2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DLOM</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9"/>
              </w:rPr>
              <w:t>1,021,189</w:t>
            </w:r>
          </w:p>
        </w:tc>
        <w:tc>
          <w:tcPr>
            <w:tcW w:w="28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9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17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Debt Category</w:t>
            </w:r>
          </w:p>
        </w:tc>
        <w:tc>
          <w:tcPr>
            <w:tcW w:w="1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6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ind w:right="9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218,852</w:t>
            </w:r>
          </w:p>
        </w:tc>
        <w:tc>
          <w:tcPr>
            <w:tcW w:w="28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7"/>
                <w:szCs w:val="17"/>
                <w:color w:val="auto"/>
              </w:rPr>
            </w:pPr>
          </w:p>
        </w:tc>
        <w:tc>
          <w:tcPr>
            <w:tcW w:w="1900" w:type="dxa"/>
            <w:vAlign w:val="bottom"/>
            <w:tcBorders>
              <w:bottom w:val="single" w:sz="8" w:color="CCECFF"/>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tcBorders>
              <w:bottom w:val="single" w:sz="8" w:color="CCECFF"/>
            </w:tcBorders>
            <w:gridSpan w:val="2"/>
            <w:shd w:val="clear" w:color="auto" w:fill="CCECFF"/>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-1851025</wp:posOffset>
            </wp:positionV>
            <wp:extent cx="77470" cy="1631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-1576705</wp:posOffset>
            </wp:positionV>
            <wp:extent cx="774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-1559560</wp:posOffset>
            </wp:positionV>
            <wp:extent cx="774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-299720</wp:posOffset>
            </wp:positionV>
            <wp:extent cx="77470"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774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1"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p>
      <w:pPr>
        <w:ind w:right="40" w:firstLine="449"/>
        <w:spacing w:after="0" w:line="302" w:lineRule="auto"/>
        <w:rPr>
          <w:sz w:val="20"/>
          <w:szCs w:val="20"/>
          <w:color w:val="auto"/>
        </w:rPr>
      </w:pPr>
      <w:r>
        <w:rPr>
          <w:rFonts w:ascii="Times New Roman" w:cs="Times New Roman" w:eastAsia="Times New Roman" w:hAnsi="Times New Roman"/>
          <w:sz w:val="14"/>
          <w:szCs w:val="14"/>
          <w:color w:val="auto"/>
        </w:rPr>
        <w:t>Our investments, cash and cash equivalents, Credit Facility or Prior Credit Facility, as applicable, 2023 Notes, 2026 Notes and 2031 Asset-Backed Debt were categorized as follows in the fair value hierarchy for ASC 820 purposes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Fair Value at June 30, 2022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9"/>
        </w:trPr>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r>
      <w:tr>
        <w:trPr>
          <w:trHeight w:val="202"/>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2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r>
      <w:tr>
        <w:trPr>
          <w:trHeight w:val="169"/>
        </w:trPr>
        <w:tc>
          <w:tcPr>
            <w:tcW w:w="37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1,062,382</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1,062,382</w:t>
            </w:r>
          </w:p>
        </w:tc>
        <w:tc>
          <w:tcPr>
            <w:tcW w:w="2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r>
      <w:tr>
        <w:trPr>
          <w:trHeight w:val="17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38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163,399</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94,092</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69,307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3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1,226,442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69,307</w:t>
            </w:r>
          </w:p>
        </w:tc>
        <w:tc>
          <w:tcPr>
            <w:tcW w:w="100" w:type="dxa"/>
            <w:vAlign w:val="bottom"/>
          </w:tcPr>
          <w:p>
            <w:pPr>
              <w:spacing w:after="0"/>
              <w:rPr>
                <w:sz w:val="14"/>
                <w:szCs w:val="14"/>
                <w:color w:val="auto"/>
              </w:rPr>
            </w:pPr>
          </w:p>
        </w:tc>
      </w:tr>
      <w:tr>
        <w:trPr>
          <w:trHeight w:val="169"/>
        </w:trPr>
        <w:tc>
          <w:tcPr>
            <w:tcW w:w="38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top w:val="single" w:sz="8" w:color="auto"/>
              <w:bottom w:val="single" w:sz="8" w:color="auto"/>
            </w:tcBorders>
            <w:shd w:val="clear" w:color="auto" w:fill="CCECFF"/>
          </w:tcPr>
          <w:p>
            <w:pPr>
              <w:spacing w:after="0"/>
              <w:rPr>
                <w:sz w:val="14"/>
                <w:szCs w:val="14"/>
                <w:color w:val="auto"/>
              </w:rPr>
            </w:pP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3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1,267,058</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40,616</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1,157,135</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69,307</w:t>
            </w:r>
          </w:p>
        </w:tc>
        <w:tc>
          <w:tcPr>
            <w:tcW w:w="100" w:type="dxa"/>
            <w:vAlign w:val="bottom"/>
          </w:tcPr>
          <w:p>
            <w:pPr>
              <w:spacing w:after="0"/>
              <w:rPr>
                <w:sz w:val="14"/>
                <w:szCs w:val="14"/>
                <w:color w:val="auto"/>
              </w:rPr>
            </w:pPr>
          </w:p>
        </w:tc>
      </w:tr>
      <w:tr>
        <w:trPr>
          <w:trHeight w:val="20"/>
        </w:trPr>
        <w:tc>
          <w:tcPr>
            <w:tcW w:w="3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6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0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253,443</w:t>
            </w:r>
          </w:p>
        </w:tc>
        <w:tc>
          <w:tcPr>
            <w:tcW w:w="26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253,443</w:t>
            </w:r>
          </w:p>
        </w:tc>
        <w:tc>
          <w:tcPr>
            <w:tcW w:w="24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r>
      <w:tr>
        <w:trPr>
          <w:trHeight w:val="17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94,717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386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182,082</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182,082</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r>
      <w:tr>
        <w:trPr>
          <w:trHeight w:val="176"/>
        </w:trPr>
        <w:tc>
          <w:tcPr>
            <w:tcW w:w="38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225,970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225,970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209"/>
        </w:trPr>
        <w:tc>
          <w:tcPr>
            <w:tcW w:w="386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756,212</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94,717</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182,082</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479,413</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-976630</wp:posOffset>
            </wp:positionV>
            <wp:extent cx="77470" cy="1289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-976630</wp:posOffset>
            </wp:positionV>
            <wp:extent cx="68580" cy="1289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68580" cy="1289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-976630</wp:posOffset>
            </wp:positionV>
            <wp:extent cx="68580" cy="1289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289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-736600</wp:posOffset>
            </wp:positionV>
            <wp:extent cx="77470" cy="1454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-736600</wp:posOffset>
            </wp:positionV>
            <wp:extent cx="68580" cy="1454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68580" cy="1454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-736600</wp:posOffset>
            </wp:positionV>
            <wp:extent cx="68580" cy="1454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774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380" w:right="360" w:hanging="372"/>
        <w:spacing w:after="0" w:line="212" w:lineRule="auto"/>
        <w:tabs>
          <w:tab w:leader="none" w:pos="3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26" w:lineRule="exact"/>
        <w:rPr>
          <w:rFonts w:ascii="Times New Roman" w:cs="Times New Roman" w:eastAsia="Times New Roman" w:hAnsi="Times New Roman"/>
          <w:sz w:val="16"/>
          <w:szCs w:val="16"/>
          <w:color w:val="auto"/>
          <w:vertAlign w:val="superscript"/>
        </w:rPr>
      </w:pPr>
    </w:p>
    <w:p>
      <w:pPr>
        <w:ind w:left="380" w:right="100" w:hanging="372"/>
        <w:spacing w:after="0" w:line="212" w:lineRule="auto"/>
        <w:tabs>
          <w:tab w:leader="none" w:pos="3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at September 30, 2021</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28"/>
        </w:trPr>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r>
      <w:tr>
        <w:trPr>
          <w:trHeight w:val="20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7"/>
                <w:szCs w:val="17"/>
                <w:color w:val="auto"/>
              </w:rPr>
            </w:pP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2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r>
      <w:tr>
        <w:trPr>
          <w:trHeight w:val="169"/>
        </w:trPr>
        <w:tc>
          <w:tcPr>
            <w:tcW w:w="37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r>
      <w:tr>
        <w:trPr>
          <w:trHeight w:val="175"/>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6"/>
        </w:trPr>
        <w:tc>
          <w:tcPr>
            <w:tcW w:w="38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138,252</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77,822</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3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1,081,619</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100" w:type="dxa"/>
            <w:vAlign w:val="bottom"/>
          </w:tcPr>
          <w:p>
            <w:pPr>
              <w:spacing w:after="0"/>
              <w:rPr>
                <w:sz w:val="14"/>
                <w:szCs w:val="14"/>
                <w:color w:val="auto"/>
              </w:rPr>
            </w:pPr>
          </w:p>
        </w:tc>
      </w:tr>
      <w:tr>
        <w:trPr>
          <w:trHeight w:val="169"/>
        </w:trPr>
        <w:tc>
          <w:tcPr>
            <w:tcW w:w="38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38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1,131,445</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60,430</w:t>
            </w:r>
          </w:p>
        </w:tc>
        <w:tc>
          <w:tcPr>
            <w:tcW w:w="100" w:type="dxa"/>
            <w:vAlign w:val="bottom"/>
          </w:tcPr>
          <w:p>
            <w:pPr>
              <w:spacing w:after="0"/>
              <w:rPr>
                <w:sz w:val="14"/>
                <w:szCs w:val="14"/>
                <w:color w:val="auto"/>
              </w:rPr>
            </w:pPr>
          </w:p>
        </w:tc>
      </w:tr>
      <w:tr>
        <w:trPr>
          <w:trHeight w:val="20"/>
        </w:trPr>
        <w:tc>
          <w:tcPr>
            <w:tcW w:w="3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86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00" w:type="dxa"/>
            <w:vAlign w:val="bottom"/>
            <w:tcBorders>
              <w:top w:val="single" w:sz="8" w:color="auto"/>
            </w:tcBorders>
            <w:shd w:val="clear" w:color="auto" w:fill="CCECFF"/>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218,852</w:t>
            </w:r>
          </w:p>
        </w:tc>
        <w:tc>
          <w:tcPr>
            <w:tcW w:w="26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218,852</w:t>
            </w:r>
          </w:p>
        </w:tc>
        <w:tc>
          <w:tcPr>
            <w:tcW w:w="24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r>
      <w:tr>
        <w:trPr>
          <w:trHeight w:val="17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386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r>
      <w:tr>
        <w:trPr>
          <w:trHeight w:val="175"/>
        </w:trPr>
        <w:tc>
          <w:tcPr>
            <w:tcW w:w="38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225,497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209"/>
        </w:trPr>
        <w:tc>
          <w:tcPr>
            <w:tcW w:w="386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652,633</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111,114</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97,171</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444,349</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-976630</wp:posOffset>
            </wp:positionV>
            <wp:extent cx="77470" cy="1289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-976630</wp:posOffset>
            </wp:positionV>
            <wp:extent cx="68580" cy="1289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-976630</wp:posOffset>
            </wp:positionV>
            <wp:extent cx="68580" cy="1289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-976630</wp:posOffset>
            </wp:positionV>
            <wp:extent cx="68580" cy="1289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289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-736600</wp:posOffset>
            </wp:positionV>
            <wp:extent cx="77470" cy="1454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-736600</wp:posOffset>
            </wp:positionV>
            <wp:extent cx="68580"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68580" cy="1454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-736600</wp:posOffset>
            </wp:positionV>
            <wp:extent cx="68580" cy="1454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380" w:right="80" w:hanging="372"/>
        <w:spacing w:after="0" w:line="212" w:lineRule="auto"/>
        <w:tabs>
          <w:tab w:leader="none" w:pos="3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16"/>
          <w:szCs w:val="16"/>
          <w:color w:val="auto"/>
          <w:vertAlign w:val="superscript"/>
        </w:rPr>
      </w:pPr>
    </w:p>
    <w:p>
      <w:pPr>
        <w:ind w:left="380" w:right="420" w:hanging="372"/>
        <w:spacing w:after="0" w:line="212" w:lineRule="auto"/>
        <w:tabs>
          <w:tab w:leader="none" w:pos="3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2031 Asset-Backed Debt and thus the balance reported in the Consolidated Statement of Assets and Liabilities represents the carrying value, which approximates the fair value.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fair valued investments measured using significant unobservable inputs (Level 3)</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June 30, 2022</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4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69"/>
        </w:trPr>
        <w:tc>
          <w:tcPr>
            <w:tcW w:w="5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300" w:type="dxa"/>
            <w:vAlign w:val="bottom"/>
            <w:tcBorders>
              <w:top w:val="single" w:sz="8" w:color="auto"/>
            </w:tcBorders>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86,771</w:t>
            </w: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realized losses</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(13,106 )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(11,982 )</w:t>
            </w:r>
          </w:p>
        </w:tc>
        <w:tc>
          <w:tcPr>
            <w:tcW w:w="0" w:type="dxa"/>
            <w:vAlign w:val="bottom"/>
          </w:tcPr>
          <w:p>
            <w:pPr>
              <w:spacing w:after="0"/>
              <w:rPr>
                <w:sz w:val="1"/>
                <w:szCs w:val="1"/>
                <w:color w:val="auto"/>
              </w:rPr>
            </w:pPr>
          </w:p>
        </w:tc>
      </w:tr>
      <w:tr>
        <w:trPr>
          <w:trHeight w:val="175"/>
        </w:trPr>
        <w:tc>
          <w:tcPr>
            <w:tcW w:w="51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13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(7,553 )</w:t>
            </w:r>
          </w:p>
        </w:tc>
        <w:tc>
          <w:tcPr>
            <w:tcW w:w="14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539,028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564,073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13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(404,635 )</w:t>
            </w:r>
          </w:p>
        </w:tc>
        <w:tc>
          <w:tcPr>
            <w:tcW w:w="14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(16,368 )</w:t>
            </w:r>
          </w:p>
        </w:tc>
        <w:tc>
          <w:tcPr>
            <w:tcW w:w="30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(421,003 )</w:t>
            </w:r>
          </w:p>
        </w:tc>
        <w:tc>
          <w:tcPr>
            <w:tcW w:w="0" w:type="dxa"/>
            <w:vAlign w:val="bottom"/>
          </w:tcPr>
          <w:p>
            <w:pPr>
              <w:spacing w:after="0"/>
              <w:rPr>
                <w:sz w:val="1"/>
                <w:szCs w:val="1"/>
                <w:color w:val="auto"/>
              </w:rPr>
            </w:pPr>
          </w:p>
        </w:tc>
      </w:tr>
      <w:tr>
        <w:trPr>
          <w:trHeight w:val="176"/>
        </w:trPr>
        <w:tc>
          <w:tcPr>
            <w:tcW w:w="5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440" w:type="dxa"/>
            <w:vAlign w:val="bottom"/>
            <w:tcBorders>
              <w:bottom w:val="single" w:sz="8" w:color="CCECFF"/>
            </w:tcBorders>
            <w:gridSpan w:val="2"/>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1,062,382</w:t>
            </w:r>
          </w:p>
        </w:tc>
        <w:tc>
          <w:tcPr>
            <w:tcW w:w="26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94,753</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1,157,135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516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168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(5,627 )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12,170</w:t>
            </w:r>
          </w:p>
        </w:tc>
        <w:tc>
          <w:tcPr>
            <w:tcW w:w="240" w:type="dxa"/>
            <w:vAlign w:val="bottom"/>
          </w:tcPr>
          <w:p>
            <w:pPr>
              <w:spacing w:after="0"/>
              <w:rPr>
                <w:sz w:val="12"/>
                <w:szCs w:val="12"/>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680" w:type="dxa"/>
            <w:vAlign w:val="bottom"/>
            <w:gridSpan w:val="3"/>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00" w:type="dxa"/>
            <w:vAlign w:val="bottom"/>
            <w:vMerge w:val="restart"/>
          </w:tcPr>
          <w:p>
            <w:pPr>
              <w:jc w:val="right"/>
              <w:ind w:right="688"/>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51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-650875</wp:posOffset>
            </wp:positionV>
            <wp:extent cx="2082800" cy="3340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082800" cy="33401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40976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117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4457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reported within the net change in unrealized</w:t>
      </w:r>
    </w:p>
    <w:p>
      <w:pPr>
        <w:spacing w:after="0" w:line="17" w:lineRule="exact"/>
        <w:rPr>
          <w:sz w:val="20"/>
          <w:szCs w:val="20"/>
          <w:color w:val="auto"/>
        </w:rPr>
      </w:pPr>
    </w:p>
    <w:p>
      <w:pPr>
        <w:ind w:left="120" w:right="1640"/>
        <w:spacing w:after="0" w:line="239" w:lineRule="auto"/>
        <w:rPr>
          <w:sz w:val="20"/>
          <w:szCs w:val="20"/>
          <w:color w:val="auto"/>
        </w:rPr>
      </w:pPr>
      <w:r>
        <w:rPr>
          <w:rFonts w:ascii="Times New Roman" w:cs="Times New Roman" w:eastAsia="Times New Roman" w:hAnsi="Times New Roman"/>
          <w:sz w:val="14"/>
          <w:szCs w:val="14"/>
          <w:color w:val="auto"/>
        </w:rPr>
        <w:t>depreciation on investments in our Consolidated Statements of Operations attributable to our Level 3 assets still held at the reporting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Nine months ended 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28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 w:type="dxa"/>
            <w:vAlign w:val="bottom"/>
            <w:tcBorders>
              <w:top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968,616</w:t>
            </w:r>
          </w:p>
        </w:tc>
        <w:tc>
          <w:tcPr>
            <w:tcW w:w="260" w:type="dxa"/>
            <w:vAlign w:val="bottom"/>
          </w:tcPr>
          <w:p>
            <w:pPr>
              <w:spacing w:after="0"/>
              <w:rPr>
                <w:sz w:val="13"/>
                <w:szCs w:val="13"/>
                <w:color w:val="auto"/>
              </w:rPr>
            </w:pPr>
          </w:p>
        </w:tc>
        <w:tc>
          <w:tcPr>
            <w:tcW w:w="1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78,402</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08"/>
              <w:spacing w:after="0" w:line="160"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1,047,018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(3,798 )</w:t>
            </w:r>
          </w:p>
        </w:tc>
        <w:tc>
          <w:tcPr>
            <w:tcW w:w="14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(10,617 )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(14,415 )</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448,247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(544,240 )</w:t>
            </w:r>
          </w:p>
        </w:tc>
        <w:tc>
          <w:tcPr>
            <w:tcW w:w="14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(21,298 )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(565,538 )</w:t>
            </w: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883,265</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102,091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985,356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11,044</w:t>
            </w:r>
          </w:p>
        </w:tc>
        <w:tc>
          <w:tcPr>
            <w:tcW w:w="2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29,006</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6040" w:space="560"/>
            <w:col w:w="4640"/>
          </w:cols>
          <w:pgMar w:left="320" w:top="114" w:right="339" w:bottom="1440" w:gutter="0" w:footer="0" w:header="0"/>
          <w:type w:val="continuous"/>
        </w:sectPr>
      </w:pPr>
    </w:p>
    <w:p>
      <w:pPr>
        <w:ind w:right="340" w:firstLine="449"/>
        <w:spacing w:after="0" w:line="282" w:lineRule="auto"/>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recognized at fair value and measured using significant unobservable inputs (Level 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60" w:type="dxa"/>
            <w:vAlign w:val="bottom"/>
          </w:tcPr>
          <w:p>
            <w:pPr>
              <w:spacing w:after="0"/>
              <w:rPr>
                <w:sz w:val="16"/>
                <w:szCs w:val="16"/>
                <w:color w:val="auto"/>
              </w:rPr>
            </w:pPr>
          </w:p>
        </w:tc>
        <w:tc>
          <w:tcPr>
            <w:tcW w:w="31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7780" w:type="dxa"/>
            <w:vAlign w:val="bottom"/>
            <w:gridSpan w:val="2"/>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$219,400 and $308,599, respectively)</w:t>
            </w:r>
          </w:p>
        </w:tc>
        <w:tc>
          <w:tcPr>
            <w:tcW w:w="1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218,852</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299,047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(5,663 )</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Borrowings</w:t>
            </w: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147,254</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255,500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Repayments</w:t>
            </w:r>
          </w:p>
        </w:tc>
        <w:tc>
          <w:tcPr>
            <w:tcW w:w="3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(107,000 )</w:t>
            </w: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(430,699 )</w:t>
            </w:r>
          </w:p>
        </w:tc>
        <w:tc>
          <w:tcPr>
            <w:tcW w:w="0" w:type="dxa"/>
            <w:vAlign w:val="bottom"/>
          </w:tcPr>
          <w:p>
            <w:pPr>
              <w:spacing w:after="0"/>
              <w:rPr>
                <w:sz w:val="1"/>
                <w:szCs w:val="1"/>
                <w:color w:val="auto"/>
              </w:rPr>
            </w:pPr>
          </w:p>
        </w:tc>
      </w:tr>
      <w:tr>
        <w:trPr>
          <w:trHeight w:val="176"/>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6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 (cost – $259,277 and $133,400, respectively)</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253,443</w:t>
            </w:r>
          </w:p>
        </w:tc>
        <w:tc>
          <w:tcPr>
            <w:tcW w:w="26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133,066</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-144780</wp:posOffset>
            </wp:positionV>
            <wp:extent cx="68580" cy="1454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3"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As of June 30, 2022, we had outstanding non-U.S. dollar borrowings on our Credit Facility. Net change in fair value from currency translation on outstanding borrowings is listed below ($ in thousands):</w:t>
      </w:r>
    </w:p>
    <w:tbl>
      <w:tblPr>
        <w:tblLayout w:type="fixed"/>
        <w:tblInd w:w="0" w:type="dxa"/>
        <w:tblCellMar>
          <w:top w:w="0" w:type="dxa"/>
          <w:left w:w="0" w:type="dxa"/>
          <w:bottom w:w="0" w:type="dxa"/>
          <w:right w:w="0" w:type="dxa"/>
        </w:tblCellMar>
      </w:tblPr>
      <w:tr>
        <w:trPr>
          <w:trHeight w:val="13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8"/>
              <w:spacing w:after="0" w:line="134"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20" w:type="dxa"/>
            <w:vAlign w:val="bottom"/>
          </w:tcPr>
          <w:p>
            <w:pPr>
              <w:spacing w:after="0"/>
              <w:rPr>
                <w:sz w:val="11"/>
                <w:szCs w:val="11"/>
                <w:color w:val="auto"/>
              </w:rPr>
            </w:pPr>
          </w:p>
        </w:tc>
        <w:tc>
          <w:tcPr>
            <w:tcW w:w="1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4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20" w:type="dxa"/>
            <w:vAlign w:val="bottom"/>
          </w:tcPr>
          <w:p>
            <w:pPr>
              <w:spacing w:after="0"/>
              <w:rPr>
                <w:sz w:val="11"/>
                <w:szCs w:val="11"/>
                <w:color w:val="auto"/>
              </w:rPr>
            </w:pPr>
          </w:p>
        </w:tc>
        <w:tc>
          <w:tcPr>
            <w:tcW w:w="1400" w:type="dxa"/>
            <w:vAlign w:val="bottom"/>
            <w:gridSpan w:val="2"/>
          </w:tcPr>
          <w:p>
            <w:pPr>
              <w:jc w:val="center"/>
              <w:ind w:right="48"/>
              <w:spacing w:after="0" w:line="134"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0" w:type="dxa"/>
            <w:vAlign w:val="bottom"/>
          </w:tcPr>
          <w:p>
            <w:pPr>
              <w:spacing w:after="0"/>
              <w:rPr>
                <w:sz w:val="1"/>
                <w:szCs w:val="1"/>
                <w:color w:val="auto"/>
              </w:rPr>
            </w:pPr>
          </w:p>
        </w:tc>
      </w:tr>
      <w:tr>
        <w:trPr>
          <w:trHeight w:val="187"/>
        </w:trPr>
        <w:tc>
          <w:tcPr>
            <w:tcW w:w="3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37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220" w:type="dxa"/>
            <w:vAlign w:val="bottom"/>
            <w:shd w:val="clear" w:color="auto" w:fill="CCECFF"/>
          </w:tcPr>
          <w:p>
            <w:pPr>
              <w:spacing w:after="0"/>
              <w:rPr>
                <w:sz w:val="14"/>
                <w:szCs w:val="14"/>
                <w:color w:val="auto"/>
              </w:rPr>
            </w:pPr>
          </w:p>
        </w:tc>
        <w:tc>
          <w:tcPr>
            <w:tcW w:w="13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240" w:type="dxa"/>
            <w:vAlign w:val="bottom"/>
            <w:shd w:val="clear" w:color="auto" w:fill="CCECFF"/>
          </w:tcPr>
          <w:p>
            <w:pPr>
              <w:spacing w:after="0"/>
              <w:rPr>
                <w:sz w:val="14"/>
                <w:szCs w:val="14"/>
                <w:color w:val="auto"/>
              </w:rPr>
            </w:pPr>
          </w:p>
        </w:tc>
        <w:tc>
          <w:tcPr>
            <w:tcW w:w="132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7/1/2022</w:t>
            </w:r>
          </w:p>
        </w:tc>
        <w:tc>
          <w:tcPr>
            <w:tcW w:w="120" w:type="dxa"/>
            <w:vAlign w:val="bottom"/>
            <w:shd w:val="clear" w:color="auto" w:fill="CCECFF"/>
          </w:tcPr>
          <w:p>
            <w:pPr>
              <w:spacing w:after="0"/>
              <w:rPr>
                <w:sz w:val="14"/>
                <w:szCs w:val="14"/>
                <w:color w:val="auto"/>
              </w:rPr>
            </w:pPr>
          </w:p>
        </w:tc>
        <w:tc>
          <w:tcPr>
            <w:tcW w:w="13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2021 we did not have any outstanding non-U.S. dollar borrowings on the Credit Facility.</w:t>
      </w:r>
    </w:p>
    <w:p>
      <w:pPr>
        <w:spacing w:after="0" w:line="204"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35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For the three and nine months ended June 30, 2022, the Credit Facility and the 2023 Notes had a net change in unrealized depreciation of less than $0.1 million and $1.3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2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nine months ended June 30, 2022 were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Sale of/</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2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96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0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0" w:type="dxa"/>
            <w:vAlign w:val="bottom"/>
          </w:tcPr>
          <w:p>
            <w:pPr>
              <w:spacing w:after="0"/>
              <w:rPr>
                <w:sz w:val="13"/>
                <w:szCs w:val="13"/>
                <w:color w:val="auto"/>
              </w:rPr>
            </w:pPr>
          </w:p>
        </w:tc>
        <w:tc>
          <w:tcPr>
            <w:tcW w:w="106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06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89"/>
        </w:trPr>
        <w:tc>
          <w:tcPr>
            <w:tcW w:w="2260" w:type="dxa"/>
            <w:vAlign w:val="bottom"/>
            <w:vMerge w:val="continue"/>
          </w:tcPr>
          <w:p>
            <w:pPr>
              <w:spacing w:after="0"/>
              <w:rPr>
                <w:sz w:val="16"/>
                <w:szCs w:val="16"/>
                <w:color w:val="auto"/>
              </w:rPr>
            </w:pPr>
          </w:p>
        </w:tc>
        <w:tc>
          <w:tcPr>
            <w:tcW w:w="11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16"/>
                <w:szCs w:val="16"/>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69"/>
        </w:trPr>
        <w:tc>
          <w:tcPr>
            <w:tcW w:w="22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120" w:type="dxa"/>
            <w:vAlign w:val="bottom"/>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DBI Holding,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0" w:type="dxa"/>
            <w:vAlign w:val="bottom"/>
          </w:tcPr>
          <w:p>
            <w:pPr>
              <w:spacing w:after="0"/>
              <w:rPr>
                <w:sz w:val="1"/>
                <w:szCs w:val="1"/>
                <w:color w:val="auto"/>
              </w:rPr>
            </w:pPr>
          </w:p>
        </w:tc>
      </w:tr>
      <w:tr>
        <w:trPr>
          <w:trHeight w:val="139"/>
        </w:trPr>
        <w:tc>
          <w:tcPr>
            <w:tcW w:w="226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Country Fresh Holding</w:t>
            </w:r>
          </w:p>
        </w:tc>
        <w:tc>
          <w:tcPr>
            <w:tcW w:w="120" w:type="dxa"/>
            <w:vAlign w:val="bottom"/>
            <w:vMerge w:val="restart"/>
            <w:shd w:val="clear" w:color="auto" w:fill="CCECFF"/>
          </w:tcPr>
          <w:p>
            <w:pPr>
              <w:spacing w:after="0"/>
              <w:rPr>
                <w:sz w:val="12"/>
                <w:szCs w:val="12"/>
                <w:color w:val="auto"/>
              </w:rPr>
            </w:pP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10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CCECFF"/>
            </w:tcBorders>
            <w:shd w:val="clear" w:color="auto" w:fill="CCECFF"/>
          </w:tcPr>
          <w:p>
            <w:pPr>
              <w:ind w:left="280"/>
              <w:spacing w:after="0"/>
              <w:rPr>
                <w:sz w:val="20"/>
                <w:szCs w:val="20"/>
                <w:color w:val="auto"/>
              </w:rPr>
            </w:pPr>
            <w:r>
              <w:rPr>
                <w:rFonts w:ascii="Times New Roman" w:cs="Times New Roman" w:eastAsia="Times New Roman" w:hAnsi="Times New Roman"/>
                <w:sz w:val="14"/>
                <w:szCs w:val="14"/>
                <w:color w:val="auto"/>
              </w:rPr>
              <w:t>Company Inc.</w:t>
            </w: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104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80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60" w:type="dxa"/>
            <w:vAlign w:val="bottom"/>
          </w:tcPr>
          <w:p>
            <w:pPr>
              <w:ind w:left="60"/>
              <w:spacing w:after="0" w:line="133" w:lineRule="exact"/>
              <w:rPr>
                <w:sz w:val="20"/>
                <w:szCs w:val="20"/>
                <w:color w:val="auto"/>
              </w:rPr>
            </w:pPr>
            <w:r>
              <w:rPr>
                <w:rFonts w:ascii="Times New Roman" w:cs="Times New Roman" w:eastAsia="Times New Roman" w:hAnsi="Times New Roman"/>
                <w:sz w:val="14"/>
                <w:szCs w:val="14"/>
                <w:color w:val="auto"/>
              </w:rPr>
              <w:t>Total Non-Controlled</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0" w:type="dxa"/>
            <w:vAlign w:val="bottom"/>
          </w:tcPr>
          <w:p>
            <w:pPr>
              <w:spacing w:after="0"/>
              <w:rPr>
                <w:sz w:val="1"/>
                <w:szCs w:val="1"/>
                <w:color w:val="auto"/>
              </w:rPr>
            </w:pPr>
          </w:p>
        </w:tc>
      </w:tr>
      <w:tr>
        <w:trPr>
          <w:trHeight w:val="144"/>
        </w:trPr>
        <w:tc>
          <w:tcPr>
            <w:tcW w:w="22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Affiliates</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Controlled Affiliates</w:t>
            </w:r>
          </w:p>
        </w:tc>
        <w:tc>
          <w:tcPr>
            <w:tcW w:w="12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Marketplace Events,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PennantPark Senior Secured</w:t>
            </w:r>
          </w:p>
        </w:tc>
        <w:tc>
          <w:tcPr>
            <w:tcW w:w="1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CFF"/>
          </w:tcPr>
          <w:p>
            <w:pPr>
              <w:ind w:left="120"/>
              <w:spacing w:after="0" w:line="139" w:lineRule="exact"/>
              <w:rPr>
                <w:sz w:val="20"/>
                <w:szCs w:val="20"/>
                <w:color w:val="auto"/>
              </w:rPr>
            </w:pPr>
            <w:r>
              <w:rPr>
                <w:rFonts w:ascii="Times New Roman" w:cs="Times New Roman" w:eastAsia="Times New Roman" w:hAnsi="Times New Roman"/>
                <w:sz w:val="14"/>
                <w:szCs w:val="14"/>
                <w:color w:val="auto"/>
              </w:rPr>
              <w:t>Loan Fund I LLC *</w:t>
            </w:r>
          </w:p>
        </w:tc>
        <w:tc>
          <w:tcPr>
            <w:tcW w:w="120" w:type="dxa"/>
            <w:vAlign w:val="bottom"/>
            <w:vMerge w:val="restart"/>
            <w:shd w:val="clear" w:color="auto" w:fill="CCECFF"/>
          </w:tcPr>
          <w:p>
            <w:pPr>
              <w:spacing w:after="0"/>
              <w:rPr>
                <w:sz w:val="12"/>
                <w:szCs w:val="12"/>
                <w:color w:val="auto"/>
              </w:rPr>
            </w:pPr>
          </w:p>
        </w:tc>
        <w:tc>
          <w:tcPr>
            <w:tcW w:w="10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185,731</w:t>
            </w:r>
          </w:p>
        </w:tc>
        <w:tc>
          <w:tcPr>
            <w:tcW w:w="1080" w:type="dxa"/>
            <w:vAlign w:val="bottom"/>
            <w:gridSpan w:val="2"/>
            <w:shd w:val="clear" w:color="auto" w:fill="CCECFF"/>
          </w:tcPr>
          <w:p>
            <w:pPr>
              <w:jc w:val="right"/>
              <w:spacing w:after="0" w:line="139" w:lineRule="exact"/>
              <w:rPr>
                <w:sz w:val="20"/>
                <w:szCs w:val="20"/>
                <w:color w:val="auto"/>
              </w:rPr>
            </w:pPr>
            <w:r>
              <w:rPr>
                <w:rFonts w:ascii="Times New Roman" w:cs="Times New Roman" w:eastAsia="Times New Roman" w:hAnsi="Times New Roman"/>
                <w:sz w:val="14"/>
                <w:szCs w:val="14"/>
                <w:color w:val="auto"/>
              </w:rPr>
              <w:t>70,43</w:t>
            </w:r>
          </w:p>
        </w:tc>
        <w:tc>
          <w:tcPr>
            <w:tcW w:w="12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CFF"/>
          </w:tcPr>
          <w:p>
            <w:pPr>
              <w:jc w:val="right"/>
              <w:spacing w:after="0" w:line="139" w:lineRule="exact"/>
              <w:rPr>
                <w:sz w:val="20"/>
                <w:szCs w:val="20"/>
                <w:color w:val="auto"/>
              </w:rPr>
            </w:pPr>
            <w:r>
              <w:rPr>
                <w:rFonts w:ascii="Times New Roman" w:cs="Times New Roman" w:eastAsia="Times New Roman" w:hAnsi="Times New Roman"/>
                <w:sz w:val="14"/>
                <w:szCs w:val="14"/>
                <w:color w:val="auto"/>
              </w:rPr>
              <w:t>(7,23</w:t>
            </w:r>
          </w:p>
        </w:tc>
        <w:tc>
          <w:tcPr>
            <w:tcW w:w="1180" w:type="dxa"/>
            <w:vAlign w:val="bottom"/>
            <w:gridSpan w:val="2"/>
            <w:shd w:val="clear" w:color="auto" w:fill="CCECFF"/>
          </w:tcPr>
          <w:p>
            <w:pPr>
              <w:jc w:val="right"/>
              <w:spacing w:after="0" w:line="139" w:lineRule="exact"/>
              <w:rPr>
                <w:sz w:val="20"/>
                <w:szCs w:val="20"/>
                <w:color w:val="auto"/>
              </w:rPr>
            </w:pPr>
            <w:r>
              <w:rPr>
                <w:rFonts w:ascii="Times New Roman" w:cs="Times New Roman" w:eastAsia="Times New Roman" w:hAnsi="Times New Roman"/>
                <w:sz w:val="14"/>
                <w:szCs w:val="14"/>
                <w:color w:val="auto"/>
              </w:rPr>
              <w:t>248,93</w:t>
            </w:r>
          </w:p>
        </w:tc>
        <w:tc>
          <w:tcPr>
            <w:tcW w:w="1120" w:type="dxa"/>
            <w:vAlign w:val="bottom"/>
            <w:gridSpan w:val="2"/>
            <w:shd w:val="clear" w:color="auto" w:fill="CCECFF"/>
          </w:tcPr>
          <w:p>
            <w:pPr>
              <w:jc w:val="right"/>
              <w:spacing w:after="0" w:line="139"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vMerge w:val="restart"/>
            <w:shd w:val="clear" w:color="auto" w:fill="CCECFF"/>
          </w:tcPr>
          <w:p>
            <w:pPr>
              <w:spacing w:after="0"/>
              <w:rPr>
                <w:sz w:val="12"/>
                <w:szCs w:val="12"/>
                <w:color w:val="auto"/>
              </w:rPr>
            </w:pPr>
          </w:p>
        </w:tc>
        <w:tc>
          <w:tcPr>
            <w:tcW w:w="8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10,675</w:t>
            </w:r>
          </w:p>
        </w:tc>
        <w:tc>
          <w:tcPr>
            <w:tcW w:w="120" w:type="dxa"/>
            <w:vAlign w:val="bottom"/>
            <w:shd w:val="clear" w:color="auto" w:fill="CCECFF"/>
          </w:tcPr>
          <w:p>
            <w:pPr>
              <w:spacing w:after="0"/>
              <w:rPr>
                <w:sz w:val="12"/>
                <w:szCs w:val="12"/>
                <w:color w:val="auto"/>
              </w:rPr>
            </w:pPr>
          </w:p>
        </w:tc>
        <w:tc>
          <w:tcPr>
            <w:tcW w:w="10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104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CFF"/>
            </w:tcBorders>
            <w:shd w:val="clear" w:color="auto" w:fill="CCECFF"/>
          </w:tcPr>
          <w:p>
            <w:pPr>
              <w:spacing w:after="0"/>
              <w:rPr>
                <w:sz w:val="16"/>
                <w:szCs w:val="16"/>
                <w:color w:val="auto"/>
              </w:rPr>
            </w:pPr>
          </w:p>
        </w:tc>
        <w:tc>
          <w:tcPr>
            <w:tcW w:w="108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CFF"/>
            </w:tcBorders>
            <w:vMerge w:val="continue"/>
            <w:shd w:val="clear" w:color="auto" w:fill="CCECFF"/>
          </w:tcPr>
          <w:p>
            <w:pPr>
              <w:spacing w:after="0"/>
              <w:rPr>
                <w:sz w:val="16"/>
                <w:szCs w:val="16"/>
                <w:color w:val="auto"/>
              </w:rPr>
            </w:pPr>
          </w:p>
        </w:tc>
        <w:tc>
          <w:tcPr>
            <w:tcW w:w="80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auto"/>
            </w:tcBorders>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Controlled Affiliates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$217,380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$70,754</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$281,784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$10,675</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Total Controlled and</w:t>
            </w: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vMerge w:val="continue"/>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$224,813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$70,754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$281,784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$10,745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$10,675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0" w:type="dxa"/>
            <w:vAlign w:val="bottom"/>
          </w:tcPr>
          <w:p>
            <w:pPr>
              <w:spacing w:after="0"/>
              <w:rPr>
                <w:sz w:val="1"/>
                <w:szCs w:val="1"/>
                <w:color w:val="auto"/>
              </w:rPr>
            </w:pPr>
          </w:p>
        </w:tc>
      </w:tr>
      <w:tr>
        <w:trPr>
          <w:trHeight w:val="146"/>
        </w:trPr>
        <w:tc>
          <w:tcPr>
            <w:tcW w:w="226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11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-1105535</wp:posOffset>
            </wp:positionV>
            <wp:extent cx="77470" cy="2146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-1105535</wp:posOffset>
            </wp:positionV>
            <wp:extent cx="76835" cy="2146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-1105535</wp:posOffset>
            </wp:positionV>
            <wp:extent cx="68580" cy="2146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-1105535</wp:posOffset>
            </wp:positionV>
            <wp:extent cx="68580" cy="2146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-1105535</wp:posOffset>
            </wp:positionV>
            <wp:extent cx="68580" cy="2146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-1105535</wp:posOffset>
            </wp:positionV>
            <wp:extent cx="68580" cy="2146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-1105535</wp:posOffset>
            </wp:positionV>
            <wp:extent cx="68580" cy="2146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-350520</wp:posOffset>
            </wp:positionV>
            <wp:extent cx="77470" cy="3511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3511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-350520</wp:posOffset>
            </wp:positionV>
            <wp:extent cx="76835" cy="3511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3511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-350520</wp:posOffset>
            </wp:positionV>
            <wp:extent cx="68580" cy="3511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-350520</wp:posOffset>
            </wp:positionV>
            <wp:extent cx="68580" cy="3511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-350520</wp:posOffset>
            </wp:positionV>
            <wp:extent cx="68580" cy="3511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-350520</wp:posOffset>
            </wp:positionV>
            <wp:extent cx="68580" cy="3511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-350520</wp:posOffset>
            </wp:positionV>
            <wp:extent cx="68580" cy="3511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351155"/>
                    </a:xfrm>
                    <a:prstGeom prst="rect">
                      <a:avLst/>
                    </a:prstGeom>
                    <a:noFill/>
                  </pic:spPr>
                </pic:pic>
              </a:graphicData>
            </a:graphic>
          </wp:anchor>
        </w:drawing>
      </w:r>
    </w:p>
    <w:p>
      <w:pPr>
        <w:ind w:right="120" w:firstLine="8"/>
        <w:spacing w:after="0" w:line="245" w:lineRule="auto"/>
        <w:tabs>
          <w:tab w:leader="none" w:pos="81" w:val="left"/>
        </w:tabs>
        <w:numPr>
          <w:ilvl w:val="0"/>
          <w:numId w:val="1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206" w:lineRule="exact"/>
        <w:rPr>
          <w:sz w:val="20"/>
          <w:szCs w:val="20"/>
          <w:color w:val="auto"/>
        </w:rPr>
      </w:pPr>
    </w:p>
    <w:p>
      <w:pPr>
        <w:ind w:left="600" w:right="2420" w:hanging="143"/>
        <w:spacing w:after="0" w:line="302" w:lineRule="auto"/>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(decrease) in net assets resulting from operations ($ in thousands,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0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in net assets resulting from operations</w:t>
            </w: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26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16,592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52,511</w:t>
            </w:r>
          </w:p>
        </w:tc>
        <w:tc>
          <w:tcPr>
            <w:tcW w:w="100" w:type="dxa"/>
            <w:vAlign w:val="bottom"/>
            <w:shd w:val="clear" w:color="auto" w:fill="CCECFF"/>
          </w:tcPr>
          <w:p>
            <w:pPr>
              <w:spacing w:after="0"/>
              <w:rPr>
                <w:sz w:val="14"/>
                <w:szCs w:val="14"/>
                <w:color w:val="auto"/>
              </w:rPr>
            </w:pPr>
          </w:p>
        </w:tc>
      </w:tr>
      <w:tr>
        <w:trPr>
          <w:trHeight w:val="175"/>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41,334,234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auto"/>
              </w:rPr>
              <w:t>39,940,832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4"/>
                <w:szCs w:val="14"/>
                <w:color w:val="auto"/>
              </w:rPr>
              <w:t>38,772,074</w:t>
            </w:r>
          </w:p>
        </w:tc>
        <w:tc>
          <w:tcPr>
            <w:tcW w:w="100" w:type="dxa"/>
            <w:vAlign w:val="bottom"/>
          </w:tcPr>
          <w:p>
            <w:pPr>
              <w:spacing w:after="0"/>
              <w:rPr>
                <w:sz w:val="15"/>
                <w:szCs w:val="15"/>
                <w:color w:val="auto"/>
              </w:rPr>
            </w:pPr>
          </w:p>
        </w:tc>
      </w:tr>
      <w:tr>
        <w:trPr>
          <w:trHeight w:val="175"/>
        </w:trPr>
        <w:tc>
          <w:tcPr>
            <w:tcW w:w="5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in net assets per share resulting from operations</w:t>
            </w: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(0.12 )</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5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56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CFF"/>
          </w:tcPr>
          <w:p>
            <w:pPr>
              <w:spacing w:after="0"/>
              <w:rPr>
                <w:sz w:val="15"/>
                <w:szCs w:val="15"/>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2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2022 and September 30, 2021, cash and cash equivalents consisted of money market funds in the amounts of $40.6 million and $49.8 million at fair value, respectively.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per share data):</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80" w:type="dxa"/>
            <w:vAlign w:val="bottom"/>
          </w:tcPr>
          <w:p>
            <w:pPr>
              <w:spacing w:after="0"/>
              <w:rPr>
                <w:sz w:val="24"/>
                <w:szCs w:val="24"/>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200" w:type="dxa"/>
            <w:vAlign w:val="bottom"/>
            <w:vMerge w:val="restart"/>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7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2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122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360" w:type="dxa"/>
            <w:vAlign w:val="bottom"/>
          </w:tcPr>
          <w:p>
            <w:pPr>
              <w:spacing w:after="0"/>
              <w:rPr>
                <w:sz w:val="15"/>
                <w:szCs w:val="15"/>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22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3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1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220" w:type="dxa"/>
            <w:vAlign w:val="bottom"/>
          </w:tcPr>
          <w:p>
            <w:pPr>
              <w:spacing w:after="0"/>
              <w:rPr>
                <w:sz w:val="15"/>
                <w:szCs w:val="15"/>
                <w:color w:val="auto"/>
              </w:rPr>
            </w:pP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(0.48 )</w:t>
            </w:r>
          </w:p>
        </w:tc>
        <w:tc>
          <w:tcPr>
            <w:tcW w:w="7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increase in net assets resulting from operations </w:t>
            </w:r>
            <w:r>
              <w:rPr>
                <w:rFonts w:ascii="Times New Roman" w:cs="Times New Roman" w:eastAsia="Times New Roman" w:hAnsi="Times New Roman"/>
                <w:sz w:val="19"/>
                <w:szCs w:val="19"/>
                <w:color w:val="auto"/>
                <w:vertAlign w:val="superscript"/>
              </w:rPr>
              <w:t>(1)</w:t>
            </w:r>
          </w:p>
        </w:tc>
        <w:tc>
          <w:tcPr>
            <w:tcW w:w="122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360" w:type="dxa"/>
            <w:vAlign w:val="bottom"/>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220" w:type="dxa"/>
            <w:vAlign w:val="bottom"/>
          </w:tcPr>
          <w:p>
            <w:pPr>
              <w:spacing w:after="0"/>
              <w:rPr>
                <w:sz w:val="15"/>
                <w:szCs w:val="15"/>
                <w:color w:val="auto"/>
              </w:rPr>
            </w:pPr>
          </w:p>
        </w:tc>
        <w:tc>
          <w:tcPr>
            <w:tcW w:w="11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(0.86 )</w:t>
            </w:r>
          </w:p>
        </w:tc>
        <w:tc>
          <w:tcPr>
            <w:tcW w:w="760" w:type="dxa"/>
            <w:vAlign w:val="bottom"/>
          </w:tcPr>
          <w:p>
            <w:pPr>
              <w:spacing w:after="0"/>
              <w:rPr>
                <w:sz w:val="15"/>
                <w:szCs w:val="15"/>
                <w:color w:val="auto"/>
              </w:rPr>
            </w:pPr>
          </w:p>
        </w:tc>
        <w:tc>
          <w:tcPr>
            <w:tcW w:w="1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(0.86 )</w:t>
            </w:r>
          </w:p>
        </w:tc>
        <w:tc>
          <w:tcPr>
            <w:tcW w:w="0" w:type="dxa"/>
            <w:vAlign w:val="bottom"/>
          </w:tcPr>
          <w:p>
            <w:pPr>
              <w:spacing w:after="0"/>
              <w:rPr>
                <w:sz w:val="1"/>
                <w:szCs w:val="1"/>
                <w:color w:val="auto"/>
              </w:rPr>
            </w:pPr>
          </w:p>
        </w:tc>
      </w:tr>
      <w:tr>
        <w:trPr>
          <w:trHeight w:val="175"/>
        </w:trPr>
        <w:tc>
          <w:tcPr>
            <w:tcW w:w="6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22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6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7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220" w:type="dxa"/>
            <w:vAlign w:val="bottom"/>
            <w:tcBorders>
              <w:top w:val="single" w:sz="8" w:color="auto"/>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360" w:type="dxa"/>
            <w:vAlign w:val="bottom"/>
            <w:tcBorders>
              <w:top w:val="single" w:sz="8" w:color="CCEC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4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220" w:type="dxa"/>
            <w:vAlign w:val="bottom"/>
            <w:tcBorders>
              <w:bottom w:val="single" w:sz="8" w:color="auto"/>
            </w:tcBorders>
            <w:shd w:val="clear" w:color="auto" w:fill="CCECFF"/>
          </w:tcPr>
          <w:p>
            <w:pPr>
              <w:jc w:val="right"/>
              <w:ind w:right="10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11.48</w:t>
            </w:r>
          </w:p>
        </w:tc>
        <w:tc>
          <w:tcPr>
            <w:tcW w:w="36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jc w:val="right"/>
              <w:ind w:right="6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12.72</w:t>
            </w:r>
          </w:p>
        </w:tc>
        <w:tc>
          <w:tcPr>
            <w:tcW w:w="14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7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8"/>
                <w:szCs w:val="18"/>
                <w:color w:val="auto"/>
                <w:vertAlign w:val="superscript"/>
              </w:rPr>
              <w:t>*(3)</w:t>
            </w:r>
          </w:p>
        </w:tc>
        <w:tc>
          <w:tcPr>
            <w:tcW w:w="1220" w:type="dxa"/>
            <w:vAlign w:val="bottom"/>
          </w:tcPr>
          <w:p>
            <w:pPr>
              <w:spacing w:after="0"/>
              <w:rPr>
                <w:sz w:val="13"/>
                <w:szCs w:val="13"/>
                <w:color w:val="auto"/>
              </w:rPr>
            </w:pPr>
          </w:p>
        </w:tc>
        <w:tc>
          <w:tcPr>
            <w:tcW w:w="114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 xml:space="preserve">-4.08 </w:t>
            </w:r>
            <w:r>
              <w:rPr>
                <w:rFonts w:ascii="Times New Roman" w:cs="Times New Roman" w:eastAsia="Times New Roman" w:hAnsi="Times New Roman"/>
                <w:sz w:val="14"/>
                <w:szCs w:val="14"/>
                <w:color w:val="auto"/>
                <w:highlight w:val="white"/>
              </w:rPr>
              <w:t>%</w:t>
            </w:r>
          </w:p>
        </w:tc>
        <w:tc>
          <w:tcPr>
            <w:tcW w:w="760" w:type="dxa"/>
            <w:vAlign w:val="bottom"/>
          </w:tcPr>
          <w:p>
            <w:pPr>
              <w:spacing w:after="0"/>
              <w:rPr>
                <w:sz w:val="13"/>
                <w:szCs w:val="13"/>
                <w:color w:val="auto"/>
              </w:rPr>
            </w:pPr>
          </w:p>
        </w:tc>
        <w:tc>
          <w:tcPr>
            <w:tcW w:w="1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 xml:space="preserve">62.85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220" w:type="dxa"/>
            <w:vAlign w:val="bottom"/>
            <w:tcBorders>
              <w:bottom w:val="single" w:sz="8" w:color="auto"/>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41,345,638</w:t>
            </w:r>
          </w:p>
        </w:tc>
        <w:tc>
          <w:tcPr>
            <w:tcW w:w="3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spacing w:after="0"/>
              <w:rPr>
                <w:sz w:val="15"/>
                <w:szCs w:val="15"/>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38,772,074</w:t>
            </w:r>
          </w:p>
        </w:tc>
        <w:tc>
          <w:tcPr>
            <w:tcW w:w="1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8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22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5.33 %</w:t>
            </w:r>
          </w:p>
        </w:tc>
        <w:tc>
          <w:tcPr>
            <w:tcW w:w="760" w:type="dxa"/>
            <w:vAlign w:val="bottom"/>
            <w:shd w:val="clear" w:color="auto" w:fill="CCECFF"/>
          </w:tcPr>
          <w:p>
            <w:pPr>
              <w:spacing w:after="0"/>
              <w:rPr>
                <w:sz w:val="15"/>
                <w:szCs w:val="15"/>
                <w:color w:val="auto"/>
              </w:rPr>
            </w:pPr>
          </w:p>
        </w:tc>
        <w:tc>
          <w:tcPr>
            <w:tcW w:w="1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0" w:type="dxa"/>
            <w:vAlign w:val="bottom"/>
          </w:tcPr>
          <w:p>
            <w:pPr>
              <w:spacing w:after="0"/>
              <w:rPr>
                <w:sz w:val="1"/>
                <w:szCs w:val="1"/>
                <w:color w:val="auto"/>
              </w:rPr>
            </w:pPr>
          </w:p>
        </w:tc>
      </w:tr>
      <w:tr>
        <w:trPr>
          <w:trHeight w:val="175"/>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22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5.50 %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4.36 %</w:t>
            </w: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22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36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7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22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9.54 %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8.25 %</w:t>
            </w:r>
          </w:p>
        </w:tc>
        <w:tc>
          <w:tcPr>
            <w:tcW w:w="0" w:type="dxa"/>
            <w:vAlign w:val="bottom"/>
          </w:tcPr>
          <w:p>
            <w:pPr>
              <w:spacing w:after="0"/>
              <w:rPr>
                <w:sz w:val="1"/>
                <w:szCs w:val="1"/>
                <w:color w:val="auto"/>
              </w:rPr>
            </w:pPr>
          </w:p>
        </w:tc>
      </w:tr>
      <w:tr>
        <w:trPr>
          <w:trHeight w:val="175"/>
        </w:trPr>
        <w:tc>
          <w:tcPr>
            <w:tcW w:w="67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220" w:type="dxa"/>
            <w:vAlign w:val="bottom"/>
            <w:tcBorders>
              <w:bottom w:val="single" w:sz="8" w:color="auto"/>
            </w:tcBorders>
            <w:shd w:val="clear" w:color="auto" w:fill="CCECFF"/>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504,913</w:t>
            </w:r>
          </w:p>
        </w:tc>
        <w:tc>
          <w:tcPr>
            <w:tcW w:w="3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496,632</w:t>
            </w:r>
          </w:p>
        </w:tc>
        <w:tc>
          <w:tcPr>
            <w:tcW w:w="1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debt outstanding</w:t>
            </w:r>
          </w:p>
        </w:tc>
        <w:tc>
          <w:tcPr>
            <w:tcW w:w="122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762,376</w:t>
            </w:r>
          </w:p>
        </w:tc>
        <w:tc>
          <w:tcPr>
            <w:tcW w:w="360" w:type="dxa"/>
            <w:vAlign w:val="bottom"/>
          </w:tcPr>
          <w:p>
            <w:pPr>
              <w:spacing w:after="0"/>
              <w:rPr>
                <w:sz w:val="14"/>
                <w:szCs w:val="14"/>
                <w:color w:val="auto"/>
              </w:rPr>
            </w:pP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623,132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w:t>
            </w:r>
          </w:p>
        </w:tc>
        <w:tc>
          <w:tcPr>
            <w:tcW w:w="1220" w:type="dxa"/>
            <w:vAlign w:val="bottom"/>
            <w:shd w:val="clear" w:color="auto" w:fill="CCECFF"/>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36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80" w:type="dxa"/>
            <w:vAlign w:val="bottom"/>
          </w:tcPr>
          <w:p>
            <w:pPr>
              <w:ind w:left="20"/>
              <w:spacing w:after="0" w:line="166"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(6)</w:t>
            </w:r>
          </w:p>
        </w:tc>
        <w:tc>
          <w:tcPr>
            <w:tcW w:w="122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360" w:type="dxa"/>
            <w:vAlign w:val="bottom"/>
          </w:tcPr>
          <w:p>
            <w:pPr>
              <w:spacing w:after="0"/>
              <w:rPr>
                <w:sz w:val="14"/>
                <w:szCs w:val="14"/>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1220" w:type="dxa"/>
            <w:vAlign w:val="bottom"/>
          </w:tcPr>
          <w:p>
            <w:pPr>
              <w:spacing w:after="0"/>
              <w:rPr>
                <w:sz w:val="15"/>
                <w:szCs w:val="15"/>
                <w:color w:val="auto"/>
              </w:rPr>
            </w:pPr>
          </w:p>
        </w:tc>
        <w:tc>
          <w:tcPr>
            <w:tcW w:w="11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33.07 %</w:t>
            </w:r>
          </w:p>
        </w:tc>
        <w:tc>
          <w:tcPr>
            <w:tcW w:w="7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-1652905</wp:posOffset>
            </wp:positionV>
            <wp:extent cx="85725" cy="146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-1652905</wp:posOffset>
            </wp:positionV>
            <wp:extent cx="85725" cy="146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-1395730</wp:posOffset>
            </wp:positionV>
            <wp:extent cx="8572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-1395730</wp:posOffset>
            </wp:positionV>
            <wp:extent cx="857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-1146810</wp:posOffset>
            </wp:positionV>
            <wp:extent cx="85725" cy="1200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-1146810</wp:posOffset>
            </wp:positionV>
            <wp:extent cx="85725" cy="1200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-461010</wp:posOffset>
            </wp:positionV>
            <wp:extent cx="85725" cy="1289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-461010</wp:posOffset>
            </wp:positionV>
            <wp:extent cx="85725" cy="1289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7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right="9180" w:firstLine="8"/>
        <w:spacing w:after="0" w:line="267" w:lineRule="auto"/>
        <w:tabs>
          <w:tab w:leader="none" w:pos="81" w:val="left"/>
        </w:tabs>
        <w:numPr>
          <w:ilvl w:val="0"/>
          <w:numId w:val="1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82"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9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spacing w:after="0" w:line="6"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and debt issuance costs, if any, (not annualized).</w:t>
      </w:r>
    </w:p>
    <w:p>
      <w:pPr>
        <w:ind w:left="380" w:right="360" w:hanging="372"/>
        <w:spacing w:after="0" w:line="208" w:lineRule="auto"/>
        <w:tabs>
          <w:tab w:leader="none" w:pos="38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219"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The annualized weighted average cost of debt for the nine months ended June 30, 2022 and 2021, inclusive of the fee on the undrawn commitment on the Credit Facility or the Prior Credit Facility, as applicable, amendment costs and debt issuance costs, was 3.7% and 3.4%, respectively. As of June 30, 2022, in accordance with the 1940 Act, with certain limited exceptions, we are only allowed to borrow amounts such that we are in compliance with a 150% asset coverage ratio requirement after such borrowing.</w:t>
      </w:r>
    </w:p>
    <w:p>
      <w:pPr>
        <w:spacing w:after="0" w:line="15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2022 and September 30, 2021, our asset coverage ratio, as computed in accordance with the 1940 Act, was 166% and 175%,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2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Funding I’s multi-currency Credit Facility with affiliates of Truist Bank (formerly SunTrust Bank), or the Lenders, was $300 million as of June 30, 2022, subject to satisfaction of certain conditions and regulatory restrictions that the 1940 Act imposes on us as a BDC, has an interest rate spread above LIBOR (or an alternative risk-free floating interest rate index) of 225 basis points, a maturity date of August 2026 and a revolving period that ends in August 2024. As of June 30, 2022 and September 30, 2021, Funding I had $259.3 million and $219.4 million of outstanding borrowings under the Credit Facility, respectively. The Credit Facility had a weighted average interest rate of 3.3% and 2.3%, exclusive of the fee on undrawn commitments as of June 30, 2022 and September 30, 2021, respectively. As of June 30, 2022 and September 30, 2021, we had $40.7 million and $80.6 million of unused borrowing capacity under the Credit Facility, respectively, subject to leverage and borrowing base restrictions.</w:t>
      </w:r>
    </w:p>
    <w:p>
      <w:pPr>
        <w:spacing w:after="0" w:line="1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6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2022, we were in compliance with the covenants relating to the Credit Facility.</w:t>
      </w:r>
    </w:p>
    <w:p>
      <w:pPr>
        <w:spacing w:after="0" w:line="17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Notes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November 2017, we issued $138.6 million of our 2023 Notes of which $97.0 million and $117.8 million were outstanding as at June 30, 2022 and September 30, 2021, respectively.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2023 Notes were issued pursuant to a deed of trust between the Company and Mishmeret Trust Company, Ltd., as trustee.</w:t>
      </w:r>
    </w:p>
    <w:p>
      <w:pPr>
        <w:spacing w:after="0" w:line="20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6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existing and future senior unsecured indebtedness. The 2026 Notes are effectively subordinated to all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Asset-Backed Debt</w:t>
      </w:r>
    </w:p>
    <w:p>
      <w:pPr>
        <w:spacing w:after="0" w:line="221" w:lineRule="exact"/>
        <w:rPr>
          <w:sz w:val="20"/>
          <w:szCs w:val="20"/>
          <w:color w:val="auto"/>
        </w:rPr>
      </w:pPr>
    </w:p>
    <w:p>
      <w:pPr>
        <w:jc w:val="both"/>
        <w:ind w:firstLine="489"/>
        <w:spacing w:after="0" w:line="167" w:lineRule="exact"/>
        <w:rPr>
          <w:sz w:val="20"/>
          <w:szCs w:val="20"/>
          <w:color w:val="auto"/>
        </w:rPr>
      </w:pPr>
      <w:r>
        <w:rPr>
          <w:rFonts w:ascii="Times New Roman" w:cs="Times New Roman" w:eastAsia="Times New Roman" w:hAnsi="Times New Roman"/>
          <w:sz w:val="14"/>
          <w:szCs w:val="14"/>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9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June 30, 2022 and September 30, 2021, the Company had $228.0 million of 2031 Asset-Backed Debt outstanding with a weighted average interest rate of 2.7% and 2.6%, respectively. As of June 30, 2022 and September 30, 2021, the unamortized fees on the 2031 Asset-Backed Debt were $2.0 million and $2.5 million, respectively.</w:t>
      </w:r>
    </w:p>
    <w:p>
      <w:pPr>
        <w:spacing w:after="0" w:line="16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2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2022 and September 30, 2021, we had $164.5 million and $166.9 million, respectively, in commitments to fund investments. Additionally, as described in Note 4, the Company had unfunded commitments of $28.4 and $42.0 million to PSSL as of June 30, 2022 and September 30, 2021, respectively, that may be contributed primarily for the purpose of funding new investments approved by the PSSL board of directors or investment committee.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ind w:left="38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Floating Rate Capital Ltd. and its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20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June 30, 2022, and the related consolidated statements of operations and changes in net assets for the three and nine months ended June 30, 2022 and 2021, and cash flows for the nine-month periods ended June 30,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2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7" w:name="page38"/>
    <w:bookmarkEnd w:id="37"/>
    <w:p>
      <w:pPr>
        <w:ind w:left="3500"/>
        <w:spacing w:after="0"/>
        <w:rPr>
          <w:sz w:val="20"/>
          <w:szCs w:val="20"/>
          <w:color w:val="auto"/>
        </w:rPr>
      </w:pPr>
      <w:r>
        <w:rPr>
          <w:rFonts w:ascii="Times New Roman" w:cs="Times New Roman" w:eastAsia="Times New Roman" w:hAnsi="Times New Roman"/>
          <w:sz w:val="14"/>
          <w:szCs w:val="14"/>
          <w:b w:val="1"/>
          <w:bCs w:val="1"/>
          <w:color w:val="auto"/>
        </w:rPr>
        <w:t>Awareness Letter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Floating Rate Capital Ltd. and its Subsidiaries</w:t>
      </w:r>
    </w:p>
    <w:p>
      <w:pPr>
        <w:spacing w:after="0" w:line="21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reviewed, in accordance with the standards of the Public Company Accounting Oversight Board (United States), the unaudited interim financial information of PennantPark Floating Rate Capital Ltd. and its Subsidiaries for the periods ended ended June 30, 2022 and 2021, as indicated in our report dated August 3, 2022; because we did not perform an audit, we expressed no opinion on that information.</w:t>
      </w:r>
    </w:p>
    <w:p>
      <w:pPr>
        <w:spacing w:after="0" w:line="17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We are aware that our report referred to above, which is included in your Quarterly Report on Form 10-Q for the quarter ended June 30, 2022, is incorporated by reference in Registration Statement No. 333-235532 on Form N-2.</w:t>
      </w:r>
    </w:p>
    <w:p>
      <w:pPr>
        <w:spacing w:after="0" w:line="16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 RSM US LLP</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August 3, 2022</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6"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7" w:lineRule="exact"/>
        <w:rPr>
          <w:sz w:val="20"/>
          <w:szCs w:val="20"/>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w:t>
      </w:r>
    </w:p>
    <w:p>
      <w:pPr>
        <w:spacing w:after="0" w:line="217" w:lineRule="exact"/>
        <w:rPr>
          <w:rFonts w:ascii="Times New Roman" w:cs="Times New Roman" w:eastAsia="Times New Roman" w:hAnsi="Times New Roman"/>
          <w:sz w:val="14"/>
          <w:szCs w:val="14"/>
          <w:color w:val="auto"/>
        </w:rPr>
      </w:pPr>
    </w:p>
    <w:p>
      <w:pPr>
        <w:ind w:left="840" w:right="80" w:hanging="383"/>
        <w:spacing w:after="0" w:line="282"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6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United Kingdom’s withdrawal from the European Union (commonly known as “Brexit”) and other world economic and political issues.</w:t>
      </w:r>
    </w:p>
    <w:p>
      <w:pPr>
        <w:spacing w:after="0" w:line="20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5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7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8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6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35"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w:t>
      </w:r>
    </w:p>
    <w:p>
      <w:pPr>
        <w:spacing w:after="0" w:line="1"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4"/>
          <w:szCs w:val="14"/>
          <w:color w:val="auto"/>
        </w:rPr>
        <w:t>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9" w:name="page40"/>
    <w:bookmarkEnd w:id="39"/>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Floating Rate Capital Ltd.</w:t>
      </w:r>
    </w:p>
    <w:p>
      <w:pPr>
        <w:spacing w:after="0" w:line="2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COVID_19 variants, may create stress on the market and may affect some of our portfolio</w:t>
      </w:r>
    </w:p>
    <w:p>
      <w:pPr>
        <w:spacing w:after="0" w:line="1"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14"/>
          <w:szCs w:val="14"/>
          <w:color w:val="auto"/>
        </w:rPr>
        <w:t>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81"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w:t>
      </w:r>
    </w:p>
    <w:p>
      <w:pPr>
        <w:spacing w:after="0"/>
        <w:rPr>
          <w:sz w:val="20"/>
          <w:szCs w:val="20"/>
          <w:color w:val="auto"/>
        </w:rPr>
      </w:pPr>
      <w:r>
        <w:rPr>
          <w:rFonts w:ascii="Times New Roman" w:cs="Times New Roman" w:eastAsia="Times New Roman" w:hAnsi="Times New Roman"/>
          <w:sz w:val="14"/>
          <w:szCs w:val="14"/>
          <w:color w:val="auto"/>
        </w:rPr>
        <w:t>in such portfolio companies.</w:t>
      </w:r>
    </w:p>
    <w:p>
      <w:pPr>
        <w:spacing w:after="0" w:line="16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reactions to the vaccine, politicization of the vaccination process or general public skepticism of the safety and efficacy of the vaccine. While we are unable to predict the ultimate adverse effect of COVID-19, or any worsening thereof, on our results of operation, we have identified certain factors that are likely to affect market, economic and geopolitical conditions, and thereby may adversely affect our business, including:</w:t>
      </w:r>
    </w:p>
    <w:p>
      <w:pPr>
        <w:spacing w:after="0" w:line="181" w:lineRule="exact"/>
        <w:rPr>
          <w:sz w:val="20"/>
          <w:szCs w:val="20"/>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recovery;</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spacing w:after="0" w:line="149"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217"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June 30, 2022, we had two portfolio companies on non-accrual status, and the continuing impact of the COVID-19 pandemic, or any worsening thereof, may result in additional portfolio investments being placed on non-accrual status in the future.</w:t>
      </w:r>
    </w:p>
    <w:p>
      <w:pPr>
        <w:spacing w:after="0" w:line="185"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Additionally, as of June 30, 2022 and September 30, 2021, our asset coverage ratio, as computed in accordance with the 1940 Act, was 166% and 175%, respectively. Our Credit Facility includes standard covenants and events of default provisions. If we fail to make the required payments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June 30, 2022, our debt portfolio consisted of 99.9% variable-rate investments. The variable-rate</w:t>
      </w:r>
    </w:p>
    <w:p>
      <w:pPr>
        <w:spacing w:after="0" w:line="1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color w:val="auto"/>
        </w:rPr>
        <w:t>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225 basis points and, after the revolving period ends in August 2024, the rate will reset to Base Rate (or an alternative risk-free floating interest rate index) plus 250 basis points. Due to such rates, our gross investment income has decreased, which could result in a decrease in our net investment income</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7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In addition, we have continued to implement our business continuity planning strategy. Our priority has been to safeguard the health of our employees and to ensure continuity of business operations on behalf of our investors.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LIBOR Developments</w:t>
      </w:r>
    </w:p>
    <w:p>
      <w:pPr>
        <w:spacing w:after="0" w:line="2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w:t>
      </w:r>
    </w:p>
    <w:p>
      <w:pPr>
        <w:spacing w:after="0"/>
        <w:rPr>
          <w:sz w:val="20"/>
          <w:szCs w:val="20"/>
          <w:color w:val="auto"/>
        </w:rPr>
      </w:pPr>
      <w:r>
        <w:rPr>
          <w:rFonts w:ascii="Times New Roman" w:cs="Times New Roman" w:eastAsia="Times New Roman" w:hAnsi="Times New Roman"/>
          <w:sz w:val="14"/>
          <w:szCs w:val="14"/>
          <w:color w:val="auto"/>
        </w:rPr>
        <w:t>whether the COVID-19 pandemic will have further effect on LIBOR transition timelines, or other reforms to LIBOR that may be enacted.</w:t>
      </w:r>
    </w:p>
    <w:p>
      <w:pPr>
        <w:spacing w:after="0" w:line="161"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4"/>
          <w:szCs w:val="14"/>
          <w:color w:val="auto"/>
        </w:rPr>
        <w:t>The effect of the establishment of alternative reference rates or other reforms to LIBOR or other reference rates is complex and could have a material adverse effect on our business, 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w:t>
      </w:r>
    </w:p>
    <w:p>
      <w:pPr>
        <w:jc w:val="both"/>
        <w:spacing w:after="0" w:line="239" w:lineRule="auto"/>
        <w:rPr>
          <w:sz w:val="20"/>
          <w:szCs w:val="20"/>
          <w:color w:val="auto"/>
        </w:rPr>
      </w:pPr>
      <w:r>
        <w:rPr>
          <w:rFonts w:ascii="Times New Roman" w:cs="Times New Roman" w:eastAsia="Times New Roman" w:hAnsi="Times New Roman"/>
          <w:sz w:val="14"/>
          <w:szCs w:val="14"/>
          <w:color w:val="auto"/>
        </w:rPr>
        <w:t>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9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81" w:lineRule="exact"/>
        <w:rPr>
          <w:sz w:val="20"/>
          <w:szCs w:val="20"/>
          <w:color w:val="auto"/>
        </w:rPr>
      </w:pPr>
    </w:p>
    <w:p>
      <w:pPr>
        <w:jc w:val="both"/>
        <w:ind w:firstLine="524"/>
        <w:spacing w:after="0" w:line="233" w:lineRule="auto"/>
        <w:rPr>
          <w:sz w:val="20"/>
          <w:szCs w:val="20"/>
          <w:color w:val="auto"/>
        </w:rPr>
      </w:pPr>
      <w:r>
        <w:rPr>
          <w:rFonts w:ascii="Times New Roman" w:cs="Times New Roman" w:eastAsia="Times New Roman" w:hAnsi="Times New Roman"/>
          <w:sz w:val="14"/>
          <w:szCs w:val="14"/>
          <w:color w:val="auto"/>
        </w:rPr>
        <w:t>On August 20, 2021, the Company entered into Equity Distribution Agreements with each of JMP Securities LLC and Raymond James &amp; Associates, Inc., as the sales agents (each, a “Sales Agent,” and together, the “Sales Agents”), in connection with the sale of shares of the Company’s Common Stock, par value $0.001 per share, with an aggregate offering price of up to $75 million. On May 5, 2022, we amended the Equity Distribution Agreements to update references from NASDAQ to NYSE and reflect that the agents are now represented by Kirkland &amp; Ellis LLP. The Equity Distribution Agreements provide that the Company may offer and sell shares of the Common Stock from time to time through a Sales Agent in amounts and at times to be determined by the Company. Actual sales will depend on a variety of factors to be determined by the Company from time to time, including, market conditions and the trading price of the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221"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64" w:lineRule="exact"/>
        <w:rPr>
          <w:sz w:val="20"/>
          <w:szCs w:val="20"/>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NAV, including the cost of any third-party valuation services;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203" w:lineRule="exact"/>
        <w:rPr>
          <w:rFonts w:ascii="Times New Roman" w:cs="Times New Roman" w:eastAsia="Times New Roman" w:hAnsi="Times New Roman"/>
          <w:sz w:val="14"/>
          <w:szCs w:val="14"/>
          <w:color w:val="auto"/>
        </w:rPr>
      </w:pPr>
    </w:p>
    <w:p>
      <w:pPr>
        <w:ind w:left="840" w:right="180" w:hanging="383"/>
        <w:spacing w:after="0" w:line="302"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34"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1" w:name="page42"/>
    <w:bookmarkEnd w:id="41"/>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203"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 and</w:t>
      </w:r>
    </w:p>
    <w:p>
      <w:pPr>
        <w:spacing w:after="0" w:line="203" w:lineRule="exact"/>
        <w:rPr>
          <w:rFonts w:ascii="Times New Roman" w:cs="Times New Roman" w:eastAsia="Times New Roman" w:hAnsi="Times New Roman"/>
          <w:sz w:val="14"/>
          <w:szCs w:val="14"/>
          <w:color w:val="auto"/>
        </w:rPr>
      </w:pPr>
    </w:p>
    <w:p>
      <w:pPr>
        <w:ind w:left="840" w:right="40" w:hanging="383"/>
        <w:spacing w:after="0" w:line="271"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57" w:lineRule="exact"/>
        <w:rPr>
          <w:sz w:val="20"/>
          <w:szCs w:val="20"/>
          <w:color w:val="auto"/>
        </w:rPr>
      </w:pPr>
    </w:p>
    <w:p>
      <w:pPr>
        <w:jc w:val="both"/>
        <w:ind w:right="20" w:firstLine="449"/>
        <w:spacing w:after="0" w:line="302"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5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As of June 30, 2022, our portfolio totaled $1,226.4 million, and consisted of $1,062.4 million of first lien secured debt (including $190.2 million in PSSL), $0.7 million of second lien secured debt and $163.4 million of preferred and common equity (including $58.8 million in PSSL). Our debt portfolio consisted of 100.0% variable-rate investments. As of June 30, 2022, we had two portfolio companies on non-accrual, representing 0.9% and 0.1% of our overall portfolio on a cost and fair value basis, respectively. Overall, the portfolio had net unrealized appreciation of $7.7 million. Our overall portfolio consisted of 123 companies with an average investment size of $10.0 million, had a weighted average yield on debt investments of 8.5%, and was invested 87% in first lien secured debt (including 16% in PSSL), less than 1% in second lien secured debt and 13% in preferred and common equity (including 5% in PSSL). As of June 30, 2022, 100.0% of the investments held by PSSL were first lien secured debt.</w:t>
      </w:r>
    </w:p>
    <w:p>
      <w:pPr>
        <w:spacing w:after="0" w:line="116"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As of September 30, 2021, our portfolio totaled $1,081.6 million, and consisted of $934.4 million of first lien secured debt (including $140.9 million in PSSL), $8.9 million of second lien secured debt and $138.3 million of preferred and common equity (including $44.9 million in PSSL). Our debt portfolio consisted of 99% variable-rate investments. As of September 30, 2021, we had two portfolio companies on non-accrual, representing 2.7% and 2.6% of our overall portfolio on a cost and fair value basis, respectively. Overall, the portfolio had net unrealized appreciation of $11.0 million. Our overall portfolio consisted of 110 companies with an average investment size of $9.8 million, had a weighted average yield on debt investments of 7.4%, and was invested 86% in first lien secured debt (including 13% in PSSL), 1% in second lien secured debt and 13% in preferred and common equity (including 4% in PSSL). As of September 30, 2021, 99% of the investments held by PSSL were first lien secured debt.</w:t>
      </w:r>
    </w:p>
    <w:p>
      <w:pPr>
        <w:spacing w:after="0" w:line="183"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2022, we invested $104.8 million in six new and 39 existing portfolio companies with a weighted average yield on debt investments of 8.1 %. Sales and repayments of investments for the three months ended June 30, 2022 totaled $55.0 million. For the nine months ended June 30, 2022, we invested $553.1 million in 29 new and 104 existing portfolio companies with a weighted average yield on debt investments of 7.7%. Sales and repayments of investments for the nine months ended June 30, 2022 totaled $397.2 million.</w:t>
      </w:r>
    </w:p>
    <w:p>
      <w:pPr>
        <w:spacing w:after="0" w:line="15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For the three months ended June 30, 2021, we invested $248.3 million in 10 new and 16 existing portfolio companies with a weighted average yield on debt investments of 7.5%. Sales and repayments of investments for the three months ended June 30, 2021 totaled $283.3 million. For the nine months ended June 30, 2021, we invested $475.5 million in 19 new and 50 existing portfolio companies with a weighted average yield on debt investments of 7.5%. Sales and repayments of investments for the nine months ended June 30, 2021 totaled $565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2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As of June 30, 2022, PSSL’s portfolio totaled $746.8 million and consisted of 89 companies with an average investment size of $8.4 million and had a weighted average yield on debt investments of 8.2%. As of September 30, 2021, PSSL’s portfolio totaled $564.8 million and consisted of 74 companies with an average investment size of $7.6 million and had a weighted average yield on debt investments of 7.1%.</w:t>
      </w:r>
    </w:p>
    <w:p>
      <w:pPr>
        <w:spacing w:after="0" w:line="17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2022, PSSL invested $31.5 million (including $16.8 million purchased from the Company) in four new and seven existing portfolio companies with a weighted average yield on debt investments of 8.8%. Sales and repayments of investments for the three months ended June 30, 2022 totaled $13.5 million. For the nine months ended June 30, 2022, PSSL invested $228.6 million (including $225.2 million purchased from the Company) in 25 new and 15 existing portfolio companies with a weighted average yield on debt investments of 7.9%. Sales and repayments of investments for the nine months ended June 30, 2022 totaled $69.2 million.</w:t>
      </w:r>
    </w:p>
    <w:p>
      <w:pPr>
        <w:spacing w:after="0" w:line="16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June 30, 2021, PSSL invested $133.7 million (including $98.9 million purchased from the Company) in six new and 15 existing portfolio companies with a weighted average yield on debt investments of 7.0%. Sales and repayments of investments for the three months ended June 30, 2021 totaled $88.8 million. For the nine months ended June 30, 2021, PSSL invested $277.8 million (including $224.1 million purchased from the Company) in 30 new and 26 existing portfolio companies with a weighted average yield on debt investments of 7.2%. Sales and repayments of investments for the nine months ended June 30, 2021 totaled $163.1 million.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6"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jc w:val="both"/>
        <w:spacing w:after="0" w:line="302" w:lineRule="auto"/>
        <w:rPr>
          <w:sz w:val="20"/>
          <w:szCs w:val="20"/>
          <w:color w:val="auto"/>
        </w:rPr>
      </w:pPr>
      <w:r>
        <w:rPr>
          <w:rFonts w:ascii="Times New Roman" w:cs="Times New Roman" w:eastAsia="Times New Roman" w:hAnsi="Times New Roman"/>
          <w:sz w:val="14"/>
          <w:szCs w:val="14"/>
          <w:color w:val="auto"/>
        </w:rPr>
        <w:t>in our 2021 Annual Report on Form 10-K. There have been no significant changes in our critical accounting estimates during the three months from those disclosed in our 2021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221"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5"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2" w:lineRule="exact"/>
        <w:rPr>
          <w:sz w:val="20"/>
          <w:szCs w:val="20"/>
          <w:color w:val="auto"/>
        </w:rPr>
      </w:pPr>
    </w:p>
    <w:p>
      <w:pPr>
        <w:ind w:left="840" w:right="20" w:hanging="383"/>
        <w:spacing w:after="0" w:line="282"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48"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217" w:lineRule="exact"/>
        <w:rPr>
          <w:rFonts w:ascii="Times New Roman" w:cs="Times New Roman" w:eastAsia="Times New Roman" w:hAnsi="Times New Roman"/>
          <w:sz w:val="14"/>
          <w:szCs w:val="14"/>
          <w:color w:val="auto"/>
        </w:rPr>
      </w:pPr>
    </w:p>
    <w:p>
      <w:pPr>
        <w:jc w:val="both"/>
        <w:ind w:left="840" w:hanging="383"/>
        <w:spacing w:after="0" w:line="26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76" w:lineRule="exact"/>
        <w:rPr>
          <w:rFonts w:ascii="Times New Roman" w:cs="Times New Roman" w:eastAsia="Times New Roman" w:hAnsi="Times New Roman"/>
          <w:sz w:val="14"/>
          <w:szCs w:val="14"/>
          <w:color w:val="auto"/>
        </w:rPr>
      </w:pPr>
    </w:p>
    <w:p>
      <w:pPr>
        <w:jc w:val="both"/>
        <w:ind w:left="840" w:hanging="383"/>
        <w:spacing w:after="0" w:line="27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56" w:lineRule="exact"/>
        <w:rPr>
          <w:rFonts w:ascii="Times New Roman" w:cs="Times New Roman" w:eastAsia="Times New Roman" w:hAnsi="Times New Roman"/>
          <w:sz w:val="14"/>
          <w:szCs w:val="14"/>
          <w:color w:val="auto"/>
        </w:rPr>
      </w:pPr>
    </w:p>
    <w:p>
      <w:pPr>
        <w:ind w:left="840" w:hanging="383"/>
        <w:spacing w:after="0" w:line="282"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1: Inputs that are quoted prices (unadjusted) in active markets for identical assets or liabilities, accessible by us at the measurement date.</w:t>
      </w:r>
    </w:p>
    <w:p>
      <w:pPr>
        <w:spacing w:after="0" w:line="217" w:lineRule="exact"/>
        <w:rPr>
          <w:sz w:val="20"/>
          <w:szCs w:val="20"/>
          <w:color w:val="auto"/>
        </w:rPr>
      </w:pPr>
    </w:p>
    <w:p>
      <w:pPr>
        <w:ind w:left="800" w:right="20" w:hanging="344"/>
        <w:spacing w:after="0" w:line="282" w:lineRule="auto"/>
        <w:rPr>
          <w:sz w:val="20"/>
          <w:szCs w:val="20"/>
          <w:color w:val="auto"/>
        </w:rPr>
      </w:pPr>
      <w:r>
        <w:rPr>
          <w:rFonts w:ascii="Times New Roman" w:cs="Times New Roman" w:eastAsia="Times New Roman" w:hAnsi="Times New Roman"/>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3: Inputs that are unobservable for an asset or liability because they are based on our own assumptions about how market participants would price the asset or liability.</w:t>
      </w:r>
    </w:p>
    <w:p>
      <w:pPr>
        <w:spacing w:after="0" w:line="20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7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The SEC recently adopted Rule 2a-5 under the 1940 Act which establishes requirements for determining fair value in good faith for purposes of the 1940 Act. We will comply with the requirements of the rule before the requirement date in 2022.</w:t>
      </w:r>
    </w:p>
    <w:p>
      <w:pPr>
        <w:spacing w:after="0" w:line="148"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57"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4"/>
          <w:szCs w:val="14"/>
          <w:color w:val="auto"/>
        </w:rPr>
        <w:t>did not incur any expenses relating to amendment costs on the Credit Facility and debt issuance costs on the 2023 Notes during the three and nine months ended June 30, 2022 and 2021,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For the three and nine months ended June 30, 2022, the Credit Facility and the 2023 Notes had a net change in unrealized depreciation of $0.1 million and $1.2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as applicable, and the 2023 Notes totaled $8.5 million and $7.2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2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204" w:lineRule="exact"/>
        <w:rPr>
          <w:sz w:val="20"/>
          <w:szCs w:val="20"/>
          <w:color w:val="auto"/>
        </w:rPr>
      </w:pPr>
    </w:p>
    <w:p>
      <w:pPr>
        <w:ind w:left="840" w:hanging="383"/>
        <w:spacing w:after="0"/>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217"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-in-kind, or PIK Interest</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6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cs="Times New Roman" w:eastAsia="Times New Roman" w:hAnsi="Times New Roman"/>
          <w:sz w:val="14"/>
          <w:szCs w:val="14"/>
          <w:u w:val="single" w:color="auto"/>
          <w:color w:val="auto"/>
        </w:rPr>
        <w:t>s</w:t>
      </w:r>
      <w:r>
        <w:rPr>
          <w:rFonts w:ascii="Times New Roman" w:cs="Times New Roman" w:eastAsia="Times New Roman" w:hAnsi="Times New Roman"/>
          <w:sz w:val="14"/>
          <w:szCs w:val="14"/>
          <w:color w:val="auto"/>
        </w:rPr>
        <w:t>um of (1) 98% of our net ordinary income (subject to certain deferrals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58" w:lineRule="exact"/>
        <w:rPr>
          <w:sz w:val="20"/>
          <w:szCs w:val="20"/>
          <w:color w:val="auto"/>
        </w:rPr>
      </w:pPr>
    </w:p>
    <w:p>
      <w:pPr>
        <w:jc w:val="both"/>
        <w:ind w:firstLine="489"/>
        <w:spacing w:after="0" w:line="282" w:lineRule="auto"/>
        <w:rPr>
          <w:sz w:val="20"/>
          <w:szCs w:val="20"/>
          <w:color w:val="auto"/>
        </w:rPr>
      </w:pPr>
      <w:r>
        <w:rPr>
          <w:rFonts w:ascii="Times New Roman" w:cs="Times New Roman" w:eastAsia="Times New Roman" w:hAnsi="Times New Roman"/>
          <w:sz w:val="14"/>
          <w:szCs w:val="14"/>
          <w:color w:val="auto"/>
        </w:rPr>
        <w:t>For both the three and nine months ended June 30, 2022 and 2021, we recorded a provision for taxes on net investment income of $0.1 million and $0.3 million, respectively, pertaining to federal excise tax.</w:t>
      </w:r>
    </w:p>
    <w:p>
      <w:pPr>
        <w:spacing w:after="0" w:line="14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PFLT Investment Holdings, LLC, a wholly-owned subsidiary of the Company (the “Taxable Subsidiary”), is subject to U.S. federal, state and local corporate income taxes. The income tax expense and related tax liabilities of the Taxable Subsidiary are reflected in the Company’s consolidated financial statements.</w:t>
      </w:r>
    </w:p>
    <w:p>
      <w:pPr>
        <w:spacing w:after="0" w:line="135" w:lineRule="exact"/>
        <w:rPr>
          <w:sz w:val="20"/>
          <w:szCs w:val="20"/>
          <w:color w:val="auto"/>
        </w:rPr>
      </w:pPr>
    </w:p>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For the three and nine months ended June 30, 2022, the Company recognized a provision for taxes of zero and $5.3 million, respectively, on unrealized appreciation on investments by the Taxable Subsidiary. For the three and nine months ended June 30, 2021, the Company recognized a provision for taxes of zero on unrealized appreciation on investments by the Taxable Subsidiary. The provision for taxes on unrealized appreciation on investments is the result of netting (i) the expected tax liability on gains from sales of investments and (ii) the expected tax</w:t>
      </w:r>
    </w:p>
    <w:p>
      <w:pPr>
        <w:spacing w:after="0" w:line="1" w:lineRule="exact"/>
        <w:rPr>
          <w:sz w:val="20"/>
          <w:szCs w:val="20"/>
          <w:color w:val="auto"/>
        </w:rPr>
      </w:pPr>
    </w:p>
    <w:p>
      <w:pPr>
        <w:ind w:left="5560" w:right="3700" w:hanging="5543"/>
        <w:spacing w:after="0"/>
        <w:rPr>
          <w:sz w:val="20"/>
          <w:szCs w:val="20"/>
          <w:color w:val="auto"/>
        </w:rPr>
      </w:pPr>
      <w:r>
        <w:rPr>
          <w:rFonts w:ascii="Times New Roman" w:cs="Times New Roman" w:eastAsia="Times New Roman" w:hAnsi="Times New Roman"/>
          <w:sz w:val="14"/>
          <w:szCs w:val="14"/>
          <w:color w:val="auto"/>
        </w:rPr>
        <w:t>benefit from the use of losses in the current year. As of June 30, 2022 and September 30, 2021, $5.3 million and zero, respectively,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4"/>
          <w:szCs w:val="14"/>
          <w:color w:val="auto"/>
        </w:rPr>
        <w:t>was accrued as a deferred tax liability on the Consolidated Statements of Assets and Liabilities relating to unrealized gain on investments. During the three and nine months ended June 30, 2022, the Company paid zero and $1.2 million, respectively, in taxes on realized gains on the sale of investments held by the Taxable Subsidiary, resulting in a $1.2 million prepaid tax asset as of June 30, 2022 included under prepaid expenses and other assets in the consolidated statement of assets and liabilities.</w:t>
      </w:r>
    </w:p>
    <w:p>
      <w:pPr>
        <w:spacing w:after="0" w:line="150"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57"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and nine months ended June 30, 2022 and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9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Investment income for the three and nine months ended June 30, 2022 was $25.7 million and $76.7 million, respectively, which was attributable to $21.1 million and $64.0 million from first lien secured debt and $4.6 million and $12.7 million from other investments, respectively. This compares to investment income for the three and nine months ended June 30, 2021 was $20.9</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million and $61.1 million, respectively, which was attributable to $18.2 million and $53.5 million from first lien secured debt and $2.7 million and $7.6 million from other investments, respectively. The increase in investment income compared to the same periods in the prior year was primarily due to an increase the size of our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94"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Expenses for the three and nine months ended June 30, 2022 totaled $13.9 million and $40.8 million, respectively. Base management fee for the same periods totaled $3.1 million and $8.9 million, performance-based incentive fee totaled $2.6 million and $8.5 million, debt related interest and expenses totaled $7.4 million and $20.7 million and general and administrative expenses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totaled $0.8 million and $2.4 million, respectively. This compares to expenses for the three and nine months ended June 30, 2021 totaled $10.6 million and $30.8 million, respectively. Base management fee for the same periods totaled $2.6 million and $8.0 million, incentive fee totaled $1.7 million and $4.7 million, debt related interest and expenses totaled $5.9 million and $16.0</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million and general and administrative expenses totaled $0.4 million and $1.8 million, respectively. The increase in expenses for the three and nine months ended June 30, 2022 compared to the same period in the prior year was primarily due to an increase in performance-based incentive fees and debt-related interest and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208"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Net investment income totaled $11.8 million and $35.9 million, or $0.29 and $0.90 per share, for the three and nine months ended June 30, 2022, respectively. Net investment income totaled $10.3 million and $30.3 million, or $0.27 and $0.78 per share, for the three and nine months ended June 30, 2021, respectively. The increase in net investment income compared to the same periods in the prior year was primarily due to an increase the size of our portfolio.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Sales and repayments of investments for the three and nine months ended June 30, 2022 totaled $55.0 million and $397.2 million, respectively, and net realized gains (losses) totaled $0.7 million and $(11.6) million, respectively. Sales and repayments of investments for the three and nine months ended June 30, 2021 totaled $283.3 million and $565.5 million, respectively, and net realized losses totaled $13.0 million and $15.3 million, respectively. The change in realized gains/losses was primarily due to changes in the market conditions of our investments and the values at which they were realized.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the Credit Facility and the 2023 Notes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and nine months ended June 30, 2022, we reported net change in unrealized depreciation on investments of $17.7 million and $3.7 million, respectively. For the three and nine months ended June 30, 2021, we reported net change in unrealized appreciation on investments of $14.2 million and $48.8 million, respectively. As of June 30, 2022 and September 30, 2021, our net unrealized appreciation on investments totaled $7.7 million and $11.0 million, respectively. The net change in unrealized appreciation on our investments compared to the same period in the prior year was primarily due to changes in the market conditions of our investments and the values at which they were held.</w:t>
      </w:r>
    </w:p>
    <w:p>
      <w:pPr>
        <w:spacing w:after="0" w:line="16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and nine months ended June 30, 2022, the Credit Facility and the 2023 Notes had a net change in unrealized depreciation of less than $0.1 million and $1.3 million, respectively. For the three and nine months ended June 30, 2021, the Credit Facility and the 2023 Notes had a net change in unrealized depreciation (appreciation) of $3.2 million and $(11.3) million, respectively. As of June 30, 2022 and September 30, 2021, the net unrealized depreciation on the Credit Facility and the 2023 Notes totaled $8.5 million and $7.2 million, respectively. The net change in net unrealized depreciation compared to the same period in the prior year was primarily due to changes in the capital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20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Net (decrease) increase in net assets resulting from operations totaled $(5.1) million and $16.6 million, or $(0.12) and $0.42 per share, respectively, for the three and nine months ended June 30, 2022. Net increase in net assets resulting from operations totaled $14.7 million and $52.5 million, or $0.38 and $1.35 per share, respectively, for the three and nine months ended June 30, 2021. The decrease in the net change in net assets from operations for the three and nine months ended June 30, 2022 compared to the same period in the prior year was primarily due to a lower realized and unrealized change in our investment and debt.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jc w:val="both"/>
        <w:ind w:firstLine="449"/>
        <w:spacing w:after="0" w:line="249"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2022, in accordance with the 1940 Act, with certain limited exceptions, we are only allowed to borrow amounts such that we are in compliance with a 150% asset coverage ratio requirement after such borrowing. This “Liquidity and Capital Resources” section should be read in conjunction with the “COVID-19 Developments” section above.</w:t>
      </w:r>
    </w:p>
    <w:p>
      <w:pPr>
        <w:spacing w:after="0" w:line="176"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w:t>
      </w:r>
    </w:p>
    <w:p>
      <w:pPr>
        <w:spacing w:after="0" w:line="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auto"/>
        </w:rPr>
        <w:t>outstanding for each $1 of equity) to 150% (i.e., $2 of debt outstanding for each $1 of equity), effective as of April 5, 2019, subject to compliance with certain disclosure requirements. As of June 30, 2022 and September 30, 2021, our asset coverage ratio, as computed in accordance with the 1940 Act, was 166% and 175%, respectively.</w:t>
      </w:r>
    </w:p>
    <w:p>
      <w:pPr>
        <w:spacing w:after="0" w:line="151"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The annualized weighted average cost of debt for the nine months ended June 30, 2022 and 2021, inclusive of the fee on the undrawn commitment on the Credit Facility, amendment costs and debt issuance costs, was 3.7% and 3.4%, respectively. As of June 30, 2022 and September 30, 2021, we had $40.7 million and $80.6 million of unused borrowing capacity under the Credit Facility, as applicable, respectively, subject to leverage and borrowing base restrictions.</w:t>
      </w:r>
    </w:p>
    <w:p>
      <w:pPr>
        <w:spacing w:after="0" w:line="157" w:lineRule="exact"/>
        <w:rPr>
          <w:sz w:val="20"/>
          <w:szCs w:val="20"/>
          <w:color w:val="auto"/>
        </w:rPr>
      </w:pPr>
    </w:p>
    <w:p>
      <w:pPr>
        <w:jc w:val="both"/>
        <w:ind w:firstLine="449"/>
        <w:spacing w:after="0" w:line="243" w:lineRule="auto"/>
        <w:rPr>
          <w:sz w:val="20"/>
          <w:szCs w:val="20"/>
          <w:color w:val="auto"/>
        </w:rPr>
      </w:pPr>
      <w:r>
        <w:rPr>
          <w:rFonts w:ascii="Times New Roman" w:cs="Times New Roman" w:eastAsia="Times New Roman" w:hAnsi="Times New Roman"/>
          <w:sz w:val="14"/>
          <w:szCs w:val="14"/>
          <w:color w:val="auto"/>
        </w:rPr>
        <w:t>Funding I’s multi-currency Credit Facility with the Lenders was $300 million as of June 30, 2022 subject to satisfaction of certain conditions and regulatory restrictions that the 1940 Act imposes on us as a BDC, has an interest rate spread above LIBOR (or an alternative risk-free floating interest rate index) of 225 basis points, a maturity date of August 2026 and a revolving</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period that ends in August 2024. As of June 30, 2022 and September 30, 2021, Funding I borrowed $259.3 million and $219.4 million under the Credit Facility, respectively. The Credit Facility had a weighted average interest rate of 3.3% and 2.3%, exclusive of the fee on undrawn commitments as of June 30, 2022 and September 30, 2021, respectively.</w:t>
      </w:r>
    </w:p>
    <w:p>
      <w:pPr>
        <w:spacing w:after="0" w:line="15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LIBOR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currency types and amounts, industry requirements, average life of loans, geographic and</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 we were in compliance with the covenants relating to our Credit Facility.</w:t>
      </w:r>
    </w:p>
    <w:p>
      <w:pPr>
        <w:spacing w:after="0" w:line="18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forth in the Credit Facility. We may receive cash distributions on our equity interests in Funding I only after it has made all required payments of (1) cash interest and, if applicable, principal payments to the Lenders, (2) required administrative expenses and (3) claims of other unsecured creditors of Funding I. We cannot assure you that there will be sufficient funds available to make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6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In November 2017, we issued $138.6 million of our 2023 Notes. The 2023 Notes were issued pursuant to a deed of trust between the Company and Mishmeret Trust Company, Ltd., as trustee, of which $97.0 million and $117.8 million was outstanding as of June 30, 2022 and September 30, 2021, respectively.</w:t>
      </w:r>
    </w:p>
    <w:p>
      <w:pPr>
        <w:spacing w:after="0" w:line="16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6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6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the middle market loans, participation interests in middle</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w:t>
      </w:r>
    </w:p>
    <w:p>
      <w:pPr>
        <w:spacing w:after="0" w:line="234" w:lineRule="auto"/>
        <w:rPr>
          <w:sz w:val="20"/>
          <w:szCs w:val="20"/>
          <w:color w:val="auto"/>
        </w:rPr>
      </w:pPr>
      <w:r>
        <w:rPr>
          <w:rFonts w:ascii="Times New Roman" w:cs="Times New Roman" w:eastAsia="Times New Roman" w:hAnsi="Times New Roman"/>
          <w:sz w:val="14"/>
          <w:szCs w:val="14"/>
          <w:color w:val="auto"/>
        </w:rPr>
        <w:t>million Class B-1 Senior Secured Floating Rate Notes due 2031, which bear interest at the three-month LIBOR plus 2.9%, (iv) $16.0 million Class B-2 Senior Secured Fixed Rate Notes due</w:t>
      </w:r>
    </w:p>
    <w:p>
      <w:pPr>
        <w:jc w:val="both"/>
        <w:spacing w:after="0" w:line="155" w:lineRule="exact"/>
        <w:rPr>
          <w:sz w:val="20"/>
          <w:szCs w:val="20"/>
          <w:color w:val="auto"/>
        </w:rPr>
      </w:pPr>
      <w:r>
        <w:rPr>
          <w:rFonts w:ascii="Times New Roman" w:cs="Times New Roman" w:eastAsia="Times New Roman" w:hAnsi="Times New Roman"/>
          <w:sz w:val="14"/>
          <w:szCs w:val="14"/>
          <w:color w:val="auto"/>
        </w:rPr>
        <w:t>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w:t>
      </w:r>
    </w:p>
    <w:p>
      <w:pPr>
        <w:spacing w:after="0" w:line="1" w:lineRule="exact"/>
        <w:rPr>
          <w:sz w:val="20"/>
          <w:szCs w:val="20"/>
          <w:color w:val="auto"/>
        </w:rPr>
      </w:pPr>
    </w:p>
    <w:p>
      <w:pPr>
        <w:jc w:val="both"/>
        <w:spacing w:after="0" w:line="161" w:lineRule="exact"/>
        <w:rPr>
          <w:sz w:val="20"/>
          <w:szCs w:val="20"/>
          <w:color w:val="auto"/>
        </w:rPr>
      </w:pPr>
      <w:r>
        <w:rPr>
          <w:rFonts w:ascii="Times New Roman" w:cs="Times New Roman" w:eastAsia="Times New Roman" w:hAnsi="Times New Roman"/>
          <w:sz w:val="14"/>
          <w:szCs w:val="14"/>
          <w:color w:val="auto"/>
        </w:rPr>
        <w:t>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4"/>
          <w:szCs w:val="14"/>
          <w:color w:val="auto"/>
        </w:rPr>
        <w:t>Asset-Backed Debt is scheduled to mature on October 15, 2031. As of both June 30, 2022 and September 30, 2021, the Company had $228.0 million of 2031 Asset-Backed Debt outstanding with a weighted average interest rate of 2.7%.</w:t>
      </w:r>
    </w:p>
    <w:p>
      <w:pPr>
        <w:spacing w:after="0" w:line="13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5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a collateral management agreement between our Investment Adviser and the Securitization</w:t>
      </w:r>
    </w:p>
    <w:p>
      <w:pPr>
        <w:spacing w:after="0" w:line="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August 20, 2021, we entered into Equity Distribution Agreements with each of JMP Securities LLC and Raymond James &amp; Associates, Inc., as the Sales Agents, in connection with</w:t>
      </w:r>
    </w:p>
    <w:p>
      <w:pPr>
        <w:spacing w:after="0" w:line="1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the sale of shares of our Common Stock, par value $0.001 per share , with an aggregate offering price of up to $75 million under the ATM Program. The Equity Distribution Agreements provide that we may offer and sell shares of our Common Stock from time to time through a Sales Agent in amounts and at times to be determined by us. Actual sales will depend on a variety of factors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determined by us from time to time, including, market conditions and the trading price of our Common Stock.</w:t>
      </w:r>
    </w:p>
    <w:p>
      <w:pPr>
        <w:spacing w:after="0" w:line="188"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4"/>
          <w:szCs w:val="14"/>
          <w:color w:val="auto"/>
        </w:rPr>
        <w:t>During the three months ended June 30, 2022, we issued 136,072 shares of our Common Stock under the ATM Program at a weighted-average price of $13.38 per share, raising $1.8 million of gross proceeds. Net proceeds were $1.8 million after commissions to the Sales Agents on shares sold. During the nine months ended June 30, 2022, we issued 2,464,910 shares of our Common Stock under the ATM Program at a weighted-average price of $13.12 per share, raising $32.3 million of gross proceeds. Net proceeds were $31.9 million after commissions to the Sales Agents on shares sold. As of June 30, 2022, we had $41.3 million available under the ATM Program.</w:t>
      </w:r>
    </w:p>
    <w:p>
      <w:pPr>
        <w:spacing w:after="0" w:line="164"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Since inception of the ATM Program through June 30, 2022, we have issued 2,573,564 shares of our Common Stock at a weighted-average price of $13.11, raising $33.7 million of gross proceeds. Net proceeds were $33.2 million after commissions to the Sales Agents on shares sold. We incurred $0.5 million of legal and other offering costs associated with establishing the ATM Program.</w:t>
      </w:r>
    </w:p>
    <w:p>
      <w:pPr>
        <w:spacing w:after="0" w:line="17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6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As of June 30, 2022 and September 30, 2021, we had cash equivalents of $40.6 million and $49.8 million, respectively, available for investing and general corporate purposes. We believe our liquidity and capital resources are sufficient to take advantage of market opportunities.</w:t>
      </w:r>
    </w:p>
    <w:p>
      <w:pPr>
        <w:spacing w:after="0" w:line="13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operating activities used cash of $111.6 million for the nine months ended June 30, 2022, and our financing activities provided cash of $101.7 million for the same period. Our operating activities used cash primarily for our investment activities and our financing activities provided cash primarily due to the issuance of $85 million of our 2026 Add-on Notes borrowings under our Credit Facility.</w:t>
      </w:r>
    </w:p>
    <w:p>
      <w:pPr>
        <w:spacing w:after="0" w:line="15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4"/>
          <w:szCs w:val="14"/>
          <w:color w:val="auto"/>
        </w:rPr>
        <w:t>Our operating activities provided cash of $124.4 million for the nine months ended June 30, 2021, and our financing activities used cash of $132.3 million for the same period. Our operating activities provided cash primarily from our investment activities and our financing activities used cash primarily to pay down our Credit Facility, partially offset by the 2026 Notes issuance.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92"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2022 and September 30, 2021, PSSL had total assets of $790.3 million and $603.6 million, respectively. As of June 30,</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2022, at fair value, the largest investment in a single portfolio company in PSSL was $19.1 million and the five largest investments totaled $86.6 million. As of September 30, 2021, at fair value, the largest investment in a single portfolio company in PSSL was $18.9 million and the five largest investments totaled $84.3 million. PSSL invests in portfolio companies in the same industries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which we may directly invest.</w:t>
      </w:r>
    </w:p>
    <w:p>
      <w:pPr>
        <w:spacing w:after="0" w:line="174"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provide capital to PSSL in the form of first lien secured debt and equity interests. As of June 30, 2022 and September 30, 2021, we and Kemper owned 87.5% and 12.5%, respectively, of each of the outstanding first lien secured debt and equity interests. As of the same dates, our investment in PSSL consisted of first lien secured debt of $190.2 million (additional $19.9 million unfunded) and $140.9 million (additional $29.4 million unfunded), respectively, and equity interests of $81.5 million (additional $8.5 million unfunded) and $60.4 million (additional $12.6 million unfunded), respectively.</w:t>
      </w:r>
    </w:p>
    <w:p>
      <w:pPr>
        <w:spacing w:after="0" w:line="153"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each matter; and (iii) the presence of four members of the board of directors or investment committee shall constitute a quorum, provided that two individuals are present that were elected, designated or appointed by each member.</w:t>
      </w:r>
    </w:p>
    <w:p>
      <w:pPr>
        <w:spacing w:after="0" w:line="15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May 2022 PSSL has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5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Shares of PennantPark CLO II, Ltd. and 100% of the Class E Notes issued by PennantPark CLO II, Ltd.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746,819</w:t>
            </w:r>
          </w:p>
        </w:tc>
        <w:tc>
          <w:tcPr>
            <w:tcW w:w="30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3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19,126</w:t>
            </w:r>
          </w:p>
        </w:tc>
        <w:tc>
          <w:tcPr>
            <w:tcW w:w="3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32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86,629</w:t>
            </w:r>
          </w:p>
        </w:tc>
        <w:tc>
          <w:tcPr>
            <w:tcW w:w="30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84,287</w:t>
            </w:r>
          </w:p>
        </w:tc>
        <w:tc>
          <w:tcPr>
            <w:tcW w:w="12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584"/>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5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June 30, 2022 ($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2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- 1,107.3%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8,910</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8,804</w:t>
            </w:r>
          </w:p>
        </w:tc>
        <w:tc>
          <w:tcPr>
            <w:tcW w:w="44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11/30/2026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9.24 %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5,178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4,898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11,143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11,073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12/2/2022</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7.39 %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5/16/2024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11/14/2023</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9.74 %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L+325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12,346</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7.58 %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4/10/2025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6.91 %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8/5/2025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8,664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7,255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15,138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7.15 %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10,173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6.32 %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7.42 %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12,968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7.63 %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7.92 %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3,914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11/23/2028</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11/15/2027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6.91 %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8.81 %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16,289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9/29/2023</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3/3/2028</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7.08 %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9.67 %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19,124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5"/>
              </w:rPr>
              <w:t>11/10/2027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11,872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9.25 %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14,391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14,097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9.70 %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10,452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7/20/2027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6.69 %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2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9/30/2026</w:t>
            </w:r>
          </w:p>
        </w:tc>
        <w:tc>
          <w:tcPr>
            <w:tcW w:w="120" w:type="dxa"/>
            <w:vAlign w:val="bottom"/>
            <w:shd w:val="clear" w:color="auto" w:fill="CCECFF"/>
          </w:tcPr>
          <w:p>
            <w:pPr>
              <w:spacing w:after="0"/>
              <w:rPr>
                <w:sz w:val="12"/>
                <w:szCs w:val="12"/>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6.69 %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7.17 %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7,309</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3/28/2024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7.20 %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6/6/2024</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14,462</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7/9/2026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6.95 %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SOFR+475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5/7/2027</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7.92 %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14,807</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6.01 %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9.32 %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6.57 %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9,618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9,340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11/9/2027</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8.17 %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7.75 %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5"/>
              </w:rPr>
              <w:t>11/19/2026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8.20 %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4,914</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4,814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6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1"/>
                <w:szCs w:val="1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w w:val="96"/>
              </w:rPr>
              <w:t>6.50 %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10,596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6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1/3/2025</w:t>
            </w:r>
          </w:p>
        </w:tc>
        <w:tc>
          <w:tcPr>
            <w:tcW w:w="120" w:type="dxa"/>
            <w:vAlign w:val="bottom"/>
            <w:shd w:val="clear" w:color="auto" w:fill="CCECFF"/>
          </w:tcPr>
          <w:p>
            <w:pPr>
              <w:spacing w:after="0"/>
              <w:rPr>
                <w:sz w:val="11"/>
                <w:szCs w:val="11"/>
                <w:color w:val="auto"/>
              </w:rPr>
            </w:pP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5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w w:val="96"/>
              </w:rPr>
              <w:t>8.25 %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5,218</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6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Spread</w:t>
            </w:r>
          </w:p>
        </w:tc>
        <w:tc>
          <w:tcPr>
            <w:tcW w:w="220" w:type="dxa"/>
            <w:vAlign w:val="bottom"/>
          </w:tcPr>
          <w:p>
            <w:pPr>
              <w:spacing w:after="0"/>
              <w:rPr>
                <w:sz w:val="9"/>
                <w:szCs w:val="9"/>
                <w:color w:val="auto"/>
              </w:rPr>
            </w:pPr>
          </w:p>
        </w:tc>
        <w:tc>
          <w:tcPr>
            <w:tcW w:w="7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180" w:type="dxa"/>
            <w:vAlign w:val="bottom"/>
            <w:gridSpan w:val="2"/>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28"/>
        </w:trPr>
        <w:tc>
          <w:tcPr>
            <w:tcW w:w="29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shd w:val="clear" w:color="auto" w:fill="CCECFF"/>
          </w:tcPr>
          <w:p>
            <w:pPr>
              <w:spacing w:after="0"/>
              <w:rPr>
                <w:sz w:val="11"/>
                <w:szCs w:val="11"/>
                <w:color w:val="auto"/>
              </w:rPr>
            </w:pPr>
          </w:p>
        </w:tc>
        <w:tc>
          <w:tcPr>
            <w:tcW w:w="23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2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w:t>
            </w:r>
          </w:p>
        </w:tc>
        <w:tc>
          <w:tcPr>
            <w:tcW w:w="320" w:type="dxa"/>
            <w:vAlign w:val="bottom"/>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w w:val="86"/>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2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5,348</w:t>
            </w: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2/13/2020</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8.70 %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10.75 %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14,810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5.62 %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11/5/2019</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7.42 %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3/23/2022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7.38 %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6/8/2021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6.92 %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9"/>
              </w:rPr>
              <w:t>System Planning and Analysis, Inc. (f/k/a Management Consulting</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&amp; Research,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12/3/2021</w:t>
            </w:r>
          </w:p>
        </w:tc>
        <w:tc>
          <w:tcPr>
            <w:tcW w:w="26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8.83 %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3/17/2021</w:t>
            </w:r>
          </w:p>
        </w:tc>
        <w:tc>
          <w:tcPr>
            <w:tcW w:w="26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4,356</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6/8/2021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10,248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6.85 %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8.06 %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8/26/2021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8.75 %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5/26/2021</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7.19 %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7.17 %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2/7/2020</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6.97 %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5/6/2022</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7.67 %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14,990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7/17/2019</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8.76 %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10/21/2021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6.47 %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11/6/2018</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6.75 %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11.00 %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12,619</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12,240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4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7/31/2022</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300" w:type="dxa"/>
            <w:vAlign w:val="bottom"/>
            <w:gridSpan w:val="3"/>
          </w:tcPr>
          <w:p>
            <w:pPr>
              <w:jc w:val="right"/>
              <w:ind w:right="166"/>
              <w:spacing w:after="0"/>
              <w:rPr>
                <w:sz w:val="20"/>
                <w:szCs w:val="20"/>
                <w:color w:val="auto"/>
              </w:rPr>
            </w:pPr>
            <w:r>
              <w:rPr>
                <w:rFonts w:ascii="Times New Roman" w:cs="Times New Roman" w:eastAsia="Times New Roman" w:hAnsi="Times New Roman"/>
                <w:sz w:val="11"/>
                <w:szCs w:val="11"/>
                <w:color w:val="auto"/>
              </w:rPr>
              <w:t>7.95 %</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4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12/29/2021</w:t>
            </w: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300" w:type="dxa"/>
            <w:vAlign w:val="bottom"/>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8.25 %</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16,741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749,409</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743,558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- 4.4%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P(IK 9.00%)</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40" w:type="dxa"/>
            <w:vAlign w:val="bottom"/>
            <w:tcBorders>
              <w:bottom w:val="single" w:sz="8" w:color="CCECFF"/>
            </w:tcBorders>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3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300" w:type="dxa"/>
            <w:vAlign w:val="bottom"/>
            <w:tcBorders>
              <w:bottom w:val="single" w:sz="8" w:color="CCECFF"/>
            </w:tcBorders>
            <w:gridSpan w:val="3"/>
            <w:shd w:val="clear" w:color="auto" w:fill="CCECFF"/>
          </w:tcPr>
          <w:p>
            <w:pPr>
              <w:jc w:val="right"/>
              <w:ind w:right="166"/>
              <w:spacing w:after="0"/>
              <w:rPr>
                <w:sz w:val="20"/>
                <w:szCs w:val="20"/>
                <w:color w:val="auto"/>
              </w:rPr>
            </w:pPr>
            <w:r>
              <w:rPr>
                <w:rFonts w:ascii="Times New Roman" w:cs="Times New Roman" w:eastAsia="Times New Roman" w:hAnsi="Times New Roman"/>
                <w:sz w:val="11"/>
                <w:szCs w:val="11"/>
                <w:color w:val="auto"/>
              </w:rPr>
              <w:t>10.75 %</w:t>
            </w:r>
          </w:p>
        </w:tc>
        <w:tc>
          <w:tcPr>
            <w:tcW w:w="6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8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2,959</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2,959</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.9%</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1"/>
                <w:szCs w:val="11"/>
                <w:color w:val="auto"/>
              </w:rPr>
            </w:pPr>
          </w:p>
        </w:tc>
        <w:tc>
          <w:tcPr>
            <w:tcW w:w="118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- 1,112.2%</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752,368</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746,819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- 58.4%</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39,197</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39,197</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—1,170.5%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791,565</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6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(1,070.5)%</w:t>
            </w:r>
          </w:p>
        </w:tc>
        <w:tc>
          <w:tcPr>
            <w:tcW w:w="120" w:type="dxa"/>
            <w:vAlign w:val="bottom"/>
            <w:tcBorders>
              <w:bottom w:val="single" w:sz="8" w:color="CCECFF"/>
            </w:tcBorders>
            <w:shd w:val="clear" w:color="auto" w:fill="CCECFF"/>
          </w:tcPr>
          <w:p>
            <w:pPr>
              <w:spacing w:after="0"/>
              <w:rPr>
                <w:sz w:val="8"/>
                <w:szCs w:val="8"/>
                <w:color w:val="auto"/>
              </w:rPr>
            </w:pPr>
          </w:p>
        </w:tc>
        <w:tc>
          <w:tcPr>
            <w:tcW w:w="6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38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860" w:type="dxa"/>
            <w:vAlign w:val="bottom"/>
            <w:tcBorders>
              <w:bottom w:val="single" w:sz="8" w:color="CCECFF"/>
            </w:tcBorders>
            <w:shd w:val="clear" w:color="auto" w:fill="CCECFF"/>
          </w:tcPr>
          <w:p>
            <w:pPr>
              <w:spacing w:after="0"/>
              <w:rPr>
                <w:sz w:val="8"/>
                <w:szCs w:val="8"/>
                <w:color w:val="auto"/>
              </w:rPr>
            </w:pPr>
          </w:p>
        </w:tc>
        <w:tc>
          <w:tcPr>
            <w:tcW w:w="32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6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auto"/>
            </w:tcBorders>
            <w:shd w:val="clear" w:color="auto" w:fill="CCECFF"/>
          </w:tcPr>
          <w:p>
            <w:pPr>
              <w:spacing w:after="0"/>
              <w:rPr>
                <w:sz w:val="8"/>
                <w:szCs w:val="8"/>
                <w:color w:val="auto"/>
              </w:rPr>
            </w:pPr>
          </w:p>
        </w:tc>
        <w:tc>
          <w:tcPr>
            <w:tcW w:w="54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(718,859</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-1328420</wp:posOffset>
            </wp:positionV>
            <wp:extent cx="68580" cy="1803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1803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-1062355</wp:posOffset>
            </wp:positionV>
            <wp:extent cx="68580" cy="1028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028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-693420</wp:posOffset>
            </wp:positionV>
            <wp:extent cx="68580" cy="1028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1028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68580" cy="1200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80" w:right="20" w:hanging="372"/>
        <w:spacing w:after="0" w:line="218"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8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9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spacing w:after="0" w:line="6"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2021 ($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0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- 1,088.%</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05/06/2026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8,852</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07/24/2025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07/31/2025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05/16/2022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11/14/2023</w:t>
            </w:r>
          </w:p>
        </w:tc>
        <w:tc>
          <w:tcPr>
            <w:tcW w:w="1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9.50 %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L+850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12,282</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12,231</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11,981</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9.50%)</w:t>
            </w: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Cano Health</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11/23/2027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04/10/2025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08/31/2023</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L+675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9,501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9,454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9,216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07/13/2027</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3,922</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CoolSys,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08/04/2028</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08/16/2027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08/05/2025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Digital Room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05/22/2026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5.08 %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8/27/2026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11/03/2025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East Valley Tourist Development Authority</w:t>
            </w:r>
          </w:p>
        </w:tc>
        <w:tc>
          <w:tcPr>
            <w:tcW w:w="80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03/07/2022</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Hotels, Restaurants and Leisure</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9.00 %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L+800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5,624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3.50%)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03/312028</w:t>
            </w: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8.25 %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More Defense</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06/17/2028</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FlexPrint,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01/02/2024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L+590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03/16/2026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08/10/2027</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Trding Companies &amp; Distributors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12/19/2025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04/09/2027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09/29/2023</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11,528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8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9"/>
              </w:rPr>
              <w:t>10/31/2024</w:t>
            </w:r>
          </w:p>
        </w:tc>
        <w:tc>
          <w:tcPr>
            <w:tcW w:w="1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Capital Equipment</w:t>
            </w:r>
          </w:p>
        </w:tc>
        <w:tc>
          <w:tcPr>
            <w:tcW w:w="1160" w:type="dxa"/>
            <w:vAlign w:val="bottom"/>
            <w:gridSpan w:val="3"/>
            <w:shd w:val="clear" w:color="auto" w:fill="CCEC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8.50 %</w:t>
            </w:r>
          </w:p>
        </w:tc>
        <w:tc>
          <w:tcPr>
            <w:tcW w:w="7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L+750</w:t>
            </w:r>
          </w:p>
        </w:tc>
        <w:tc>
          <w:tcPr>
            <w:tcW w:w="8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10,491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10,435</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9,833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106"/>
              <w:spacing w:after="0" w:line="122" w:lineRule="exact"/>
              <w:rPr>
                <w:sz w:val="20"/>
                <w:szCs w:val="20"/>
                <w:color w:val="auto"/>
              </w:rPr>
            </w:pPr>
            <w:r>
              <w:rPr>
                <w:rFonts w:ascii="Times New Roman" w:cs="Times New Roman" w:eastAsia="Times New Roman" w:hAnsi="Times New Roman"/>
                <w:sz w:val="11"/>
                <w:szCs w:val="11"/>
                <w:color w:val="auto"/>
                <w:w w:val="98"/>
              </w:rPr>
              <w:t>02/3/2026</w:t>
            </w:r>
          </w:p>
        </w:tc>
        <w:tc>
          <w:tcPr>
            <w:tcW w:w="140" w:type="dxa"/>
            <w:vAlign w:val="bottom"/>
          </w:tcPr>
          <w:p>
            <w:pPr>
              <w:spacing w:after="0"/>
              <w:rPr>
                <w:sz w:val="10"/>
                <w:szCs w:val="10"/>
                <w:color w:val="auto"/>
              </w:rPr>
            </w:pPr>
          </w:p>
        </w:tc>
        <w:tc>
          <w:tcPr>
            <w:tcW w:w="24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5,606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8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9"/>
              </w:rPr>
              <w:t>07/20/2027</w:t>
            </w:r>
          </w:p>
        </w:tc>
        <w:tc>
          <w:tcPr>
            <w:tcW w:w="140" w:type="dxa"/>
            <w:vAlign w:val="bottom"/>
          </w:tcPr>
          <w:p>
            <w:pPr>
              <w:spacing w:after="0"/>
              <w:rPr>
                <w:sz w:val="10"/>
                <w:szCs w:val="10"/>
                <w:color w:val="auto"/>
              </w:rPr>
            </w:pPr>
          </w:p>
        </w:tc>
        <w:tc>
          <w:tcPr>
            <w:tcW w:w="24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Hotel, Gaming and Leisure</w:t>
            </w:r>
          </w:p>
        </w:tc>
        <w:tc>
          <w:tcPr>
            <w:tcW w:w="1160" w:type="dxa"/>
            <w:vAlign w:val="bottom"/>
            <w:gridSpan w:val="3"/>
          </w:tcPr>
          <w:p>
            <w:pPr>
              <w:jc w:val="right"/>
              <w:ind w:right="16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4,411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8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3"/>
                <w:szCs w:val="13"/>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Media: Diversified and Production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Super Priority First Lien Term Loan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6.25%)</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tcPr>
          <w:p>
            <w:pPr>
              <w:ind w:left="20"/>
              <w:spacing w:after="0" w:line="109" w:lineRule="exact"/>
              <w:rPr>
                <w:sz w:val="20"/>
                <w:szCs w:val="20"/>
                <w:color w:val="auto"/>
              </w:rPr>
            </w:pPr>
            <w:r>
              <w:rPr>
                <w:rFonts w:ascii="Times New Roman" w:cs="Times New Roman" w:eastAsia="Times New Roman" w:hAnsi="Times New Roman"/>
                <w:sz w:val="11"/>
                <w:szCs w:val="11"/>
                <w:color w:val="auto"/>
                <w:w w:val="99"/>
              </w:rPr>
              <w:t>Marketplace Events, LLC - Super Priority First Lien Unfunded Term</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08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vertAlign w:val="subscript"/>
              </w:rPr>
              <w:t>Loan</w:t>
            </w:r>
            <w:r>
              <w:rPr>
                <w:rFonts w:ascii="Times New Roman" w:cs="Times New Roman" w:eastAsia="Times New Roman" w:hAnsi="Times New Roman"/>
                <w:sz w:val="6"/>
                <w:szCs w:val="6"/>
                <w:color w:val="auto"/>
              </w:rPr>
              <w:t xml:space="preserve"> (3)(4)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20" w:type="dxa"/>
            <w:vAlign w:val="bottom"/>
          </w:tcPr>
          <w:p>
            <w:pPr>
              <w:spacing w:after="0"/>
              <w:rPr>
                <w:sz w:val="11"/>
                <w:szCs w:val="1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Marketplace Events LLC </w:t>
            </w:r>
            <w:r>
              <w:rPr>
                <w:rFonts w:ascii="Times New Roman" w:cs="Times New Roman" w:eastAsia="Times New Roman" w:hAnsi="Times New Roman"/>
                <w:sz w:val="14"/>
                <w:szCs w:val="14"/>
                <w:color w:val="auto"/>
                <w:vertAlign w:val="superscript"/>
              </w:rPr>
              <w:t>(4)</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09/30/2026</w:t>
            </w:r>
          </w:p>
        </w:tc>
        <w:tc>
          <w:tcPr>
            <w:tcW w:w="1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0.00 %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05/14/2026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04/16/2027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05/23/2024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09/28/2022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08/19/2026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Education &amp; Culture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06/06/2024</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07/09/2026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05/07/2027</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03/27/2024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7,743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05/18/2026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09/29/2025</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5.12 %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05/8/2026</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5.63 %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01/29/2026</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Survey Sampling International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6.50 %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10,592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01/03/2025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07/14/2025</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8.00 %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11,760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10/14/2024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5.32 %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Snak Club,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07/19/2022</w:t>
            </w:r>
          </w:p>
        </w:tc>
        <w:tc>
          <w:tcPr>
            <w:tcW w:w="1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Beverage, Food and Tobacco</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01/17/2024</w:t>
            </w:r>
          </w:p>
        </w:tc>
        <w:tc>
          <w:tcPr>
            <w:tcW w:w="1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shd w:val="clear" w:color="auto" w:fill="CCECFF"/>
          </w:tcPr>
          <w:p>
            <w:pPr>
              <w:jc w:val="right"/>
              <w:ind w:right="160"/>
              <w:spacing w:after="0"/>
              <w:rPr>
                <w:sz w:val="20"/>
                <w:szCs w:val="20"/>
                <w:color w:val="auto"/>
              </w:rPr>
            </w:pPr>
            <w:r>
              <w:rPr>
                <w:rFonts w:ascii="Times New Roman" w:cs="Times New Roman" w:eastAsia="Times New Roman" w:hAnsi="Times New Roman"/>
                <w:sz w:val="11"/>
                <w:szCs w:val="11"/>
                <w:color w:val="auto"/>
              </w:rPr>
              <w:t>6.75 %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8572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631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Spread</w:t>
            </w:r>
          </w:p>
        </w:tc>
        <w:tc>
          <w:tcPr>
            <w:tcW w:w="200" w:type="dxa"/>
            <w:vAlign w:val="bottom"/>
          </w:tcPr>
          <w:p>
            <w:pPr>
              <w:spacing w:after="0"/>
              <w:rPr>
                <w:sz w:val="9"/>
                <w:szCs w:val="9"/>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Par /</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Above</w:t>
            </w: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4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120" w:type="dxa"/>
            <w:vAlign w:val="bottom"/>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12/23/2025</w:t>
            </w:r>
          </w:p>
        </w:tc>
        <w:tc>
          <w:tcPr>
            <w:tcW w:w="260" w:type="dxa"/>
            <w:vAlign w:val="bottom"/>
            <w:shd w:val="clear" w:color="auto" w:fill="CCECFF"/>
          </w:tcPr>
          <w:p>
            <w:pPr>
              <w:spacing w:after="0"/>
              <w:rPr>
                <w:sz w:val="11"/>
                <w:szCs w:val="11"/>
                <w:color w:val="auto"/>
              </w:rPr>
            </w:pPr>
          </w:p>
        </w:tc>
        <w:tc>
          <w:tcPr>
            <w:tcW w:w="25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2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4,506</w:t>
            </w:r>
          </w:p>
        </w:tc>
        <w:tc>
          <w:tcPr>
            <w:tcW w:w="22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12/11/2026</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5.33 %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03/01/2026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7.00 %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11/20/2025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10,313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07/18/2025</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5,713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07/27/2026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8.00 %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09/16/2024</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08/30/2027</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11/24/2025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8,834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03/26/2026</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8,558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06/16/2025</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7.25 %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08/27/2024</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11,334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11,443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04/03/2024</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17,571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Urology Management Associates, LLC</w:t>
            </w:r>
          </w:p>
        </w:tc>
        <w:tc>
          <w:tcPr>
            <w:tcW w:w="74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08/30/2024</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6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5.50 %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11,030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10,849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10,975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03/31/2027</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6.75 %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40" w:type="dxa"/>
            <w:vAlign w:val="bottom"/>
            <w:tcBorders>
              <w:bottom w:val="single" w:sz="8" w:color="CCECFF"/>
            </w:tcBorders>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02/27/2026</w:t>
            </w: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06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5,706</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5,656</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558,880</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557,732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- 10.5%</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DBI Intermediate Holdco, LLC, Term Loan B </w:t>
            </w:r>
            <w:r>
              <w:rPr>
                <w:rFonts w:ascii="Times New Roman" w:cs="Times New Roman" w:eastAsia="Times New Roman" w:hAnsi="Times New Roman"/>
                <w:sz w:val="14"/>
                <w:szCs w:val="14"/>
                <w:color w:val="auto"/>
                <w:vertAlign w:val="superscript"/>
              </w:rPr>
              <w:t>(4)</w:t>
            </w:r>
          </w:p>
        </w:tc>
        <w:tc>
          <w:tcPr>
            <w:tcW w:w="74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9"/>
              </w:rPr>
              <w:t>02/02/2026</w:t>
            </w:r>
          </w:p>
        </w:tc>
        <w:tc>
          <w:tcPr>
            <w:tcW w:w="260" w:type="dxa"/>
            <w:vAlign w:val="bottom"/>
          </w:tcPr>
          <w:p>
            <w:pPr>
              <w:spacing w:after="0"/>
              <w:rPr>
                <w:sz w:val="10"/>
                <w:szCs w:val="10"/>
                <w:color w:val="auto"/>
              </w:rPr>
            </w:pPr>
          </w:p>
        </w:tc>
        <w:tc>
          <w:tcPr>
            <w:tcW w:w="2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11.00 %</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P(IK 9.00%)</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40" w:type="dxa"/>
            <w:vAlign w:val="bottom"/>
            <w:tcBorders>
              <w:bottom w:val="single" w:sz="8" w:color="CCECFF"/>
            </w:tcBorders>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09/29/2024</w:t>
            </w:r>
          </w:p>
        </w:tc>
        <w:tc>
          <w:tcPr>
            <w:tcW w:w="260" w:type="dxa"/>
            <w:vAlign w:val="bottom"/>
            <w:tcBorders>
              <w:bottom w:val="single" w:sz="8" w:color="CCECFF"/>
            </w:tcBorders>
            <w:shd w:val="clear" w:color="auto" w:fill="CCECFF"/>
          </w:tcPr>
          <w:p>
            <w:pPr>
              <w:spacing w:after="0"/>
              <w:rPr>
                <w:sz w:val="12"/>
                <w:szCs w:val="12"/>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06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9.50 %</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- 3.3%</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A-1 </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13.00 %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AA </w:t>
            </w:r>
            <w:r>
              <w:rPr>
                <w:rFonts w:ascii="Times New Roman" w:cs="Times New Roman" w:eastAsia="Times New Roman" w:hAnsi="Times New Roman"/>
                <w:sz w:val="14"/>
                <w:szCs w:val="14"/>
                <w:color w:val="auto"/>
                <w:vertAlign w:val="superscript"/>
              </w:rPr>
              <w:t>(4)</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DBI Intermediate Holdco, LLC, Series B </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1"/>
                <w:szCs w:val="11"/>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12,002</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- 1101.7%</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576,263</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564,783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- 55.3%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28,387</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28,374</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—1,157.1%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604,650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40" w:type="dxa"/>
            <w:vAlign w:val="bottom"/>
            <w:tcBorders>
              <w:bottom w:val="single" w:sz="8" w:color="CCECFF"/>
            </w:tcBorders>
            <w:shd w:val="clear" w:color="auto" w:fill="CCEC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(1057.1)%</w:t>
            </w:r>
          </w:p>
        </w:tc>
        <w:tc>
          <w:tcPr>
            <w:tcW w:w="120" w:type="dxa"/>
            <w:vAlign w:val="bottom"/>
            <w:tcBorders>
              <w:bottom w:val="single" w:sz="8" w:color="CCECFF"/>
            </w:tcBorders>
            <w:shd w:val="clear" w:color="auto" w:fill="CCECFF"/>
          </w:tcPr>
          <w:p>
            <w:pPr>
              <w:spacing w:after="0"/>
              <w:rPr>
                <w:sz w:val="8"/>
                <w:szCs w:val="8"/>
                <w:color w:val="auto"/>
              </w:rPr>
            </w:pPr>
          </w:p>
        </w:tc>
        <w:tc>
          <w:tcPr>
            <w:tcW w:w="62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250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720" w:type="dxa"/>
            <w:vAlign w:val="bottom"/>
            <w:tcBorders>
              <w:bottom w:val="single" w:sz="8" w:color="CCECFF"/>
            </w:tcBorders>
            <w:shd w:val="clear" w:color="auto" w:fill="CCECFF"/>
          </w:tcPr>
          <w:p>
            <w:pPr>
              <w:spacing w:after="0"/>
              <w:rPr>
                <w:sz w:val="8"/>
                <w:szCs w:val="8"/>
                <w:color w:val="auto"/>
              </w:rPr>
            </w:pPr>
          </w:p>
        </w:tc>
        <w:tc>
          <w:tcPr>
            <w:tcW w:w="200" w:type="dxa"/>
            <w:vAlign w:val="bottom"/>
            <w:tcBorders>
              <w:bottom w:val="single" w:sz="8" w:color="CCECFF"/>
            </w:tcBorders>
            <w:shd w:val="clear" w:color="auto" w:fill="CCECFF"/>
          </w:tcPr>
          <w:p>
            <w:pPr>
              <w:spacing w:after="0"/>
              <w:rPr>
                <w:sz w:val="8"/>
                <w:szCs w:val="8"/>
                <w:color w:val="auto"/>
              </w:rPr>
            </w:pPr>
          </w:p>
        </w:tc>
        <w:tc>
          <w:tcPr>
            <w:tcW w:w="7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60" w:type="dxa"/>
            <w:vAlign w:val="bottom"/>
            <w:tcBorders>
              <w:bottom w:val="single" w:sz="8" w:color="auto"/>
            </w:tcBorders>
            <w:shd w:val="clear" w:color="auto" w:fill="CCECFF"/>
          </w:tcPr>
          <w:p>
            <w:pPr>
              <w:spacing w:after="0"/>
              <w:rPr>
                <w:sz w:val="8"/>
                <w:szCs w:val="8"/>
                <w:color w:val="auto"/>
              </w:rPr>
            </w:pPr>
          </w:p>
        </w:tc>
        <w:tc>
          <w:tcPr>
            <w:tcW w:w="680" w:type="dxa"/>
            <w:vAlign w:val="bottom"/>
            <w:tcBorders>
              <w:bottom w:val="single" w:sz="8" w:color="auto"/>
            </w:tcBorders>
            <w:shd w:val="clear" w:color="auto" w:fill="CCECFF"/>
          </w:tcPr>
          <w:p>
            <w:pPr>
              <w:jc w:val="right"/>
              <w:spacing w:after="0" w:line="102" w:lineRule="exact"/>
              <w:rPr>
                <w:sz w:val="20"/>
                <w:szCs w:val="20"/>
                <w:color w:val="auto"/>
              </w:rPr>
            </w:pPr>
            <w:r>
              <w:rPr>
                <w:rFonts w:ascii="Times New Roman" w:cs="Times New Roman" w:eastAsia="Times New Roman" w:hAnsi="Times New Roman"/>
                <w:sz w:val="11"/>
                <w:szCs w:val="11"/>
                <w:color w:val="auto"/>
              </w:rPr>
              <w:t>(541,893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-1851025</wp:posOffset>
            </wp:positionV>
            <wp:extent cx="68580" cy="1028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1028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-1405255</wp:posOffset>
            </wp:positionV>
            <wp:extent cx="68580" cy="1028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028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-873760</wp:posOffset>
            </wp:positionV>
            <wp:extent cx="68580" cy="1028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028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-685165</wp:posOffset>
            </wp:positionV>
            <wp:extent cx="68580" cy="9398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939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-325120</wp:posOffset>
            </wp:positionV>
            <wp:extent cx="68580" cy="1200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1200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7" w:lineRule="exact"/>
        <w:rPr>
          <w:sz w:val="20"/>
          <w:szCs w:val="20"/>
          <w:color w:val="auto"/>
        </w:rPr>
      </w:pPr>
    </w:p>
    <w:p>
      <w:pPr>
        <w:ind w:left="380" w:right="20" w:hanging="372"/>
        <w:spacing w:after="0" w:line="222"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9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9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PSSL ($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62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(cost—$752,368 and $576,263, respectively)</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746,819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(cost—$39,197 and $28,387, respectively)</w:t>
            </w:r>
          </w:p>
        </w:tc>
        <w:tc>
          <w:tcPr>
            <w:tcW w:w="1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39,190</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8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790,328</w:t>
            </w:r>
          </w:p>
        </w:tc>
        <w:tc>
          <w:tcPr>
            <w:tcW w:w="3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6,609</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249,500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243,213</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242,757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217,350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18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3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8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3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723,179</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88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67,149</w:t>
            </w:r>
          </w:p>
        </w:tc>
        <w:tc>
          <w:tcPr>
            <w:tcW w:w="34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2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51,263</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790,328</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80" w:type="dxa"/>
            <w:vAlign w:val="bottom"/>
            <w:vMerge w:val="restart"/>
          </w:tcPr>
          <w:p>
            <w:pPr>
              <w:jc w:val="right"/>
              <w:ind w:right="948"/>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8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8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-1610995</wp:posOffset>
            </wp:positionV>
            <wp:extent cx="68580" cy="1200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200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-710565</wp:posOffset>
            </wp:positionV>
            <wp:extent cx="68580" cy="1289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289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-470535</wp:posOffset>
            </wp:positionV>
            <wp:extent cx="68580" cy="1454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1454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2" w:name="page53"/>
    <w:bookmarkEnd w:id="52"/>
    <w:p>
      <w:pPr>
        <w:ind w:left="160" w:hanging="152"/>
        <w:spacing w:after="0"/>
        <w:tabs>
          <w:tab w:leader="none" w:pos="160" w:val="left"/>
        </w:tabs>
        <w:numPr>
          <w:ilvl w:val="0"/>
          <w:numId w:val="2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June 30, 2022 and September 30, 2021, PSSL had unfunded commitments to fund investments of $0.6 million and $0.6 million, respectively.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PSSL ($ in thousands):</w:t>
            </w:r>
          </w:p>
        </w:tc>
        <w:tc>
          <w:tcPr>
            <w:tcW w:w="120" w:type="dxa"/>
            <w:vAlign w:val="bottom"/>
          </w:tcPr>
          <w:p>
            <w:pPr>
              <w:spacing w:after="0"/>
              <w:rPr>
                <w:sz w:val="16"/>
                <w:szCs w:val="16"/>
                <w:color w:val="auto"/>
              </w:rPr>
            </w:pPr>
          </w:p>
        </w:tc>
        <w:tc>
          <w:tcPr>
            <w:tcW w:w="266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13,535</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26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36,467</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37,551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11,704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9,283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20" w:type="dxa"/>
            <w:vAlign w:val="bottom"/>
            <w:tcBorders>
              <w:bottom w:val="single" w:sz="8" w:color="CCECFF"/>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tcBorders>
              <w:bottom w:val="single" w:sz="8" w:color="CCECFF"/>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12,566</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7,109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62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Realized and unrealized (loss) gain on investments and credit facility foreign currency</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currency translations: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(3,403 )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(14,956 )</w:t>
            </w:r>
          </w:p>
        </w:tc>
        <w:tc>
          <w:tcPr>
            <w:tcW w:w="30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(4,679 )</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(5,232 )</w:t>
            </w:r>
          </w:p>
        </w:tc>
        <w:tc>
          <w:tcPr>
            <w:tcW w:w="1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2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credit facility</w:t>
            </w:r>
          </w:p>
        </w:tc>
        <w:tc>
          <w:tcPr>
            <w:tcW w:w="120" w:type="dxa"/>
            <w:vAlign w:val="bottom"/>
            <w:shd w:val="clear" w:color="auto" w:fill="CCECFF"/>
          </w:tcPr>
          <w:p>
            <w:pPr>
              <w:spacing w:after="0"/>
              <w:rPr>
                <w:sz w:val="11"/>
                <w:szCs w:val="11"/>
                <w:color w:val="auto"/>
              </w:rPr>
            </w:pPr>
          </w:p>
        </w:tc>
        <w:tc>
          <w:tcPr>
            <w:tcW w:w="1180" w:type="dxa"/>
            <w:vAlign w:val="bottom"/>
            <w:gridSpan w:val="2"/>
            <w:vMerge w:val="restart"/>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(5,232 )</w:t>
            </w:r>
          </w:p>
        </w:tc>
        <w:tc>
          <w:tcPr>
            <w:tcW w:w="120" w:type="dxa"/>
            <w:vAlign w:val="bottom"/>
            <w:shd w:val="clear" w:color="auto" w:fill="CCECFF"/>
          </w:tcPr>
          <w:p>
            <w:pPr>
              <w:spacing w:after="0"/>
              <w:rPr>
                <w:sz w:val="11"/>
                <w:szCs w:val="11"/>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2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6,325</w:t>
            </w:r>
          </w:p>
        </w:tc>
        <w:tc>
          <w:tcPr>
            <w:tcW w:w="24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 translations</w:t>
            </w:r>
          </w:p>
        </w:tc>
        <w:tc>
          <w:tcPr>
            <w:tcW w:w="120" w:type="dxa"/>
            <w:vAlign w:val="bottom"/>
            <w:shd w:val="clear" w:color="auto" w:fill="CCECFF"/>
          </w:tcPr>
          <w:p>
            <w:pPr>
              <w:spacing w:after="0"/>
              <w:rPr>
                <w:sz w:val="15"/>
                <w:szCs w:val="15"/>
                <w:color w:val="auto"/>
              </w:rPr>
            </w:pPr>
          </w:p>
        </w:tc>
        <w:tc>
          <w:tcPr>
            <w:tcW w:w="1180" w:type="dxa"/>
            <w:vAlign w:val="bottom"/>
            <w:gridSpan w:val="2"/>
            <w:vMerge w:val="continue"/>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00" w:type="dxa"/>
            <w:vAlign w:val="bottom"/>
            <w:vMerge w:val="continue"/>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vMerge w:val="continue"/>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60" w:type="dxa"/>
            <w:vAlign w:val="bottom"/>
            <w:vMerge w:val="continue"/>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2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credit facility foreign</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(5,256 )</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(1,483 )</w:t>
            </w:r>
          </w:p>
        </w:tc>
        <w:tc>
          <w:tcPr>
            <w:tcW w:w="28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(8,631 )</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currency translations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260" w:type="dxa"/>
            <w:vAlign w:val="bottom"/>
          </w:tcPr>
          <w:p>
            <w:pPr>
              <w:spacing w:after="0"/>
              <w:rPr>
                <w:sz w:val="15"/>
                <w:szCs w:val="15"/>
                <w:color w:val="auto"/>
              </w:rPr>
            </w:pPr>
          </w:p>
        </w:tc>
        <w:tc>
          <w:tcPr>
            <w:tcW w:w="2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w:t>
            </w:r>
          </w:p>
        </w:tc>
        <w:tc>
          <w:tcPr>
            <w:tcW w:w="240" w:type="dxa"/>
            <w:vAlign w:val="bottom"/>
          </w:tcPr>
          <w:p>
            <w:pPr>
              <w:spacing w:after="0"/>
              <w:rPr>
                <w:sz w:val="15"/>
                <w:szCs w:val="15"/>
                <w:color w:val="auto"/>
              </w:rPr>
            </w:pP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-2124710</wp:posOffset>
            </wp:positionV>
            <wp:extent cx="76835" cy="1289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-2124710</wp:posOffset>
            </wp:positionV>
            <wp:extent cx="68580" cy="1289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-2124710</wp:posOffset>
            </wp:positionV>
            <wp:extent cx="68580" cy="1289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-2124710</wp:posOffset>
            </wp:positionV>
            <wp:extent cx="68580" cy="1289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-1438910</wp:posOffset>
            </wp:positionV>
            <wp:extent cx="76835" cy="1289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-1438910</wp:posOffset>
            </wp:positionV>
            <wp:extent cx="68580" cy="1289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-1438910</wp:posOffset>
            </wp:positionV>
            <wp:extent cx="68580" cy="1289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-1438910</wp:posOffset>
            </wp:positionV>
            <wp:extent cx="68580" cy="1289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-1198880</wp:posOffset>
            </wp:positionV>
            <wp:extent cx="76835" cy="21463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-1198880</wp:posOffset>
            </wp:positionV>
            <wp:extent cx="68580" cy="2146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-1198880</wp:posOffset>
            </wp:positionV>
            <wp:extent cx="68580" cy="2146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-1198880</wp:posOffset>
            </wp:positionV>
            <wp:extent cx="68580" cy="2146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511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left="380" w:hanging="372"/>
        <w:spacing w:after="0" w:line="229" w:lineRule="auto"/>
        <w:tabs>
          <w:tab w:leader="none" w:pos="380" w:val="left"/>
        </w:tabs>
        <w:numPr>
          <w:ilvl w:val="0"/>
          <w:numId w:val="2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Currently, no management or incentive fees are payable by PSSL. If any fees were to be charged, they would be separately disclosed in the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currently engage in no off-balance sheet arrangements other than our funding requirements for the unfunded investments described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2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77"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During the three and nine months ended June 30, 2022, we declared distributions of $0.285 and $0.855 per share, respectively, for total distributions of $11.8 and $34.1 million, respectively. During the three and nine months ended June 30, 2021,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monthly distributions to our stockholders. Our monthly distributions, if any, are determined by our board of directors quarterly.</w:t>
      </w:r>
    </w:p>
    <w:p>
      <w:pPr>
        <w:spacing w:after="0" w:line="21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67" w:lineRule="exact"/>
        <w:rPr>
          <w:sz w:val="20"/>
          <w:szCs w:val="20"/>
          <w:color w:val="auto"/>
        </w:rPr>
      </w:pPr>
    </w:p>
    <w:p>
      <w:pPr>
        <w:jc w:val="both"/>
        <w:ind w:firstLine="449"/>
        <w:spacing w:after="0" w:line="251" w:lineRule="auto"/>
        <w:rPr>
          <w:sz w:val="20"/>
          <w:szCs w:val="20"/>
          <w:color w:val="auto"/>
        </w:rPr>
      </w:pPr>
      <w:r>
        <w:rPr>
          <w:rFonts w:ascii="Times New Roman" w:cs="Times New Roman" w:eastAsia="Times New Roman" w:hAnsi="Times New Roman"/>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June 30, 2022, our debt portfolio consisted of 100% variable-rate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67"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8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r>
      <w:tr>
        <w:trPr>
          <w:trHeight w:val="148"/>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gridSpan w:val="2"/>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r>
      <w:tr>
        <w:trPr>
          <w:trHeight w:val="20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40" w:type="dxa"/>
            <w:vAlign w:val="bottom"/>
          </w:tcPr>
          <w:p>
            <w:pPr>
              <w:spacing w:after="0"/>
              <w:rPr>
                <w:sz w:val="17"/>
                <w:szCs w:val="17"/>
                <w:color w:val="auto"/>
              </w:rPr>
            </w:pPr>
          </w:p>
        </w:tc>
        <w:tc>
          <w:tcPr>
            <w:tcW w:w="28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8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Expense Per Share</w:t>
            </w: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40" w:type="dxa"/>
            <w:vAlign w:val="bottom"/>
            <w:shd w:val="clear" w:color="auto" w:fill="CCECFF"/>
          </w:tcPr>
          <w:p>
            <w:pPr>
              <w:spacing w:after="0"/>
              <w:rPr>
                <w:sz w:val="14"/>
                <w:szCs w:val="14"/>
                <w:color w:val="auto"/>
              </w:rPr>
            </w:pPr>
          </w:p>
        </w:tc>
        <w:tc>
          <w:tcPr>
            <w:tcW w:w="2820" w:type="dxa"/>
            <w:vAlign w:val="bottom"/>
            <w:tcBorders>
              <w:top w:val="single" w:sz="8" w:color="auto"/>
            </w:tcBorders>
            <w:shd w:val="clear" w:color="auto" w:fill="CCECFF"/>
          </w:tcPr>
          <w:p>
            <w:pPr>
              <w:jc w:val="right"/>
              <w:ind w:right="26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36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5"/>
                <w:szCs w:val="15"/>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13,281</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CFF"/>
          </w:tcPr>
          <w:p>
            <w:pPr>
              <w:spacing w:after="0"/>
              <w:rPr>
                <w:sz w:val="15"/>
                <w:szCs w:val="15"/>
                <w:color w:val="auto"/>
              </w:rPr>
            </w:pPr>
          </w:p>
        </w:tc>
      </w:tr>
      <w:tr>
        <w:trPr>
          <w:trHeight w:val="176"/>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19,596</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tcPr>
          <w:p>
            <w:pPr>
              <w:spacing w:after="0"/>
              <w:rPr>
                <w:sz w:val="15"/>
                <w:szCs w:val="15"/>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60" w:type="dxa"/>
            <w:vAlign w:val="bottom"/>
            <w:gridSpan w:val="2"/>
            <w:shd w:val="clear" w:color="auto" w:fill="CCECFF"/>
          </w:tcPr>
          <w:p>
            <w:pPr>
              <w:jc w:val="right"/>
              <w:ind w:right="26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25,911</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57" w:lineRule="exact"/>
        <w:rPr>
          <w:sz w:val="20"/>
          <w:szCs w:val="20"/>
          <w:color w:val="auto"/>
        </w:rPr>
      </w:pPr>
    </w:p>
    <w:p>
      <w:pPr>
        <w:jc w:val="both"/>
        <w:ind w:firstLine="449"/>
        <w:spacing w:after="0" w:line="27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57"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6"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1" w:lineRule="exact"/>
        <w:rPr>
          <w:sz w:val="20"/>
          <w:szCs w:val="20"/>
          <w:color w:val="auto"/>
        </w:rPr>
      </w:pPr>
    </w:p>
    <w:p>
      <w:pPr>
        <w:jc w:val="both"/>
        <w:ind w:firstLine="449"/>
        <w:spacing w:after="0" w:line="302"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that occurred during the quarter ended June 30, 2022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1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60" w:lineRule="exact"/>
        <w:rPr>
          <w:sz w:val="20"/>
          <w:szCs w:val="20"/>
          <w:color w:val="auto"/>
        </w:rPr>
      </w:pPr>
    </w:p>
    <w:p>
      <w:pPr>
        <w:ind w:right="280" w:firstLine="449"/>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p>
    <w:p>
      <w:pPr>
        <w:spacing w:after="0" w:line="131"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4"/>
          <w:szCs w:val="14"/>
          <w:color w:val="auto"/>
        </w:rPr>
        <w:t>The ongoing invasion of Ukraine by Russia and related sanctions have increased global political and economic uncertainty. In February 2022. Russia invaded Ukraine and, in response, the United States and many other countries placed economic sanction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Inflation may adversely affect the business, results of operations and financial condition of our portfolio companies.</w:t>
      </w:r>
    </w:p>
    <w:p>
      <w:pPr>
        <w:spacing w:after="0" w:line="2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4"/>
          <w:szCs w:val="14"/>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208"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338" w:lineRule="exact"/>
        <w:rPr>
          <w:sz w:val="20"/>
          <w:szCs w:val="20"/>
          <w:color w:val="auto"/>
        </w:rPr>
      </w:pPr>
    </w:p>
    <w:p>
      <w:pPr>
        <w:ind w:right="340" w:firstLine="449"/>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58" w:lineRule="exact"/>
        <w:rPr>
          <w:sz w:val="20"/>
          <w:szCs w:val="20"/>
          <w:color w:val="auto"/>
        </w:rPr>
      </w:pPr>
    </w:p>
    <w:p>
      <w:pPr>
        <w:jc w:val="both"/>
        <w:ind w:right="100" w:firstLine="449"/>
        <w:spacing w:after="0" w:line="27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57"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3"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221"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4"/>
          <w:szCs w:val="14"/>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14"/>
          <w:szCs w:val="14"/>
          <w:color w:val="auto"/>
        </w:rPr>
        <w:t>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1"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3">
              <w:r>
                <w:rPr>
                  <w:rFonts w:ascii="Times New Roman" w:cs="Times New Roman" w:eastAsia="Times New Roman" w:hAnsi="Times New Roman"/>
                  <w:sz w:val="14"/>
                  <w:szCs w:val="14"/>
                  <w:color w:val="0000FF"/>
                </w:rPr>
                <w:t>Articles of Amendment and Restatement of the Registrant (Incorporated by reference to Exhibit 99(A) to the Registrant's Pre-Effective Amendment No. 3 to the Registration</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rPr>
            </w:pPr>
            <w:hyperlink r:id="rId583">
              <w:r>
                <w:rPr>
                  <w:rFonts w:ascii="Times New Roman" w:cs="Times New Roman" w:eastAsia="Times New Roman" w:hAnsi="Times New Roman"/>
                  <w:sz w:val="14"/>
                  <w:szCs w:val="14"/>
                  <w:color w:val="0000FF"/>
                </w:rPr>
                <w:t>Statement on Form N-2 (File No. 333-170243), filed on March 29, 2011).</w:t>
              </w:r>
            </w:hyperlink>
          </w:p>
        </w:tc>
        <w:tc>
          <w:tcPr>
            <w:tcW w:w="20" w:type="dxa"/>
            <w:vAlign w:val="bottom"/>
            <w:tcBorders>
              <w:top w:val="single" w:sz="8" w:color="0000FF"/>
              <w:bottom w:val="single" w:sz="8" w:color="0000EE"/>
            </w:tcBorders>
          </w:tcPr>
          <w:p>
            <w:pPr>
              <w:spacing w:after="0"/>
              <w:rPr>
                <w:sz w:val="11"/>
                <w:szCs w:val="11"/>
                <w:color w:val="auto"/>
              </w:rPr>
            </w:pPr>
          </w:p>
        </w:tc>
        <w:tc>
          <w:tcPr>
            <w:tcW w:w="5740" w:type="dxa"/>
            <w:vAlign w:val="bottom"/>
            <w:tcBorders>
              <w:top w:val="single" w:sz="8" w:color="0000FF"/>
            </w:tcBorders>
            <w:gridSpan w:val="4"/>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3.2</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4">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814-00891), filed on</w:t>
              </w:r>
            </w:hyperlink>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8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584">
              <w:r>
                <w:rPr>
                  <w:rFonts w:ascii="Times New Roman" w:cs="Times New Roman" w:eastAsia="Times New Roman" w:hAnsi="Times New Roman"/>
                  <w:sz w:val="14"/>
                  <w:szCs w:val="14"/>
                  <w:color w:val="0000FF"/>
                  <w:w w:val="97"/>
                </w:rPr>
                <w:t>May 11, 2020).</w:t>
              </w:r>
            </w:hyperlink>
          </w:p>
        </w:tc>
        <w:tc>
          <w:tcPr>
            <w:tcW w:w="20" w:type="dxa"/>
            <w:vAlign w:val="bottom"/>
            <w:tcBorders>
              <w:top w:val="single" w:sz="8" w:color="0000FF"/>
              <w:bottom w:val="single" w:sz="8" w:color="0000EE"/>
            </w:tcBorders>
          </w:tcPr>
          <w:p>
            <w:pPr>
              <w:spacing w:after="0"/>
              <w:rPr>
                <w:sz w:val="11"/>
                <w:szCs w:val="11"/>
                <w:color w:val="auto"/>
              </w:rPr>
            </w:pPr>
          </w:p>
        </w:tc>
        <w:tc>
          <w:tcPr>
            <w:tcW w:w="9500" w:type="dxa"/>
            <w:vAlign w:val="bottom"/>
            <w:tcBorders>
              <w:top w:val="single" w:sz="8" w:color="0000FF"/>
            </w:tcBorders>
            <w:gridSpan w:val="12"/>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4.1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5">
              <w:r>
                <w:rPr>
                  <w:rFonts w:ascii="Times New Roman" w:cs="Times New Roman" w:eastAsia="Times New Roman" w:hAnsi="Times New Roman"/>
                  <w:sz w:val="14"/>
                  <w:szCs w:val="14"/>
                  <w:color w:val="0000FF"/>
                </w:rPr>
                <w:t>Form of Share Certificate (Incorporated by reference to Exhibit 99(D) to the Registrant's Pre-Effective Amendment No. 5 to the Registration Statement on Form N-2 (File No. 333-</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3"/>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10340" w:type="dxa"/>
            <w:vAlign w:val="bottom"/>
            <w:gridSpan w:val="13"/>
          </w:tcPr>
          <w:p>
            <w:pPr>
              <w:spacing w:after="0" w:line="129" w:lineRule="exact"/>
              <w:rPr>
                <w:rFonts w:ascii="Times New Roman" w:cs="Times New Roman" w:eastAsia="Times New Roman" w:hAnsi="Times New Roman"/>
                <w:sz w:val="14"/>
                <w:szCs w:val="14"/>
                <w:color w:val="0000FF"/>
              </w:rPr>
            </w:pPr>
            <w:hyperlink r:id="rId585">
              <w:r>
                <w:rPr>
                  <w:rFonts w:ascii="Times New Roman" w:cs="Times New Roman" w:eastAsia="Times New Roman" w:hAnsi="Times New Roman"/>
                  <w:sz w:val="14"/>
                  <w:szCs w:val="14"/>
                  <w:color w:val="0000FF"/>
                </w:rPr>
                <w:t>170243)</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April 5, 2011).</w:t>
              </w:r>
            </w:hyperlink>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10.1*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6">
              <w:r>
                <w:rPr>
                  <w:rFonts w:ascii="Times New Roman" w:cs="Times New Roman" w:eastAsia="Times New Roman" w:hAnsi="Times New Roman"/>
                  <w:sz w:val="14"/>
                  <w:szCs w:val="14"/>
                  <w:color w:val="0000FF"/>
                </w:rPr>
                <w:t>Amended and Restated Administration Agreement between the Registrant and PennantPark Investment Administration LLC, dated July 1, 2022</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31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3"/>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10.2*</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7">
              <w:r>
                <w:rPr>
                  <w:rFonts w:ascii="Times New Roman" w:cs="Times New Roman" w:eastAsia="Times New Roman" w:hAnsi="Times New Roman"/>
                  <w:sz w:val="14"/>
                  <w:szCs w:val="14"/>
                  <w:color w:val="0000FF"/>
                </w:rPr>
                <w:t>Equity Distribution Agreement – JMP Securities LLC</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310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10.3*</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8">
              <w:r>
                <w:rPr>
                  <w:rFonts w:ascii="Times New Roman" w:cs="Times New Roman" w:eastAsia="Times New Roman" w:hAnsi="Times New Roman"/>
                  <w:sz w:val="14"/>
                  <w:szCs w:val="14"/>
                  <w:color w:val="0000FF"/>
                </w:rPr>
                <w:t>Equity Distribution Agreement – Raymond James &amp; Associates, Inc.</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gridSpan w:val="5"/>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31.1*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89">
              <w:r>
                <w:rPr>
                  <w:rFonts w:ascii="Times New Roman" w:cs="Times New Roman" w:eastAsia="Times New Roman" w:hAnsi="Times New Roman"/>
                  <w:sz w:val="14"/>
                  <w:szCs w:val="14"/>
                  <w:color w:val="0000FF"/>
                </w:rPr>
                <w:t>Certification of Chief Executive Officer pursuant to Rule 13a-14 of the Securities Exchange Act of 1934, as amended.</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5760" w:type="dxa"/>
            <w:vAlign w:val="bottom"/>
            <w:tcBorders>
              <w:right w:val="single" w:sz="8" w:color="0000FF"/>
            </w:tcBorders>
            <w:gridSpan w:val="8"/>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31.2*</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90">
              <w:r>
                <w:rPr>
                  <w:rFonts w:ascii="Times New Roman" w:cs="Times New Roman" w:eastAsia="Times New Roman" w:hAnsi="Times New Roman"/>
                  <w:sz w:val="14"/>
                  <w:szCs w:val="14"/>
                  <w:color w:val="0000FF"/>
                </w:rPr>
                <w:t>Certification of Chief Financial Officer pursuant to Rule 13a-14 of the Securities Exchange Act of 1934, as amended.</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5760" w:type="dxa"/>
            <w:vAlign w:val="bottom"/>
            <w:tcBorders>
              <w:right w:val="single" w:sz="8" w:color="0000FF"/>
            </w:tcBorders>
            <w:gridSpan w:val="8"/>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32.1*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91">
              <w:r>
                <w:rPr>
                  <w:rFonts w:ascii="Times New Roman" w:cs="Times New Roman" w:eastAsia="Times New Roman" w:hAnsi="Times New Roman"/>
                  <w:sz w:val="14"/>
                  <w:szCs w:val="14"/>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5760" w:type="dxa"/>
            <w:vAlign w:val="bottom"/>
            <w:tcBorders>
              <w:right w:val="single" w:sz="8" w:color="0000FF"/>
            </w:tcBorders>
            <w:gridSpan w:val="8"/>
            <w:shd w:val="clear" w:color="auto" w:fill="0000FF"/>
          </w:tcPr>
          <w:p>
            <w:pPr>
              <w:spacing w:after="0" w:line="20" w:lineRule="exact"/>
              <w:rPr>
                <w:sz w:val="1"/>
                <w:szCs w:val="1"/>
                <w:color w:val="auto"/>
              </w:rPr>
            </w:pPr>
          </w:p>
        </w:tc>
        <w:tc>
          <w:tcPr>
            <w:tcW w:w="4380" w:type="dxa"/>
            <w:vAlign w:val="bottom"/>
            <w:tcBorders>
              <w:left w:val="single" w:sz="8" w:color="0000FF"/>
            </w:tcBorders>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95"/>
              </w:rPr>
              <w:t>32.2*</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92">
              <w:r>
                <w:rPr>
                  <w:rFonts w:ascii="Times New Roman" w:cs="Times New Roman" w:eastAsia="Times New Roman" w:hAnsi="Times New Roman"/>
                  <w:sz w:val="14"/>
                  <w:szCs w:val="14"/>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5760" w:type="dxa"/>
            <w:vAlign w:val="bottom"/>
            <w:tcBorders>
              <w:right w:val="single" w:sz="8" w:color="0000EE"/>
            </w:tcBorders>
            <w:gridSpan w:val="8"/>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97"/>
              </w:rPr>
              <w:t>99.1</w:t>
            </w:r>
          </w:p>
        </w:tc>
        <w:tc>
          <w:tcPr>
            <w:tcW w:w="10380" w:type="dxa"/>
            <w:vAlign w:val="bottom"/>
            <w:gridSpan w:val="14"/>
          </w:tcPr>
          <w:p>
            <w:pPr>
              <w:spacing w:after="0"/>
              <w:rPr>
                <w:rFonts w:ascii="Times New Roman" w:cs="Times New Roman" w:eastAsia="Times New Roman" w:hAnsi="Times New Roman"/>
                <w:sz w:val="14"/>
                <w:szCs w:val="14"/>
                <w:color w:val="0000FF"/>
              </w:rPr>
            </w:pPr>
            <w:hyperlink r:id="rId593">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814-00891), filed on November 17, 2011).</w:t>
              </w:r>
            </w:hyperlink>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10140" w:type="dxa"/>
            <w:vAlign w:val="bottom"/>
            <w:gridSpan w:val="1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3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bl>
    <w:p>
      <w:pPr>
        <w:ind w:right="5780" w:firstLine="21"/>
        <w:spacing w:after="0" w:line="594" w:lineRule="auto"/>
        <w:tabs>
          <w:tab w:leader="none" w:pos="688"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714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7" w:right="479" w:bottom="1440" w:gutter="0" w:footer="0" w:header="0"/>
        </w:sectPr>
      </w:pPr>
    </w:p>
    <w:bookmarkStart w:id="58" w:name="page59"/>
    <w:bookmarkEnd w:id="58"/>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0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10-Q/A to be signed on its behalf by the undersigned, thereunto duly authorized.</w:t>
      </w:r>
    </w:p>
    <w:p>
      <w:pPr>
        <w:sectPr>
          <w:pgSz w:w="11900" w:h="16838" w:orient="portrait"/>
          <w:cols w:equalWidth="0" w:num="1">
            <w:col w:w="11080"/>
          </w:cols>
          <w:pgMar w:left="320" w:top="31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18,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18,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ind w:left="10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Richard T. Allorto, Jr.</w:t>
      </w:r>
    </w:p>
    <w:p>
      <w:pPr>
        <w:spacing w:after="0" w:line="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5100" w:space="720"/>
            <w:col w:w="200" w:space="700"/>
            <w:col w:w="4360"/>
          </w:cols>
          <w:pgMar w:left="320" w:top="317" w:right="499" w:bottom="1440" w:gutter="0" w:footer="0" w:header="0"/>
          <w:type w:val="continuous"/>
        </w:sectPr>
      </w:pPr>
    </w:p>
    <w:p>
      <w:pPr>
        <w:spacing w:after="0" w:line="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17" w:right="499" w:bottom="1440" w:gutter="0" w:footer="0" w:header="0"/>
          <w:type w:val="continuous"/>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Letter"/>
      <w:start w:val="5"/>
    </w:lvl>
    <w:lvl w:ilvl="1">
      <w:lvlJc w:val="left"/>
      <w:lvlText w:val="%2."/>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83" Type="http://schemas.openxmlformats.org/officeDocument/2006/relationships/hyperlink" Target="https://www.sec.gov/Archives/edgar/data/1504619/000119312511080862/dex99a.htm" TargetMode="External"/><Relationship Id="rId584" Type="http://schemas.openxmlformats.org/officeDocument/2006/relationships/hyperlink" Target="https://www.sec.gov/Archives/edgar/data/1504619/000156459020024167/pflt-ex32_144.htm" TargetMode="External"/><Relationship Id="rId585" Type="http://schemas.openxmlformats.org/officeDocument/2006/relationships/hyperlink" Target="https://www.sec.gov/Archives/edgar/data/1504619/000119312511088977/dex99d.htm" TargetMode="External"/><Relationship Id="rId586" Type="http://schemas.openxmlformats.org/officeDocument/2006/relationships/hyperlink" Target="https://www.sec.gov/Archives/edgar/data/1504619/000095017022014234/pflt-ex10_1.htm" TargetMode="External"/><Relationship Id="rId587" Type="http://schemas.openxmlformats.org/officeDocument/2006/relationships/hyperlink" Target="https://www.sec.gov/Archives/edgar/data/1504619/000095017022014234/pflt-ex10_2.htm" TargetMode="External"/><Relationship Id="rId588" Type="http://schemas.openxmlformats.org/officeDocument/2006/relationships/hyperlink" Target="https://www.sec.gov/Archives/edgar/data/1504619/000095017022014234/pflt-ex10_3.htm" TargetMode="External"/><Relationship Id="rId589" Type="http://schemas.openxmlformats.org/officeDocument/2006/relationships/hyperlink" Target="https://www.sec.gov/Archives/edgar/data/1504619/000095017022014234/pflt-ex31_1.htm" TargetMode="External"/><Relationship Id="rId590" Type="http://schemas.openxmlformats.org/officeDocument/2006/relationships/hyperlink" Target="https://www.sec.gov/Archives/edgar/data/1504619/000095017022014234/pflt-ex31_2.htm" TargetMode="External"/><Relationship Id="rId591" Type="http://schemas.openxmlformats.org/officeDocument/2006/relationships/hyperlink" Target="https://www.sec.gov/Archives/edgar/data/1504619/000095017022014234/pflt-ex32_1.htm" TargetMode="External"/><Relationship Id="rId592" Type="http://schemas.openxmlformats.org/officeDocument/2006/relationships/hyperlink" Target="https://www.sec.gov/Archives/edgar/data/1504619/000095017022014234/pflt-ex32_2.htm" TargetMode="External"/><Relationship Id="rId593"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2022-11-21T06:07:25Z</dcterms:created>
  <dcterms:modified xsi:type="dcterms:W3CDTF">2022-11-21T06:07:25Z</dcterms:modified>
</cp:coreProperties>
</file>