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497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333-215111</w:t>
      </w:r>
    </w:p>
    <w:p>
      <w:pPr>
        <w:spacing w:after="0" w:line="3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Prospectus Supplement</w:t>
      </w:r>
    </w:p>
    <w:p>
      <w:pPr>
        <w:spacing w:after="0" w:line="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 the Prospectus dated January 19,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39370</wp:posOffset>
            </wp:positionV>
            <wp:extent cx="238379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79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5,000,000 Shares</w:t>
      </w:r>
    </w:p>
    <w:p>
      <w:pPr>
        <w:spacing w:after="0" w:line="69" w:lineRule="exact"/>
        <w:rPr>
          <w:sz w:val="24"/>
          <w:szCs w:val="24"/>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64" w:lineRule="exact"/>
        <w:rPr>
          <w:sz w:val="24"/>
          <w:szCs w:val="24"/>
          <w:color w:val="auto"/>
        </w:rPr>
      </w:pPr>
    </w:p>
    <w:p>
      <w:pPr>
        <w:ind w:left="4800"/>
        <w:spacing w:after="0"/>
        <w:rPr>
          <w:sz w:val="20"/>
          <w:szCs w:val="20"/>
          <w:color w:val="auto"/>
        </w:rPr>
      </w:pPr>
      <w:r>
        <w:rPr>
          <w:rFonts w:ascii="Arial" w:cs="Arial" w:eastAsia="Arial" w:hAnsi="Arial"/>
          <w:sz w:val="25"/>
          <w:szCs w:val="25"/>
          <w:b w:val="1"/>
          <w:bCs w:val="1"/>
          <w:color w:val="auto"/>
        </w:rPr>
        <w:t>$13.62 Per Share</w:t>
      </w:r>
    </w:p>
    <w:p>
      <w:pPr>
        <w:spacing w:after="0" w:line="68" w:lineRule="exact"/>
        <w:rPr>
          <w:sz w:val="24"/>
          <w:szCs w:val="24"/>
          <w:color w:val="auto"/>
        </w:rPr>
      </w:pPr>
    </w:p>
    <w:p>
      <w:pPr>
        <w:ind w:right="180" w:firstLine="342"/>
        <w:spacing w:after="0" w:line="253" w:lineRule="auto"/>
        <w:rPr>
          <w:sz w:val="20"/>
          <w:szCs w:val="20"/>
          <w:color w:val="auto"/>
        </w:rPr>
      </w:pPr>
      <w:r>
        <w:rPr>
          <w:rFonts w:ascii="Arial" w:cs="Arial" w:eastAsia="Arial" w:hAnsi="Arial"/>
          <w:sz w:val="14"/>
          <w:szCs w:val="14"/>
          <w:color w:val="auto"/>
        </w:rPr>
        <w:t>We are offering for sale 5,000,000 shares of our common stock. Our common stock is traded on the NASDAQ Global Select Market under the symbol “PFLT.” The last reported closing sale price for our common stock on February 13, 2017 was $14.01 per share. The net asset value of our common stock on December 31, 2016 was $14.11 per share.</w:t>
      </w:r>
    </w:p>
    <w:p>
      <w:pPr>
        <w:spacing w:after="0" w:line="12" w:lineRule="exact"/>
        <w:rPr>
          <w:sz w:val="24"/>
          <w:szCs w:val="24"/>
          <w:color w:val="auto"/>
        </w:rPr>
      </w:pPr>
    </w:p>
    <w:p>
      <w:pPr>
        <w:ind w:right="620" w:firstLine="342"/>
        <w:spacing w:after="0" w:line="253" w:lineRule="auto"/>
        <w:rPr>
          <w:sz w:val="20"/>
          <w:szCs w:val="20"/>
          <w:color w:val="auto"/>
        </w:rPr>
      </w:pPr>
      <w:r>
        <w:rPr>
          <w:rFonts w:ascii="Arial" w:cs="Arial" w:eastAsia="Arial" w:hAnsi="Arial"/>
          <w:sz w:val="14"/>
          <w:szCs w:val="14"/>
          <w:color w:val="auto"/>
        </w:rPr>
        <w:t>PennantPark Floating Rate Capital Ltd., a Maryland corporation, is a closed-end, externally managed, non-diversified investment company that has elected to be treated as a business development company under the Investment Company Act of 1940, as amended.</w:t>
      </w:r>
    </w:p>
    <w:p>
      <w:pPr>
        <w:spacing w:after="0" w:line="12" w:lineRule="exact"/>
        <w:rPr>
          <w:sz w:val="24"/>
          <w:szCs w:val="24"/>
          <w:color w:val="auto"/>
        </w:rPr>
      </w:pPr>
    </w:p>
    <w:p>
      <w:pPr>
        <w:ind w:right="200" w:firstLine="342"/>
        <w:spacing w:after="0" w:line="234" w:lineRule="auto"/>
        <w:rPr>
          <w:sz w:val="20"/>
          <w:szCs w:val="20"/>
          <w:color w:val="auto"/>
        </w:rPr>
      </w:pPr>
      <w:r>
        <w:rPr>
          <w:rFonts w:ascii="Arial" w:cs="Arial" w:eastAsia="Arial" w:hAnsi="Arial"/>
          <w:sz w:val="14"/>
          <w:szCs w:val="14"/>
          <w:color w:val="auto"/>
        </w:rPr>
        <w:t>Our investment objectives are to generate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20" w:lineRule="exact"/>
        <w:rPr>
          <w:sz w:val="24"/>
          <w:szCs w:val="24"/>
          <w:color w:val="auto"/>
        </w:rPr>
      </w:pPr>
    </w:p>
    <w:p>
      <w:pPr>
        <w:ind w:left="360"/>
        <w:spacing w:after="0"/>
        <w:rPr>
          <w:sz w:val="20"/>
          <w:szCs w:val="20"/>
          <w:color w:val="auto"/>
        </w:rPr>
      </w:pPr>
      <w:r>
        <w:rPr>
          <w:rFonts w:ascii="Arial" w:cs="Arial" w:eastAsia="Arial" w:hAnsi="Arial"/>
          <w:sz w:val="14"/>
          <w:szCs w:val="14"/>
          <w:color w:val="auto"/>
        </w:rPr>
        <w:t>We are managed by PennantPark Investment Advisers, LLC. PennantPark Investment Administration, LLC provides the administrative services necessary for us to operate.</w:t>
      </w:r>
    </w:p>
    <w:p>
      <w:pPr>
        <w:spacing w:after="0" w:line="42" w:lineRule="exact"/>
        <w:rPr>
          <w:sz w:val="24"/>
          <w:szCs w:val="24"/>
          <w:color w:val="auto"/>
        </w:rPr>
      </w:pPr>
    </w:p>
    <w:p>
      <w:pPr>
        <w:ind w:right="140" w:firstLine="342"/>
        <w:spacing w:after="0" w:line="231" w:lineRule="auto"/>
        <w:rPr>
          <w:sz w:val="20"/>
          <w:szCs w:val="20"/>
          <w:color w:val="auto"/>
        </w:rPr>
      </w:pPr>
      <w:r>
        <w:rPr>
          <w:rFonts w:ascii="Arial" w:cs="Arial" w:eastAsia="Arial" w:hAnsi="Arial"/>
          <w:sz w:val="14"/>
          <w:szCs w:val="14"/>
          <w:color w:val="auto"/>
        </w:rPr>
        <w:t xml:space="preserve">This prospectus supplement and the accompanying prospectus contain important information you should know before investing in our securities. Please read them before you invest in our securities and keep them for future reference. We file annual, quarterly and current reports, proxy statements and other information with the Securities and Exchange Commission, or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The information on our website is not incorporated by reference into this prospectus supplement or the accompanying prospectus. The SEC also maintains a website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that contains such information free of charge.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5" w:lineRule="exact"/>
        <w:rPr>
          <w:sz w:val="24"/>
          <w:szCs w:val="24"/>
          <w:color w:val="auto"/>
        </w:rPr>
      </w:pPr>
    </w:p>
    <w:p>
      <w:pPr>
        <w:ind w:right="320" w:firstLine="456"/>
        <w:spacing w:after="0" w:line="320"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leverage. Before buying any shares of our common stock, you should read the discussion of the material risks of investing in us in “</w:t>
      </w:r>
      <w:hyperlink w:anchor="page65">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the accompanying prospectus.</w:t>
      </w:r>
    </w:p>
    <w:p>
      <w:pPr>
        <w:ind w:right="600" w:firstLine="342"/>
        <w:spacing w:after="0" w:line="298"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7" w:lineRule="exact"/>
        <w:rPr>
          <w:sz w:val="24"/>
          <w:szCs w:val="24"/>
          <w:color w:val="auto"/>
        </w:rPr>
      </w:pPr>
    </w:p>
    <w:tbl>
      <w:tblPr>
        <w:tblLayout w:type="fixed"/>
        <w:tblInd w:w="138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120" w:type="dxa"/>
            <w:vAlign w:val="bottom"/>
            <w:gridSpan w:val="3"/>
          </w:tcPr>
          <w:p>
            <w:pPr>
              <w:ind w:left="500"/>
              <w:spacing w:after="0"/>
              <w:rPr>
                <w:sz w:val="20"/>
                <w:szCs w:val="20"/>
                <w:color w:val="auto"/>
              </w:rPr>
            </w:pPr>
            <w:r>
              <w:rPr>
                <w:rFonts w:ascii="Arial" w:cs="Arial" w:eastAsia="Arial" w:hAnsi="Arial"/>
                <w:sz w:val="14"/>
                <w:szCs w:val="14"/>
                <w:b w:val="1"/>
                <w:bCs w:val="1"/>
                <w:color w:val="auto"/>
                <w:w w:val="91"/>
              </w:rPr>
              <w:t>Per Share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42"/>
        </w:trPr>
        <w:tc>
          <w:tcPr>
            <w:tcW w:w="6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p>
        </w:tc>
        <w:tc>
          <w:tcPr>
            <w:tcW w:w="5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13.6200</w:t>
            </w:r>
          </w:p>
        </w:tc>
        <w:tc>
          <w:tcPr>
            <w:tcW w:w="5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68,100,000</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6240" w:type="dxa"/>
            <w:vAlign w:val="bottom"/>
          </w:tcPr>
          <w:p>
            <w:pPr>
              <w:spacing w:after="0" w:line="149" w:lineRule="exact"/>
              <w:rPr>
                <w:sz w:val="20"/>
                <w:szCs w:val="20"/>
                <w:color w:val="auto"/>
              </w:rPr>
            </w:pPr>
            <w:r>
              <w:rPr>
                <w:rFonts w:ascii="Arial" w:cs="Arial" w:eastAsia="Arial" w:hAnsi="Arial"/>
                <w:sz w:val="14"/>
                <w:szCs w:val="14"/>
                <w:color w:val="auto"/>
              </w:rPr>
              <w:t xml:space="preserve">Underwriting discounts and commissions (sales load) </w:t>
            </w:r>
            <w:r>
              <w:rPr>
                <w:rFonts w:ascii="Arial" w:cs="Arial" w:eastAsia="Arial" w:hAnsi="Arial"/>
                <w:sz w:val="12"/>
                <w:szCs w:val="12"/>
                <w:color w:val="auto"/>
              </w:rPr>
              <w:t>(1)</w:t>
            </w:r>
          </w:p>
        </w:tc>
        <w:tc>
          <w:tcPr>
            <w:tcW w:w="6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r>
      <w:tr>
        <w:trPr>
          <w:trHeight w:val="149"/>
        </w:trPr>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supplemental payment to the underwriters by PennantPark Investment Advisers, LLC</w:t>
            </w:r>
            <w:r>
              <w:rPr>
                <w:rFonts w:ascii="Arial" w:cs="Arial" w:eastAsia="Arial" w:hAnsi="Arial"/>
                <w:sz w:val="12"/>
                <w:szCs w:val="12"/>
                <w:color w:val="auto"/>
              </w:rPr>
              <w:t>(2)</w:t>
            </w:r>
          </w:p>
        </w:tc>
        <w:tc>
          <w:tcPr>
            <w:tcW w:w="6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0.4646</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2,323,000</w:t>
            </w:r>
          </w:p>
        </w:tc>
        <w:tc>
          <w:tcPr>
            <w:tcW w:w="80" w:type="dxa"/>
            <w:vAlign w:val="bottom"/>
            <w:shd w:val="clear" w:color="auto" w:fill="CCEEFF"/>
          </w:tcPr>
          <w:p>
            <w:pPr>
              <w:spacing w:after="0"/>
              <w:rPr>
                <w:sz w:val="12"/>
                <w:szCs w:val="12"/>
                <w:color w:val="auto"/>
              </w:rPr>
            </w:pPr>
          </w:p>
        </w:tc>
      </w:tr>
      <w:tr>
        <w:trPr>
          <w:trHeight w:val="182"/>
        </w:trPr>
        <w:tc>
          <w:tcPr>
            <w:tcW w:w="6240" w:type="dxa"/>
            <w:vAlign w:val="bottom"/>
          </w:tcPr>
          <w:p>
            <w:pPr>
              <w:spacing w:after="0"/>
              <w:rPr>
                <w:sz w:val="20"/>
                <w:szCs w:val="20"/>
                <w:color w:val="auto"/>
              </w:rPr>
            </w:pPr>
            <w:r>
              <w:rPr>
                <w:rFonts w:ascii="Arial" w:cs="Arial" w:eastAsia="Arial" w:hAnsi="Arial"/>
                <w:sz w:val="14"/>
                <w:szCs w:val="14"/>
                <w:color w:val="auto"/>
              </w:rPr>
              <w:t>Proceeds to PennantPark Floating Rate Capital, Ltd. (before estimated expenses of $470,000)</w:t>
            </w:r>
          </w:p>
        </w:tc>
        <w:tc>
          <w:tcPr>
            <w:tcW w:w="6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14.0846</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88"/>
              </w:rPr>
              <w:t>70,423,000</w:t>
            </w:r>
          </w:p>
        </w:tc>
        <w:tc>
          <w:tcPr>
            <w:tcW w:w="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4"/>
          <w:szCs w:val="24"/>
          <w:color w:val="auto"/>
        </w:rPr>
      </w:pPr>
    </w:p>
    <w:p>
      <w:pPr>
        <w:ind w:left="340" w:right="480" w:hanging="332"/>
        <w:spacing w:after="0" w:line="227"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PennantPark Investment Advisers, LLC has agreed to pay all of the underwriting commissions to the underwriters of approximately $2.0 million, or $0.41 per share (or approximately $2.3 million, or $0.41 per share if the option to purchase additional shares is fully exercised) in connection with this offering, which amount is not reflected in the above table. All other expenses of the offering will be borne by us.</w:t>
      </w:r>
    </w:p>
    <w:p>
      <w:pPr>
        <w:ind w:left="340" w:right="200" w:hanging="332"/>
        <w:spacing w:after="0" w:line="232"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PennantPark Investment Advisers, LLC has agreed to pay the underwriters an additional supplemental payment of approximately $2.3 million, or $0.46 per share (or approximately $2.7 million, or $0.46 per share if the option to purchase additional shares is fully exercised), which reflects the difference between the offering price and the proceeds per share received by us in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102235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6" w:lineRule="exact"/>
        <w:rPr>
          <w:sz w:val="24"/>
          <w:szCs w:val="24"/>
          <w:color w:val="auto"/>
        </w:rPr>
      </w:pPr>
    </w:p>
    <w:p>
      <w:pPr>
        <w:ind w:right="220" w:firstLine="342"/>
        <w:spacing w:after="0" w:line="235" w:lineRule="auto"/>
        <w:rPr>
          <w:sz w:val="20"/>
          <w:szCs w:val="20"/>
          <w:color w:val="auto"/>
        </w:rPr>
      </w:pPr>
      <w:r>
        <w:rPr>
          <w:rFonts w:ascii="Arial" w:cs="Arial" w:eastAsia="Arial" w:hAnsi="Arial"/>
          <w:sz w:val="14"/>
          <w:szCs w:val="14"/>
          <w:b w:val="1"/>
          <w:bCs w:val="1"/>
          <w:color w:val="auto"/>
        </w:rPr>
        <w:t>The underwriters may also purchase up to an additional 750,000 shares from us at the public offering price, within 30 days from the date of this prospectus supplement. If the underwriters exercise this option in full, the total public offering price will be approximately $78.3 million, the underwriting commissions (sales load) paid by PennantPark Investment Advisers, LLC will be approximately $2.3 million, the additional supplemental payment to the underwriters paid by PennantPark Investment Advisers, LLC will be approximately $2.7 million and our total proceeds, before estimated expenses, will be approximately $81.0 million.</w:t>
      </w:r>
    </w:p>
    <w:p>
      <w:pPr>
        <w:spacing w:after="0" w:line="18"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The underwriters expect to deliver the shares on or about February 17,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Joint Bookrunners</w:t>
      </w:r>
    </w:p>
    <w:p>
      <w:pPr>
        <w:sectPr>
          <w:pgSz w:w="11900" w:h="16838" w:orient="portrait"/>
          <w:cols w:equalWidth="0" w:num="1">
            <w:col w:w="11420"/>
          </w:cols>
          <w:pgMar w:left="240" w:top="230" w:right="239" w:bottom="1440" w:gutter="0" w:footer="0" w:header="0"/>
        </w:sectPr>
      </w:pPr>
    </w:p>
    <w:p>
      <w:pPr>
        <w:spacing w:after="0" w:line="12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Morgan Stanley</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Goldman, Sachs &amp; Co.</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J.P. Morgan</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Keefe, Bruyette &amp; Woods</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RBC Capital Markets</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SunTrust Robinson Humphrey</w:t>
      </w:r>
    </w:p>
    <w:p>
      <w:pPr>
        <w:spacing w:after="0" w:line="49" w:lineRule="exact"/>
        <w:rPr>
          <w:sz w:val="24"/>
          <w:szCs w:val="24"/>
          <w:color w:val="auto"/>
        </w:rPr>
      </w:pPr>
    </w:p>
    <w:p>
      <w:pPr>
        <w:sectPr>
          <w:pgSz w:w="11900" w:h="16838" w:orient="portrait"/>
          <w:cols w:equalWidth="0" w:num="6">
            <w:col w:w="1120" w:space="560"/>
            <w:col w:w="1580" w:space="420"/>
            <w:col w:w="840" w:space="400"/>
            <w:col w:w="1760" w:space="460"/>
            <w:col w:w="1520" w:space="620"/>
            <w:col w:w="2140"/>
          </w:cols>
          <w:pgMar w:left="240" w:top="230" w:right="239" w:bottom="1440" w:gutter="0" w:footer="0" w:header="0"/>
          <w:type w:val="continuous"/>
        </w:sectPr>
      </w:pPr>
    </w:p>
    <w:p>
      <w:pPr>
        <w:ind w:left="5920"/>
        <w:spacing w:after="0"/>
        <w:rPr>
          <w:sz w:val="20"/>
          <w:szCs w:val="20"/>
          <w:color w:val="auto"/>
        </w:rPr>
      </w:pPr>
      <w:r>
        <w:rPr>
          <w:rFonts w:ascii="Arial" w:cs="Arial" w:eastAsia="Arial" w:hAnsi="Arial"/>
          <w:sz w:val="9"/>
          <w:szCs w:val="9"/>
          <w:i w:val="1"/>
          <w:iCs w:val="1"/>
          <w:color w:val="auto"/>
        </w:rPr>
        <w:t>A Stifel Company</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Co-Managers</w:t>
      </w:r>
    </w:p>
    <w:p>
      <w:pPr>
        <w:sectPr>
          <w:pgSz w:w="11900" w:h="16838" w:orient="portrait"/>
          <w:cols w:equalWidth="0" w:num="1">
            <w:col w:w="11420"/>
          </w:cols>
          <w:pgMar w:left="240" w:top="230" w:right="239" w:bottom="1440" w:gutter="0" w:footer="0" w:header="0"/>
          <w:type w:val="continuous"/>
        </w:sectPr>
      </w:pPr>
    </w:p>
    <w:p>
      <w:pPr>
        <w:spacing w:after="0" w:line="96"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Comerica Securities</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jc w:val="center"/>
        <w:ind w:right="540"/>
        <w:spacing w:after="0"/>
        <w:rPr>
          <w:sz w:val="20"/>
          <w:szCs w:val="20"/>
          <w:color w:val="auto"/>
        </w:rPr>
      </w:pPr>
      <w:r>
        <w:rPr>
          <w:rFonts w:ascii="Arial" w:cs="Arial" w:eastAsia="Arial" w:hAnsi="Arial"/>
          <w:sz w:val="12"/>
          <w:szCs w:val="12"/>
          <w:b w:val="1"/>
          <w:bCs w:val="1"/>
          <w:color w:val="auto"/>
        </w:rPr>
        <w:t>Janney Montgomery Scott</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jc w:val="center"/>
        <w:ind w:right="540"/>
        <w:spacing w:after="0"/>
        <w:rPr>
          <w:sz w:val="20"/>
          <w:szCs w:val="20"/>
          <w:color w:val="auto"/>
        </w:rPr>
      </w:pPr>
      <w:r>
        <w:rPr>
          <w:rFonts w:ascii="Arial" w:cs="Arial" w:eastAsia="Arial" w:hAnsi="Arial"/>
          <w:sz w:val="12"/>
          <w:szCs w:val="12"/>
          <w:b w:val="1"/>
          <w:bCs w:val="1"/>
          <w:color w:val="auto"/>
        </w:rPr>
        <w:t>JMP Securities</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jc w:val="center"/>
        <w:ind w:right="540"/>
        <w:spacing w:after="0"/>
        <w:rPr>
          <w:sz w:val="20"/>
          <w:szCs w:val="20"/>
          <w:color w:val="auto"/>
        </w:rPr>
      </w:pPr>
      <w:r>
        <w:rPr>
          <w:rFonts w:ascii="Arial" w:cs="Arial" w:eastAsia="Arial" w:hAnsi="Arial"/>
          <w:sz w:val="13"/>
          <w:szCs w:val="13"/>
          <w:b w:val="1"/>
          <w:bCs w:val="1"/>
          <w:color w:val="auto"/>
        </w:rPr>
        <w:t>Ladenburg Thalmann</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Maxim Group LLC</w:t>
      </w:r>
    </w:p>
    <w:p>
      <w:pPr>
        <w:spacing w:after="0" w:line="42" w:lineRule="exact"/>
        <w:rPr>
          <w:sz w:val="24"/>
          <w:szCs w:val="24"/>
          <w:color w:val="auto"/>
        </w:rPr>
      </w:pPr>
    </w:p>
    <w:p>
      <w:pPr>
        <w:sectPr>
          <w:pgSz w:w="11900" w:h="16838" w:orient="portrait"/>
          <w:cols w:equalWidth="0" w:num="5">
            <w:col w:w="1800" w:space="720"/>
            <w:col w:w="2160" w:space="720"/>
            <w:col w:w="1460" w:space="720"/>
            <w:col w:w="1900" w:space="720"/>
            <w:col w:w="122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The date of this prospectus supplement is February 14, 2017.</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You should rely only on the information contained in this prospectus supplement and the accompanying prospectus when considering whether to purchase any securities offered by this prospectus supplement.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or incorporated by reference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00" w:type="dxa"/>
            <w:vAlign w:val="bottom"/>
            <w:gridSpan w:val="8"/>
          </w:tcPr>
          <w:p>
            <w:pPr>
              <w:jc w:val="center"/>
              <w:ind w:right="2940"/>
              <w:spacing w:after="0"/>
              <w:rPr>
                <w:sz w:val="20"/>
                <w:szCs w:val="20"/>
                <w:color w:val="auto"/>
              </w:rPr>
            </w:pPr>
            <w:r>
              <w:rPr>
                <w:rFonts w:ascii="Arial" w:cs="Arial" w:eastAsia="Arial" w:hAnsi="Arial"/>
                <w:sz w:val="18"/>
                <w:szCs w:val="18"/>
                <w:b w:val="1"/>
                <w:bCs w:val="1"/>
                <w:color w:val="auto"/>
                <w:w w:val="98"/>
              </w:rPr>
              <w:t>TABLE OF CONTENTS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00" w:type="dxa"/>
            <w:vAlign w:val="bottom"/>
            <w:gridSpan w:val="8"/>
          </w:tcPr>
          <w:p>
            <w:pPr>
              <w:jc w:val="center"/>
              <w:ind w:right="2960"/>
              <w:spacing w:after="0"/>
              <w:rPr>
                <w:sz w:val="20"/>
                <w:szCs w:val="20"/>
                <w:color w:val="auto"/>
              </w:rPr>
            </w:pPr>
            <w:r>
              <w:rPr>
                <w:rFonts w:ascii="Arial" w:cs="Arial" w:eastAsia="Arial" w:hAnsi="Arial"/>
                <w:sz w:val="18"/>
                <w:szCs w:val="18"/>
                <w:b w:val="1"/>
                <w:bCs w:val="1"/>
                <w:color w:val="auto"/>
                <w:w w:val="97"/>
              </w:rPr>
              <w:t>PROSPECTUS SUPPLEMENT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0140" w:type="dxa"/>
            <w:vAlign w:val="bottom"/>
            <w:gridSpan w:val="3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SUPPLEMENTAL PROSPECTUS SUMMARY</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8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b w:val="1"/>
                <w:bCs w:val="1"/>
                <w:color w:val="0000EE"/>
                <w:w w:val="96"/>
              </w:rPr>
            </w:pPr>
            <w:hyperlink w:anchor="page8">
              <w:r>
                <w:rPr>
                  <w:rFonts w:ascii="Arial" w:cs="Arial" w:eastAsia="Arial" w:hAnsi="Arial"/>
                  <w:sz w:val="18"/>
                  <w:szCs w:val="18"/>
                  <w:b w:val="1"/>
                  <w:bCs w:val="1"/>
                  <w:color w:val="0000EE"/>
                  <w:w w:val="96"/>
                </w:rPr>
                <w:t>FEES AND EXPENSES</w:t>
              </w:r>
            </w:hyperlink>
          </w:p>
        </w:tc>
        <w:tc>
          <w:tcPr>
            <w:tcW w:w="1820" w:type="dxa"/>
            <w:vAlign w:val="bottom"/>
            <w:tcBorders>
              <w:top w:val="single" w:sz="8" w:color="0000EE"/>
            </w:tcBorders>
            <w:gridSpan w:val="12"/>
          </w:tcPr>
          <w:p>
            <w:pPr>
              <w:spacing w:after="0"/>
              <w:rPr>
                <w:sz w:val="17"/>
                <w:szCs w:val="17"/>
                <w:color w:val="auto"/>
              </w:rPr>
            </w:pPr>
          </w:p>
        </w:tc>
        <w:tc>
          <w:tcPr>
            <w:tcW w:w="6440" w:type="dxa"/>
            <w:vAlign w:val="bottom"/>
            <w:gridSpan w:val="1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FORWARD-LOOKING STATEMENTS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6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b w:val="1"/>
                <w:bCs w:val="1"/>
                <w:color w:val="0000EE"/>
                <w:w w:val="95"/>
              </w:rPr>
            </w:pPr>
            <w:hyperlink w:anchor="page11">
              <w:r>
                <w:rPr>
                  <w:rFonts w:ascii="Arial" w:cs="Arial" w:eastAsia="Arial" w:hAnsi="Arial"/>
                  <w:sz w:val="18"/>
                  <w:szCs w:val="18"/>
                  <w:b w:val="1"/>
                  <w:bCs w:val="1"/>
                  <w:color w:val="0000EE"/>
                  <w:w w:val="95"/>
                </w:rPr>
                <w:t>USE OF PROCEEDS</w:t>
              </w:r>
            </w:hyperlink>
          </w:p>
        </w:tc>
        <w:tc>
          <w:tcPr>
            <w:tcW w:w="1440" w:type="dxa"/>
            <w:vAlign w:val="bottom"/>
            <w:tcBorders>
              <w:top w:val="single" w:sz="8" w:color="0000EE"/>
            </w:tcBorders>
            <w:gridSpan w:val="10"/>
          </w:tcPr>
          <w:p>
            <w:pPr>
              <w:spacing w:after="0"/>
              <w:rPr>
                <w:sz w:val="17"/>
                <w:szCs w:val="17"/>
                <w:color w:val="auto"/>
              </w:rPr>
            </w:pPr>
          </w:p>
        </w:tc>
        <w:tc>
          <w:tcPr>
            <w:tcW w:w="7020" w:type="dxa"/>
            <w:vAlign w:val="bottom"/>
            <w:gridSpan w:val="1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CAPITALIZATION</w:t>
              </w:r>
            </w:hyperlink>
          </w:p>
        </w:tc>
        <w:tc>
          <w:tcPr>
            <w:tcW w:w="8560" w:type="dxa"/>
            <w:vAlign w:val="bottom"/>
            <w:gridSpan w:val="2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PRICE RANGE OF COMMON STOCK</w:t>
              </w:r>
            </w:hyperlink>
          </w:p>
        </w:tc>
        <w:tc>
          <w:tcPr>
            <w:tcW w:w="6940" w:type="dxa"/>
            <w:vAlign w:val="bottom"/>
            <w:gridSpan w:val="1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SELECTED FINANCIAL DATA</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20" w:type="dxa"/>
            <w:vAlign w:val="bottom"/>
            <w:tcBorders>
              <w:bottom w:val="single" w:sz="8" w:color="0000EE"/>
            </w:tcBorders>
            <w:gridSpan w:val="34"/>
          </w:tcPr>
          <w:p>
            <w:pPr>
              <w:spacing w:after="0" w:line="196" w:lineRule="exact"/>
              <w:rPr>
                <w:rFonts w:ascii="Arial" w:cs="Arial" w:eastAsia="Arial" w:hAnsi="Arial"/>
                <w:sz w:val="18"/>
                <w:szCs w:val="18"/>
                <w:b w:val="1"/>
                <w:bCs w:val="1"/>
                <w:color w:val="0000EE"/>
                <w:w w:val="99"/>
              </w:rPr>
            </w:pPr>
            <w:hyperlink w:anchor="page16">
              <w:r>
                <w:rPr>
                  <w:rFonts w:ascii="Arial" w:cs="Arial" w:eastAsia="Arial" w:hAnsi="Arial"/>
                  <w:sz w:val="18"/>
                  <w:szCs w:val="18"/>
                  <w:b w:val="1"/>
                  <w:bCs w:val="1"/>
                  <w:color w:val="0000EE"/>
                  <w:w w:val="99"/>
                </w:rPr>
                <w:t>MANAGEMENT’S DISCUSSION AND ANALYSIS OF FINANCIAL CONDITION AND RESULTS OF OPERATIONS</w:t>
              </w:r>
            </w:hyperlink>
          </w:p>
        </w:tc>
        <w:tc>
          <w:tcPr>
            <w:tcW w:w="8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UNDERWRITING</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S-23</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LEGAL MATTERS</w:t>
              </w:r>
            </w:hyperlink>
          </w:p>
        </w:tc>
        <w:tc>
          <w:tcPr>
            <w:tcW w:w="8580" w:type="dxa"/>
            <w:vAlign w:val="bottom"/>
            <w:gridSpan w:val="2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INDEX TO FINANCIAL STATEMENTS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S-28</w:t>
            </w:r>
          </w:p>
        </w:tc>
        <w:tc>
          <w:tcPr>
            <w:tcW w:w="0" w:type="dxa"/>
            <w:vAlign w:val="bottom"/>
          </w:tcPr>
          <w:p>
            <w:pPr>
              <w:spacing w:after="0"/>
              <w:rPr>
                <w:sz w:val="1"/>
                <w:szCs w:val="1"/>
                <w:color w:val="auto"/>
              </w:rPr>
            </w:pPr>
          </w:p>
        </w:tc>
      </w:tr>
      <w:tr>
        <w:trPr>
          <w:trHeight w:val="669"/>
        </w:trPr>
        <w:tc>
          <w:tcPr>
            <w:tcW w:w="8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60" w:type="dxa"/>
            <w:vAlign w:val="bottom"/>
            <w:gridSpan w:val="4"/>
          </w:tcPr>
          <w:p>
            <w:pPr>
              <w:jc w:val="center"/>
              <w:ind w:right="3800"/>
              <w:spacing w:after="0"/>
              <w:rPr>
                <w:sz w:val="20"/>
                <w:szCs w:val="20"/>
                <w:color w:val="auto"/>
              </w:rPr>
            </w:pPr>
            <w:r>
              <w:rPr>
                <w:rFonts w:ascii="Arial" w:cs="Arial" w:eastAsia="Arial" w:hAnsi="Arial"/>
                <w:sz w:val="18"/>
                <w:szCs w:val="18"/>
                <w:b w:val="1"/>
                <w:bCs w:val="1"/>
                <w:color w:val="auto"/>
                <w:w w:val="95"/>
              </w:rPr>
              <w:t>PROSPECTUS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200" w:type="dxa"/>
            <w:vAlign w:val="bottom"/>
            <w:gridSpan w:val="13"/>
            <w:vMerge w:val="restart"/>
          </w:tcPr>
          <w:p>
            <w:pPr>
              <w:spacing w:after="0"/>
              <w:rPr>
                <w:rFonts w:ascii="Arial" w:cs="Arial" w:eastAsia="Arial" w:hAnsi="Arial"/>
                <w:sz w:val="18"/>
                <w:szCs w:val="18"/>
                <w:b w:val="1"/>
                <w:bCs w:val="1"/>
                <w:color w:val="0000EE"/>
                <w:w w:val="98"/>
              </w:rPr>
            </w:pPr>
            <w:hyperlink w:anchor="page58">
              <w:r>
                <w:rPr>
                  <w:rFonts w:ascii="Arial" w:cs="Arial" w:eastAsia="Arial" w:hAnsi="Arial"/>
                  <w:sz w:val="18"/>
                  <w:szCs w:val="18"/>
                  <w:b w:val="1"/>
                  <w:bCs w:val="1"/>
                  <w:color w:val="0000EE"/>
                  <w:w w:val="98"/>
                </w:rPr>
                <w:t>PROSPECTUS SUMMARY</w:t>
              </w:r>
            </w:hyperlink>
          </w:p>
        </w:tc>
        <w:tc>
          <w:tcPr>
            <w:tcW w:w="7940" w:type="dxa"/>
            <w:vAlign w:val="bottom"/>
            <w:gridSpan w:val="22"/>
            <w:vMerge w:val="restart"/>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2200" w:type="dxa"/>
            <w:vAlign w:val="bottom"/>
            <w:tcBorders>
              <w:bottom w:val="single" w:sz="8" w:color="0000EE"/>
            </w:tcBorders>
            <w:gridSpan w:val="13"/>
            <w:vMerge w:val="continue"/>
          </w:tcPr>
          <w:p>
            <w:pPr>
              <w:spacing w:after="0"/>
              <w:rPr>
                <w:sz w:val="16"/>
                <w:szCs w:val="16"/>
                <w:color w:val="auto"/>
              </w:rPr>
            </w:pPr>
          </w:p>
        </w:tc>
        <w:tc>
          <w:tcPr>
            <w:tcW w:w="7940" w:type="dxa"/>
            <w:vAlign w:val="bottom"/>
            <w:gridSpan w:val="22"/>
            <w:vMerge w:val="continue"/>
          </w:tcPr>
          <w:p>
            <w:pPr>
              <w:spacing w:after="0"/>
              <w:rPr>
                <w:sz w:val="16"/>
                <w:szCs w:val="16"/>
                <w:color w:val="auto"/>
              </w:rPr>
            </w:pPr>
          </w:p>
        </w:tc>
        <w:tc>
          <w:tcPr>
            <w:tcW w:w="11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FEES AND EXPENSES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97"/>
              </w:rPr>
            </w:pPr>
            <w:hyperlink w:anchor="page65">
              <w:r>
                <w:rPr>
                  <w:rFonts w:ascii="Arial" w:cs="Arial" w:eastAsia="Arial" w:hAnsi="Arial"/>
                  <w:sz w:val="18"/>
                  <w:szCs w:val="18"/>
                  <w:b w:val="1"/>
                  <w:bCs w:val="1"/>
                  <w:color w:val="0000EE"/>
                  <w:w w:val="97"/>
                </w:rPr>
                <w:t>RISK FACTORS</w:t>
              </w:r>
            </w:hyperlink>
          </w:p>
        </w:tc>
        <w:tc>
          <w:tcPr>
            <w:tcW w:w="520" w:type="dxa"/>
            <w:vAlign w:val="bottom"/>
            <w:tcBorders>
              <w:top w:val="single" w:sz="8" w:color="0000EE"/>
            </w:tcBorders>
            <w:gridSpan w:val="7"/>
          </w:tcPr>
          <w:p>
            <w:pPr>
              <w:spacing w:after="0"/>
              <w:rPr>
                <w:sz w:val="17"/>
                <w:szCs w:val="17"/>
                <w:color w:val="auto"/>
              </w:rPr>
            </w:pPr>
          </w:p>
        </w:tc>
        <w:tc>
          <w:tcPr>
            <w:tcW w:w="8280" w:type="dxa"/>
            <w:vAlign w:val="bottom"/>
            <w:gridSpan w:val="2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FORWARD-LOOKING STATEMENTS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6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b w:val="1"/>
                <w:bCs w:val="1"/>
                <w:color w:val="0000EE"/>
                <w:w w:val="95"/>
              </w:rPr>
            </w:pPr>
            <w:hyperlink w:anchor="page89">
              <w:r>
                <w:rPr>
                  <w:rFonts w:ascii="Arial" w:cs="Arial" w:eastAsia="Arial" w:hAnsi="Arial"/>
                  <w:sz w:val="18"/>
                  <w:szCs w:val="18"/>
                  <w:b w:val="1"/>
                  <w:bCs w:val="1"/>
                  <w:color w:val="0000EE"/>
                  <w:w w:val="95"/>
                </w:rPr>
                <w:t>USE OF PROCEEDS</w:t>
              </w:r>
            </w:hyperlink>
          </w:p>
        </w:tc>
        <w:tc>
          <w:tcPr>
            <w:tcW w:w="1440" w:type="dxa"/>
            <w:vAlign w:val="bottom"/>
            <w:tcBorders>
              <w:top w:val="single" w:sz="8" w:color="0000EE"/>
            </w:tcBorders>
            <w:gridSpan w:val="10"/>
          </w:tcPr>
          <w:p>
            <w:pPr>
              <w:spacing w:after="0"/>
              <w:rPr>
                <w:sz w:val="17"/>
                <w:szCs w:val="17"/>
                <w:color w:val="auto"/>
              </w:rPr>
            </w:pPr>
          </w:p>
        </w:tc>
        <w:tc>
          <w:tcPr>
            <w:tcW w:w="7020" w:type="dxa"/>
            <w:vAlign w:val="bottom"/>
            <w:gridSpan w:val="1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SELECTED FINANCIAL DATA</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20" w:type="dxa"/>
            <w:vAlign w:val="bottom"/>
            <w:tcBorders>
              <w:bottom w:val="single" w:sz="8" w:color="0000EE"/>
            </w:tcBorders>
            <w:gridSpan w:val="34"/>
          </w:tcPr>
          <w:p>
            <w:pPr>
              <w:spacing w:after="0" w:line="196" w:lineRule="exact"/>
              <w:rPr>
                <w:rFonts w:ascii="Arial" w:cs="Arial" w:eastAsia="Arial" w:hAnsi="Arial"/>
                <w:sz w:val="18"/>
                <w:szCs w:val="18"/>
                <w:b w:val="1"/>
                <w:bCs w:val="1"/>
                <w:color w:val="0000EE"/>
                <w:w w:val="99"/>
              </w:rPr>
            </w:pPr>
            <w:hyperlink w:anchor="page92">
              <w:r>
                <w:rPr>
                  <w:rFonts w:ascii="Arial" w:cs="Arial" w:eastAsia="Arial" w:hAnsi="Arial"/>
                  <w:sz w:val="18"/>
                  <w:szCs w:val="18"/>
                  <w:b w:val="1"/>
                  <w:bCs w:val="1"/>
                  <w:color w:val="0000EE"/>
                  <w:w w:val="99"/>
                </w:rPr>
                <w:t>MANAGEMENT’S DISCUSSION AND ANALYSIS OF FINANCIAL CONDITION AND RESULTS OF OPERATIONS</w:t>
              </w:r>
            </w:hyperlink>
          </w:p>
        </w:tc>
        <w:tc>
          <w:tcPr>
            <w:tcW w:w="8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9"/>
              </w:rPr>
            </w:pPr>
            <w:hyperlink w:anchor="page104">
              <w:r>
                <w:rPr>
                  <w:rFonts w:ascii="Arial" w:cs="Arial" w:eastAsia="Arial" w:hAnsi="Arial"/>
                  <w:sz w:val="18"/>
                  <w:szCs w:val="18"/>
                  <w:b w:val="1"/>
                  <w:bCs w:val="1"/>
                  <w:color w:val="0000EE"/>
                  <w:w w:val="99"/>
                </w:rPr>
                <w:t>SENIOR SECURITIES</w:t>
              </w:r>
            </w:hyperlink>
          </w:p>
        </w:tc>
        <w:tc>
          <w:tcPr>
            <w:tcW w:w="8300" w:type="dxa"/>
            <w:vAlign w:val="bottom"/>
            <w:gridSpan w:val="2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PRICE RANGE OF COMMON STOCK</w:t>
              </w:r>
            </w:hyperlink>
          </w:p>
        </w:tc>
        <w:tc>
          <w:tcPr>
            <w:tcW w:w="6940" w:type="dxa"/>
            <w:vAlign w:val="bottom"/>
            <w:gridSpan w:val="1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30"/>
          </w:tcPr>
          <w:p>
            <w:pPr>
              <w:spacing w:after="0" w:line="196" w:lineRule="exact"/>
              <w:rPr>
                <w:rFonts w:ascii="Arial" w:cs="Arial" w:eastAsia="Arial" w:hAnsi="Arial"/>
                <w:sz w:val="18"/>
                <w:szCs w:val="18"/>
                <w:b w:val="1"/>
                <w:bCs w:val="1"/>
                <w:color w:val="0000EE"/>
                <w:w w:val="98"/>
              </w:rPr>
            </w:pPr>
            <w:hyperlink w:anchor="page106">
              <w:r>
                <w:rPr>
                  <w:rFonts w:ascii="Arial" w:cs="Arial" w:eastAsia="Arial" w:hAnsi="Arial"/>
                  <w:sz w:val="18"/>
                  <w:szCs w:val="18"/>
                  <w:b w:val="1"/>
                  <w:bCs w:val="1"/>
                  <w:color w:val="0000EE"/>
                  <w:w w:val="98"/>
                </w:rPr>
                <w:t>SALES OF COMMON STOCK BELOW NET ASSET VALUE</w:t>
              </w:r>
            </w:hyperlink>
          </w:p>
        </w:tc>
        <w:tc>
          <w:tcPr>
            <w:tcW w:w="5260" w:type="dxa"/>
            <w:vAlign w:val="bottom"/>
            <w:gridSpan w:val="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DISTRIBUTIONS</w:t>
              </w:r>
            </w:hyperlink>
          </w:p>
        </w:tc>
        <w:tc>
          <w:tcPr>
            <w:tcW w:w="8660" w:type="dxa"/>
            <w:vAlign w:val="bottom"/>
            <w:gridSpan w:val="30"/>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tcPr>
          <w:p>
            <w:pPr>
              <w:spacing w:after="0" w:line="196" w:lineRule="exact"/>
              <w:rPr>
                <w:rFonts w:ascii="Arial" w:cs="Arial" w:eastAsia="Arial" w:hAnsi="Arial"/>
                <w:sz w:val="18"/>
                <w:szCs w:val="18"/>
                <w:b w:val="1"/>
                <w:bCs w:val="1"/>
                <w:color w:val="0000EE"/>
                <w:w w:val="93"/>
              </w:rPr>
            </w:pPr>
            <w:hyperlink w:anchor="page113">
              <w:r>
                <w:rPr>
                  <w:rFonts w:ascii="Arial" w:cs="Arial" w:eastAsia="Arial" w:hAnsi="Arial"/>
                  <w:sz w:val="18"/>
                  <w:szCs w:val="18"/>
                  <w:b w:val="1"/>
                  <w:bCs w:val="1"/>
                  <w:color w:val="0000EE"/>
                  <w:w w:val="93"/>
                </w:rPr>
                <w:t>BUSINESS</w:t>
              </w:r>
            </w:hyperlink>
          </w:p>
        </w:tc>
        <w:tc>
          <w:tcPr>
            <w:tcW w:w="9260" w:type="dxa"/>
            <w:vAlign w:val="bottom"/>
            <w:gridSpan w:val="3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INVESTMENT OBJECTIVES AND POLICIES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PORTFOLIO COMPANIES</w:t>
              </w:r>
            </w:hyperlink>
          </w:p>
        </w:tc>
        <w:tc>
          <w:tcPr>
            <w:tcW w:w="1520" w:type="dxa"/>
            <w:vAlign w:val="bottom"/>
            <w:tcBorders>
              <w:top w:val="single" w:sz="8" w:color="0000EE"/>
            </w:tcBorders>
            <w:gridSpan w:val="10"/>
          </w:tcPr>
          <w:p>
            <w:pPr>
              <w:spacing w:after="0"/>
              <w:rPr>
                <w:sz w:val="17"/>
                <w:szCs w:val="17"/>
                <w:color w:val="auto"/>
              </w:rPr>
            </w:pPr>
          </w:p>
        </w:tc>
        <w:tc>
          <w:tcPr>
            <w:tcW w:w="6400" w:type="dxa"/>
            <w:vAlign w:val="bottom"/>
            <w:gridSpan w:val="11"/>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131">
              <w:r>
                <w:rPr>
                  <w:rFonts w:ascii="Arial" w:cs="Arial" w:eastAsia="Arial" w:hAnsi="Arial"/>
                  <w:sz w:val="18"/>
                  <w:szCs w:val="18"/>
                  <w:b w:val="1"/>
                  <w:bCs w:val="1"/>
                  <w:color w:val="0000EE"/>
                </w:rPr>
                <w:t>MANAGEMENT</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Borders>
              <w:bottom w:val="single" w:sz="8" w:color="0000EE"/>
            </w:tcBorders>
            <w:gridSpan w:val="29"/>
          </w:tcPr>
          <w:p>
            <w:pPr>
              <w:spacing w:after="0" w:line="196" w:lineRule="exact"/>
              <w:rPr>
                <w:rFonts w:ascii="Arial" w:cs="Arial" w:eastAsia="Arial" w:hAnsi="Arial"/>
                <w:sz w:val="18"/>
                <w:szCs w:val="18"/>
                <w:b w:val="1"/>
                <w:bCs w:val="1"/>
                <w:color w:val="0000EE"/>
                <w:w w:val="99"/>
              </w:rPr>
            </w:pPr>
            <w:hyperlink w:anchor="page137">
              <w:r>
                <w:rPr>
                  <w:rFonts w:ascii="Arial" w:cs="Arial" w:eastAsia="Arial" w:hAnsi="Arial"/>
                  <w:sz w:val="18"/>
                  <w:szCs w:val="18"/>
                  <w:b w:val="1"/>
                  <w:bCs w:val="1"/>
                  <w:color w:val="0000EE"/>
                  <w:w w:val="99"/>
                </w:rPr>
                <w:t>CONTROL PERSONS AND PRINCIPAL STOCKHOLDERS</w:t>
              </w:r>
            </w:hyperlink>
          </w:p>
        </w:tc>
        <w:tc>
          <w:tcPr>
            <w:tcW w:w="5320" w:type="dxa"/>
            <w:vAlign w:val="bottom"/>
            <w:gridSpan w:val="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139">
              <w:r>
                <w:rPr>
                  <w:rFonts w:ascii="Arial" w:cs="Arial" w:eastAsia="Arial" w:hAnsi="Arial"/>
                  <w:sz w:val="18"/>
                  <w:szCs w:val="18"/>
                  <w:b w:val="1"/>
                  <w:bCs w:val="1"/>
                  <w:color w:val="0000EE"/>
                </w:rPr>
                <w:t>CERTAIN RELATIONSHIPS AND TRANSACTIONS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b w:val="1"/>
                <w:bCs w:val="1"/>
                <w:color w:val="0000EE"/>
              </w:rPr>
            </w:pPr>
            <w:hyperlink w:anchor="page145">
              <w:r>
                <w:rPr>
                  <w:rFonts w:ascii="Arial" w:cs="Arial" w:eastAsia="Arial" w:hAnsi="Arial"/>
                  <w:sz w:val="18"/>
                  <w:szCs w:val="18"/>
                  <w:b w:val="1"/>
                  <w:bCs w:val="1"/>
                  <w:color w:val="0000EE"/>
                </w:rPr>
                <w:t>DETERMINATION OF NET ASSET VALUE</w:t>
              </w:r>
            </w:hyperlink>
          </w:p>
        </w:tc>
        <w:tc>
          <w:tcPr>
            <w:tcW w:w="680" w:type="dxa"/>
            <w:vAlign w:val="bottom"/>
            <w:tcBorders>
              <w:top w:val="single" w:sz="8" w:color="0000EE"/>
            </w:tcBorders>
            <w:gridSpan w:val="6"/>
          </w:tcPr>
          <w:p>
            <w:pPr>
              <w:spacing w:after="0"/>
              <w:rPr>
                <w:sz w:val="17"/>
                <w:szCs w:val="17"/>
                <w:color w:val="auto"/>
              </w:rPr>
            </w:pPr>
          </w:p>
        </w:tc>
        <w:tc>
          <w:tcPr>
            <w:tcW w:w="5900" w:type="dxa"/>
            <w:vAlign w:val="bottom"/>
            <w:gridSpan w:val="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rPr>
            </w:pPr>
            <w:hyperlink w:anchor="page147">
              <w:r>
                <w:rPr>
                  <w:rFonts w:ascii="Arial" w:cs="Arial" w:eastAsia="Arial" w:hAnsi="Arial"/>
                  <w:sz w:val="18"/>
                  <w:szCs w:val="18"/>
                  <w:b w:val="1"/>
                  <w:bCs w:val="1"/>
                  <w:color w:val="0000EE"/>
                </w:rPr>
                <w:t>DIVIDEND REINVESTMENT PLAN</w:t>
              </w:r>
            </w:hyperlink>
          </w:p>
        </w:tc>
        <w:tc>
          <w:tcPr>
            <w:tcW w:w="7180" w:type="dxa"/>
            <w:vAlign w:val="bottom"/>
            <w:gridSpan w:val="1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rPr>
            </w:pPr>
            <w:hyperlink w:anchor="page148">
              <w:r>
                <w:rPr>
                  <w:rFonts w:ascii="Arial" w:cs="Arial" w:eastAsia="Arial" w:hAnsi="Arial"/>
                  <w:sz w:val="18"/>
                  <w:szCs w:val="18"/>
                  <w:b w:val="1"/>
                  <w:bCs w:val="1"/>
                  <w:color w:val="0000EE"/>
                </w:rPr>
                <w:t>DESCRIPTION OF OUR CAPITAL STOCK</w:t>
              </w:r>
            </w:hyperlink>
          </w:p>
        </w:tc>
        <w:tc>
          <w:tcPr>
            <w:tcW w:w="6620" w:type="dxa"/>
            <w:vAlign w:val="bottom"/>
            <w:gridSpan w:val="1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w w:val="99"/>
              </w:rPr>
            </w:pPr>
            <w:hyperlink w:anchor="page153">
              <w:r>
                <w:rPr>
                  <w:rFonts w:ascii="Arial" w:cs="Arial" w:eastAsia="Arial" w:hAnsi="Arial"/>
                  <w:sz w:val="18"/>
                  <w:szCs w:val="18"/>
                  <w:b w:val="1"/>
                  <w:bCs w:val="1"/>
                  <w:color w:val="0000EE"/>
                  <w:w w:val="99"/>
                </w:rPr>
                <w:t>DESCRIPTION OF OUR PREFERRED STOCK</w:t>
              </w:r>
            </w:hyperlink>
          </w:p>
        </w:tc>
        <w:tc>
          <w:tcPr>
            <w:tcW w:w="6320" w:type="dxa"/>
            <w:vAlign w:val="bottom"/>
            <w:gridSpan w:val="10"/>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99"/>
              </w:rPr>
            </w:pPr>
            <w:hyperlink w:anchor="page154">
              <w:r>
                <w:rPr>
                  <w:rFonts w:ascii="Arial" w:cs="Arial" w:eastAsia="Arial" w:hAnsi="Arial"/>
                  <w:sz w:val="18"/>
                  <w:szCs w:val="18"/>
                  <w:b w:val="1"/>
                  <w:bCs w:val="1"/>
                  <w:color w:val="0000EE"/>
                  <w:w w:val="99"/>
                </w:rPr>
                <w:t>DESCRIPTION OF OUR WARRANTS</w:t>
              </w:r>
            </w:hyperlink>
          </w:p>
        </w:tc>
        <w:tc>
          <w:tcPr>
            <w:tcW w:w="7060" w:type="dxa"/>
            <w:vAlign w:val="bottom"/>
            <w:gridSpan w:val="1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26"/>
          </w:tcPr>
          <w:p>
            <w:pPr>
              <w:spacing w:after="0" w:line="196" w:lineRule="exact"/>
              <w:rPr>
                <w:rFonts w:ascii="Arial" w:cs="Arial" w:eastAsia="Arial" w:hAnsi="Arial"/>
                <w:sz w:val="18"/>
                <w:szCs w:val="18"/>
                <w:b w:val="1"/>
                <w:bCs w:val="1"/>
                <w:color w:val="0000EE"/>
                <w:w w:val="99"/>
              </w:rPr>
            </w:pPr>
            <w:hyperlink w:anchor="page155">
              <w:r>
                <w:rPr>
                  <w:rFonts w:ascii="Arial" w:cs="Arial" w:eastAsia="Arial" w:hAnsi="Arial"/>
                  <w:sz w:val="18"/>
                  <w:szCs w:val="18"/>
                  <w:b w:val="1"/>
                  <w:bCs w:val="1"/>
                  <w:color w:val="0000EE"/>
                  <w:w w:val="99"/>
                </w:rPr>
                <w:t>DESCRIPTION OF OUR SUBSCRIPTION RIGHTS</w:t>
              </w:r>
            </w:hyperlink>
          </w:p>
        </w:tc>
        <w:tc>
          <w:tcPr>
            <w:tcW w:w="6000" w:type="dxa"/>
            <w:vAlign w:val="bottom"/>
            <w:gridSpan w:val="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156">
              <w:r>
                <w:rPr>
                  <w:rFonts w:ascii="Arial" w:cs="Arial" w:eastAsia="Arial" w:hAnsi="Arial"/>
                  <w:sz w:val="18"/>
                  <w:szCs w:val="18"/>
                  <w:b w:val="1"/>
                  <w:bCs w:val="1"/>
                  <w:color w:val="0000EE"/>
                </w:rPr>
                <w:t>DESCRIPTION OF OUR DEBT SECURITIES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3660" w:type="dxa"/>
            <w:vAlign w:val="bottom"/>
            <w:tcBorders>
              <w:top w:val="single" w:sz="8" w:color="0000EE"/>
            </w:tcBorders>
            <w:gridSpan w:val="22"/>
          </w:tcPr>
          <w:p>
            <w:pPr>
              <w:spacing w:after="0" w:line="196" w:lineRule="exact"/>
              <w:rPr>
                <w:rFonts w:ascii="Arial" w:cs="Arial" w:eastAsia="Arial" w:hAnsi="Arial"/>
                <w:sz w:val="18"/>
                <w:szCs w:val="18"/>
                <w:b w:val="1"/>
                <w:bCs w:val="1"/>
                <w:color w:val="0000EE"/>
              </w:rPr>
            </w:pPr>
            <w:hyperlink w:anchor="page167">
              <w:r>
                <w:rPr>
                  <w:rFonts w:ascii="Arial" w:cs="Arial" w:eastAsia="Arial" w:hAnsi="Arial"/>
                  <w:sz w:val="18"/>
                  <w:szCs w:val="18"/>
                  <w:b w:val="1"/>
                  <w:bCs w:val="1"/>
                  <w:color w:val="0000EE"/>
                </w:rPr>
                <w:t>REGULATION</w:t>
              </w:r>
            </w:hyperlink>
          </w:p>
        </w:tc>
        <w:tc>
          <w:tcPr>
            <w:tcW w:w="6480" w:type="dxa"/>
            <w:vAlign w:val="bottom"/>
            <w:gridSpan w:val="1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EE"/>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Borders>
              <w:bottom w:val="single" w:sz="8" w:color="0000EE"/>
            </w:tcBorders>
            <w:gridSpan w:val="28"/>
          </w:tcPr>
          <w:p>
            <w:pPr>
              <w:spacing w:after="0" w:line="196" w:lineRule="exact"/>
              <w:rPr>
                <w:rFonts w:ascii="Arial" w:cs="Arial" w:eastAsia="Arial" w:hAnsi="Arial"/>
                <w:sz w:val="18"/>
                <w:szCs w:val="18"/>
                <w:b w:val="1"/>
                <w:bCs w:val="1"/>
                <w:color w:val="0000EE"/>
              </w:rPr>
            </w:pPr>
            <w:hyperlink w:anchor="page171">
              <w:r>
                <w:rPr>
                  <w:rFonts w:ascii="Arial" w:cs="Arial" w:eastAsia="Arial" w:hAnsi="Arial"/>
                  <w:sz w:val="18"/>
                  <w:szCs w:val="18"/>
                  <w:b w:val="1"/>
                  <w:bCs w:val="1"/>
                  <w:color w:val="0000EE"/>
                </w:rPr>
                <w:t>BROKERAGE ALLOCATIONS AND OTHER PRACTICES</w:t>
              </w:r>
            </w:hyperlink>
          </w:p>
        </w:tc>
        <w:tc>
          <w:tcPr>
            <w:tcW w:w="5380" w:type="dxa"/>
            <w:vAlign w:val="bottom"/>
            <w:gridSpan w:val="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172">
              <w:r>
                <w:rPr>
                  <w:rFonts w:ascii="Arial" w:cs="Arial" w:eastAsia="Arial" w:hAnsi="Arial"/>
                  <w:sz w:val="18"/>
                  <w:szCs w:val="18"/>
                  <w:b w:val="1"/>
                  <w:bCs w:val="1"/>
                  <w:color w:val="0000EE"/>
                </w:rPr>
                <w:t>MATERIAL U.S. FEDERAL INCOME TAX CONSIDERATIONS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96"/>
        </w:trPr>
        <w:tc>
          <w:tcPr>
            <w:tcW w:w="5140" w:type="dxa"/>
            <w:vAlign w:val="bottom"/>
            <w:tcBorders>
              <w:top w:val="single" w:sz="8" w:color="0000EE"/>
            </w:tcBorders>
            <w:gridSpan w:val="32"/>
          </w:tcPr>
          <w:p>
            <w:pPr>
              <w:spacing w:after="0" w:line="196" w:lineRule="exact"/>
              <w:rPr>
                <w:rFonts w:ascii="Arial" w:cs="Arial" w:eastAsia="Arial" w:hAnsi="Arial"/>
                <w:sz w:val="18"/>
                <w:szCs w:val="18"/>
                <w:b w:val="1"/>
                <w:bCs w:val="1"/>
                <w:color w:val="0000EE"/>
              </w:rPr>
            </w:pPr>
            <w:hyperlink w:anchor="page178">
              <w:r>
                <w:rPr>
                  <w:rFonts w:ascii="Arial" w:cs="Arial" w:eastAsia="Arial" w:hAnsi="Arial"/>
                  <w:sz w:val="18"/>
                  <w:szCs w:val="18"/>
                  <w:b w:val="1"/>
                  <w:bCs w:val="1"/>
                  <w:color w:val="0000EE"/>
                </w:rPr>
                <w:t>PLAN OF DISTRIBUTION</w:t>
              </w:r>
            </w:hyperlink>
          </w:p>
        </w:tc>
        <w:tc>
          <w:tcPr>
            <w:tcW w:w="500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160" w:type="dxa"/>
            <w:vAlign w:val="bottom"/>
            <w:gridSpan w:val="12"/>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179">
              <w:r>
                <w:rPr>
                  <w:rFonts w:ascii="Arial" w:cs="Arial" w:eastAsia="Arial" w:hAnsi="Arial"/>
                  <w:sz w:val="18"/>
                  <w:szCs w:val="18"/>
                  <w:b w:val="1"/>
                  <w:bCs w:val="1"/>
                  <w:color w:val="0000EE"/>
                </w:rPr>
                <w:t>SUB-ADMINISTRATOR, CUSTODIAN, TRANSFER AGENT AND TRUSTEE</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rPr>
            </w:pPr>
            <w:hyperlink w:anchor="page179">
              <w:r>
                <w:rPr>
                  <w:rFonts w:ascii="Arial" w:cs="Arial" w:eastAsia="Arial" w:hAnsi="Arial"/>
                  <w:sz w:val="18"/>
                  <w:szCs w:val="18"/>
                  <w:b w:val="1"/>
                  <w:bCs w:val="1"/>
                  <w:color w:val="0000EE"/>
                </w:rPr>
                <w:t>LEGAL MATTERS</w:t>
              </w:r>
            </w:hyperlink>
          </w:p>
        </w:tc>
        <w:tc>
          <w:tcPr>
            <w:tcW w:w="4640" w:type="dxa"/>
            <w:vAlign w:val="bottom"/>
            <w:tcBorders>
              <w:top w:val="single" w:sz="8" w:color="0000EE"/>
            </w:tcBorders>
            <w:gridSpan w:val="27"/>
          </w:tcPr>
          <w:p>
            <w:pPr>
              <w:spacing w:after="0"/>
              <w:rPr>
                <w:sz w:val="17"/>
                <w:szCs w:val="17"/>
                <w:color w:val="auto"/>
              </w:rPr>
            </w:pPr>
          </w:p>
        </w:tc>
        <w:tc>
          <w:tcPr>
            <w:tcW w:w="394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10140" w:type="dxa"/>
            <w:vAlign w:val="bottom"/>
            <w:gridSpan w:val="35"/>
          </w:tcPr>
          <w:p>
            <w:pPr>
              <w:spacing w:after="0" w:line="196" w:lineRule="exact"/>
              <w:rPr>
                <w:rFonts w:ascii="Arial" w:cs="Arial" w:eastAsia="Arial" w:hAnsi="Arial"/>
                <w:sz w:val="18"/>
                <w:szCs w:val="18"/>
                <w:b w:val="1"/>
                <w:bCs w:val="1"/>
                <w:color w:val="0000EE"/>
              </w:rPr>
            </w:pPr>
            <w:hyperlink w:anchor="page179">
              <w:r>
                <w:rPr>
                  <w:rFonts w:ascii="Arial" w:cs="Arial" w:eastAsia="Arial" w:hAnsi="Arial"/>
                  <w:sz w:val="18"/>
                  <w:szCs w:val="18"/>
                  <w:b w:val="1"/>
                  <w:bCs w:val="1"/>
                  <w:color w:val="0000EE"/>
                </w:rPr>
                <w:t>INDEPENDENT REGISTERED PUBLIC ACCOUNTING FIRM</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5080" w:type="dxa"/>
            <w:vAlign w:val="bottom"/>
            <w:tcBorders>
              <w:top w:val="single" w:sz="8" w:color="0000EE"/>
            </w:tcBorders>
            <w:gridSpan w:val="31"/>
          </w:tcPr>
          <w:p>
            <w:pPr>
              <w:spacing w:after="0" w:line="196" w:lineRule="exact"/>
              <w:rPr>
                <w:rFonts w:ascii="Arial" w:cs="Arial" w:eastAsia="Arial" w:hAnsi="Arial"/>
                <w:sz w:val="18"/>
                <w:szCs w:val="18"/>
                <w:b w:val="1"/>
                <w:bCs w:val="1"/>
                <w:color w:val="0000EE"/>
              </w:rPr>
            </w:pPr>
            <w:hyperlink w:anchor="page180">
              <w:r>
                <w:rPr>
                  <w:rFonts w:ascii="Arial" w:cs="Arial" w:eastAsia="Arial" w:hAnsi="Arial"/>
                  <w:sz w:val="18"/>
                  <w:szCs w:val="18"/>
                  <w:b w:val="1"/>
                  <w:bCs w:val="1"/>
                  <w:color w:val="0000EE"/>
                </w:rPr>
                <w:t>INDEX TO FINANCIAL STATEMENTS</w:t>
              </w:r>
            </w:hyperlink>
          </w:p>
        </w:tc>
        <w:tc>
          <w:tcPr>
            <w:tcW w:w="506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SUPPLEMENTAL PROSPECTUS SUMMARY</w:t>
      </w:r>
    </w:p>
    <w:p>
      <w:pPr>
        <w:spacing w:after="0" w:line="229" w:lineRule="exact"/>
        <w:rPr>
          <w:sz w:val="20"/>
          <w:szCs w:val="20"/>
          <w:color w:val="auto"/>
        </w:rPr>
      </w:pPr>
    </w:p>
    <w:p>
      <w:pPr>
        <w:ind w:firstLine="1484"/>
        <w:spacing w:after="0" w:line="286"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supplement and accompanying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 In this prospectus supplement and the accompanying prospectus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“PennantPark Investment Advisers” or “Investment Adviser” refers to PennantPark Investment Advisers, LLC; “PennantPark Investment Administration” or “Administrator” refers to PennantPark Investment Administration, LLC; “Code” refers to the Internal Revenue Code of 1986, as amended; “RIC” refers to a regulated investment company under the Code; “1940 Act” refers to the Investment Company Act of 1940, as amended; “BDC” refers to a business development company under the 1940 Act; “MCG” refers to MCG Capital Corporation; and “Credit Facility” refers to our multi-currency senior secured revolving credit facility, as amended and restated with SunTrust Bank and other lenders, or the Lenders.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right="400" w:firstLine="913"/>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4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 regions.</w:t>
      </w:r>
    </w:p>
    <w:p>
      <w:pPr>
        <w:spacing w:after="0" w:line="18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93"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 For a description of our Credit Facility, please see “Management’s Discussion and Analysis of Financial Condition and Results of Operations— Liquidity and Capital Resources.”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In August 2015, we completed the acquisition of MCG pursuant to the Agreement and Plan of Merger, or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$3.0 billion in debt and equity capital and has invested $6.0 billion in 430 companies with over 170 different financial sponsors through its managed funds.</w:t>
      </w:r>
    </w:p>
    <w:p>
      <w:pPr>
        <w:spacing w:after="0" w:line="18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in the accompanying prospectus for more information.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900" w:hanging="446"/>
        <w:spacing w:after="0" w:line="261"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look to 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5" w:lineRule="exact"/>
        <w:rPr>
          <w:rFonts w:ascii="Arial" w:cs="Arial" w:eastAsia="Arial" w:hAnsi="Arial"/>
          <w:sz w:val="18"/>
          <w:szCs w:val="18"/>
          <w:color w:val="auto"/>
        </w:rPr>
      </w:pPr>
    </w:p>
    <w:p>
      <w:pPr>
        <w:ind w:left="900" w:right="200" w:hanging="446"/>
        <w:spacing w:after="0" w:line="266"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hedge funds and collateralized loan obligation, or CLO, funds have withdrawn, and may again withdraw, capital from the middle-market, resulting in opportunities for alternative funding sources.</w:t>
      </w:r>
    </w:p>
    <w:p>
      <w:pPr>
        <w:spacing w:after="0" w:line="81" w:lineRule="exact"/>
        <w:rPr>
          <w:rFonts w:ascii="Arial" w:cs="Arial" w:eastAsia="Arial" w:hAnsi="Arial"/>
          <w:sz w:val="18"/>
          <w:szCs w:val="18"/>
          <w:color w:val="auto"/>
        </w:rPr>
      </w:pPr>
    </w:p>
    <w:p>
      <w:pPr>
        <w:jc w:val="both"/>
        <w:ind w:left="900" w:right="20" w:hanging="446"/>
        <w:spacing w:after="0" w:line="266"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credit market dislocation for middle-market companies improves the risk-reward on our investments. </w:t>
      </w:r>
      <w:r>
        <w:rPr>
          <w:rFonts w:ascii="Arial" w:cs="Arial" w:eastAsia="Arial" w:hAnsi="Arial"/>
          <w:sz w:val="18"/>
          <w:szCs w:val="18"/>
          <w:color w:val="auto"/>
        </w:rPr>
        <w:t>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market participants have reduced lending to middle-market and non-investment grade borrowers. As a result, we believe there is less competition in our market, more conservative capital structures, higher yields and stronger covenants.</w:t>
      </w:r>
    </w:p>
    <w:p>
      <w:pPr>
        <w:spacing w:after="0" w:line="81" w:lineRule="exact"/>
        <w:rPr>
          <w:rFonts w:ascii="Arial" w:cs="Arial" w:eastAsia="Arial" w:hAnsi="Arial"/>
          <w:sz w:val="18"/>
          <w:szCs w:val="18"/>
          <w:color w:val="auto"/>
        </w:rPr>
      </w:pPr>
    </w:p>
    <w:p>
      <w:pPr>
        <w:ind w:left="900" w:right="100" w:hanging="446"/>
        <w:spacing w:after="0" w:line="281"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7"/>
          <w:szCs w:val="17"/>
          <w:color w:val="auto"/>
        </w:rPr>
        <w:t>We expect that private equity firms will continue to be active investors in middle-market companies. These</w:t>
      </w:r>
      <w:r>
        <w:rPr>
          <w:rFonts w:ascii="Arial" w:cs="Arial" w:eastAsia="Arial" w:hAnsi="Arial"/>
          <w:sz w:val="17"/>
          <w:szCs w:val="17"/>
          <w:b w:val="1"/>
          <w:bCs w:val="1"/>
          <w:color w:val="auto"/>
        </w:rPr>
        <w:t xml:space="preserve"> </w:t>
      </w:r>
      <w:r>
        <w:rPr>
          <w:rFonts w:ascii="Arial" w:cs="Arial" w:eastAsia="Arial" w:hAnsi="Arial"/>
          <w:sz w:val="17"/>
          <w:szCs w:val="17"/>
          <w:color w:val="auto"/>
        </w:rPr>
        <w:t>private equity funds generally seek to leverage their investments by combining their capital with senior secured debt and/or mezzanine debt provided by other sources, and we believe that our capital is well-positioned to partner with such equity investors.</w:t>
      </w:r>
    </w:p>
    <w:p>
      <w:pPr>
        <w:spacing w:after="0" w:line="70" w:lineRule="exact"/>
        <w:rPr>
          <w:rFonts w:ascii="Arial" w:cs="Arial" w:eastAsia="Arial" w:hAnsi="Arial"/>
          <w:sz w:val="17"/>
          <w:szCs w:val="17"/>
          <w:color w:val="auto"/>
        </w:rPr>
      </w:pPr>
    </w:p>
    <w:p>
      <w:pPr>
        <w:ind w:left="900" w:right="100" w:hanging="446"/>
        <w:spacing w:after="0" w:line="256"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maturing loans that seek refinancing. </w:t>
      </w:r>
      <w:r>
        <w:rPr>
          <w:rFonts w:ascii="Arial" w:cs="Arial" w:eastAsia="Arial" w:hAnsi="Arial"/>
          <w:sz w:val="18"/>
          <w:szCs w:val="18"/>
          <w:color w:val="auto"/>
        </w:rPr>
        <w:t>A high volume of financings</w:t>
      </w:r>
      <w:r>
        <w:rPr>
          <w:rFonts w:ascii="Arial" w:cs="Arial" w:eastAsia="Arial" w:hAnsi="Arial"/>
          <w:sz w:val="18"/>
          <w:szCs w:val="18"/>
          <w:b w:val="1"/>
          <w:bCs w:val="1"/>
          <w:color w:val="auto"/>
        </w:rPr>
        <w:t xml:space="preserve"> </w:t>
      </w:r>
      <w:r>
        <w:rPr>
          <w:rFonts w:ascii="Arial" w:cs="Arial" w:eastAsia="Arial" w:hAnsi="Arial"/>
          <w:sz w:val="18"/>
          <w:szCs w:val="18"/>
          <w:color w:val="auto"/>
        </w:rPr>
        <w:t>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117" w:lineRule="exact"/>
        <w:rPr>
          <w:sz w:val="20"/>
          <w:szCs w:val="20"/>
          <w:color w:val="auto"/>
        </w:rPr>
      </w:pPr>
    </w:p>
    <w:p>
      <w:pPr>
        <w:ind w:left="460" w:right="100" w:firstLine="438"/>
        <w:spacing w:after="0" w:line="302"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46" w:lineRule="exact"/>
        <w:rPr>
          <w:sz w:val="20"/>
          <w:szCs w:val="20"/>
          <w:color w:val="auto"/>
        </w:rPr>
      </w:pPr>
    </w:p>
    <w:p>
      <w:pPr>
        <w:ind w:left="460" w:firstLine="438"/>
        <w:spacing w:after="0" w:line="257" w:lineRule="auto"/>
        <w:rPr>
          <w:sz w:val="20"/>
          <w:szCs w:val="20"/>
          <w:color w:val="auto"/>
        </w:rPr>
      </w:pPr>
      <w:r>
        <w:rPr>
          <w:rFonts w:ascii="Arial" w:cs="Arial" w:eastAsia="Arial" w:hAnsi="Arial"/>
          <w:sz w:val="18"/>
          <w:szCs w:val="18"/>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solutions to middle-market companies as a result of specialized due diligence, underwriting capabilities and more extensive ongoing monitoring required as lenders.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117" w:lineRule="exact"/>
        <w:rPr>
          <w:sz w:val="20"/>
          <w:szCs w:val="20"/>
          <w:color w:val="auto"/>
        </w:rPr>
      </w:pPr>
    </w:p>
    <w:p>
      <w:pPr>
        <w:ind w:left="460" w:right="120" w:firstLine="438"/>
        <w:spacing w:after="0" w:line="257"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80" w:lineRule="exact"/>
        <w:rPr>
          <w:sz w:val="20"/>
          <w:szCs w:val="20"/>
          <w:color w:val="auto"/>
        </w:rPr>
      </w:pPr>
    </w:p>
    <w:p>
      <w:pPr>
        <w:ind w:left="460" w:right="180" w:firstLine="438"/>
        <w:spacing w:after="0" w:line="302"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in the accompanying prospectus for more information.</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31" w:lineRule="exact"/>
        <w:rPr>
          <w:sz w:val="20"/>
          <w:szCs w:val="20"/>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 Ability to Source and Evaluate Transactions through our Investment Adviser’s Research Capability and Established Network</w:t>
      </w:r>
    </w:p>
    <w:p>
      <w:pPr>
        <w:spacing w:after="0" w:line="117" w:lineRule="exact"/>
        <w:rPr>
          <w:sz w:val="20"/>
          <w:szCs w:val="20"/>
          <w:color w:val="auto"/>
        </w:rPr>
      </w:pPr>
    </w:p>
    <w:p>
      <w:pPr>
        <w:ind w:left="460" w:right="80" w:firstLine="438"/>
        <w:spacing w:after="0" w:line="257"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117" w:lineRule="exact"/>
        <w:rPr>
          <w:sz w:val="20"/>
          <w:szCs w:val="20"/>
          <w:color w:val="auto"/>
        </w:rPr>
      </w:pPr>
    </w:p>
    <w:p>
      <w:pPr>
        <w:ind w:left="460" w:right="60" w:firstLine="438"/>
        <w:spacing w:after="0" w:line="264"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73" w:lineRule="exact"/>
        <w:rPr>
          <w:sz w:val="20"/>
          <w:szCs w:val="20"/>
          <w:color w:val="auto"/>
        </w:rPr>
      </w:pPr>
    </w:p>
    <w:p>
      <w:pPr>
        <w:ind w:left="460" w:right="400" w:firstLine="438"/>
        <w:spacing w:after="0" w:line="277"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62" w:lineRule="exact"/>
        <w:rPr>
          <w:sz w:val="20"/>
          <w:szCs w:val="20"/>
          <w:color w:val="auto"/>
        </w:rPr>
      </w:pPr>
    </w:p>
    <w:p>
      <w:pPr>
        <w:ind w:left="460" w:right="60" w:firstLine="438"/>
        <w:spacing w:after="0" w:line="277" w:lineRule="auto"/>
        <w:rPr>
          <w:sz w:val="20"/>
          <w:szCs w:val="20"/>
          <w:color w:val="auto"/>
        </w:rPr>
      </w:pPr>
      <w:r>
        <w:rPr>
          <w:rFonts w:ascii="Arial" w:cs="Arial" w:eastAsia="Arial" w:hAnsi="Arial"/>
          <w:sz w:val="18"/>
          <w:szCs w:val="18"/>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7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in the accompanying prospectus for more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As of December 31, 2016 and September 30, 2016, we maintained a $350 million Credit Facility, which matures in August 2020, with the Lenders. During the Credit Facility’s revolving period, which extends to August 2018, it bears interest at LIBOR plus 200 basis points, and after the revolving period, the rate sets to LIBOR plus 425 basis points for the remaining two years. The Credit Facility is secured by all of the assets held by Funding I, under which we had $299.3 million and $232.9 million outstanding as of December 31, 2016 and September 30, 2016, respectively. The Credit Facility had an interest rate of 2.74% and 2.57%, as of December 31, 2016 and September 30, 2016, respectively, excluding the undrawn commitment fees of 0.375%. The annualized weighted average cost of debt for the three months ended December 31, 2016 and 2015, inclusive of the fee on the undrawn commitment on the Credit Facility but excluding amendment costs, was 2.91% and 5.95%, respectively. As of December 31, 2016 and September 30, 2016, we had $50.7 million and $117.1 million of unused borrowing capacity under our Credit Facility, respectively, subject to the regulatory restrictions. We believe that our capital resources provide us with the flexibility to take advantage of market opportunities when they arise. Our use of leverage, as calculated under the asset coverage ratio of the 1940 Act, may generally range between 70% and 90% of our net assets, or 40% to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in this prospectus supplement and in the accompanying prospectus for more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Our investment activities are managed by PennantPark Investment Advisers. Our board of directors, a majority of whom are independent of us, provides overall supervision of our activities, and the Investment Adviser supervises our day-to-day activities.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188"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in the accompanying prospectus for more information.</w:t>
      </w:r>
    </w:p>
    <w:p>
      <w:pPr>
        <w:spacing w:after="0" w:line="188"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in the accompanying prospectus for more information. We have elected to be treated, and intend to qualify annually to maintain our election to be treated, as a RIC under Subchapter M of the Code. See “Material U.S. Federal Income Tax Considerations” in the accompanying prospectus for more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We may use the net proceeds from selling securities pursuant to this prospectus supplement to reduce outstanding debt obligations, to invest in new or existing portfolio companies, to capitalize a subsidiary or for other general corporate or strategic purposes. See “Use of Proceeds” in this prospectus supplement for information regarding our outstanding borrowings as of December 31, 2016, the corresponding interest rate charged on such borrowings as of that date and the length of time that it may take us to invest any proceeds in new or existing portfolio companies.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intend to continue making monthly distributions to our stockholders. Our monthly distributions, if any, are ratified by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“Distributions” in the accompanying prospectus and “Price Range of Common Stock” in this prospectus supplement for more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 distribution. Registered stockholders must notify our transfer agent in writing if they wish to ‘opt-out’ of the dividend reinvestment plan. See “Dividend Reinvestment Plan” in the accompanying prospectus for more information.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Information contained on our website is not incorporated by reference into this prospectus supplement or the accompanying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prospectus, and you should not consider information contained on our website to be part of this prospectus supplement or accompanying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material that we file with the SEC on the EDGAR Database.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jc w:val="both"/>
        <w:ind w:right="60" w:firstLine="456"/>
        <w:spacing w:after="0" w:line="276"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amounts shown below. Except where the context suggests otherwise, whenever this prospectus supplement and the accompanying prospectus contains a reference to fees or expenses paid by “you” or “us” or that “we” will pay, stockholders will indirectly bear such fees or expenses as investors in us.</w:t>
      </w:r>
    </w:p>
    <w:p>
      <w:pPr>
        <w:spacing w:after="0" w:line="21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Sales load</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0.69%</w:t>
            </w: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Total stockholder expenses</w:t>
            </w: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0" w:type="dxa"/>
            <w:vAlign w:val="bottom"/>
            <w:vMerge w:val="continue"/>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0.69%</w:t>
            </w:r>
          </w:p>
        </w:tc>
        <w:tc>
          <w:tcPr>
            <w:tcW w:w="0" w:type="dxa"/>
            <w:vAlign w:val="bottom"/>
          </w:tcPr>
          <w:p>
            <w:pPr>
              <w:spacing w:after="0"/>
              <w:rPr>
                <w:sz w:val="1"/>
                <w:szCs w:val="1"/>
                <w:color w:val="auto"/>
              </w:rPr>
            </w:pPr>
          </w:p>
        </w:tc>
      </w:tr>
      <w:tr>
        <w:trPr>
          <w:trHeight w:val="198"/>
        </w:trPr>
        <w:tc>
          <w:tcPr>
            <w:tcW w:w="70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Estimated annual expenses (as a percentage of average net assets attributable to</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5"/>
                <w:szCs w:val="15"/>
                <w:color w:val="auto"/>
              </w:rPr>
              <w:t>(3)</w:t>
            </w:r>
          </w:p>
        </w:tc>
        <w:tc>
          <w:tcPr>
            <w:tcW w:w="3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Management fees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1.62%</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1.47%</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1.80%</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0.94%</w:t>
            </w:r>
            <w:r>
              <w:rPr>
                <w:rFonts w:ascii="Arial" w:cs="Arial" w:eastAsia="Arial" w:hAnsi="Arial"/>
                <w:sz w:val="15"/>
                <w:szCs w:val="15"/>
                <w:color w:val="auto"/>
                <w:w w:val="97"/>
              </w:rPr>
              <w:t>(7)</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00" w:type="dxa"/>
            <w:vAlign w:val="bottom"/>
            <w:vMerge w:val="continue"/>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5.83%</w:t>
            </w:r>
            <w:r>
              <w:rPr>
                <w:rFonts w:ascii="Arial" w:cs="Arial" w:eastAsia="Arial" w:hAnsi="Arial"/>
                <w:sz w:val="15"/>
                <w:szCs w:val="15"/>
                <w:color w:val="auto"/>
                <w:w w:val="97"/>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40" w:hanging="332"/>
        <w:spacing w:after="0" w:line="230"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Investment Adviser has agreed to pay all of the underwriting discounts and commissions (sales load), which is not reflected in the above table. We are not obligated to repay the sales load paid by our Investment Adviser.</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 reflects the estimated offering costs of $470,000 and is based on the offering of 5,000,000 shares in this offering at the offering price of $13.62 per share.</w:t>
      </w:r>
    </w:p>
    <w:p>
      <w:pPr>
        <w:ind w:left="340" w:right="2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as of December 31, 2016, plus net proceeds anticipated from this offering but excluding the underwriters’ option to purchase additional shares.</w:t>
      </w:r>
    </w:p>
    <w:p>
      <w:pPr>
        <w:ind w:left="340" w:right="58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See “Certain Relationships and Transactions—Investment Management Agreement” in the accompanying prospectus for more information.</w:t>
      </w:r>
    </w:p>
    <w:p>
      <w:pPr>
        <w:ind w:left="340" w:right="2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portion of incentive fees paid with respect to net investment income and capital gain, if any, is based on actual amounts incurred during the three months ended December 31, 2016,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years, if any, may be substantially different than the fee earned during the three months ended December 31, 2016. See “Certain Relationships and Transactions—Investment Management Agreement” in the accompanying prospectus for more information.</w:t>
      </w:r>
    </w:p>
    <w:p>
      <w:pPr>
        <w:spacing w:after="0" w:line="2" w:lineRule="exact"/>
        <w:rPr>
          <w:rFonts w:ascii="Arial" w:cs="Arial" w:eastAsia="Arial" w:hAnsi="Arial"/>
          <w:sz w:val="14"/>
          <w:szCs w:val="14"/>
          <w:color w:val="auto"/>
        </w:rPr>
      </w:pPr>
    </w:p>
    <w:p>
      <w:pPr>
        <w:ind w:left="340" w:right="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December 31, 2016, we had $50.7 million unused borrowing capacity, subject to maintenance of the applicable total assets to debt ratio, under the 1940 Act, and $299.3 million in borrowings outstanding under our $350 million Credit Facility. We may use the net proceeds of this offering to repay outstanding obligations under our Credit Facility. After completing this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in the accompanying prospectus for more information.</w:t>
      </w:r>
    </w:p>
    <w:p>
      <w:pPr>
        <w:spacing w:after="0" w:line="1" w:lineRule="exact"/>
        <w:rPr>
          <w:rFonts w:ascii="Arial" w:cs="Arial" w:eastAsia="Arial" w:hAnsi="Arial"/>
          <w:sz w:val="14"/>
          <w:szCs w:val="14"/>
          <w:color w:val="auto"/>
        </w:rPr>
      </w:pPr>
    </w:p>
    <w:p>
      <w:pPr>
        <w:ind w:left="340" w:right="8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the expenses of the Investment Adviser reimbursable under our Investment Management Agreement and of the Administrator reimbursable under our Administration Agreement. Such expenses are based on actual other expenses for the three months ended December 31, 2016 annualized for a full year. See the Consolidated Statement of Operations in our Consolidated Financial Statements in this prospectus supplement and in the accompanying prospectus for more information.</w:t>
      </w:r>
    </w:p>
    <w:p>
      <w:pPr>
        <w:spacing w:after="0" w:line="1" w:lineRule="exact"/>
        <w:rPr>
          <w:rFonts w:ascii="Arial" w:cs="Arial" w:eastAsia="Arial" w:hAnsi="Arial"/>
          <w:sz w:val="14"/>
          <w:szCs w:val="14"/>
          <w:color w:val="auto"/>
        </w:rPr>
      </w:pPr>
    </w:p>
    <w:p>
      <w:pPr>
        <w:ind w:left="340" w:hanging="332"/>
        <w:spacing w:after="0" w:line="229"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“Total estimated annual expenses” as a percentage of average net assets attributable to common shares, to the extent we borrow money to make investments, will be higher than the total annual expenses percentage for a company that is not leveraged. We may borrow money to leverage our net assets and increase our total assets. The SEC requires that the “total estimated annual expenses” percentage be calculated as a percentage of net assets (defined as total assets less liabilities) rather than total assets, which include assets that have been funded with borrowed money.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following example illustrates the projected dollar amount of total cumulative expenses that you would pay on a $1,000 hypothetical investment in common shares, assuming (1) no sales load (underwriting discounts and commissions) (see note 1 above) and included offering expenses totaling 0.69%,</w:t>
      </w:r>
    </w:p>
    <w:p>
      <w:pPr>
        <w:ind w:right="140" w:firstLine="8"/>
        <w:spacing w:after="0" w:line="26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net estimated annual expenses of 4.36% of average net assets attributable to common shares as set forth in the table above (other than performance-based incentive fees) and (3) a 5% annual return:</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You would pay the following expenses on a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1,000 common stock investment</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1 Year</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220" w:type="dxa"/>
            <w:vAlign w:val="bottom"/>
          </w:tcPr>
          <w:p>
            <w:pPr>
              <w:spacing w:after="0"/>
              <w:rPr>
                <w:sz w:val="16"/>
                <w:szCs w:val="16"/>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10 Years</w:t>
            </w:r>
          </w:p>
        </w:tc>
      </w:tr>
      <w:tr>
        <w:trPr>
          <w:trHeight w:val="182"/>
        </w:trPr>
        <w:tc>
          <w:tcPr>
            <w:tcW w:w="47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7"/>
              </w:rPr>
              <w:t>Assuming a 5% annual return (assumes no return from net realized</w:t>
            </w:r>
          </w:p>
        </w:tc>
        <w:tc>
          <w:tcPr>
            <w:tcW w:w="256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rPr>
              <w:t>capital gains or net</w:t>
            </w:r>
          </w:p>
        </w:tc>
        <w:tc>
          <w:tcPr>
            <w:tcW w:w="1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capital appreciation)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227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r>
      <w:tr>
        <w:trPr>
          <w:trHeight w:val="202"/>
        </w:trPr>
        <w:tc>
          <w:tcPr>
            <w:tcW w:w="7260" w:type="dxa"/>
            <w:vAlign w:val="bottom"/>
            <w:gridSpan w:val="2"/>
          </w:tcPr>
          <w:p>
            <w:pPr>
              <w:spacing w:after="0" w:line="201" w:lineRule="exact"/>
              <w:rPr>
                <w:sz w:val="20"/>
                <w:szCs w:val="20"/>
                <w:color w:val="auto"/>
              </w:rPr>
            </w:pPr>
            <w:r>
              <w:rPr>
                <w:rFonts w:ascii="Arial" w:cs="Arial" w:eastAsia="Arial" w:hAnsi="Arial"/>
                <w:sz w:val="18"/>
                <w:szCs w:val="18"/>
                <w:color w:val="auto"/>
                <w:w w:val="95"/>
              </w:rPr>
              <w:t>Assuming a 5% annual return (assumes return from only realized capital gains and thus subject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to the capital gains incentive fee)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166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271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r>
    </w:tbl>
    <w:p>
      <w:pPr>
        <w:spacing w:after="0" w:line="20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Reinvestment of distributions under our dividend reinvestment plan may occur at a price per share that differs from NAV. See “Distributions” and “Dividend Reinvestment Plan” in the accompanying prospectus for more information.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This prospectus supplement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involve risks and uncertainties, including statements as to:</w:t>
      </w:r>
    </w:p>
    <w:p>
      <w:pPr>
        <w:spacing w:after="0" w:line="77" w:lineRule="exact"/>
        <w:rPr>
          <w:sz w:val="20"/>
          <w:szCs w:val="20"/>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European sovereign debt, Brexit and other world economic and political issues.</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set forth in the accompanying prospectus under “Risk Factors” and elsewhere in this prospectus supplement and the accompanying prospectus.</w:t>
      </w:r>
    </w:p>
    <w:p>
      <w:pPr>
        <w:spacing w:after="0" w:line="18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the SEC, including reports on Form 10-K/Q and current reports on Form 8-K.</w:t>
      </w:r>
    </w:p>
    <w:p>
      <w:pPr>
        <w:spacing w:after="0" w:line="18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You should understand that under Section 27A(b)(2)(B) of the Securities Act of 1933, as amended, or the Securities Act, and Section 21E(b)(2)(B) of the Securities Exchange Act of 1934, as amended, or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estimate that net proceeds we will receive from the sale of 5,000,000 shares of our common stock in this offering will be approximately</w:t>
      </w:r>
    </w:p>
    <w:p>
      <w:pPr>
        <w:spacing w:after="0" w:line="35" w:lineRule="exact"/>
        <w:rPr>
          <w:sz w:val="20"/>
          <w:szCs w:val="20"/>
          <w:color w:val="auto"/>
        </w:rPr>
      </w:pPr>
    </w:p>
    <w:p>
      <w:pPr>
        <w:jc w:val="both"/>
        <w:ind w:right="100"/>
        <w:spacing w:after="0" w:line="290" w:lineRule="auto"/>
        <w:rPr>
          <w:sz w:val="20"/>
          <w:szCs w:val="20"/>
          <w:color w:val="auto"/>
        </w:rPr>
      </w:pPr>
      <w:r>
        <w:rPr>
          <w:rFonts w:ascii="Arial" w:cs="Arial" w:eastAsia="Arial" w:hAnsi="Arial"/>
          <w:sz w:val="16"/>
          <w:szCs w:val="16"/>
          <w:color w:val="auto"/>
        </w:rPr>
        <w:t>$70.0 million (or approximately $80.5 million if the underwriters fully exercise their option to purchase additional shares), in each case based on proceeds to us of approximately $13.99 per share, representing a public offering price of approximately $13.62 per share, including the additional supplemental payment of approximately $0.46 per share that the Investment Adviser has agreed to pay to the underwriters which reflects the difference between the public offering price and the proceeds per share received by us in this offering, and also including estimated offering expenses of $470,000 payable by us, but excluding the underwriting commissions of approximately $2.0 million (or approximately $2.3 million if the underwriters fully exercise their option to purchase additional shares). The Investment Adviser has agreed to pay all of the underwriting discounts and commissions in connection with this offering.</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expect to use the net proceeds from selling securities pursuant to this prospectus supplement to reduce outstanding obligations under our Credit Facility, to invest in new or existing portfolio companies, to capitalize a subsidiary or for other general corporate or strategic purposes. Affiliates of certain of the underwriters serve as lenders under our Credit Facility and thereby may receive proceeds from this offering that are used to reduce our outstanding obligations under our Credit Facility.</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As of December 31, 2016, we had $50.7 million of unused borrowing capacity, subject to maintenance of the applicable total assets to debt ratio, as set forth in the 1940 Act, and $299.3 million in borrowings outstanding under our $350 million Credit Facility. Borrowings under our Credit Facility bear interest at an annual rate equal to LIBOR plus 200 basis points per annum during the revolving period, and the rate resets to LIBOR plus 425 points per annum for the remaining two years. At December 31, 2016, the interest rate on the Credit Facility was 2.74%, excluding the undrawn commitment fee of 0.375%. The Credit Facility is a revolving facility maturing in August 2020 and is secured by all of the assets of Funding I. Amounts repaid under our Credit Facility remain available for future borrowings during the revolving period. See “Management’s Discussion and Analysis of Financial Condition and Results of Operations” in this prospectus supplement and the accompanying prospectus for more information.</w:t>
      </w:r>
    </w:p>
    <w:p>
      <w:pPr>
        <w:spacing w:after="0" w:line="17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in the accompanying prospectus for more information.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following table sets forth our cash and capitalization on December 31, 2016 (1) on an actual basis and (2) on an as-adjusted basis to reflect the effects of the sale of 5,000,000 shares of common stock in this offering based on proceeds to us of approximately $13.99 per share, representing a public offering price of approximately $13.62 per share, including the additional supplemental payment of approximately $0.46 per share that the Investment Adviser has agreed to pay to the underwriters which reflects the difference between the public offering price and the proceeds per share received by us in this offering, and also including estimated offering expenses of $470,000 payable by us, but excluding the underwriting discounts and commissions of approximately $2.0 million. The as-adjusted information is illustrative only; our capitalization following the completion of this offering is subject to further adjustments. You should read this table together with “Use of Proceeds” set forth in this prospectus supplement and in the accompanying prospectus for more information. You should also read this table with our Consolidated Financial Statements and related notes thereto, in conjunction with “Management’s Discussion and Analysis of Financial Condition and Results of Operations” in this prospectus supplement and in the accompanying prospectus for more information.</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As of December 31, 2016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0"/>
                <w:szCs w:val="10"/>
                <w:color w:val="auto"/>
              </w:rPr>
            </w:pPr>
          </w:p>
        </w:tc>
        <w:tc>
          <w:tcPr>
            <w:tcW w:w="10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As-adjusted for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 xml:space="preserve">the offering </w:t>
            </w:r>
            <w:r>
              <w:rPr>
                <w:rFonts w:ascii="Arial" w:cs="Arial" w:eastAsia="Arial" w:hAnsi="Arial"/>
                <w:sz w:val="12"/>
                <w:szCs w:val="12"/>
                <w:b w:val="1"/>
                <w:bCs w:val="1"/>
                <w:color w:val="auto"/>
                <w:w w:val="98"/>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24,203,565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94,156,565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696,607,247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766,560,247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the Credit Facility (cost—$299,309,500)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299,859,712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299,859,712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26,730,074 and 31,730,074 shares, as-adjusted, are issued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outstanding, respectively. Par value is $0.001 per share and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100,000,000 shares are authorized.</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Paid in capital in excess of par value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371,194,366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441,142,366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3,763,272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Accumulated net realized loss on investments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(827,387)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(827,387)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3,530,897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3,530,897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unrealized appreciation on Credit Facility</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(550,212)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(550,212)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377,137,666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447,090,666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Total capitalization</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676,997,378</w:t>
            </w:r>
          </w:p>
        </w:tc>
        <w:tc>
          <w:tcPr>
            <w:tcW w:w="2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746,950,378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Does not include the underwriters’ option to purchase additional shares in connection with this offering and any shares issued pursuant to our dividend reinvestment plan. Assumes the net proceeds from this offering are invested in cash and cash equivalents.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Our common stock is traded on the NASDAQ Global Select Market under the symbol “PFLT.” The following table lists the high and low closing sale price for our common stock, the closing sale prices as a premium or (discount) to our NAV per share and distributions per quarter per share since October 1, 2014. On February 13, 2017, the last reported closing sale price of our common stock was $14.01 per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Closing Sales Price</w:t>
            </w:r>
          </w:p>
        </w:tc>
        <w:tc>
          <w:tcPr>
            <w:tcW w:w="18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Premium / (Discount)</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Premium / (Discount)</w:t>
            </w:r>
          </w:p>
        </w:tc>
        <w:tc>
          <w:tcPr>
            <w:tcW w:w="160" w:type="dxa"/>
            <w:vAlign w:val="bottom"/>
          </w:tcPr>
          <w:p>
            <w:pPr>
              <w:spacing w:after="0"/>
              <w:rPr>
                <w:sz w:val="14"/>
                <w:szCs w:val="14"/>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Distributions</w:t>
            </w:r>
          </w:p>
        </w:tc>
        <w:tc>
          <w:tcPr>
            <w:tcW w:w="0" w:type="dxa"/>
            <w:vAlign w:val="bottom"/>
          </w:tcPr>
          <w:p>
            <w:pPr>
              <w:spacing w:after="0"/>
              <w:rPr>
                <w:sz w:val="1"/>
                <w:szCs w:val="1"/>
                <w:color w:val="auto"/>
              </w:rPr>
            </w:pPr>
          </w:p>
        </w:tc>
      </w:tr>
      <w:tr>
        <w:trPr>
          <w:trHeight w:val="158"/>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5"/>
            <w:vMerge w:val="continue"/>
          </w:tcPr>
          <w:p>
            <w:pPr>
              <w:spacing w:after="0"/>
              <w:rPr>
                <w:sz w:val="13"/>
                <w:szCs w:val="13"/>
                <w:color w:val="auto"/>
              </w:rPr>
            </w:pPr>
          </w:p>
        </w:tc>
        <w:tc>
          <w:tcPr>
            <w:tcW w:w="18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0"/>
              </w:rPr>
              <w:t>of High Sales</w:t>
            </w:r>
          </w:p>
        </w:tc>
        <w:tc>
          <w:tcPr>
            <w:tcW w:w="16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1"/>
              </w:rPr>
              <w:t>of Low Sales</w:t>
            </w:r>
          </w:p>
        </w:tc>
        <w:tc>
          <w:tcPr>
            <w:tcW w:w="1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80" w:type="dxa"/>
            <w:vAlign w:val="bottom"/>
            <w:gridSpan w:val="2"/>
            <w:vMerge w:val="continue"/>
          </w:tcPr>
          <w:p>
            <w:pPr>
              <w:spacing w:after="0"/>
              <w:rPr>
                <w:sz w:val="12"/>
                <w:szCs w:val="12"/>
                <w:color w:val="auto"/>
              </w:rPr>
            </w:pPr>
          </w:p>
        </w:tc>
        <w:tc>
          <w:tcPr>
            <w:tcW w:w="6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5"/>
              </w:rPr>
              <w:t xml:space="preserve">NAV </w:t>
            </w:r>
            <w:r>
              <w:rPr>
                <w:rFonts w:ascii="Arial" w:cs="Arial" w:eastAsia="Arial" w:hAnsi="Arial"/>
                <w:sz w:val="12"/>
                <w:szCs w:val="12"/>
                <w:b w:val="1"/>
                <w:bCs w:val="1"/>
                <w:color w:val="auto"/>
                <w:w w:val="95"/>
              </w:rPr>
              <w:t>(1)</w:t>
            </w:r>
          </w:p>
        </w:tc>
        <w:tc>
          <w:tcPr>
            <w:tcW w:w="180" w:type="dxa"/>
            <w:vAlign w:val="bottom"/>
          </w:tcPr>
          <w:p>
            <w:pPr>
              <w:spacing w:after="0"/>
              <w:rPr>
                <w:sz w:val="12"/>
                <w:szCs w:val="12"/>
                <w:color w:val="auto"/>
              </w:rPr>
            </w:pPr>
          </w:p>
        </w:tc>
        <w:tc>
          <w:tcPr>
            <w:tcW w:w="68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High</w:t>
            </w: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Low</w:t>
            </w:r>
          </w:p>
        </w:tc>
        <w:tc>
          <w:tcPr>
            <w:tcW w:w="380" w:type="dxa"/>
            <w:vAlign w:val="bottom"/>
          </w:tcPr>
          <w:p>
            <w:pPr>
              <w:spacing w:after="0"/>
              <w:rPr>
                <w:sz w:val="12"/>
                <w:szCs w:val="12"/>
                <w:color w:val="auto"/>
              </w:rPr>
            </w:pPr>
          </w:p>
        </w:tc>
        <w:tc>
          <w:tcPr>
            <w:tcW w:w="180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6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60" w:type="dxa"/>
            <w:vAlign w:val="bottom"/>
          </w:tcPr>
          <w:p>
            <w:pPr>
              <w:spacing w:after="0"/>
              <w:rPr>
                <w:sz w:val="12"/>
                <w:szCs w:val="12"/>
                <w:color w:val="auto"/>
              </w:rPr>
            </w:pPr>
          </w:p>
        </w:tc>
        <w:tc>
          <w:tcPr>
            <w:tcW w:w="10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8"/>
              </w:rPr>
              <w:t>Fiscal</w:t>
            </w:r>
          </w:p>
        </w:tc>
        <w:tc>
          <w:tcPr>
            <w:tcW w:w="376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Year Ending September 30, 2017</w:t>
            </w: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Second quarter (through February 13, 2017)</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 N/A</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$14.17</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$13.99</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   0.1900</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14.11</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14.17</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12.44</w:t>
            </w:r>
          </w:p>
        </w:tc>
        <w:tc>
          <w:tcPr>
            <w:tcW w:w="1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14.06</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13.26</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12.54</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13.75</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12.51</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11.58</w:t>
            </w:r>
          </w:p>
        </w:tc>
        <w:tc>
          <w:tcPr>
            <w:tcW w:w="180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13.54</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11.70</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10.09</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13.73</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12.42</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10.79</w:t>
            </w:r>
          </w:p>
        </w:tc>
        <w:tc>
          <w:tcPr>
            <w:tcW w:w="180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13.95</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14.30</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11.35</w:t>
            </w:r>
          </w:p>
        </w:tc>
        <w:tc>
          <w:tcPr>
            <w:tcW w:w="180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14.33</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14.48</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13.88</w:t>
            </w:r>
          </w:p>
        </w:tc>
        <w:tc>
          <w:tcPr>
            <w:tcW w:w="1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14.30</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14.16</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13.25</w:t>
            </w:r>
          </w:p>
        </w:tc>
        <w:tc>
          <w:tcPr>
            <w:tcW w:w="180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0.2750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14.16</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14.23</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12.98</w:t>
            </w:r>
          </w:p>
        </w:tc>
        <w:tc>
          <w:tcPr>
            <w:tcW w:w="1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00" w:hanging="452"/>
        <w:spacing w:after="0" w:line="256"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the accompanying prospectus for more information.</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less NAV per share, divided by the quarter-end NAV per share.</w:t>
      </w:r>
    </w:p>
    <w:p>
      <w:pPr>
        <w:spacing w:after="0" w:line="9" w:lineRule="exact"/>
        <w:rPr>
          <w:rFonts w:ascii="Arial" w:cs="Arial" w:eastAsia="Arial" w:hAnsi="Arial"/>
          <w:sz w:val="18"/>
          <w:szCs w:val="18"/>
          <w:color w:val="auto"/>
        </w:rPr>
      </w:pPr>
    </w:p>
    <w:p>
      <w:pPr>
        <w:ind w:left="460" w:right="6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 distribution of $0.0950 per share payable on March 1, 2017 to stockholders of record on February 17, 2017. Investors in this offering will be entitled to this distribution.</w:t>
      </w:r>
    </w:p>
    <w:p>
      <w:pPr>
        <w:spacing w:after="0" w:line="18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Shares of BDCs may trade at a market price both above and below the NAV that is attributable to those shares. Our shares have traded above and below our NAV. Our shares closed on the NASDAQ Global Select Market at $14.11 and $13.23 on December 31, 2016 and September 30, 2016, respectively. Our NAV per share was $14.11 and $14.06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We have derived the data below from our audited and unaudited financial data. The Consolidated Statement of Operations data, Per share data, Consolidated Statement of Assets and Liabilities data and Total returns data presented are derived from our audited and unaudited Consolidated Financial Statements. These selected financial data should be read in conjunction with our Consolidated Financial Statements and related notes thereto and “Management’s Discussion and Analysis of Financial Condition and Results of Operations” in both this prospectus supplement and the accompanying prospectus.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4"/>
              </w:rPr>
              <w:t>(audited)</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For the Three Months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Ended December 31,</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For the Years Ended September 30,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2016</w:t>
            </w:r>
          </w:p>
        </w:tc>
        <w:tc>
          <w:tcPr>
            <w:tcW w:w="8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4020" w:type="dxa"/>
            <w:vAlign w:val="bottom"/>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$ 12,631</w:t>
            </w:r>
          </w:p>
        </w:tc>
        <w:tc>
          <w:tcPr>
            <w:tcW w:w="800" w:type="dxa"/>
            <w:vAlign w:val="bottom"/>
          </w:tcPr>
          <w:p>
            <w:pPr>
              <w:jc w:val="right"/>
              <w:spacing w:after="0"/>
              <w:rPr>
                <w:sz w:val="20"/>
                <w:szCs w:val="20"/>
                <w:color w:val="auto"/>
              </w:rPr>
            </w:pPr>
            <w:r>
              <w:rPr>
                <w:rFonts w:ascii="Arial" w:cs="Arial" w:eastAsia="Arial" w:hAnsi="Arial"/>
                <w:sz w:val="18"/>
                <w:szCs w:val="18"/>
                <w:color w:val="auto"/>
              </w:rPr>
              <w:t>$  8,756</w:t>
            </w:r>
          </w:p>
        </w:tc>
        <w:tc>
          <w:tcPr>
            <w:tcW w:w="3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$ 46,301</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$ 30,355</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$ 30,357</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$ 18,867</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$ 12,099</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5,809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18,965</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12,695</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13,721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8,344</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6,822</w:t>
            </w:r>
          </w:p>
        </w:tc>
        <w:tc>
          <w:tcPr>
            <w:tcW w:w="800" w:type="dxa"/>
            <w:vAlign w:val="bottom"/>
          </w:tcPr>
          <w:p>
            <w:pPr>
              <w:jc w:val="right"/>
              <w:spacing w:after="0"/>
              <w:rPr>
                <w:sz w:val="20"/>
                <w:szCs w:val="20"/>
                <w:color w:val="auto"/>
              </w:rPr>
            </w:pPr>
            <w:r>
              <w:rPr>
                <w:rFonts w:ascii="Arial" w:cs="Arial" w:eastAsia="Arial" w:hAnsi="Arial"/>
                <w:sz w:val="18"/>
                <w:szCs w:val="18"/>
                <w:color w:val="auto"/>
              </w:rPr>
              <w:t>5,086</w:t>
            </w:r>
          </w:p>
        </w:tc>
        <w:tc>
          <w:tcPr>
            <w:tcW w:w="3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27,336</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17,660</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16,636</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10,523</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2,027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(3,339)</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6,153</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(5,156)</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3,878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1,461</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5,651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w w:val="97"/>
              </w:rPr>
              <w:t>Net increase in net assets resulting from operations</w:t>
            </w: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8,849</w:t>
            </w:r>
          </w:p>
        </w:tc>
        <w:tc>
          <w:tcPr>
            <w:tcW w:w="800" w:type="dxa"/>
            <w:vAlign w:val="bottom"/>
          </w:tcPr>
          <w:p>
            <w:pPr>
              <w:jc w:val="right"/>
              <w:spacing w:after="0"/>
              <w:rPr>
                <w:sz w:val="20"/>
                <w:szCs w:val="20"/>
                <w:color w:val="auto"/>
              </w:rPr>
            </w:pPr>
            <w:r>
              <w:rPr>
                <w:rFonts w:ascii="Arial" w:cs="Arial" w:eastAsia="Arial" w:hAnsi="Arial"/>
                <w:sz w:val="18"/>
                <w:szCs w:val="18"/>
                <w:color w:val="auto"/>
              </w:rPr>
              <w:t>1,747</w:t>
            </w:r>
          </w:p>
        </w:tc>
        <w:tc>
          <w:tcPr>
            <w:tcW w:w="3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33,489</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12,504</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20,514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11,985</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11,961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asset value</w:t>
            </w: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14.11</w:t>
            </w:r>
          </w:p>
        </w:tc>
        <w:tc>
          <w:tcPr>
            <w:tcW w:w="800" w:type="dxa"/>
            <w:vAlign w:val="bottom"/>
          </w:tcPr>
          <w:p>
            <w:pPr>
              <w:jc w:val="right"/>
              <w:spacing w:after="0"/>
              <w:rPr>
                <w:sz w:val="20"/>
                <w:szCs w:val="20"/>
                <w:color w:val="auto"/>
              </w:rPr>
            </w:pPr>
            <w:r>
              <w:rPr>
                <w:rFonts w:ascii="Arial" w:cs="Arial" w:eastAsia="Arial" w:hAnsi="Arial"/>
                <w:sz w:val="18"/>
                <w:szCs w:val="18"/>
                <w:color w:val="auto"/>
              </w:rPr>
              <w:t>13.73</w:t>
            </w:r>
          </w:p>
        </w:tc>
        <w:tc>
          <w:tcPr>
            <w:tcW w:w="3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14.06</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13.95</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14.40</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14.10</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10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0.26</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0.19</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1.08</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 xml:space="preserve">Net realized and unrealized gain (loss) </w:t>
            </w:r>
            <w:r>
              <w:rPr>
                <w:rFonts w:ascii="Arial" w:cs="Arial" w:eastAsia="Arial" w:hAnsi="Arial"/>
                <w:sz w:val="15"/>
                <w:szCs w:val="15"/>
                <w:color w:val="auto"/>
              </w:rPr>
              <w:t>(1)</w:t>
            </w: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0.07</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(0.12)</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0.23</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(0.31)</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0.26</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0.15</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2"/>
              </w:rPr>
              <w:t xml:space="preserve">Net increase in net assets resulting from operations </w:t>
            </w:r>
            <w:r>
              <w:rPr>
                <w:rFonts w:ascii="Arial" w:cs="Arial" w:eastAsia="Arial" w:hAnsi="Arial"/>
                <w:sz w:val="15"/>
                <w:szCs w:val="15"/>
                <w:color w:val="auto"/>
                <w:w w:val="92"/>
              </w:rPr>
              <w:t>(1)</w:t>
            </w:r>
          </w:p>
        </w:tc>
        <w:tc>
          <w:tcPr>
            <w:tcW w:w="10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0.33</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0.07</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0.77</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 xml:space="preserve">Distributions declared </w:t>
            </w:r>
            <w:r>
              <w:rPr>
                <w:rFonts w:ascii="Arial" w:cs="Arial" w:eastAsia="Arial" w:hAnsi="Arial"/>
                <w:sz w:val="15"/>
                <w:szCs w:val="15"/>
                <w:color w:val="auto"/>
              </w:rPr>
              <w:t>(1),(2)</w:t>
            </w: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0.28</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0.29</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1.14</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1.16</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1.08</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1.05</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Consolidated Statements of Assets and Liabilities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Total assets</w:t>
            </w: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696,607</w:t>
            </w:r>
          </w:p>
        </w:tc>
        <w:tc>
          <w:tcPr>
            <w:tcW w:w="800" w:type="dxa"/>
            <w:vAlign w:val="bottom"/>
          </w:tcPr>
          <w:p>
            <w:pPr>
              <w:jc w:val="right"/>
              <w:spacing w:after="0"/>
              <w:rPr>
                <w:sz w:val="20"/>
                <w:szCs w:val="20"/>
                <w:color w:val="auto"/>
              </w:rPr>
            </w:pPr>
            <w:r>
              <w:rPr>
                <w:rFonts w:ascii="Arial" w:cs="Arial" w:eastAsia="Arial" w:hAnsi="Arial"/>
                <w:sz w:val="18"/>
                <w:szCs w:val="18"/>
                <w:color w:val="auto"/>
              </w:rPr>
              <w:t>477,856</w:t>
            </w:r>
          </w:p>
        </w:tc>
        <w:tc>
          <w:tcPr>
            <w:tcW w:w="3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631,420</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416,120</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372,874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328,802</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178,367</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portfolio</w:t>
            </w:r>
          </w:p>
        </w:tc>
        <w:tc>
          <w:tcPr>
            <w:tcW w:w="10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656,869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460,066</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598,888</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391,312</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348,428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317,804</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171,834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 xml:space="preserve">Credit Facility payable </w:t>
            </w:r>
            <w:r>
              <w:rPr>
                <w:rFonts w:ascii="Arial" w:cs="Arial" w:eastAsia="Arial" w:hAnsi="Arial"/>
                <w:sz w:val="15"/>
                <w:szCs w:val="15"/>
                <w:color w:val="auto"/>
              </w:rPr>
              <w:t>(3)</w:t>
            </w: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299,860</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95,698</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232,389</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29,600</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146,949</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99,600</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75,123</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10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377,138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367,019</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375,907</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372,890</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214,528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210,066</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95,744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5"/>
                <w:szCs w:val="15"/>
                <w:color w:val="auto"/>
              </w:rPr>
              <w:t>(4)</w:t>
            </w:r>
          </w:p>
        </w:tc>
        <w:tc>
          <w:tcPr>
            <w:tcW w:w="10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8.90%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21.77%</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17.17%</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 xml:space="preserve">Number of portfolio companies </w:t>
            </w:r>
            <w:r>
              <w:rPr>
                <w:rFonts w:ascii="Arial" w:cs="Arial" w:eastAsia="Arial" w:hAnsi="Arial"/>
                <w:sz w:val="15"/>
                <w:szCs w:val="15"/>
                <w:color w:val="auto"/>
              </w:rPr>
              <w:t>(5)</w:t>
            </w: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98</w:t>
            </w: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Yield on debt portfolio </w:t>
            </w:r>
            <w:r>
              <w:rPr>
                <w:rFonts w:ascii="Arial" w:cs="Arial" w:eastAsia="Arial" w:hAnsi="Arial"/>
                <w:sz w:val="15"/>
                <w:szCs w:val="15"/>
                <w:color w:val="auto"/>
              </w:rPr>
              <w:t>(5)</w:t>
            </w:r>
          </w:p>
        </w:tc>
        <w:tc>
          <w:tcPr>
            <w:tcW w:w="10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23"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tax status of our distributions is calculated in accordance with income tax regulations, which may differ from amounts determined under GAAP and is reported on Form 1099-DIV each calendar year.</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annualized for periods of less than a year. Based on change in market price per share during the periods and takes into account distributions, if any, reinvested in accordance with our dividend reinvestment plan.</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Unaudited.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6"/>
              </w:rPr>
              <w:t>Q1</w:t>
            </w:r>
          </w:p>
        </w:tc>
        <w:tc>
          <w:tcPr>
            <w:tcW w:w="80" w:type="dxa"/>
            <w:vAlign w:val="bottom"/>
            <w:tcBorders>
              <w:bottom w:val="single" w:sz="8" w:color="CCEEFF"/>
            </w:tcBorders>
          </w:tcPr>
          <w:p>
            <w:pPr>
              <w:spacing w:after="0"/>
              <w:rPr>
                <w:sz w:val="12"/>
                <w:szCs w:val="12"/>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9"/>
              </w:rPr>
              <w:t>$12,631</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investment income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6,822</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8,849</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14.11</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14.11</w:t>
            </w:r>
          </w:p>
        </w:tc>
      </w:tr>
      <w:tr>
        <w:trPr>
          <w:trHeight w:val="392"/>
        </w:trPr>
        <w:tc>
          <w:tcPr>
            <w:tcW w:w="6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gridSpan w:val="2"/>
          </w:tcPr>
          <w:p>
            <w:pPr>
              <w:spacing w:after="0"/>
              <w:rPr>
                <w:sz w:val="12"/>
                <w:szCs w:val="12"/>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15,396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10,803</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11,346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investment income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8,155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6,830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7,265</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5,086</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(4,829)</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(3,339)</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15,887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13,419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2,436</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1,747</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13.75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13.54</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13.73</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11.70</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CEEFF"/>
          </w:tcPr>
          <w:p>
            <w:pPr>
              <w:spacing w:after="0"/>
              <w:rPr>
                <w:sz w:val="18"/>
                <w:szCs w:val="18"/>
                <w:color w:val="auto"/>
              </w:rPr>
            </w:pPr>
          </w:p>
        </w:tc>
      </w:tr>
      <w:tr>
        <w:trPr>
          <w:trHeight w:val="365"/>
        </w:trPr>
        <w:tc>
          <w:tcPr>
            <w:tcW w:w="6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gridSpan w:val="2"/>
          </w:tcPr>
          <w:p>
            <w:pPr>
              <w:spacing w:after="0"/>
              <w:rPr>
                <w:sz w:val="12"/>
                <w:szCs w:val="12"/>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investment income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3,639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4,097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4,456</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5,468</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(2,424)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1,668</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(5,030)</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4,727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6,124</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0.41</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14.33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14.30</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14.16</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14.03</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w:t>
            </w:r>
          </w:p>
        </w:tc>
        <w:tc>
          <w:tcPr>
            <w:tcW w:w="80" w:type="dxa"/>
            <w:vAlign w:val="bottom"/>
            <w:shd w:val="clear" w:color="auto" w:fill="CCEEFF"/>
          </w:tcPr>
          <w:p>
            <w:pPr>
              <w:spacing w:after="0"/>
              <w:rPr>
                <w:sz w:val="18"/>
                <w:szCs w:val="18"/>
                <w:color w:val="auto"/>
              </w:rPr>
            </w:pPr>
          </w:p>
        </w:tc>
      </w:tr>
      <w:tr>
        <w:trPr>
          <w:trHeight w:val="365"/>
        </w:trPr>
        <w:tc>
          <w:tcPr>
            <w:tcW w:w="6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gridSpan w:val="2"/>
          </w:tcPr>
          <w:p>
            <w:pPr>
              <w:spacing w:after="0"/>
              <w:rPr>
                <w:sz w:val="12"/>
                <w:szCs w:val="12"/>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investment income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5,320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4,363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3,725</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3,228</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(3,043)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3,513</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2,829</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2,278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4,942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7,237</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6,057</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0.49</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14.52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14.46</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14.24</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13.82</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Based on weighted average shares outstanding for the respective periods.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0960"/>
          </w:cols>
          <w:pgMar w:left="240" w:top="459" w:right="6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2" w:lineRule="exact"/>
        <w:rPr>
          <w:sz w:val="20"/>
          <w:szCs w:val="20"/>
          <w:color w:val="auto"/>
        </w:rPr>
      </w:pPr>
    </w:p>
    <w:p>
      <w:pPr>
        <w:jc w:val="both"/>
        <w:ind w:right="40" w:firstLine="456"/>
        <w:spacing w:after="0" w:line="276" w:lineRule="auto"/>
        <w:rPr>
          <w:sz w:val="20"/>
          <w:szCs w:val="20"/>
          <w:color w:val="auto"/>
        </w:rPr>
      </w:pPr>
      <w:r>
        <w:rPr>
          <w:rFonts w:ascii="Arial" w:cs="Arial" w:eastAsia="Arial" w:hAnsi="Arial"/>
          <w:sz w:val="17"/>
          <w:szCs w:val="17"/>
          <w:color w:val="auto"/>
        </w:rPr>
        <w:t>Under normal market conditions, we generally expect that at least 80% of the value of our Managed Assets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debt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7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Structure of PennantPark Floating Rate Capital Ltd.</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generate revenue in the form of interest income on the debt securities we hold and capital gains and dividends, if any, on investment securities that we may acquire in portfolio companies. Our debt investments, whether in the form of senior secured debt or mezzanine debt, typically have a term of three to ten years and bear interest at a fixed or floating rate. Interest on debt securities is generally payable quarterly or semiannually. In some cases, our investments provide for deferred interest payments or payment-in-kind,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original issue discount, or OID, market discount or premium are capitalized and accreted or amortized using the effective interest method as interest income or, in the case of deferred financing costs, as interest expense. We record prepayment penalties on loans and debt securities as income. Dividend income, if any, is recognized on an accrual basis on the ex-dividend date to the extent that we expect to collect such amounts.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94"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state, local taxes and foreign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costs associated with our reporting and compliance obligations under the 1940 Act and applicable federal and state securities laws; and</w:t>
      </w:r>
    </w:p>
    <w:p>
      <w:pPr>
        <w:spacing w:after="0" w:line="142" w:lineRule="exact"/>
        <w:rPr>
          <w:rFonts w:ascii="Arial" w:cs="Arial" w:eastAsia="Arial" w:hAnsi="Arial"/>
          <w:sz w:val="17"/>
          <w:szCs w:val="17"/>
          <w:color w:val="auto"/>
        </w:rPr>
      </w:pPr>
    </w:p>
    <w:p>
      <w:pPr>
        <w:ind w:left="90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December 31, 2016, our portfolio totaled $656.9 million and consisted of $600.1 million of senior secured debt, $36.9 million of second lien secured debt and $19.9 million of subordinated debt, preferred and common equity. Our debt portfolio consisted of 98% variable-rate investments (including 95% with a floor) and 2% fixed-rate investments. As of December 31, 2016, we had no companies on non-accrual. Overall, the portfolio had net unrealized appreciation of $3.5 million. Our overall portfolio consisted of 98 companies with an average investment size of $6.7 million, had a weighted average yield on debt investments of 7.9%, and was invested 91% in senior secured debt, 6% in second lien secured debt and 3% in subordinated debt, preferred and common equity.</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of September 30, 2016, our portfolio totaled $598.9 million and consisted of $548.4 million of senior secured debt, $36.6 million of second lien secured debt and $13.9 million of subordinated debt, preferred and common equity. Our debt portfolio consisted of 99% variable-rate investments (including 94% with a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senior secured debt, 6% in second lien secured debt and 2% in subordinated debt, preferred and common equity.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For the three months ended December 31, 2016, we invested $124.8 million in 12 new and 13 existing portfolio companies with a weighted average yield on debt investments of 7.6%. Sales and repayments of investments for the three months ended December 31, 2016 totaled $70.4 million.</w:t>
      </w:r>
    </w:p>
    <w:p>
      <w:pPr>
        <w:spacing w:after="0" w:line="124"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For the three months ended December 31, 2015, we invested $99.2 million in ten new and five existing portfolio companies with a weighted average yield on debt investments of 8.4%. Sales and repayments of investments for the three months ended December 31, 2015 totaled $26.9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prospectus supplement.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82"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900" w:right="20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92" w:lineRule="exact"/>
        <w:rPr>
          <w:rFonts w:ascii="Arial" w:cs="Arial" w:eastAsia="Arial" w:hAnsi="Arial"/>
          <w:sz w:val="18"/>
          <w:szCs w:val="18"/>
          <w:color w:val="auto"/>
        </w:rPr>
      </w:pPr>
    </w:p>
    <w:p>
      <w:pPr>
        <w:ind w:left="900" w:right="260" w:hanging="446"/>
        <w:spacing w:after="0" w:line="286"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36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940" w:right="220" w:hanging="1025"/>
        <w:spacing w:after="0" w:line="277" w:lineRule="auto"/>
        <w:tabs>
          <w:tab w:leader="none" w:pos="19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76" w:lineRule="exact"/>
        <w:rPr>
          <w:sz w:val="20"/>
          <w:szCs w:val="20"/>
          <w:color w:val="auto"/>
        </w:rPr>
      </w:pPr>
    </w:p>
    <w:p>
      <w:pPr>
        <w:ind w:left="1940" w:right="20" w:hanging="1025"/>
        <w:spacing w:after="0" w:line="264" w:lineRule="auto"/>
        <w:tabs>
          <w:tab w:leader="none" w:pos="19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7" w:lineRule="exact"/>
        <w:rPr>
          <w:sz w:val="20"/>
          <w:szCs w:val="20"/>
          <w:color w:val="auto"/>
        </w:rPr>
      </w:pPr>
    </w:p>
    <w:p>
      <w:pPr>
        <w:ind w:left="1940" w:right="40" w:hanging="1025"/>
        <w:spacing w:after="0" w:line="277" w:lineRule="auto"/>
        <w:tabs>
          <w:tab w:leader="none" w:pos="19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expenses of zero and $0.9 million, respectively, relating to amendment fees on the Credit Facility during the three months ended December 31, 2016 and 2015.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months ended December 31, 2016 and 2015, our Credit Facility had a net change in unrealized (appreciation) depreciation of $(1.1) million and $0.6 million, respectively. As of December 31, 2016 and September 30, 2016, the net unrealized (appreciation) depreciation on our Credit Facility totaled $(0.6)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and Credit Facility during the reporting period, including any reversal of previously recorded unrealized appreciation or depreciation, when gains or losses are realized.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29" w:lineRule="exact"/>
        <w:rPr>
          <w:sz w:val="20"/>
          <w:szCs w:val="20"/>
          <w:color w:val="auto"/>
        </w:rPr>
      </w:pPr>
    </w:p>
    <w:p>
      <w:pPr>
        <w:ind w:left="1100" w:hanging="179"/>
        <w:spacing w:after="0"/>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Fair value of investment securities, other assets and liabilities—at the exchange rates prevailing at the end of the applicable period; and</w:t>
      </w:r>
    </w:p>
    <w:p>
      <w:pPr>
        <w:spacing w:after="0" w:line="128" w:lineRule="exact"/>
        <w:rPr>
          <w:rFonts w:ascii="Arial" w:cs="Arial" w:eastAsia="Arial" w:hAnsi="Arial"/>
          <w:sz w:val="17"/>
          <w:szCs w:val="17"/>
          <w:color w:val="auto"/>
        </w:rPr>
      </w:pPr>
    </w:p>
    <w:p>
      <w:pPr>
        <w:ind w:left="1100" w:hanging="179"/>
        <w:spacing w:after="0"/>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Purchases and sales of investment securities, income and expenses—at the exchange rates prevailing on the respective dates of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211"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In order for us to maintain our ability to be treated as a RIC for federal income tax purposes, substantially all of this income must be paid out to stockholders in the form of dividends for U.S. federal income tax purposes, even though we have not collected any cash with respect to interest on PIK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117"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82"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7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months ended December 31, 2016 and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Investment income for the three months ended December 31, 2016 was $12.6 million and was attributable to $11.2 million from senior secured debt and $1.4 million from second lien secured debt and subordinated debt, respectively. Investment income for the three months ended December 31, 2015 was $8.8 million and was attributable to $7.3 million from senior secured debt and $1.5 million from second lien secured debt and subordinated debt, respectively. The increase in investment income compared to the same period in the prior year was primarily due to the growth of our portfolio.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Expenses for the three months ended December 31, 2016 totaled $5.8 million. Base management fee for the same period totaled $1.6 million, incentive fee totaled $1.5 million (including $0.6 million on unrealized gains accrued but not payable), Credit Facility expenses totaled $1.8 million and general and administrative expenses totaled $0.9 million. Expenses for the three months ended December 31, 2015 totaled $3.7 million. Base management fee for the same period totaled $1.1 million, incentive fee totaled zero, Credit Facility expenses totaled $1.8 million (including $0.9 million of Credit Facility amendment expenses) and general and administrative expenses totaled $0.8 million. The increase in expenses compared with the same period in the prior year was primarily due to increases in base management and incentive fees as a result of the growth of our portfolio.</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Net investment income totaled $6.8 million, or $0.26 per share, for the three months ended December 31, 2016, and $5.1 million, or $0.19 per share, for the three months ended December 31, 2015. The increase in net investment income compared to the same period in the prior year was primarily due to the growth of our portfolio.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Sales and repayments of investments for the three months ended December 31, 2016 totaled $70.4 million and realized gains totaled $0.5 million. Sales and repayments of investments totaled $26.9 million and realized losses totaled $3.2 million for the three months ended December 31, 2015. The change in realized gains/losses was primarily due to changes in the market conditions of our investments and the values at which they were realized.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For the three months ended December 31, 2016 and 2015, we reported net unrealized appreciation (depreciation) on investments of $2.5 million and $(0.7) million, respectively. As of December 31, 2016 and September 30, 2016, our net unrealized appreciation on investments totaled $3.5 million and $1.0 million, respectively. The net change in unrealized appreciation on our investments was driven primarily by changes in capital market conditions, the financial performance of certain portfolio companies and the reversal of unrealized depreciation (appreciation) on investments that were sold.</w:t>
      </w:r>
    </w:p>
    <w:p>
      <w:pPr>
        <w:spacing w:after="0" w:line="154"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For the three months ended December 31, 2016 and 2015, we reported net unrealized (appreciation) depreciation on our Credit Facility of $(1.1) million and $0.6 million, respectively. The change compared to the same period in the prior year was primarily due to changes in the capital markets.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11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Net change in net assets resulting from operations totaled $8.8 million, or $0.33 per share, for the three months ended December 31, 2016. This compares to a net change in net assets resulting from operations of $1.7 million, or $0.07 per share, for the three months ended December 31, 2015. The increase in the net change in net assets from operations compared to the same period in the prior year reflects the change in portfolio investment valuation during the reporting period and the change in net realized losses during the current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ind w:right="180" w:firstLine="456"/>
        <w:spacing w:after="0" w:line="284" w:lineRule="auto"/>
        <w:rPr>
          <w:sz w:val="20"/>
          <w:szCs w:val="20"/>
          <w:color w:val="auto"/>
        </w:rPr>
      </w:pPr>
      <w:r>
        <w:rPr>
          <w:rFonts w:ascii="Arial" w:cs="Arial" w:eastAsia="Arial" w:hAnsi="Arial"/>
          <w:sz w:val="16"/>
          <w:szCs w:val="16"/>
          <w:color w:val="auto"/>
        </w:rPr>
        <w:t>Funding I’s multi-currency Credit Facility with the Lenders was $350.0 million as of December 31, 2016, subject to satisfaction of certain conditions and the regulatory restrictions that the 1940 Act imposes on us as a BDC, has an interest rate spread above LIBOR of 200 basis points, a maturity date of August 2020 and a revolving period that ends in August 2018. As of December 31, 2016 and September 30, 2016, Funding I had $299.3 million and $232.9 million of outstanding borrowings under the Credit Facility, respectively. The Credit Facility had an interest rate of 2.74% and 2.57%, as of December 31, 2016 and September 30, 2016, respectively, excluding the undrawn commitment fees of 0.375%. The annualized weighted average cost of debt for the three months ended December 31, 2016 and 2015, inclusive of the fee on the undrawn commitment on the Credit Facility but excluding amendment costs, was</w:t>
      </w:r>
    </w:p>
    <w:p>
      <w:pPr>
        <w:spacing w:after="0" w:line="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2.91% and 5.95%, respectively. As of December 31, 2016 and September 30, 2016, we had $50.7 million and $117.1 million of unused borrowing capacity under our Credit Facility, respectively, subject to the regulatory restrictions.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8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December 31, 2016, we were in compliance with the covenants relating to our Credit Facility.</w:t>
      </w:r>
    </w:p>
    <w:p>
      <w:pPr>
        <w:spacing w:after="0" w:line="19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78"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We may raise equity or debt capital through both registered offerings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17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At December 31, 2016 and September 30, 2016, we had cash equivalents of $24.2 million and $28.9 million, respectively, available for investing and general corporate purposes. We believe our liquidity and capital resources are sufficient to take advantage of market opportunities.</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operating activities used cash of $63.5 million for the three months ended December 31, 2016, and our financing activities provided cash of $58.8 million for the same period. Our operating activities used cash primarily for our investment activities and our financing activities provided cash primarily from net borrowings under the Credit Facility.</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operating activities used cash of $66.5 million for the three months ended December 31, 2015, and our financing activities provided cash of $59.1 million for the same period. Our operating activities used cash primarily for our investment activities and our financing activities provided cash primarily from net borrowings under the Credit Facility.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 summary of our significant contractual payment obligations at cost as of December 31, 2016, including borrowings under our Credit Facility and other contractual obligations,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Payments due by period (millions)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9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6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2"/>
              </w:rPr>
              <w:t>Less than</w:t>
            </w: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1-3</w:t>
            </w:r>
          </w:p>
        </w:tc>
        <w:tc>
          <w:tcPr>
            <w:tcW w:w="240" w:type="dxa"/>
            <w:vAlign w:val="bottom"/>
          </w:tcPr>
          <w:p>
            <w:pPr>
              <w:spacing w:after="0"/>
              <w:rPr>
                <w:sz w:val="10"/>
                <w:szCs w:val="10"/>
                <w:color w:val="auto"/>
              </w:rPr>
            </w:pPr>
          </w:p>
        </w:tc>
        <w:tc>
          <w:tcPr>
            <w:tcW w:w="720" w:type="dxa"/>
            <w:vAlign w:val="bottom"/>
            <w:gridSpan w:val="2"/>
          </w:tcPr>
          <w:p>
            <w:pPr>
              <w:jc w:val="right"/>
              <w:ind w:right="59"/>
              <w:spacing w:after="0" w:line="119" w:lineRule="exact"/>
              <w:rPr>
                <w:sz w:val="20"/>
                <w:szCs w:val="20"/>
                <w:color w:val="auto"/>
              </w:rPr>
            </w:pPr>
            <w:r>
              <w:rPr>
                <w:rFonts w:ascii="Arial" w:cs="Arial" w:eastAsia="Arial" w:hAnsi="Arial"/>
                <w:sz w:val="13"/>
                <w:szCs w:val="13"/>
                <w:b w:val="1"/>
                <w:bCs w:val="1"/>
                <w:color w:val="auto"/>
              </w:rPr>
              <w:t>3-5</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46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years</w:t>
            </w:r>
          </w:p>
        </w:tc>
        <w:tc>
          <w:tcPr>
            <w:tcW w:w="2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$299.3</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$299.3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5"/>
                <w:szCs w:val="15"/>
                <w:color w:val="auto"/>
              </w:rPr>
              <w:t>(1)</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3.9</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$ 3.9</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Unfunded investments are disclosed in the Consolidated Schedule of Investments and Note 10 of our Consolidated Financial Statements.</w:t>
      </w:r>
    </w:p>
    <w:p>
      <w:pPr>
        <w:spacing w:after="0" w:line="225"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2017,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Under our Administration Agreement, which was reapproved by our board of directors, including a majority of our directors who are not interested persons of us, in February 2017,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93"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engage in no off-balance sheet arrangements other than our funding requirements for the unfunded investments described above.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82"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During the three months ended December 31, 2016 and 2015, we declared distributions of $0.285 and $0.285 per share, respectively, for total distributions of $7.6 million and $7.6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173"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We intend to continue to make monthly distributions to our stockholders. Our monthly distributions, if any, are ratified by the board of directors quarterly.</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are subject to financial market risks, including changes in interest rates. As of December 31, 2016, our debt portfolio consisted of 98% variable-rate investments (including 95% with a floor) and 2%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gridSpan w:val="3"/>
          </w:tcPr>
          <w:p>
            <w:pPr>
              <w:ind w:left="760"/>
              <w:spacing w:after="0"/>
              <w:rPr>
                <w:sz w:val="20"/>
                <w:szCs w:val="20"/>
                <w:color w:val="auto"/>
              </w:rPr>
            </w:pPr>
            <w:r>
              <w:rPr>
                <w:rFonts w:ascii="Arial" w:cs="Arial" w:eastAsia="Arial" w:hAnsi="Arial"/>
                <w:sz w:val="14"/>
                <w:szCs w:val="14"/>
                <w:color w:val="auto"/>
                <w:w w:val="92"/>
              </w:rPr>
              <w:t>Change In Interest Income,</w:t>
            </w:r>
          </w:p>
        </w:tc>
        <w:tc>
          <w:tcPr>
            <w:tcW w:w="2660" w:type="dxa"/>
            <w:vAlign w:val="bottom"/>
            <w:gridSpan w:val="4"/>
          </w:tcPr>
          <w:p>
            <w:pPr>
              <w:ind w:left="1000"/>
              <w:spacing w:after="0"/>
              <w:rPr>
                <w:sz w:val="20"/>
                <w:szCs w:val="20"/>
                <w:color w:val="auto"/>
              </w:rPr>
            </w:pPr>
            <w:r>
              <w:rPr>
                <w:rFonts w:ascii="Arial" w:cs="Arial" w:eastAsia="Arial" w:hAnsi="Arial"/>
                <w:sz w:val="14"/>
                <w:szCs w:val="14"/>
                <w:color w:val="auto"/>
                <w:w w:val="97"/>
              </w:rPr>
              <w:t>Change In Interest Income,</w:t>
            </w:r>
          </w:p>
        </w:tc>
        <w:tc>
          <w:tcPr>
            <w:tcW w:w="0" w:type="dxa"/>
            <w:vAlign w:val="bottom"/>
          </w:tcPr>
          <w:p>
            <w:pPr>
              <w:spacing w:after="0"/>
              <w:rPr>
                <w:sz w:val="1"/>
                <w:szCs w:val="1"/>
                <w:color w:val="auto"/>
              </w:rPr>
            </w:pPr>
          </w:p>
        </w:tc>
      </w:tr>
      <w:tr>
        <w:trPr>
          <w:trHeight w:val="149"/>
        </w:trPr>
        <w:tc>
          <w:tcPr>
            <w:tcW w:w="2760" w:type="dxa"/>
            <w:vAlign w:val="bottom"/>
            <w:gridSpan w:val="3"/>
            <w:vMerge w:val="restart"/>
          </w:tcPr>
          <w:p>
            <w:pPr>
              <w:jc w:val="center"/>
              <w:ind w:right="180"/>
              <w:spacing w:after="0"/>
              <w:rPr>
                <w:sz w:val="20"/>
                <w:szCs w:val="20"/>
                <w:color w:val="auto"/>
              </w:rPr>
            </w:pPr>
            <w:r>
              <w:rPr>
                <w:rFonts w:ascii="Arial" w:cs="Arial" w:eastAsia="Arial" w:hAnsi="Arial"/>
                <w:sz w:val="14"/>
                <w:szCs w:val="14"/>
                <w:color w:val="auto"/>
                <w:w w:val="91"/>
              </w:rPr>
              <w:t>Change In Interest Rates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2"/>
              </w:rPr>
              <w:t>Net Of Interest Expense</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Net Of Interest Expense</w:t>
            </w:r>
          </w:p>
        </w:tc>
        <w:tc>
          <w:tcPr>
            <w:tcW w:w="0" w:type="dxa"/>
            <w:vAlign w:val="bottom"/>
          </w:tcPr>
          <w:p>
            <w:pPr>
              <w:spacing w:after="0"/>
              <w:rPr>
                <w:sz w:val="1"/>
                <w:szCs w:val="1"/>
                <w:color w:val="auto"/>
              </w:rPr>
            </w:pPr>
          </w:p>
        </w:tc>
      </w:tr>
      <w:tr>
        <w:trPr>
          <w:trHeight w:val="167"/>
        </w:trPr>
        <w:tc>
          <w:tcPr>
            <w:tcW w:w="276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jc w:val="right"/>
              <w:ind w:right="288"/>
              <w:spacing w:after="0"/>
              <w:rPr>
                <w:sz w:val="20"/>
                <w:szCs w:val="20"/>
                <w:color w:val="auto"/>
              </w:rPr>
            </w:pPr>
            <w:r>
              <w:rPr>
                <w:rFonts w:ascii="Arial" w:cs="Arial" w:eastAsia="Arial" w:hAnsi="Arial"/>
                <w:sz w:val="14"/>
                <w:szCs w:val="14"/>
                <w:color w:val="auto"/>
              </w:rPr>
              <w:t>(In Thousands)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w w:val="88"/>
              </w:rPr>
              <w:t>Per Share</w:t>
            </w:r>
          </w:p>
        </w:tc>
        <w:tc>
          <w:tcPr>
            <w:tcW w:w="0" w:type="dxa"/>
            <w:vAlign w:val="bottom"/>
          </w:tcPr>
          <w:p>
            <w:pPr>
              <w:spacing w:after="0"/>
              <w:rPr>
                <w:sz w:val="1"/>
                <w:szCs w:val="1"/>
                <w:color w:val="auto"/>
              </w:rPr>
            </w:pPr>
          </w:p>
        </w:tc>
      </w:tr>
      <w:tr>
        <w:trPr>
          <w:trHeight w:val="142"/>
        </w:trPr>
        <w:tc>
          <w:tcPr>
            <w:tcW w:w="58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Up 1%</w:t>
            </w:r>
          </w:p>
        </w:tc>
        <w:tc>
          <w:tcPr>
            <w:tcW w:w="7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1,435</w:t>
            </w:r>
          </w:p>
        </w:tc>
        <w:tc>
          <w:tcPr>
            <w:tcW w:w="10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0.05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1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Up 2%</w:t>
            </w:r>
          </w:p>
        </w:tc>
        <w:tc>
          <w:tcPr>
            <w:tcW w:w="840" w:type="dxa"/>
            <w:vAlign w:val="bottom"/>
            <w:gridSpan w:val="2"/>
          </w:tcPr>
          <w:p>
            <w:pPr>
              <w:ind w:left="760"/>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4,916</w:t>
            </w:r>
          </w:p>
        </w:tc>
        <w:tc>
          <w:tcPr>
            <w:tcW w:w="1080" w:type="dxa"/>
            <w:vAlign w:val="bottom"/>
            <w:gridSpan w:val="2"/>
          </w:tcPr>
          <w:p>
            <w:pPr>
              <w:ind w:left="1000"/>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jc w:val="center"/>
              <w:ind w:right="740"/>
              <w:spacing w:after="0" w:line="149" w:lineRule="exact"/>
              <w:rPr>
                <w:sz w:val="20"/>
                <w:szCs w:val="20"/>
                <w:color w:val="auto"/>
              </w:rPr>
            </w:pPr>
            <w:r>
              <w:rPr>
                <w:rFonts w:ascii="Arial" w:cs="Arial" w:eastAsia="Arial" w:hAnsi="Arial"/>
                <w:sz w:val="14"/>
                <w:szCs w:val="14"/>
                <w:color w:val="auto"/>
                <w:w w:val="95"/>
              </w:rPr>
              <w:t>Up 3%</w:t>
            </w:r>
          </w:p>
        </w:tc>
        <w:tc>
          <w:tcPr>
            <w:tcW w:w="84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8,397</w:t>
            </w:r>
          </w:p>
        </w:tc>
        <w:tc>
          <w:tcPr>
            <w:tcW w:w="1080" w:type="dxa"/>
            <w:vAlign w:val="bottom"/>
            <w:gridSpan w:val="2"/>
            <w:shd w:val="clear" w:color="auto" w:fill="CCEEFF"/>
          </w:tcPr>
          <w:p>
            <w:pPr>
              <w:ind w:left="1000"/>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2180" w:type="dxa"/>
            <w:vAlign w:val="bottom"/>
            <w:gridSpan w:val="2"/>
          </w:tcPr>
          <w:p>
            <w:pPr>
              <w:jc w:val="center"/>
              <w:ind w:right="740"/>
              <w:spacing w:after="0"/>
              <w:rPr>
                <w:sz w:val="20"/>
                <w:szCs w:val="20"/>
                <w:color w:val="auto"/>
              </w:rPr>
            </w:pPr>
            <w:r>
              <w:rPr>
                <w:rFonts w:ascii="Arial" w:cs="Arial" w:eastAsia="Arial" w:hAnsi="Arial"/>
                <w:sz w:val="14"/>
                <w:szCs w:val="14"/>
                <w:color w:val="auto"/>
                <w:w w:val="95"/>
              </w:rPr>
              <w:t>Up 4%</w:t>
            </w:r>
          </w:p>
        </w:tc>
        <w:tc>
          <w:tcPr>
            <w:tcW w:w="840" w:type="dxa"/>
            <w:vAlign w:val="bottom"/>
            <w:gridSpan w:val="2"/>
          </w:tcPr>
          <w:p>
            <w:pPr>
              <w:ind w:left="760"/>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11,878</w:t>
            </w: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0.44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prospectus supplement, we did not engage in interest rate hedging activities.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We intend to offer the shares through the underwriters named in the table below. Morgan Stanley &amp; Co. LLC, Goldman, Sachs &amp; Co., J.P. Morgan Securities LLC, Keefe, Bruyette &amp; Woods, Inc., RBC Capital Markets, LLC and SunTrust Robinson Humphrey, Inc.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9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 Names</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6880" w:type="dxa"/>
            <w:vAlign w:val="bottom"/>
            <w:gridSpan w:val="2"/>
            <w:vMerge w:val="continue"/>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10"/>
        </w:trPr>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Morgan Stanley</w:t>
            </w:r>
          </w:p>
        </w:tc>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&amp; Co. LLC</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780" w:type="dxa"/>
            <w:vAlign w:val="bottom"/>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Keefe, Bruyette &amp; Woods, Inc.</w:t>
            </w:r>
          </w:p>
        </w:tc>
        <w:tc>
          <w:tcPr>
            <w:tcW w:w="780" w:type="dxa"/>
            <w:vAlign w:val="bottom"/>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780" w:type="dxa"/>
            <w:vAlign w:val="bottom"/>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Comerica Securities, Inc.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Janney Montgomery Scott LLC</w:t>
            </w:r>
          </w:p>
        </w:tc>
        <w:tc>
          <w:tcPr>
            <w:tcW w:w="78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Ladenburg Thalmann &amp; Co. Inc.</w:t>
            </w:r>
          </w:p>
        </w:tc>
        <w:tc>
          <w:tcPr>
            <w:tcW w:w="78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 Group LLC</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option to purchase additional shares described below, if they purchase any of the shares. The underwriters reserve the right to withdraw, cancel or modify offers to the public and to reject orders in whole or in part.</w:t>
      </w:r>
    </w:p>
    <w:p>
      <w:pPr>
        <w:spacing w:after="0" w:line="173"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or to contribute to payments the underwriters may be required to make in respect of those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underwriters have advised us that they propose initially to offer the shares to the public at the public offering price on the cover page of this prospectus supplement and to certain other Financial Industry Regulatory Authority (FINRA) members at that price less a concession not in excess of $0.25 per share. After the public offering, the public offering price, concession and discount may be changed. No such change shall change the amount of proceeds to be received by us as set forth on the cover page of this prospectus supplement.</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option to purchase up to an additional 750,000 shares.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Without Option</w:t>
            </w:r>
          </w:p>
        </w:tc>
        <w:tc>
          <w:tcPr>
            <w:tcW w:w="22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With Option</w:t>
            </w: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13.6200</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68,100,000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78,315,000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 xml:space="preserve">Underwriting discounts and commissions (sales load) </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6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Additional supplemental payment to the underwriters by Investment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Adviser</w:t>
            </w:r>
            <w:r>
              <w:rPr>
                <w:rFonts w:ascii="Arial" w:cs="Arial" w:eastAsia="Arial" w:hAnsi="Arial"/>
                <w:sz w:val="15"/>
                <w:szCs w:val="15"/>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0.4646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2,323,000</w:t>
            </w:r>
          </w:p>
        </w:tc>
        <w:tc>
          <w:tcPr>
            <w:tcW w:w="2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2,671,450</w:t>
            </w:r>
          </w:p>
        </w:tc>
        <w:tc>
          <w:tcPr>
            <w:tcW w:w="100" w:type="dxa"/>
            <w:vAlign w:val="bottom"/>
            <w:shd w:val="clear" w:color="auto" w:fill="CCEEFF"/>
          </w:tcPr>
          <w:p>
            <w:pPr>
              <w:spacing w:after="0"/>
              <w:rPr>
                <w:sz w:val="20"/>
                <w:szCs w:val="20"/>
                <w:color w:val="auto"/>
              </w:rPr>
            </w:pPr>
          </w:p>
        </w:tc>
      </w:tr>
      <w:tr>
        <w:trPr>
          <w:trHeight w:val="202"/>
        </w:trPr>
        <w:tc>
          <w:tcPr>
            <w:tcW w:w="6000" w:type="dxa"/>
            <w:vAlign w:val="bottom"/>
          </w:tcPr>
          <w:p>
            <w:pPr>
              <w:spacing w:after="0" w:line="201" w:lineRule="exact"/>
              <w:rPr>
                <w:sz w:val="20"/>
                <w:szCs w:val="20"/>
                <w:color w:val="auto"/>
              </w:rPr>
            </w:pPr>
            <w:r>
              <w:rPr>
                <w:rFonts w:ascii="Arial" w:cs="Arial" w:eastAsia="Arial" w:hAnsi="Arial"/>
                <w:sz w:val="18"/>
                <w:szCs w:val="18"/>
                <w:color w:val="auto"/>
                <w:w w:val="96"/>
              </w:rPr>
              <w:t>Proceeds to PennantPark Floating Rate Capital Ltd. (before offering expenses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of $470,000)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14.0846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70,423,000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80,986,450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Investment Adviser has agreed to pay all of the underwriting commissions to the underwriters of approximately $2.0 million, or $0.41 per share (or approximately $2.3 million, or $0.41 per share if the option to purchase additional shares is fully exercised) in connection with this offering, which amount is not reflected in the above table. All other expenses of the offering will be borne by us.</w:t>
      </w:r>
    </w:p>
    <w:p>
      <w:pPr>
        <w:jc w:val="both"/>
        <w:ind w:left="460" w:right="160" w:hanging="452"/>
        <w:spacing w:after="0" w:line="255"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Investment Adviser has agreed to pay the underwriters an additional supplemental payment of approximately $2.3 million, or $0.46 per share (or approximately $2.7 million, or $0.46 per share if the option to purchase additional shares is fully exercised), which reflects the difference between the offering price and the proceeds per share received by us in this offering.</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granted an option to the underwriters to purchase up to 750,000 additional shares at the public offering price less the underwriting discount. The underwriters may exercise this option for 30 days from the date of this prospectus supplement. If the underwriters exercise this option, each will be obligated, subject to conditions contained in the underwriting agreement, to purchase the additional shares approximately proportionate to that underwriter’s initial purchase commitment.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have agreed, with exceptions, not to sell or transfer any shares for 90 days after the date of this prospectus supplement without first obtaining the written consent of Morgan Stanley &amp; Co. LLC.</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Our executive officers and directors, PennantPark Investment Advisers, and Pennant Park Investment Administration have agreed, with exceptions, not to sell or transfer any common stock for 90 days after the date of this prospectus supplement without first obtaining the written consent of Morgan Stanley &amp; Co. LLC. Specifically, we and these other individuals and entities have agreed not to directly or indirectly:</w:t>
      </w:r>
    </w:p>
    <w:p>
      <w:pPr>
        <w:spacing w:after="0" w:line="87"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common stock or other securities, in cash or otherwise.</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“PFLT.”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option to purchase additional shares as described above. In making this determination, the underwriters will consider, among other things, the price of shares available for purchase in the open market compared to the price at which the underwriters may purchase shares through the option to purchase additional shares. Purchases of the common stock to stabilize its price or to reduce a short position may cause the price of the common stock to be higher than it might be in the absence of such purchases.</w:t>
      </w:r>
    </w:p>
    <w:p>
      <w:pPr>
        <w:spacing w:after="0" w:line="178"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Neither we nor any of the underwriters make any representation or prediction as to the magnitude of any effect that the transactions described above may have on the price of the common stock. In addition, neither we nor any of the underwriters make any representation that the underwriters will engage in these transactions or that these transactions, once commenced, will not be discontinued without notice.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provided in the past to the Company and may provide from time to time in the future in the ordinary course of their business certain commercial banking, financial advisory, investment banking and other services to us for which they will be entitled to receive customary fees and expenses. In particular, the underwriters or their affiliates may execute transactions with or on behalf of the Company. In addition, the underwriters or their affiliates may act as arrangers, underwriters or placement agents for companies whose securities are sold to us.</w:t>
      </w:r>
    </w:p>
    <w:p>
      <w:pPr>
        <w:spacing w:after="0" w:line="165"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 the ordinary course of their various business activities, the underwriters or their affiliates may also trade in our securities, securities of our portfolio companies or other related financial instruments for their own accounts or for the account of others and may extend loans or financing directly or through derivative transactions to us or any of the portfolio companies. The underwriters and their respective affiliates may also make investment recommendations and/or publish or express independent research views in respect of such securities or instruments and may at the time hold, or recommend to clients that they acquire, long and/or short positions in such securities and instruments.</w:t>
      </w:r>
    </w:p>
    <w:p>
      <w:pPr>
        <w:spacing w:after="0" w:line="173"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4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shares, the underwriters or their affiliates may develop analyses or opinions related to PennantPark Floating Rate Capital Ltd.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Floating Rate Capital Ltd. to our stockholders.</w:t>
      </w:r>
    </w:p>
    <w:p>
      <w:pPr>
        <w:spacing w:after="0" w:line="17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Affiliates of certain of the underwriters serve as lenders under our Credit Facility and may serve as lenders under any future credit facilities. Some of the underwriters and their affiliates were underwriters in connection with our initial public offerings and follow-on public offering for which they received customary fees. Affiliates of the underwriters may receive part of the proceeds of the offering by reason of the repayment of certain amounts outstanding under our Credit Facility.</w:t>
      </w:r>
    </w:p>
    <w:p>
      <w:pPr>
        <w:spacing w:after="0" w:line="18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principal business addresses of the underwriters are: Morgan Stanley &amp; Co. LLC, 180 Varick Street, 2</w:t>
      </w:r>
      <w:r>
        <w:rPr>
          <w:rFonts w:ascii="Arial" w:cs="Arial" w:eastAsia="Arial" w:hAnsi="Arial"/>
          <w:sz w:val="15"/>
          <w:szCs w:val="15"/>
          <w:color w:val="auto"/>
        </w:rPr>
        <w:t>nd</w:t>
      </w:r>
      <w:r>
        <w:rPr>
          <w:rFonts w:ascii="Arial" w:cs="Arial" w:eastAsia="Arial" w:hAnsi="Arial"/>
          <w:sz w:val="18"/>
          <w:szCs w:val="18"/>
          <w:color w:val="auto"/>
        </w:rPr>
        <w:t xml:space="preserve"> Floor, New York, NY 10014; Goldman, Sachs &amp; Co., 200 West Street, New York, NY 10282; J.P. Morgan Securities LLC, 383 Madison Avenue, New York, NY 10179; Keefe, Bruyette &amp; Woods, Inc., 787 Seventh Avenue, New York, NY 10019; RBC Capital Markets, LLC, 200 Vesey Street, New York, NY 10281; and SunTrust Robinson Humphrey, Inc., 3333 Peachtree Road NE, Atlanta, GA 30326.</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900" w:right="20" w:hanging="446"/>
        <w:spacing w:after="0" w:line="277" w:lineRule="auto"/>
        <w:tabs>
          <w:tab w:leader="none" w:pos="900"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i w:val="1"/>
          <w:iCs w:val="1"/>
          <w:color w:val="auto"/>
        </w:rPr>
      </w:pPr>
    </w:p>
    <w:p>
      <w:pPr>
        <w:ind w:left="900" w:right="20" w:hanging="446"/>
        <w:spacing w:after="0" w:line="277" w:lineRule="auto"/>
        <w:tabs>
          <w:tab w:leader="none" w:pos="900"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jc w:val="both"/>
        <w:ind w:left="460" w:right="12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7" w:lineRule="exact"/>
        <w:rPr>
          <w:sz w:val="20"/>
          <w:szCs w:val="20"/>
          <w:color w:val="auto"/>
        </w:rPr>
      </w:pPr>
    </w:p>
    <w:p>
      <w:pPr>
        <w:ind w:left="900" w:right="500" w:hanging="446"/>
        <w:spacing w:after="0" w:line="277" w:lineRule="auto"/>
        <w:tabs>
          <w:tab w:leader="none" w:pos="90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i w:val="1"/>
          <w:iCs w:val="1"/>
          <w:color w:val="auto"/>
        </w:rPr>
      </w:pPr>
    </w:p>
    <w:p>
      <w:pPr>
        <w:ind w:left="900" w:hanging="446"/>
        <w:spacing w:after="0"/>
        <w:tabs>
          <w:tab w:leader="none" w:pos="90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i w:val="1"/>
          <w:iCs w:val="1"/>
          <w:color w:val="auto"/>
        </w:rPr>
      </w:pPr>
    </w:p>
    <w:p>
      <w:pPr>
        <w:ind w:left="900" w:hanging="446"/>
        <w:spacing w:after="0"/>
        <w:tabs>
          <w:tab w:leader="none" w:pos="90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i w:val="1"/>
          <w:iCs w:val="1"/>
          <w:color w:val="auto"/>
        </w:rPr>
      </w:pPr>
    </w:p>
    <w:p>
      <w:pPr>
        <w:ind w:left="900" w:hanging="446"/>
        <w:spacing w:after="0"/>
        <w:tabs>
          <w:tab w:leader="none" w:pos="90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i w:val="1"/>
          <w:iCs w:val="1"/>
          <w:color w:val="auto"/>
        </w:rPr>
      </w:pPr>
    </w:p>
    <w:p>
      <w:pPr>
        <w:ind w:left="900" w:hanging="446"/>
        <w:spacing w:after="0"/>
        <w:tabs>
          <w:tab w:leader="none" w:pos="900" w:val="left"/>
        </w:tabs>
        <w:numPr>
          <w:ilvl w:val="0"/>
          <w:numId w:val="17"/>
        </w:numPr>
        <w:rPr>
          <w:rFonts w:ascii="Arial" w:cs="Arial" w:eastAsia="Arial" w:hAnsi="Arial"/>
          <w:sz w:val="16"/>
          <w:szCs w:val="16"/>
          <w:i w:val="1"/>
          <w:iCs w:val="1"/>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legal matters regarding the securities offered by this prospectus supplement will be passed upon for PennantPark Floating Rate Capital Ltd. by Dechert LLP, Washington, D.C., and Venable LLP, Baltimore, Maryland. Dechert LLP has from time to time represented the underwriters, PennantPark Floating Rate Capital Ltd. and the Investment Adviser on unrelated matters. Certain legal matters in connection with the offering will be passed upon for the underwriters by Freshfields Bruckhaus Deringer US LLP, New York, NY.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300"/>
          </w:cols>
          <w:pgMar w:left="240" w:top="459"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8480" w:type="dxa"/>
            <w:vAlign w:val="bottom"/>
            <w:gridSpan w:val="9"/>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Interim Financial Statements</w:t>
            </w:r>
          </w:p>
        </w:tc>
        <w:tc>
          <w:tcPr>
            <w:tcW w:w="7580" w:type="dxa"/>
            <w:vAlign w:val="bottom"/>
            <w:gridSpan w:val="8"/>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840" w:type="dxa"/>
            <w:vAlign w:val="bottom"/>
            <w:gridSpan w:val="1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Report of Independent Registered Public Accounting Firm</w:t>
              </w:r>
            </w:hyperlink>
          </w:p>
        </w:tc>
        <w:tc>
          <w:tcPr>
            <w:tcW w:w="1480" w:type="dxa"/>
            <w:vAlign w:val="bottom"/>
          </w:tcPr>
          <w:p>
            <w:pPr>
              <w:ind w:left="1140"/>
              <w:spacing w:after="0"/>
              <w:rPr>
                <w:sz w:val="20"/>
                <w:szCs w:val="20"/>
                <w:color w:val="auto"/>
              </w:rPr>
            </w:pPr>
            <w:r>
              <w:rPr>
                <w:rFonts w:ascii="Arial" w:cs="Arial" w:eastAsia="Arial" w:hAnsi="Arial"/>
                <w:sz w:val="18"/>
                <w:szCs w:val="18"/>
                <w:b w:val="1"/>
                <w:bCs w:val="1"/>
                <w:color w:val="auto"/>
                <w:w w:val="84"/>
              </w:rPr>
              <w:t>S-29</w:t>
            </w:r>
          </w:p>
        </w:tc>
        <w:tc>
          <w:tcPr>
            <w:tcW w:w="0" w:type="dxa"/>
            <w:vAlign w:val="bottom"/>
          </w:tcPr>
          <w:p>
            <w:pPr>
              <w:spacing w:after="0"/>
              <w:rPr>
                <w:sz w:val="1"/>
                <w:szCs w:val="1"/>
                <w:color w:val="auto"/>
              </w:rPr>
            </w:pPr>
          </w:p>
        </w:tc>
      </w:tr>
      <w:tr>
        <w:trPr>
          <w:trHeight w:val="20"/>
        </w:trPr>
        <w:tc>
          <w:tcPr>
            <w:tcW w:w="42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vMerge w:val="restart"/>
          </w:tcPr>
          <w:p>
            <w:pPr>
              <w:ind w:left="1140"/>
              <w:spacing w:after="0"/>
              <w:rPr>
                <w:sz w:val="20"/>
                <w:szCs w:val="20"/>
                <w:color w:val="auto"/>
              </w:rPr>
            </w:pPr>
            <w:r>
              <w:rPr>
                <w:rFonts w:ascii="Arial" w:cs="Arial" w:eastAsia="Arial" w:hAnsi="Arial"/>
                <w:sz w:val="18"/>
                <w:szCs w:val="18"/>
                <w:b w:val="1"/>
                <w:bCs w:val="1"/>
                <w:color w:val="auto"/>
                <w:w w:val="84"/>
              </w:rPr>
              <w:t>S-30</w:t>
            </w:r>
          </w:p>
        </w:tc>
        <w:tc>
          <w:tcPr>
            <w:tcW w:w="0" w:type="dxa"/>
            <w:vAlign w:val="bottom"/>
          </w:tcPr>
          <w:p>
            <w:pPr>
              <w:spacing w:after="0" w:line="20" w:lineRule="exact"/>
              <w:rPr>
                <w:sz w:val="1"/>
                <w:szCs w:val="1"/>
                <w:color w:val="auto"/>
              </w:rPr>
            </w:pPr>
          </w:p>
        </w:tc>
      </w:tr>
      <w:tr>
        <w:trPr>
          <w:trHeight w:val="304"/>
        </w:trPr>
        <w:tc>
          <w:tcPr>
            <w:tcW w:w="9840" w:type="dxa"/>
            <w:vAlign w:val="bottom"/>
            <w:gridSpan w:val="1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Consolidated Statements of Assets and Liabilities as of December 31, 2016 (unaudited) and September 30, 2016</w:t>
              </w:r>
            </w:hyperlink>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140" w:type="dxa"/>
            <w:vAlign w:val="bottom"/>
            <w:tcBorders>
              <w:top w:val="single" w:sz="8" w:color="0000EE"/>
            </w:tcBorders>
            <w:gridSpan w:val="8"/>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Consolidated Statements of Operations for the three months ended December 31, 2016 and 2015 (unaudited)</w:t>
              </w:r>
            </w:hyperlink>
          </w:p>
        </w:tc>
        <w:tc>
          <w:tcPr>
            <w:tcW w:w="1700" w:type="dxa"/>
            <w:vAlign w:val="bottom"/>
            <w:gridSpan w:val="2"/>
          </w:tcPr>
          <w:p>
            <w:pPr>
              <w:spacing w:after="0"/>
              <w:rPr>
                <w:sz w:val="24"/>
                <w:szCs w:val="24"/>
                <w:color w:val="auto"/>
              </w:rPr>
            </w:pPr>
          </w:p>
        </w:tc>
        <w:tc>
          <w:tcPr>
            <w:tcW w:w="1480" w:type="dxa"/>
            <w:vAlign w:val="bottom"/>
          </w:tcPr>
          <w:p>
            <w:pPr>
              <w:ind w:left="1140"/>
              <w:spacing w:after="0"/>
              <w:rPr>
                <w:sz w:val="20"/>
                <w:szCs w:val="20"/>
                <w:color w:val="auto"/>
              </w:rPr>
            </w:pPr>
            <w:r>
              <w:rPr>
                <w:rFonts w:ascii="Arial" w:cs="Arial" w:eastAsia="Arial" w:hAnsi="Arial"/>
                <w:sz w:val="18"/>
                <w:szCs w:val="18"/>
                <w:b w:val="1"/>
                <w:bCs w:val="1"/>
                <w:color w:val="auto"/>
                <w:w w:val="84"/>
              </w:rPr>
              <w:t>S-31</w:t>
            </w:r>
          </w:p>
        </w:tc>
        <w:tc>
          <w:tcPr>
            <w:tcW w:w="0" w:type="dxa"/>
            <w:vAlign w:val="bottom"/>
          </w:tcPr>
          <w:p>
            <w:pPr>
              <w:spacing w:after="0"/>
              <w:rPr>
                <w:sz w:val="1"/>
                <w:szCs w:val="1"/>
                <w:color w:val="auto"/>
              </w:rPr>
            </w:pPr>
          </w:p>
        </w:tc>
      </w:tr>
      <w:tr>
        <w:trPr>
          <w:trHeight w:val="20"/>
        </w:trPr>
        <w:tc>
          <w:tcPr>
            <w:tcW w:w="4300" w:type="dxa"/>
            <w:vAlign w:val="bottom"/>
            <w:gridSpan w:val="4"/>
            <w:shd w:val="clear" w:color="auto" w:fill="0000EE"/>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vMerge w:val="restart"/>
          </w:tcPr>
          <w:p>
            <w:pPr>
              <w:ind w:left="1140"/>
              <w:spacing w:after="0"/>
              <w:rPr>
                <w:sz w:val="20"/>
                <w:szCs w:val="20"/>
                <w:color w:val="auto"/>
              </w:rPr>
            </w:pPr>
            <w:r>
              <w:rPr>
                <w:rFonts w:ascii="Arial" w:cs="Arial" w:eastAsia="Arial" w:hAnsi="Arial"/>
                <w:sz w:val="18"/>
                <w:szCs w:val="18"/>
                <w:b w:val="1"/>
                <w:bCs w:val="1"/>
                <w:color w:val="auto"/>
                <w:w w:val="84"/>
              </w:rPr>
              <w:t>S-32</w:t>
            </w:r>
          </w:p>
        </w:tc>
        <w:tc>
          <w:tcPr>
            <w:tcW w:w="0" w:type="dxa"/>
            <w:vAlign w:val="bottom"/>
          </w:tcPr>
          <w:p>
            <w:pPr>
              <w:spacing w:after="0" w:line="20" w:lineRule="exact"/>
              <w:rPr>
                <w:sz w:val="1"/>
                <w:szCs w:val="1"/>
                <w:color w:val="auto"/>
              </w:rPr>
            </w:pPr>
          </w:p>
        </w:tc>
      </w:tr>
      <w:tr>
        <w:trPr>
          <w:trHeight w:val="304"/>
        </w:trPr>
        <w:tc>
          <w:tcPr>
            <w:tcW w:w="86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Consolidated Statements of Changes in Net Assets for the three months ended December 31, 2016 and 2015 (unaudited)</w:t>
              </w:r>
            </w:hyperlink>
          </w:p>
        </w:tc>
        <w:tc>
          <w:tcPr>
            <w:tcW w:w="11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Consolidated Statements of Cash Flows for the three months ended December 31, 2016 and 2015 (unaudited)</w:t>
              </w:r>
            </w:hyperlink>
          </w:p>
        </w:tc>
        <w:tc>
          <w:tcPr>
            <w:tcW w:w="1940" w:type="dxa"/>
            <w:vAlign w:val="bottom"/>
            <w:gridSpan w:val="3"/>
          </w:tcPr>
          <w:p>
            <w:pPr>
              <w:spacing w:after="0"/>
              <w:rPr>
                <w:sz w:val="24"/>
                <w:szCs w:val="24"/>
                <w:color w:val="auto"/>
              </w:rPr>
            </w:pPr>
          </w:p>
        </w:tc>
        <w:tc>
          <w:tcPr>
            <w:tcW w:w="1480" w:type="dxa"/>
            <w:vAlign w:val="bottom"/>
          </w:tcPr>
          <w:p>
            <w:pPr>
              <w:ind w:left="1140"/>
              <w:spacing w:after="0"/>
              <w:rPr>
                <w:sz w:val="20"/>
                <w:szCs w:val="20"/>
                <w:color w:val="auto"/>
              </w:rPr>
            </w:pPr>
            <w:r>
              <w:rPr>
                <w:rFonts w:ascii="Arial" w:cs="Arial" w:eastAsia="Arial" w:hAnsi="Arial"/>
                <w:sz w:val="18"/>
                <w:szCs w:val="18"/>
                <w:b w:val="1"/>
                <w:bCs w:val="1"/>
                <w:color w:val="auto"/>
                <w:w w:val="84"/>
              </w:rPr>
              <w:t>S-33</w:t>
            </w:r>
          </w:p>
        </w:tc>
        <w:tc>
          <w:tcPr>
            <w:tcW w:w="0" w:type="dxa"/>
            <w:vAlign w:val="bottom"/>
          </w:tcPr>
          <w:p>
            <w:pPr>
              <w:spacing w:after="0"/>
              <w:rPr>
                <w:sz w:val="1"/>
                <w:szCs w:val="1"/>
                <w:color w:val="auto"/>
              </w:rPr>
            </w:pPr>
          </w:p>
        </w:tc>
      </w:tr>
      <w:tr>
        <w:trPr>
          <w:trHeight w:val="304"/>
        </w:trPr>
        <w:tc>
          <w:tcPr>
            <w:tcW w:w="9840" w:type="dxa"/>
            <w:vAlign w:val="bottom"/>
            <w:gridSpan w:val="1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Consolidated Schedules of Investments as of December 31, 2016 (unaudited) and September 30, 2016</w:t>
              </w:r>
            </w:hyperlink>
          </w:p>
        </w:tc>
        <w:tc>
          <w:tcPr>
            <w:tcW w:w="1480" w:type="dxa"/>
            <w:vAlign w:val="bottom"/>
          </w:tcPr>
          <w:p>
            <w:pPr>
              <w:ind w:left="1140"/>
              <w:spacing w:after="0"/>
              <w:rPr>
                <w:sz w:val="20"/>
                <w:szCs w:val="20"/>
                <w:color w:val="auto"/>
              </w:rPr>
            </w:pPr>
            <w:r>
              <w:rPr>
                <w:rFonts w:ascii="Arial" w:cs="Arial" w:eastAsia="Arial" w:hAnsi="Arial"/>
                <w:sz w:val="18"/>
                <w:szCs w:val="18"/>
                <w:b w:val="1"/>
                <w:bCs w:val="1"/>
                <w:color w:val="auto"/>
                <w:w w:val="84"/>
              </w:rPr>
              <w:t>S-34</w:t>
            </w:r>
          </w:p>
        </w:tc>
        <w:tc>
          <w:tcPr>
            <w:tcW w:w="0" w:type="dxa"/>
            <w:vAlign w:val="bottom"/>
          </w:tcPr>
          <w:p>
            <w:pPr>
              <w:spacing w:after="0"/>
              <w:rPr>
                <w:sz w:val="1"/>
                <w:szCs w:val="1"/>
                <w:color w:val="auto"/>
              </w:rPr>
            </w:pPr>
          </w:p>
        </w:tc>
      </w:tr>
      <w:tr>
        <w:trPr>
          <w:trHeight w:val="304"/>
        </w:trPr>
        <w:tc>
          <w:tcPr>
            <w:tcW w:w="7400" w:type="dxa"/>
            <w:vAlign w:val="bottom"/>
            <w:tcBorders>
              <w:top w:val="single" w:sz="8" w:color="0000EE"/>
            </w:tcBorders>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Notes to the Consolidated Financial Statements (unaudited)</w:t>
              </w:r>
            </w:hyperlink>
          </w:p>
        </w:tc>
        <w:tc>
          <w:tcPr>
            <w:tcW w:w="2440" w:type="dxa"/>
            <w:vAlign w:val="bottom"/>
            <w:gridSpan w:val="5"/>
          </w:tcPr>
          <w:p>
            <w:pPr>
              <w:spacing w:after="0"/>
              <w:rPr>
                <w:sz w:val="24"/>
                <w:szCs w:val="24"/>
                <w:color w:val="auto"/>
              </w:rPr>
            </w:pPr>
          </w:p>
        </w:tc>
        <w:tc>
          <w:tcPr>
            <w:tcW w:w="1480" w:type="dxa"/>
            <w:vAlign w:val="bottom"/>
          </w:tcPr>
          <w:p>
            <w:pPr>
              <w:ind w:left="1140"/>
              <w:spacing w:after="0"/>
              <w:rPr>
                <w:sz w:val="20"/>
                <w:szCs w:val="20"/>
                <w:color w:val="auto"/>
              </w:rPr>
            </w:pPr>
            <w:r>
              <w:rPr>
                <w:rFonts w:ascii="Arial" w:cs="Arial" w:eastAsia="Arial" w:hAnsi="Arial"/>
                <w:sz w:val="18"/>
                <w:szCs w:val="18"/>
                <w:b w:val="1"/>
                <w:bCs w:val="1"/>
                <w:color w:val="auto"/>
                <w:w w:val="84"/>
              </w:rPr>
              <w:t>S-40</w:t>
            </w:r>
          </w:p>
        </w:tc>
        <w:tc>
          <w:tcPr>
            <w:tcW w:w="0" w:type="dxa"/>
            <w:vAlign w:val="bottom"/>
          </w:tcPr>
          <w:p>
            <w:pPr>
              <w:spacing w:after="0"/>
              <w:rPr>
                <w:sz w:val="1"/>
                <w:szCs w:val="1"/>
                <w:color w:val="auto"/>
              </w:rPr>
            </w:pPr>
          </w:p>
        </w:tc>
      </w:tr>
      <w:tr>
        <w:trPr>
          <w:trHeight w:val="385"/>
        </w:trPr>
        <w:tc>
          <w:tcPr>
            <w:tcW w:w="13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9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540" w:type="dxa"/>
            <w:vAlign w:val="bottom"/>
            <w:gridSpan w:val="6"/>
          </w:tcPr>
          <w:p>
            <w:pPr>
              <w:ind w:left="1240"/>
              <w:spacing w:after="0"/>
              <w:rPr>
                <w:sz w:val="20"/>
                <w:szCs w:val="20"/>
                <w:color w:val="auto"/>
              </w:rPr>
            </w:pPr>
            <w:r>
              <w:rPr>
                <w:rFonts w:ascii="Arial" w:cs="Arial" w:eastAsia="Arial" w:hAnsi="Arial"/>
                <w:sz w:val="18"/>
                <w:szCs w:val="18"/>
                <w:color w:val="auto"/>
              </w:rPr>
              <w:t>S-28</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reviewed the accompanying consolidated statements of assets and liabilities of PennantPark Floating Rate Capital Ltd. and its Subsidiaries (collectively referred to as the “Company”), including the consolidated schedule of investments, as of December 31, 2016, and the consolidated statements of operations, changes in net assets and cash flows for the three months ended December 31, 2016 and 2015. These consolidated financial statements are the responsibility of the Company’s management.</w:t>
      </w:r>
    </w:p>
    <w:p>
      <w:pPr>
        <w:spacing w:after="0" w:line="18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8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consolidated financial statements referred to above for them to be in conformity with U.S. generally accepted accounting principles.</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the consolidated statement of assets and liabilities of the Company, including the consolidated schedule of investments, as of September 30, 2016, and the related consolidated statements of operations, changes in net assets, and cash flows for the year then ended (not presented herein); and in our report dated November 22, 2016, we expressed an unqualified opinion on those financial statements. In our opinion, the information set forth in the accompanying consolidated statements of assets and liabilities as of December 31, 2016, is fairly stated, in all material respects, in relation to the consolidated statements of assets and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9, 2017</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spacing w:after="0"/>
              <w:rPr>
                <w:sz w:val="20"/>
                <w:szCs w:val="20"/>
                <w:color w:val="auto"/>
              </w:rPr>
            </w:pPr>
            <w:r>
              <w:rPr>
                <w:rFonts w:ascii="Arial" w:cs="Arial" w:eastAsia="Arial" w:hAnsi="Arial"/>
                <w:sz w:val="14"/>
                <w:szCs w:val="14"/>
                <w:b w:val="1"/>
                <w:bCs w:val="1"/>
                <w:color w:val="auto"/>
              </w:rPr>
              <w:t>December 31, 2016</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September 30, 2016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9"/>
              </w:rPr>
              <w:t>(unaudited)</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(cost—$653,340,297 and $597,910,267, respectively)</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656,868,887</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598,887,525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Cash and cash equivalents (cost—$24,201,258 and $28,903,359, respectively)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24,203,565</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28,910,973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3,088,719</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11,357,601</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1,088,475</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1,141,191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696,607,247</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631,420,095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Distributions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2,539,357</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2,539,357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11,827,362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14,935,970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Credit Facility payable (cost—$299,309,500 and $232,907,500, respectively) (See Notes 5 and 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299,859,712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232,389,498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Credit Facility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672,625</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Management fee payable (See Note 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1,595,726</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1,458,625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2,602,140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3,454,914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Accrued other expenses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372,659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319,469,581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255,513,267</w:t>
            </w: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10)</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tcPr>
          <w:p>
            <w:pPr>
              <w:spacing w:after="0" w:line="201" w:lineRule="exact"/>
              <w:rPr>
                <w:sz w:val="20"/>
                <w:szCs w:val="20"/>
                <w:color w:val="auto"/>
              </w:rPr>
            </w:pPr>
            <w:r>
              <w:rPr>
                <w:rFonts w:ascii="Arial" w:cs="Arial" w:eastAsia="Arial" w:hAnsi="Arial"/>
                <w:sz w:val="18"/>
                <w:szCs w:val="18"/>
                <w:color w:val="auto"/>
                <w:w w:val="93"/>
              </w:rPr>
              <w:t>Common stock, 26,730,074 shares issued and outstanding Par value $0.001 per share and 100,000,000 shares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authorized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26,730</w:t>
            </w: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371,194,366</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371,194,366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3,763,272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4,559,646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(827,387)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3,530,897</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Credit Facility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(550,212)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377,137,666</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375,906,828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696,607,247</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631,420,095</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STATEMENTS OF OPERATIONS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11,951,835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8,612,862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679,433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Interest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12,631,268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8,756,480</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Base management fee (See Note 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1,595,727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1,077,741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1,469,369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expenses on Credit Facility (See Note 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1,800,725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561,250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357,500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548,313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340"/>
              <w:spacing w:after="0"/>
              <w:rPr>
                <w:sz w:val="20"/>
                <w:szCs w:val="20"/>
                <w:color w:val="auto"/>
              </w:rPr>
            </w:pPr>
            <w:r>
              <w:rPr>
                <w:rFonts w:ascii="Arial" w:cs="Arial" w:eastAsia="Arial" w:hAnsi="Arial"/>
                <w:sz w:val="18"/>
                <w:szCs w:val="18"/>
                <w:b w:val="1"/>
                <w:bCs w:val="1"/>
                <w:color w:val="auto"/>
              </w:rPr>
              <w:t>Expenses before provision for taxes and amendment costs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5,784,571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2,762,800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Credit Facility amendment costs (See Notes 5 and 9)</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5,809,571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3,670,522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6,821,697</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5,085,958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549,401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(3,232,008)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2,546,025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(708,946)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Credit Facility (appreciation) depreciation (See Notes 5 and 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3"/>
              </w:rPr>
              <w:t>(1,068,214)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601,875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b w:val="1"/>
                <w:bCs w:val="1"/>
                <w:color w:val="auto"/>
              </w:rPr>
              <w:t>Net change in unrealized appreciation (depreciation) on investments and Credit Facility</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1,477,811</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2,027,212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(3,339,079)</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8,848,909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1,746,879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(See Note 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color w:val="auto"/>
              </w:rPr>
              <w:t>Net investment income per common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STATEMENTS OF CHANGES IN NET ASSETS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6,821,697</w:t>
            </w:r>
          </w:p>
        </w:tc>
        <w:tc>
          <w:tcPr>
            <w:tcW w:w="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5,085,958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(loss) on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549,401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2,546,025</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(708,946)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(1,068,214)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601,875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8,848,909</w:t>
            </w:r>
          </w:p>
        </w:tc>
        <w:tc>
          <w:tcPr>
            <w:tcW w:w="6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1,746,879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(7,618,071)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(7,618,071)</w:t>
            </w: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net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1,230,838</w:t>
            </w:r>
          </w:p>
        </w:tc>
        <w:tc>
          <w:tcPr>
            <w:tcW w:w="6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(5,871,192)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Beginning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375,906,828</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372,890,449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377,137,666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367,019,257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340"/>
              <w:spacing w:after="0"/>
              <w:rPr>
                <w:sz w:val="20"/>
                <w:szCs w:val="20"/>
                <w:color w:val="auto"/>
              </w:rPr>
            </w:pPr>
            <w:r>
              <w:rPr>
                <w:rFonts w:ascii="Arial" w:cs="Arial" w:eastAsia="Arial" w:hAnsi="Arial"/>
                <w:sz w:val="18"/>
                <w:szCs w:val="18"/>
                <w:color w:val="auto"/>
              </w:rPr>
              <w:t>Undistributed net investment income, end of period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3,763,272</w:t>
            </w:r>
          </w:p>
        </w:tc>
        <w:tc>
          <w:tcPr>
            <w:tcW w:w="6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STATEMENTS OF CASH FLOWS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Net increase in net assets resulting from operations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8,848,909</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1,746,879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Adjustments to reconcile net increase in net assets resulting from operations to net cash used in operating</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activities:</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rPr>
              <w:t>(2,546,025)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708,946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1,068,214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Net realized (gain) loss on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rPr>
              <w:t>(549,401)</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3,232,008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accretion of discount and amortization of premium</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(425,722)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Purchases of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w w:val="90"/>
              </w:rPr>
              <w:t>(124,826,238)</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(99,199,653)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Payment-in-kind interest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(39,085)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Proceeds from dispositions of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3"/>
          </w:tcPr>
          <w:p>
            <w:pPr>
              <w:jc w:val="right"/>
              <w:ind w:right="660"/>
              <w:spacing w:after="0"/>
              <w:rPr>
                <w:sz w:val="20"/>
                <w:szCs w:val="20"/>
                <w:color w:val="auto"/>
              </w:rPr>
            </w:pPr>
            <w:r>
              <w:rPr>
                <w:rFonts w:ascii="Arial" w:cs="Arial" w:eastAsia="Arial" w:hAnsi="Arial"/>
                <w:sz w:val="18"/>
                <w:szCs w:val="18"/>
                <w:color w:val="auto"/>
              </w:rPr>
              <w:t>70,405,217</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26,860,815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interest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(608,313)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Increase in receivable for investments sold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w w:val="99"/>
              </w:rPr>
              <w:t>(11,357,601)</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(increase) in prepaid expenses and 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52,716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(Decrease) increase in payable for investments purchased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rPr>
              <w:t>(3,108,608)</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1,435,162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interest payable on Credit Facility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140,699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Increase in management fee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137,101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 performance-based incentive fee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(852,774)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Increase (decrease) in accrued other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169,682</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(160,831)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9"/>
              </w:rPr>
              <w:t>(63,491,229)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(66,474,497)</w:t>
            </w:r>
          </w:p>
        </w:tc>
        <w:tc>
          <w:tcPr>
            <w:tcW w:w="0" w:type="dxa"/>
            <w:vAlign w:val="bottom"/>
          </w:tcPr>
          <w:p>
            <w:pPr>
              <w:spacing w:after="0"/>
              <w:rPr>
                <w:sz w:val="1"/>
                <w:szCs w:val="1"/>
                <w:color w:val="auto"/>
              </w:rPr>
            </w:pPr>
          </w:p>
        </w:tc>
      </w:tr>
      <w:tr>
        <w:trPr>
          <w:trHeight w:val="223"/>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Distributions paid to stockholders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(7,618,071)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(7,618,071)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Borrowings under Credit Facility (See Notes 5 and 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3"/>
          </w:tcPr>
          <w:p>
            <w:pPr>
              <w:jc w:val="right"/>
              <w:ind w:right="660"/>
              <w:spacing w:after="0"/>
              <w:rPr>
                <w:sz w:val="20"/>
                <w:szCs w:val="20"/>
                <w:color w:val="auto"/>
              </w:rPr>
            </w:pPr>
            <w:r>
              <w:rPr>
                <w:rFonts w:ascii="Arial" w:cs="Arial" w:eastAsia="Arial" w:hAnsi="Arial"/>
                <w:sz w:val="18"/>
                <w:szCs w:val="18"/>
                <w:color w:val="auto"/>
              </w:rPr>
              <w:t>91,902,000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69,300,000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Repayments under Credit Facility (See Notes 5 and 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9"/>
              </w:rPr>
              <w:t>(25,500,000)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(2,600,000)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58,783,929</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59,081,929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equivalents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(4,707,300)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(7,392,568)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28,910,973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21,428,514</w:t>
            </w:r>
          </w:p>
        </w:tc>
        <w:tc>
          <w:tcPr>
            <w:tcW w:w="0" w:type="dxa"/>
            <w:vAlign w:val="bottom"/>
          </w:tcPr>
          <w:p>
            <w:pPr>
              <w:spacing w:after="0"/>
              <w:rPr>
                <w:sz w:val="1"/>
                <w:szCs w:val="1"/>
                <w:color w:val="auto"/>
              </w:rPr>
            </w:pPr>
          </w:p>
        </w:tc>
      </w:tr>
      <w:tr>
        <w:trPr>
          <w:trHeight w:val="223"/>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24,203,565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14,035,946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Interest paid</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1,660,026</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824,461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paid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340"/>
              <w:spacing w:after="0"/>
              <w:rPr>
                <w:sz w:val="20"/>
                <w:szCs w:val="20"/>
                <w:color w:val="auto"/>
              </w:rPr>
            </w:pPr>
            <w:r>
              <w:rPr>
                <w:rFonts w:ascii="Arial" w:cs="Arial" w:eastAsia="Arial" w:hAnsi="Arial"/>
                <w:sz w:val="18"/>
                <w:szCs w:val="18"/>
                <w:color w:val="auto"/>
              </w:rPr>
              <w:t>Non-cash exchanges and conversions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709,685</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3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Current</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80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Par /</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60" w:type="dxa"/>
            <w:vAlign w:val="bottom"/>
            <w:vMerge w:val="continue"/>
          </w:tcPr>
          <w:p>
            <w:pPr>
              <w:spacing w:after="0"/>
              <w:rPr>
                <w:sz w:val="13"/>
                <w:szCs w:val="13"/>
                <w:color w:val="auto"/>
              </w:rPr>
            </w:pPr>
          </w:p>
        </w:tc>
        <w:tc>
          <w:tcPr>
            <w:tcW w:w="1320" w:type="dxa"/>
            <w:vAlign w:val="bottom"/>
          </w:tcPr>
          <w:p>
            <w:pPr>
              <w:jc w:val="center"/>
              <w:ind w:left="577"/>
              <w:spacing w:after="0"/>
              <w:rPr>
                <w:sz w:val="20"/>
                <w:szCs w:val="20"/>
                <w:color w:val="auto"/>
              </w:rPr>
            </w:pPr>
            <w:r>
              <w:rPr>
                <w:rFonts w:ascii="Arial" w:cs="Arial" w:eastAsia="Arial" w:hAnsi="Arial"/>
                <w:sz w:val="13"/>
                <w:szCs w:val="13"/>
                <w:b w:val="1"/>
                <w:bCs w:val="1"/>
                <w:color w:val="auto"/>
                <w:w w:val="94"/>
              </w:rPr>
              <w:t>Maturity</w:t>
            </w:r>
          </w:p>
        </w:tc>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800" w:type="dxa"/>
            <w:vAlign w:val="bottom"/>
          </w:tcPr>
          <w:p>
            <w:pPr>
              <w:ind w:left="80"/>
              <w:spacing w:after="0"/>
              <w:rPr>
                <w:sz w:val="20"/>
                <w:szCs w:val="20"/>
                <w:color w:val="auto"/>
              </w:rPr>
            </w:pPr>
            <w:r>
              <w:rPr>
                <w:rFonts w:ascii="Arial" w:cs="Arial" w:eastAsia="Arial" w:hAnsi="Arial"/>
                <w:sz w:val="13"/>
                <w:szCs w:val="13"/>
                <w:b w:val="1"/>
                <w:bCs w:val="1"/>
                <w:color w:val="auto"/>
              </w:rPr>
              <w:t>Coupon</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800" w:type="dxa"/>
            <w:vAlign w:val="bottom"/>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940" w:type="dxa"/>
            <w:vAlign w:val="bottom"/>
          </w:tcPr>
          <w:p>
            <w:pPr>
              <w:jc w:val="right"/>
              <w:ind w:right="277"/>
              <w:spacing w:after="0"/>
              <w:rPr>
                <w:sz w:val="20"/>
                <w:szCs w:val="20"/>
                <w:color w:val="auto"/>
              </w:rPr>
            </w:pPr>
            <w:r>
              <w:rPr>
                <w:rFonts w:ascii="Arial" w:cs="Arial" w:eastAsia="Arial" w:hAnsi="Arial"/>
                <w:sz w:val="13"/>
                <w:szCs w:val="13"/>
                <w:b w:val="1"/>
                <w:bCs w:val="1"/>
                <w:color w:val="auto"/>
              </w:rPr>
              <w:t>Cost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9"/>
        </w:trPr>
        <w:tc>
          <w:tcPr>
            <w:tcW w:w="48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6"/>
              </w:rPr>
              <w:t xml:space="preserve">Investments in Non-Controlled, Non-Affiliated Portfolio Companies—174.2% </w:t>
            </w:r>
            <w:r>
              <w:rPr>
                <w:rFonts w:ascii="Arial" w:cs="Arial" w:eastAsia="Arial" w:hAnsi="Arial"/>
                <w:sz w:val="10"/>
                <w:szCs w:val="10"/>
                <w:b w:val="1"/>
                <w:bCs w:val="1"/>
                <w:color w:val="auto"/>
                <w:w w:val="96"/>
              </w:rPr>
              <w:t>(3), (4)</w:t>
            </w:r>
          </w:p>
        </w:tc>
        <w:tc>
          <w:tcPr>
            <w:tcW w:w="20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Debt—159.1%</w:t>
            </w:r>
          </w:p>
        </w:tc>
        <w:tc>
          <w:tcPr>
            <w:tcW w:w="13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Advanced Cable Communications, LLC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08/09/2021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6.75%</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12,468,750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  12,236,628</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  12,344,063</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(8), (10)</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08/09/2021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4,000,000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(40,000)</w:t>
            </w:r>
          </w:p>
        </w:tc>
        <w:tc>
          <w:tcPr>
            <w:tcW w:w="0" w:type="dxa"/>
            <w:vAlign w:val="bottom"/>
          </w:tcPr>
          <w:p>
            <w:pPr>
              <w:spacing w:after="0"/>
              <w:rPr>
                <w:sz w:val="1"/>
                <w:szCs w:val="1"/>
                <w:color w:val="auto"/>
              </w:rPr>
            </w:pPr>
          </w:p>
        </w:tc>
      </w:tr>
      <w:tr>
        <w:trPr>
          <w:trHeight w:val="121"/>
        </w:trPr>
        <w:tc>
          <w:tcPr>
            <w:tcW w:w="3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Alera Group Holdings, Inc.</w:t>
            </w:r>
          </w:p>
        </w:tc>
        <w:tc>
          <w:tcPr>
            <w:tcW w:w="132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6"/>
              </w:rPr>
              <w:t>12/30/2022</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Banking, Finance, Insurance and Real</w:t>
            </w:r>
          </w:p>
        </w:tc>
        <w:tc>
          <w:tcPr>
            <w:tcW w:w="8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8.25%</w:t>
            </w:r>
          </w:p>
        </w:tc>
        <w:tc>
          <w:tcPr>
            <w:tcW w:w="92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P+450</w:t>
            </w:r>
          </w:p>
        </w:tc>
        <w:tc>
          <w:tcPr>
            <w:tcW w:w="8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8,696,374</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8,609,642</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8,609,410</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1"/>
              </w:rPr>
              <w:t>Estate</w:t>
            </w: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line="121" w:lineRule="exact"/>
              <w:rPr>
                <w:sz w:val="20"/>
                <w:szCs w:val="20"/>
                <w:color w:val="auto"/>
              </w:rPr>
            </w:pPr>
            <w:r>
              <w:rPr>
                <w:rFonts w:ascii="Arial" w:cs="Arial" w:eastAsia="Arial" w:hAnsi="Arial"/>
                <w:sz w:val="13"/>
                <w:szCs w:val="13"/>
                <w:color w:val="auto"/>
              </w:rPr>
              <w:t xml:space="preserve">Alera Group Holdings, Inc. (Revolver) </w:t>
            </w:r>
            <w:r>
              <w:rPr>
                <w:rFonts w:ascii="Arial" w:cs="Arial" w:eastAsia="Arial" w:hAnsi="Arial"/>
                <w:sz w:val="10"/>
                <w:szCs w:val="10"/>
                <w:color w:val="auto"/>
              </w:rPr>
              <w:t>(10)</w:t>
            </w:r>
          </w:p>
        </w:tc>
        <w:tc>
          <w:tcPr>
            <w:tcW w:w="1320" w:type="dxa"/>
            <w:vAlign w:val="bottom"/>
          </w:tcPr>
          <w:p>
            <w:pPr>
              <w:jc w:val="center"/>
              <w:ind w:left="577"/>
              <w:spacing w:after="0" w:line="121" w:lineRule="exact"/>
              <w:rPr>
                <w:sz w:val="20"/>
                <w:szCs w:val="20"/>
                <w:color w:val="auto"/>
              </w:rPr>
            </w:pPr>
            <w:r>
              <w:rPr>
                <w:rFonts w:ascii="Arial" w:cs="Arial" w:eastAsia="Arial" w:hAnsi="Arial"/>
                <w:sz w:val="13"/>
                <w:szCs w:val="13"/>
                <w:color w:val="auto"/>
                <w:w w:val="86"/>
              </w:rPr>
              <w:t>12/30/2021</w:t>
            </w:r>
          </w:p>
        </w:tc>
        <w:tc>
          <w:tcPr>
            <w:tcW w:w="2080" w:type="dxa"/>
            <w:vAlign w:val="bottom"/>
          </w:tcPr>
          <w:p>
            <w:pPr>
              <w:jc w:val="center"/>
              <w:spacing w:after="0" w:line="121" w:lineRule="exact"/>
              <w:rPr>
                <w:sz w:val="20"/>
                <w:szCs w:val="20"/>
                <w:color w:val="auto"/>
              </w:rPr>
            </w:pPr>
            <w:r>
              <w:rPr>
                <w:rFonts w:ascii="Arial" w:cs="Arial" w:eastAsia="Arial" w:hAnsi="Arial"/>
                <w:sz w:val="13"/>
                <w:szCs w:val="13"/>
                <w:color w:val="auto"/>
                <w:w w:val="86"/>
              </w:rPr>
              <w:t>Banking, Finance, Insurance and Real</w:t>
            </w:r>
          </w:p>
        </w:tc>
        <w:tc>
          <w:tcPr>
            <w:tcW w:w="8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1,771,962</w:t>
            </w:r>
          </w:p>
        </w:tc>
        <w:tc>
          <w:tcPr>
            <w:tcW w:w="9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80" w:type="dxa"/>
            <w:vAlign w:val="bottom"/>
          </w:tcPr>
          <w:p>
            <w:pPr>
              <w:jc w:val="center"/>
              <w:spacing w:after="0"/>
              <w:rPr>
                <w:sz w:val="20"/>
                <w:szCs w:val="20"/>
                <w:color w:val="auto"/>
              </w:rPr>
            </w:pPr>
            <w:r>
              <w:rPr>
                <w:rFonts w:ascii="Arial" w:cs="Arial" w:eastAsia="Arial" w:hAnsi="Arial"/>
                <w:sz w:val="13"/>
                <w:szCs w:val="13"/>
                <w:color w:val="auto"/>
                <w:w w:val="81"/>
              </w:rPr>
              <w:t>Estate</w:t>
            </w: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Alera Group Holdings, Inc. </w:t>
            </w:r>
            <w:r>
              <w:rPr>
                <w:rFonts w:ascii="Arial" w:cs="Arial" w:eastAsia="Arial" w:hAnsi="Arial"/>
                <w:sz w:val="10"/>
                <w:szCs w:val="10"/>
                <w:color w:val="auto"/>
              </w:rPr>
              <w:t>(10)</w:t>
            </w:r>
          </w:p>
        </w:tc>
        <w:tc>
          <w:tcPr>
            <w:tcW w:w="132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6"/>
              </w:rPr>
              <w:t>12/30/2022</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Banking, Finance, Insurance and Real</w:t>
            </w:r>
          </w:p>
        </w:tc>
        <w:tc>
          <w:tcPr>
            <w:tcW w:w="8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3,510,000</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1"/>
              </w:rPr>
              <w:t>Estate</w:t>
            </w: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ALG USA Holdings, LLC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02/28/2019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12,064,454</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12,041,216</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12,064,454</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Alvogen Pharma US, Inc. </w:t>
            </w:r>
            <w:r>
              <w:rPr>
                <w:rFonts w:ascii="Arial" w:cs="Arial" w:eastAsia="Arial" w:hAnsi="Arial"/>
                <w:sz w:val="10"/>
                <w:szCs w:val="10"/>
                <w:color w:val="auto"/>
              </w:rPr>
              <w:t>(6), (11)</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04/04/2022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3,890,867</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3,873,800</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3,754,686</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American Auto Auction Group, LLC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11/30/2021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Transportation: Consumer</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6.25%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L+525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11,000,000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10,838,502</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10,835,000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American Bath Group, LLC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10/02/2023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6.75%</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2,992,500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2,963,304</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2,988,759</w:t>
            </w:r>
          </w:p>
        </w:tc>
        <w:tc>
          <w:tcPr>
            <w:tcW w:w="0" w:type="dxa"/>
            <w:vAlign w:val="bottom"/>
          </w:tcPr>
          <w:p>
            <w:pPr>
              <w:spacing w:after="0"/>
              <w:rPr>
                <w:sz w:val="1"/>
                <w:szCs w:val="1"/>
                <w:color w:val="auto"/>
              </w:rPr>
            </w:pPr>
          </w:p>
        </w:tc>
      </w:tr>
      <w:tr>
        <w:trPr>
          <w:trHeight w:val="121"/>
        </w:trPr>
        <w:tc>
          <w:tcPr>
            <w:tcW w:w="3560" w:type="dxa"/>
            <w:vAlign w:val="bottom"/>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(8)</w:t>
            </w:r>
          </w:p>
        </w:tc>
        <w:tc>
          <w:tcPr>
            <w:tcW w:w="1320" w:type="dxa"/>
            <w:vAlign w:val="bottom"/>
          </w:tcPr>
          <w:p>
            <w:pPr>
              <w:jc w:val="center"/>
              <w:ind w:left="577"/>
              <w:spacing w:after="0" w:line="121" w:lineRule="exact"/>
              <w:rPr>
                <w:sz w:val="20"/>
                <w:szCs w:val="20"/>
                <w:color w:val="auto"/>
              </w:rPr>
            </w:pPr>
            <w:r>
              <w:rPr>
                <w:rFonts w:ascii="Arial" w:cs="Arial" w:eastAsia="Arial" w:hAnsi="Arial"/>
                <w:sz w:val="13"/>
                <w:szCs w:val="13"/>
                <w:color w:val="auto"/>
                <w:w w:val="86"/>
              </w:rPr>
              <w:t>12/31/2021</w:t>
            </w:r>
          </w:p>
        </w:tc>
        <w:tc>
          <w:tcPr>
            <w:tcW w:w="2080" w:type="dxa"/>
            <w:vAlign w:val="bottom"/>
          </w:tcPr>
          <w:p>
            <w:pPr>
              <w:jc w:val="center"/>
              <w:spacing w:after="0" w:line="121" w:lineRule="exact"/>
              <w:rPr>
                <w:sz w:val="20"/>
                <w:szCs w:val="20"/>
                <w:color w:val="auto"/>
              </w:rPr>
            </w:pPr>
            <w:r>
              <w:rPr>
                <w:rFonts w:ascii="Arial" w:cs="Arial" w:eastAsia="Arial" w:hAnsi="Arial"/>
                <w:sz w:val="13"/>
                <w:szCs w:val="13"/>
                <w:color w:val="auto"/>
                <w:w w:val="89"/>
              </w:rPr>
              <w:t>Metals and Mining</w:t>
            </w:r>
          </w:p>
        </w:tc>
        <w:tc>
          <w:tcPr>
            <w:tcW w:w="8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15.00%</w:t>
            </w:r>
          </w:p>
        </w:tc>
        <w:tc>
          <w:tcPr>
            <w:tcW w:w="920" w:type="dxa"/>
            <w:vAlign w:val="bottom"/>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128,248</w:t>
            </w:r>
          </w:p>
        </w:tc>
        <w:tc>
          <w:tcPr>
            <w:tcW w:w="9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124,139</w:t>
            </w:r>
          </w:p>
        </w:tc>
        <w:tc>
          <w:tcPr>
            <w:tcW w:w="10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128,248</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w w:val="99"/>
              </w:rPr>
              <w:t>(PIK 5.00%)</w:t>
            </w: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American Scaffold</w:t>
            </w:r>
          </w:p>
        </w:tc>
        <w:tc>
          <w:tcPr>
            <w:tcW w:w="1320" w:type="dxa"/>
            <w:vAlign w:val="bottom"/>
            <w:shd w:val="clear" w:color="auto" w:fill="CCEEFF"/>
          </w:tcPr>
          <w:p>
            <w:pPr>
              <w:jc w:val="center"/>
              <w:ind w:left="577"/>
              <w:spacing w:after="0" w:line="138" w:lineRule="exact"/>
              <w:rPr>
                <w:sz w:val="20"/>
                <w:szCs w:val="20"/>
                <w:color w:val="auto"/>
              </w:rPr>
            </w:pPr>
            <w:r>
              <w:rPr>
                <w:rFonts w:ascii="Arial" w:cs="Arial" w:eastAsia="Arial" w:hAnsi="Arial"/>
                <w:sz w:val="13"/>
                <w:szCs w:val="13"/>
                <w:color w:val="auto"/>
                <w:w w:val="86"/>
              </w:rPr>
              <w:t>03/31/2022</w:t>
            </w:r>
          </w:p>
        </w:tc>
        <w:tc>
          <w:tcPr>
            <w:tcW w:w="20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4"/>
              </w:rPr>
              <w:t>Aerospace and Defense</w:t>
            </w:r>
          </w:p>
        </w:tc>
        <w:tc>
          <w:tcPr>
            <w:tcW w:w="800" w:type="dxa"/>
            <w:vAlign w:val="bottom"/>
            <w:shd w:val="clear" w:color="auto" w:fill="CCEEFF"/>
          </w:tcPr>
          <w:p>
            <w:pPr>
              <w:jc w:val="right"/>
              <w:ind w:right="57"/>
              <w:spacing w:after="0" w:line="138" w:lineRule="exact"/>
              <w:rPr>
                <w:sz w:val="20"/>
                <w:szCs w:val="20"/>
                <w:color w:val="auto"/>
              </w:rPr>
            </w:pPr>
            <w:r>
              <w:rPr>
                <w:rFonts w:ascii="Arial" w:cs="Arial" w:eastAsia="Arial" w:hAnsi="Arial"/>
                <w:sz w:val="13"/>
                <w:szCs w:val="13"/>
                <w:color w:val="auto"/>
              </w:rPr>
              <w:t>7.50%</w:t>
            </w:r>
          </w:p>
        </w:tc>
        <w:tc>
          <w:tcPr>
            <w:tcW w:w="920" w:type="dxa"/>
            <w:vAlign w:val="bottom"/>
            <w:shd w:val="clear" w:color="auto" w:fill="CCEEFF"/>
          </w:tcPr>
          <w:p>
            <w:pPr>
              <w:jc w:val="right"/>
              <w:ind w:right="37"/>
              <w:spacing w:after="0" w:line="138" w:lineRule="exact"/>
              <w:rPr>
                <w:sz w:val="20"/>
                <w:szCs w:val="20"/>
                <w:color w:val="auto"/>
              </w:rPr>
            </w:pPr>
            <w:r>
              <w:rPr>
                <w:rFonts w:ascii="Arial" w:cs="Arial" w:eastAsia="Arial" w:hAnsi="Arial"/>
                <w:sz w:val="13"/>
                <w:szCs w:val="13"/>
                <w:color w:val="auto"/>
              </w:rPr>
              <w:t>L+650</w:t>
            </w:r>
          </w:p>
        </w:tc>
        <w:tc>
          <w:tcPr>
            <w:tcW w:w="800" w:type="dxa"/>
            <w:vAlign w:val="bottom"/>
            <w:shd w:val="clear" w:color="auto" w:fill="CCEEFF"/>
          </w:tcPr>
          <w:p>
            <w:pPr>
              <w:jc w:val="right"/>
              <w:ind w:right="17"/>
              <w:spacing w:after="0" w:line="138" w:lineRule="exact"/>
              <w:rPr>
                <w:sz w:val="20"/>
                <w:szCs w:val="20"/>
                <w:color w:val="auto"/>
              </w:rPr>
            </w:pPr>
            <w:r>
              <w:rPr>
                <w:rFonts w:ascii="Arial" w:cs="Arial" w:eastAsia="Arial" w:hAnsi="Arial"/>
                <w:sz w:val="13"/>
                <w:szCs w:val="13"/>
                <w:color w:val="auto"/>
              </w:rPr>
              <w:t>4,906,250</w:t>
            </w:r>
          </w:p>
        </w:tc>
        <w:tc>
          <w:tcPr>
            <w:tcW w:w="940" w:type="dxa"/>
            <w:vAlign w:val="bottom"/>
            <w:shd w:val="clear" w:color="auto" w:fill="CCEEFF"/>
          </w:tcPr>
          <w:p>
            <w:pPr>
              <w:jc w:val="right"/>
              <w:ind w:right="17"/>
              <w:spacing w:after="0" w:line="138" w:lineRule="exact"/>
              <w:rPr>
                <w:sz w:val="20"/>
                <w:szCs w:val="20"/>
                <w:color w:val="auto"/>
              </w:rPr>
            </w:pPr>
            <w:r>
              <w:rPr>
                <w:rFonts w:ascii="Arial" w:cs="Arial" w:eastAsia="Arial" w:hAnsi="Arial"/>
                <w:sz w:val="13"/>
                <w:szCs w:val="13"/>
                <w:color w:val="auto"/>
              </w:rPr>
              <w:t>4,838,361</w:t>
            </w:r>
          </w:p>
        </w:tc>
        <w:tc>
          <w:tcPr>
            <w:tcW w:w="100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4,857,188</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American Teleconferencing Services, Ltd.</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12/08/2021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7.50%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6,997,280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6,787,362</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6,809,263</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AMF Bowling Centers, Inc.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09/19/2023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14,962,500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14,818,503</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14,915,817</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Anesthesia Consulting &amp; Management, LP</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10/31/2022</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4,000,000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3,960,604</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3,970,000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Anesthesia Consulting &amp; Management, LP </w:t>
            </w:r>
            <w:r>
              <w:rPr>
                <w:rFonts w:ascii="Arial" w:cs="Arial" w:eastAsia="Arial" w:hAnsi="Arial"/>
                <w:sz w:val="10"/>
                <w:szCs w:val="10"/>
                <w:color w:val="auto"/>
              </w:rPr>
              <w:t>(8), (10)</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10/31/2022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1,000,000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(7,500)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12/21/2020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9.25%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L+825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6,518,078</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6,444,893</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6,474,603</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API Technologies Corp.</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04/22/2022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7.50%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9,950,000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9,770,591</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9,800,750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06/03/2021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2,425,000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2,384,579</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2,425,000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06/03/2021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13.50%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L+1,225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2,450,000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2,407,862</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2,450,000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Camin Cargo Control, Inc.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06/30/2021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Transportation: Cargo</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2,462,500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2,442,994</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2,364,000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Cardenas Markets LLC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11/29/2023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Beverage, Food and Tobacco</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6.75%</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7,500,000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7,425,830</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7,500,000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07/02/2020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8.25%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4,950,000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4,921,411</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4,950,000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CD&amp;R TZ Purchaser, Inc.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07/21/2023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12,468,750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12,158,895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12,531,094</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12/24/2019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3,948,750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3,916,040</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3,474,900</w:t>
            </w:r>
          </w:p>
        </w:tc>
        <w:tc>
          <w:tcPr>
            <w:tcW w:w="0" w:type="dxa"/>
            <w:vAlign w:val="bottom"/>
          </w:tcPr>
          <w:p>
            <w:pPr>
              <w:spacing w:after="0"/>
              <w:rPr>
                <w:sz w:val="1"/>
                <w:szCs w:val="1"/>
                <w:color w:val="auto"/>
              </w:rPr>
            </w:pPr>
          </w:p>
        </w:tc>
      </w:tr>
      <w:tr>
        <w:trPr>
          <w:trHeight w:val="121"/>
        </w:trPr>
        <w:tc>
          <w:tcPr>
            <w:tcW w:w="3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132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6"/>
              </w:rPr>
              <w:t>01/08/2019</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7.50%</w:t>
            </w:r>
          </w:p>
        </w:tc>
        <w:tc>
          <w:tcPr>
            <w:tcW w:w="92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L+625</w:t>
            </w:r>
          </w:p>
        </w:tc>
        <w:tc>
          <w:tcPr>
            <w:tcW w:w="8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4,757,143</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4,732,576</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4,566,857</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Corfin Industries LLC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11/25/2020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10.75%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L+975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6,256,800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6,153,773</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6,256,800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(8), (10)</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11/25/2020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518,033</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CRGT Inc.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12/21/2020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7.50%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9,712,731</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9,642,729</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9,688,450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Curo Health Services Holdings, Inc.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02/07/2022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1,965,000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1,949,694</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1,974,825</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DBI Holding LLC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08/02/2021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6.25%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L+525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9,975,000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9,879,526</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9,975,000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DCS Business Services, Inc.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03/19/2018</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8.75%</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L+725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1,971,104</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1,962,737</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1,971,104</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DISA Global Solutions, Inc.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12/09/2020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L+450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4,912,500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4,878,704</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4,863,375</w:t>
            </w:r>
          </w:p>
        </w:tc>
        <w:tc>
          <w:tcPr>
            <w:tcW w:w="0" w:type="dxa"/>
            <w:vAlign w:val="bottom"/>
          </w:tcPr>
          <w:p>
            <w:pPr>
              <w:spacing w:after="0"/>
              <w:rPr>
                <w:sz w:val="1"/>
                <w:szCs w:val="1"/>
                <w:color w:val="auto"/>
              </w:rPr>
            </w:pPr>
          </w:p>
        </w:tc>
      </w:tr>
      <w:tr>
        <w:trPr>
          <w:trHeight w:val="121"/>
        </w:trPr>
        <w:tc>
          <w:tcPr>
            <w:tcW w:w="3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Digital Room LLC</w:t>
            </w:r>
          </w:p>
        </w:tc>
        <w:tc>
          <w:tcPr>
            <w:tcW w:w="132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6"/>
              </w:rPr>
              <w:t>11/21/2022</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L+600</w:t>
            </w:r>
          </w:p>
        </w:tc>
        <w:tc>
          <w:tcPr>
            <w:tcW w:w="8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7,000,000</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6,861,733</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6,860,000</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06/30/2020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4,625,000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4,598,277</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4,625,000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Driven Performance Brands, Inc. </w:t>
            </w:r>
            <w:r>
              <w:rPr>
                <w:rFonts w:ascii="Arial" w:cs="Arial" w:eastAsia="Arial" w:hAnsi="Arial"/>
                <w:sz w:val="10"/>
                <w:szCs w:val="10"/>
                <w:color w:val="auto"/>
              </w:rPr>
              <w:t>(8)</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09/10/2020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8,437,500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8,403,778</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8,437,500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Driven Performance Brands, Inc. (Revolver) </w:t>
            </w:r>
            <w:r>
              <w:rPr>
                <w:rFonts w:ascii="Arial" w:cs="Arial" w:eastAsia="Arial" w:hAnsi="Arial"/>
                <w:sz w:val="10"/>
                <w:szCs w:val="10"/>
                <w:color w:val="auto"/>
              </w:rPr>
              <w:t>(8), (10)</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09/10/2020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1,000,000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Education Networks of America, Inc.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05/06/2021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8,586,957</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8,546,784</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8,544,021</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Education Networks of America, Inc. (Revolver) </w:t>
            </w:r>
            <w:r>
              <w:rPr>
                <w:rFonts w:ascii="Arial" w:cs="Arial" w:eastAsia="Arial" w:hAnsi="Arial"/>
                <w:sz w:val="10"/>
                <w:szCs w:val="10"/>
                <w:color w:val="auto"/>
              </w:rPr>
              <w:t>(8), (10)</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05/06/2021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1,304,348</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Efficient Collaborative Retail Marketing Company, LLC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06/15/2022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7.75%</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L+675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10,548,335</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10,449,705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10,548,336</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Emerging Markets Communications, LLC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07/01/2021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6.75%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4,925,000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4,866,496</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4,801,875</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FHC Health Systems, Inc.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12/23/2021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L+400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2,917,576</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2,894,365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2,830,049</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Greenway Health, LLC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11/04/2020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6,618,092</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6,577,992</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6,551,911</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GTCR Valor Companies, Inc.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06/16/2023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Media: Broadcasting and Subscription</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7,462,500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7,182,715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7,376,234</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Highline Aftermarket Acquisition, LLC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04/01/2022</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Wholesale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7,218,750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7,154,171</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7,236,797</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10/21/2020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1,165,886</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1,153,558</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1,142,569</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Hostway Corporation</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12/13/2019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2,587,871</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2,573,570</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2,208,572</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Hunter Defense Technologies, Inc. </w:t>
            </w:r>
            <w:r>
              <w:rPr>
                <w:rFonts w:ascii="Arial" w:cs="Arial" w:eastAsia="Arial" w:hAnsi="Arial"/>
                <w:sz w:val="10"/>
                <w:szCs w:val="10"/>
                <w:color w:val="auto"/>
              </w:rPr>
              <w:t>(8)</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08/05/2019</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6,125,000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6,093,462</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5,512,500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(11)</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11/04/2020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L+625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6,208,320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6,121,045</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6,208,320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Idera, Inc.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04/09/2021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7,922,492</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7,305,337</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7,902,685</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(11)</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05/01/2019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8,321,542</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8,268,965</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7,988,680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IGM RFE1 B.V. </w:t>
            </w:r>
            <w:r>
              <w:rPr>
                <w:rFonts w:ascii="Arial" w:cs="Arial" w:eastAsia="Arial" w:hAnsi="Arial"/>
                <w:sz w:val="10"/>
                <w:szCs w:val="10"/>
                <w:color w:val="auto"/>
              </w:rPr>
              <w:t>(6), (11), (12)</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10/12/2021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E+000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6"/>
              </w:rPr>
              <w:t>€17,390,625</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18,075,816</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18,342,797</w:t>
            </w:r>
          </w:p>
        </w:tc>
        <w:tc>
          <w:tcPr>
            <w:tcW w:w="0" w:type="dxa"/>
            <w:vAlign w:val="bottom"/>
          </w:tcPr>
          <w:p>
            <w:pPr>
              <w:spacing w:after="0"/>
              <w:rPr>
                <w:sz w:val="1"/>
                <w:szCs w:val="1"/>
                <w:color w:val="auto"/>
              </w:rPr>
            </w:pPr>
          </w:p>
        </w:tc>
      </w:tr>
      <w:tr>
        <w:trPr>
          <w:trHeight w:val="121"/>
        </w:trPr>
        <w:tc>
          <w:tcPr>
            <w:tcW w:w="3560" w:type="dxa"/>
            <w:vAlign w:val="bottom"/>
          </w:tcPr>
          <w:p>
            <w:pPr>
              <w:spacing w:after="0" w:line="121" w:lineRule="exact"/>
              <w:rPr>
                <w:sz w:val="20"/>
                <w:szCs w:val="20"/>
                <w:color w:val="auto"/>
              </w:rPr>
            </w:pPr>
            <w:r>
              <w:rPr>
                <w:rFonts w:ascii="Arial" w:cs="Arial" w:eastAsia="Arial" w:hAnsi="Arial"/>
                <w:sz w:val="13"/>
                <w:szCs w:val="13"/>
                <w:color w:val="auto"/>
              </w:rPr>
              <w:t>Imagine! Print Solutions, LLC</w:t>
            </w:r>
          </w:p>
        </w:tc>
        <w:tc>
          <w:tcPr>
            <w:tcW w:w="1320" w:type="dxa"/>
            <w:vAlign w:val="bottom"/>
          </w:tcPr>
          <w:p>
            <w:pPr>
              <w:jc w:val="center"/>
              <w:ind w:left="577"/>
              <w:spacing w:after="0" w:line="121" w:lineRule="exact"/>
              <w:rPr>
                <w:sz w:val="20"/>
                <w:szCs w:val="20"/>
                <w:color w:val="auto"/>
              </w:rPr>
            </w:pPr>
            <w:r>
              <w:rPr>
                <w:rFonts w:ascii="Arial" w:cs="Arial" w:eastAsia="Arial" w:hAnsi="Arial"/>
                <w:sz w:val="13"/>
                <w:szCs w:val="13"/>
                <w:color w:val="auto"/>
                <w:w w:val="86"/>
              </w:rPr>
              <w:t>03/30/2022</w:t>
            </w:r>
          </w:p>
        </w:tc>
        <w:tc>
          <w:tcPr>
            <w:tcW w:w="208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7.00%</w:t>
            </w:r>
          </w:p>
        </w:tc>
        <w:tc>
          <w:tcPr>
            <w:tcW w:w="920" w:type="dxa"/>
            <w:vAlign w:val="bottom"/>
          </w:tcPr>
          <w:p>
            <w:pPr>
              <w:jc w:val="right"/>
              <w:ind w:right="37"/>
              <w:spacing w:after="0" w:line="121" w:lineRule="exact"/>
              <w:rPr>
                <w:sz w:val="20"/>
                <w:szCs w:val="20"/>
                <w:color w:val="auto"/>
              </w:rPr>
            </w:pPr>
            <w:r>
              <w:rPr>
                <w:rFonts w:ascii="Arial" w:cs="Arial" w:eastAsia="Arial" w:hAnsi="Arial"/>
                <w:sz w:val="13"/>
                <w:szCs w:val="13"/>
                <w:color w:val="auto"/>
              </w:rPr>
              <w:t>L+600</w:t>
            </w:r>
          </w:p>
        </w:tc>
        <w:tc>
          <w:tcPr>
            <w:tcW w:w="8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5,959,975</w:t>
            </w:r>
          </w:p>
        </w:tc>
        <w:tc>
          <w:tcPr>
            <w:tcW w:w="9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5,902,236</w:t>
            </w:r>
          </w:p>
        </w:tc>
        <w:tc>
          <w:tcPr>
            <w:tcW w:w="10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6,049,375</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8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Impact Sales, LLC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12/30/2021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Wholesale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11,250,000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11,250,000</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11,250,000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Impact Sales, LLC </w:t>
            </w:r>
            <w:r>
              <w:rPr>
                <w:rFonts w:ascii="Arial" w:cs="Arial" w:eastAsia="Arial" w:hAnsi="Arial"/>
                <w:sz w:val="10"/>
                <w:szCs w:val="10"/>
                <w:color w:val="auto"/>
              </w:rPr>
              <w:t>(10)</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12/31/2018</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Wholesale</w:t>
            </w:r>
          </w:p>
        </w:tc>
        <w:tc>
          <w:tcPr>
            <w:tcW w:w="8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3,750,000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A</w:t>
            </w:r>
          </w:p>
        </w:tc>
        <w:tc>
          <w:tcPr>
            <w:tcW w:w="132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6"/>
              </w:rPr>
              <w:t>03/28/2019</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5.50%</w:t>
            </w:r>
          </w:p>
        </w:tc>
        <w:tc>
          <w:tcPr>
            <w:tcW w:w="92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L+450</w:t>
            </w:r>
          </w:p>
        </w:tc>
        <w:tc>
          <w:tcPr>
            <w:tcW w:w="8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5,256,439</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5,218,146</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5,256,439</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line="121" w:lineRule="exact"/>
              <w:rPr>
                <w:sz w:val="20"/>
                <w:szCs w:val="20"/>
                <w:color w:val="auto"/>
              </w:rPr>
            </w:pPr>
            <w:r>
              <w:rPr>
                <w:rFonts w:ascii="Arial" w:cs="Arial" w:eastAsia="Arial" w:hAnsi="Arial"/>
                <w:sz w:val="13"/>
                <w:szCs w:val="13"/>
                <w:color w:val="auto"/>
              </w:rPr>
              <w:t>Instant Web, LLC, Term Loan B</w:t>
            </w:r>
          </w:p>
        </w:tc>
        <w:tc>
          <w:tcPr>
            <w:tcW w:w="1320" w:type="dxa"/>
            <w:vAlign w:val="bottom"/>
          </w:tcPr>
          <w:p>
            <w:pPr>
              <w:jc w:val="center"/>
              <w:ind w:left="577"/>
              <w:spacing w:after="0" w:line="121" w:lineRule="exact"/>
              <w:rPr>
                <w:sz w:val="20"/>
                <w:szCs w:val="20"/>
                <w:color w:val="auto"/>
              </w:rPr>
            </w:pPr>
            <w:r>
              <w:rPr>
                <w:rFonts w:ascii="Arial" w:cs="Arial" w:eastAsia="Arial" w:hAnsi="Arial"/>
                <w:sz w:val="13"/>
                <w:szCs w:val="13"/>
                <w:color w:val="auto"/>
                <w:w w:val="86"/>
              </w:rPr>
              <w:t>03/28/2019</w:t>
            </w:r>
          </w:p>
        </w:tc>
        <w:tc>
          <w:tcPr>
            <w:tcW w:w="208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12.00%</w:t>
            </w:r>
          </w:p>
        </w:tc>
        <w:tc>
          <w:tcPr>
            <w:tcW w:w="920" w:type="dxa"/>
            <w:vAlign w:val="bottom"/>
          </w:tcPr>
          <w:p>
            <w:pPr>
              <w:jc w:val="right"/>
              <w:ind w:right="37"/>
              <w:spacing w:after="0" w:line="121" w:lineRule="exact"/>
              <w:rPr>
                <w:sz w:val="20"/>
                <w:szCs w:val="20"/>
                <w:color w:val="auto"/>
              </w:rPr>
            </w:pPr>
            <w:r>
              <w:rPr>
                <w:rFonts w:ascii="Arial" w:cs="Arial" w:eastAsia="Arial" w:hAnsi="Arial"/>
                <w:sz w:val="13"/>
                <w:szCs w:val="13"/>
                <w:color w:val="auto"/>
              </w:rPr>
              <w:t>L+1,100</w:t>
            </w:r>
          </w:p>
        </w:tc>
        <w:tc>
          <w:tcPr>
            <w:tcW w:w="8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4,500,000</w:t>
            </w:r>
          </w:p>
        </w:tc>
        <w:tc>
          <w:tcPr>
            <w:tcW w:w="9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4,464,349</w:t>
            </w:r>
          </w:p>
        </w:tc>
        <w:tc>
          <w:tcPr>
            <w:tcW w:w="10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8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Interior Specialists, Inc.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06/30/2020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6,628,398</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6,579,255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6,628,398</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Inventus Power, Inc.</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04/30/2020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4,882,266</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4,849,446</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4,638,153</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Jackson Hewitt Inc.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07/30/2020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4,900,000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4,825,770</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4,697,875</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132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02/19/2021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L+900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4,002,471</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3,934,894</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3,927,550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Kendra Scott, LLC</w:t>
            </w:r>
          </w:p>
        </w:tc>
        <w:tc>
          <w:tcPr>
            <w:tcW w:w="132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07/17/2020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2,812,500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2,791,567</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2,784,375</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20"/>
                <w:szCs w:val="20"/>
                <w:color w:val="auto"/>
              </w:rPr>
            </w:pPr>
            <w:r>
              <w:rPr>
                <w:rFonts w:ascii="Arial" w:cs="Arial" w:eastAsia="Arial" w:hAnsi="Arial"/>
                <w:sz w:val="13"/>
                <w:szCs w:val="13"/>
                <w:color w:val="auto"/>
              </w:rPr>
              <w:t>KHC Holdings, Inc.</w:t>
            </w:r>
          </w:p>
        </w:tc>
        <w:tc>
          <w:tcPr>
            <w:tcW w:w="1320" w:type="dxa"/>
            <w:vAlign w:val="bottom"/>
          </w:tcPr>
          <w:p>
            <w:pPr>
              <w:jc w:val="center"/>
              <w:ind w:left="577"/>
              <w:spacing w:after="0"/>
              <w:rPr>
                <w:sz w:val="20"/>
                <w:szCs w:val="20"/>
                <w:color w:val="auto"/>
              </w:rPr>
            </w:pPr>
            <w:r>
              <w:rPr>
                <w:rFonts w:ascii="Arial" w:cs="Arial" w:eastAsia="Arial" w:hAnsi="Arial"/>
                <w:sz w:val="13"/>
                <w:szCs w:val="13"/>
                <w:color w:val="auto"/>
                <w:w w:val="86"/>
              </w:rPr>
              <w:t>10/31/2022</w:t>
            </w:r>
          </w:p>
        </w:tc>
        <w:tc>
          <w:tcPr>
            <w:tcW w:w="2080" w:type="dxa"/>
            <w:vAlign w:val="bottom"/>
          </w:tcPr>
          <w:p>
            <w:pPr>
              <w:jc w:val="center"/>
              <w:spacing w:after="0"/>
              <w:rPr>
                <w:sz w:val="20"/>
                <w:szCs w:val="20"/>
                <w:color w:val="auto"/>
              </w:rPr>
            </w:pPr>
            <w:r>
              <w:rPr>
                <w:rFonts w:ascii="Arial" w:cs="Arial" w:eastAsia="Arial" w:hAnsi="Arial"/>
                <w:sz w:val="13"/>
                <w:szCs w:val="13"/>
                <w:color w:val="auto"/>
                <w:w w:val="88"/>
              </w:rPr>
              <w:t>Wholesale</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7.00%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L+600</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12,375,000</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12,186,813</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12,375,000</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4"/>
              </w:rPr>
              <w:t>Basis Point</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Issuer Name</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Current</w:t>
            </w: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Spread Above</w:t>
            </w: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Par /</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40" w:type="dxa"/>
            <w:vAlign w:val="bottom"/>
            <w:gridSpan w:val="3"/>
            <w:vMerge w:val="continue"/>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2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Industry</w:t>
            </w: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Coupon</w:t>
            </w:r>
          </w:p>
        </w:tc>
        <w:tc>
          <w:tcPr>
            <w:tcW w:w="11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Shares</w:t>
            </w:r>
          </w:p>
        </w:tc>
        <w:tc>
          <w:tcPr>
            <w:tcW w:w="8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 xml:space="preserve">Fair Value </w:t>
            </w:r>
            <w:r>
              <w:rPr>
                <w:rFonts w:ascii="Arial" w:cs="Arial" w:eastAsia="Arial" w:hAnsi="Arial"/>
                <w:sz w:val="10"/>
                <w:szCs w:val="10"/>
                <w:b w:val="1"/>
                <w:bCs w:val="1"/>
                <w:color w:val="auto"/>
                <w:w w:val="99"/>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 xml:space="preserve">KHC Holdings, Inc. (Revolver) </w:t>
            </w:r>
            <w:r>
              <w:rPr>
                <w:rFonts w:ascii="Arial" w:cs="Arial" w:eastAsia="Arial" w:hAnsi="Arial"/>
                <w:sz w:val="10"/>
                <w:szCs w:val="10"/>
                <w:color w:val="auto"/>
              </w:rPr>
              <w:t>(8), (10)</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10/30/2020</w:t>
            </w:r>
          </w:p>
        </w:tc>
        <w:tc>
          <w:tcPr>
            <w:tcW w:w="20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Wholesale</w:t>
            </w:r>
          </w:p>
        </w:tc>
        <w:tc>
          <w:tcPr>
            <w:tcW w:w="2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1,209,677</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Lago Resort &amp; Casino, LLC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03/07/2022</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9"/>
              </w:rPr>
              <w:t>Hotel, Gaming and Leisure</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L+950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10,200,000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8"/>
              </w:rPr>
              <w:t>10,017,217</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10,200,000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11/30/2018</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L+525</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5,392,148</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5,356,439</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5,203,422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Lombart Brothers, Inc.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04/13/2022</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L+650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5,970,000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5,889,619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5,970,000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Lombart Brothers, Inc. (Revolver) </w:t>
            </w:r>
            <w:r>
              <w:rPr>
                <w:rFonts w:ascii="Arial" w:cs="Arial" w:eastAsia="Arial" w:hAnsi="Arial"/>
                <w:sz w:val="10"/>
                <w:szCs w:val="10"/>
                <w:color w:val="auto"/>
              </w:rPr>
              <w:t>(8), (10)</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04/13/2022</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1,238,938</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Long’s Drugs Incorporated</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08/19/2021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6.25%</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L+525</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4,987,500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4,941,570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4,937,625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LSF9 Atlantis Holdings, LLC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01/15/2021</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90"/>
              </w:rPr>
              <w:t>Retail</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10.00%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L+900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9,420,054</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9,301,704</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9,420,054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Marketplace Events LLC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01/27/2021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6.25%</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L+525</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3,402,920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3,353,135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3,385,905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Marketplace Events LLC </w:t>
            </w:r>
            <w:r>
              <w:rPr>
                <w:rFonts w:ascii="Arial" w:cs="Arial" w:eastAsia="Arial" w:hAnsi="Arial"/>
                <w:sz w:val="10"/>
                <w:szCs w:val="10"/>
                <w:color w:val="auto"/>
              </w:rPr>
              <w:t>(12)</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01/27/2021</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6.25%</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P+275</w:t>
            </w:r>
          </w:p>
        </w:tc>
        <w:tc>
          <w:tcPr>
            <w:tcW w:w="96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color w:val="auto"/>
                <w:w w:val="85"/>
              </w:rPr>
              <w:t>C$17,200,829</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8"/>
              </w:rPr>
              <w:t>12,043,641</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12,762,251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 (10)</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01/27/2021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1,703,163</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Mission Critical Electronics, Inc. </w:t>
            </w:r>
            <w:r>
              <w:rPr>
                <w:rFonts w:ascii="Arial" w:cs="Arial" w:eastAsia="Arial" w:hAnsi="Arial"/>
                <w:sz w:val="10"/>
                <w:szCs w:val="10"/>
                <w:color w:val="auto"/>
              </w:rPr>
              <w:t>(8)</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09/28/2022</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4,106,316</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4,067,156</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4,072,029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Mission Critical Electronics, Inc. (Revolver) </w:t>
            </w:r>
            <w:r>
              <w:rPr>
                <w:rFonts w:ascii="Arial" w:cs="Arial" w:eastAsia="Arial" w:hAnsi="Arial"/>
                <w:sz w:val="10"/>
                <w:szCs w:val="10"/>
                <w:color w:val="auto"/>
              </w:rPr>
              <w:t>(8), (10)</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09/28/2021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883,392</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(11,793)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Trident HoldCorp, Inc.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07/31/2019</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7.00%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L+575</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8,792,647</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8,748,099</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7,895,797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08/19/2022</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L+500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6,463,433</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6,402,888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6,463,433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 (10)</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08/19/2022</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3,520,896</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Polycom, Inc.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09/27/2023</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Telecommunications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L+650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5,802,500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5,575,908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5,824,259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Precyse Acquisition Corp.</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10/20/2022</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L+550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4,977,494</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4,910,610</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5,033,491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Premier Dental Services, Inc.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11/01/2018</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6"/>
              </w:rPr>
              <w:t>Consumer Services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L+650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7,528,230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7,474,965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7,471,768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Profile Products LLC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05/20/2021</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8"/>
              </w:rPr>
              <w:t>Environmental Industries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5.75%</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L+475</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7,234,631</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7,178,888</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7,234,631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 (10)</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05/20/2020</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Environmental Industries</w:t>
            </w: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2,459,016</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PT Network, LLC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11/30/2021</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7.50%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L+650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7,800,000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7,723,967</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7,722,000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PT Network, LLC </w:t>
            </w:r>
            <w:r>
              <w:rPr>
                <w:rFonts w:ascii="Arial" w:cs="Arial" w:eastAsia="Arial" w:hAnsi="Arial"/>
                <w:sz w:val="10"/>
                <w:szCs w:val="10"/>
                <w:color w:val="auto"/>
              </w:rPr>
              <w:t>(8), (10)</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11/30/2021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3,000,000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Quick Weight Loss Centers, LLC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08/23/2021</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5"/>
              </w:rPr>
              <w:t>Beverage, Food and Tobacco</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5.75%</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L+475</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10,000,000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9,858,256</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9,950,000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Research Now Group, Inc.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03/18/2021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High Tech Industries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L+450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6,877,500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6,851,967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6,774,338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06/18/2019</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Consumer Goods: Durable</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8.50%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L+700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4,245,684</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4,228,328</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4,189,615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Ryan, LLC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08/07/2020</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6.75%</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L+575</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4,162,500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4,114,022</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4,123,497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Snak Club, LLC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07/19/2021</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5"/>
              </w:rPr>
              <w:t>Beverage, Food and Tobacco</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4,937,495</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4,868,948</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4,912,808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Snak Club, LLC (Revolver) </w:t>
            </w:r>
            <w:r>
              <w:rPr>
                <w:rFonts w:ascii="Arial" w:cs="Arial" w:eastAsia="Arial" w:hAnsi="Arial"/>
                <w:sz w:val="10"/>
                <w:szCs w:val="10"/>
                <w:color w:val="auto"/>
              </w:rPr>
              <w:t>(8)</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07/19/2021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5"/>
              </w:rPr>
              <w:t>Beverage, Food and Tobacco</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L+500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350,000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350,000</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Snak Club, LLC (Revolver) </w:t>
            </w:r>
            <w:r>
              <w:rPr>
                <w:rFonts w:ascii="Arial" w:cs="Arial" w:eastAsia="Arial" w:hAnsi="Arial"/>
                <w:sz w:val="10"/>
                <w:szCs w:val="10"/>
                <w:color w:val="auto"/>
              </w:rPr>
              <w:t>(8), (10)</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07/19/2021</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5"/>
              </w:rPr>
              <w:t>Beverage, Food and Tobacco</w:t>
            </w:r>
          </w:p>
        </w:tc>
        <w:tc>
          <w:tcPr>
            <w:tcW w:w="9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150,000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w w:val="94"/>
              </w:rPr>
              <w:t>Softvision, LLC (f/k/a Software Paradigms International Group, LLC)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05/21/2021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High Tech Industries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9,750,000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9,661,870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9,701,250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04/21/2017</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4"/>
              </w:rPr>
              <w:t>Aerospace and Defense</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9.00%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L+750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5,668,843</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5,639,737</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5,527,122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Sundial Group Holdings LLC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10/19/2021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Consumer Goods: Non-Durable</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7.25%</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L+625</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7,218,750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7,112,700</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7,290,938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12/16/2020</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7,427,655</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7,379,369</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7,390,517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Tensar Corporation</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07/09/2021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0"/>
              </w:rPr>
              <w:t>Construction and Building</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5.75%</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L+475</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4,822,723</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4,788,808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4,340,451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The Infosoft Group, LLC</w:t>
            </w:r>
          </w:p>
        </w:tc>
        <w:tc>
          <w:tcPr>
            <w:tcW w:w="2920" w:type="dxa"/>
            <w:vAlign w:val="bottom"/>
            <w:gridSpan w:val="4"/>
            <w:shd w:val="clear" w:color="auto" w:fill="CCEEFF"/>
          </w:tcPr>
          <w:p>
            <w:pPr>
              <w:ind w:left="20"/>
              <w:spacing w:after="0" w:line="135" w:lineRule="exact"/>
              <w:rPr>
                <w:sz w:val="20"/>
                <w:szCs w:val="20"/>
                <w:color w:val="auto"/>
              </w:rPr>
            </w:pPr>
            <w:r>
              <w:rPr>
                <w:rFonts w:ascii="Arial" w:cs="Arial" w:eastAsia="Arial" w:hAnsi="Arial"/>
                <w:sz w:val="13"/>
                <w:szCs w:val="13"/>
                <w:color w:val="auto"/>
                <w:w w:val="97"/>
              </w:rPr>
              <w:t>12/02/2021   Media: Broadcasting and Subscription</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6.25%</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L+525</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15,000,000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8"/>
              </w:rPr>
              <w:t>14,853,374</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14,850,000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The Original Cakerie, Co. </w:t>
            </w:r>
            <w:r>
              <w:rPr>
                <w:rFonts w:ascii="Arial" w:cs="Arial" w:eastAsia="Arial" w:hAnsi="Arial"/>
                <w:sz w:val="10"/>
                <w:szCs w:val="10"/>
                <w:color w:val="auto"/>
              </w:rPr>
              <w:t>(6), (11)</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07/20/2021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Consumer Goods: Non-Durable</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3,084,564</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3,056,154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3,084,564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The Original Cakerie Ltd. </w:t>
            </w:r>
            <w:r>
              <w:rPr>
                <w:rFonts w:ascii="Arial" w:cs="Arial" w:eastAsia="Arial" w:hAnsi="Arial"/>
                <w:sz w:val="10"/>
                <w:szCs w:val="10"/>
                <w:color w:val="auto"/>
              </w:rPr>
              <w:t>(6), (11)</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07/20/2021</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8"/>
              </w:rPr>
              <w:t>Consumer Goods: Non-Durable</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5,971,037</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5,916,117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5,971,037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The Original Cakerie Ltd. (Revolver) </w:t>
            </w:r>
            <w:r>
              <w:rPr>
                <w:rFonts w:ascii="Arial" w:cs="Arial" w:eastAsia="Arial" w:hAnsi="Arial"/>
                <w:sz w:val="10"/>
                <w:szCs w:val="10"/>
                <w:color w:val="auto"/>
              </w:rPr>
              <w:t>(6), (8), (10), (11)</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07/20/2021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Consumer Goods: Non-Durable</w:t>
            </w: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1,418,484</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TOMS Shoes, LLC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11/02/2020</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8"/>
              </w:rPr>
              <w:t>Consumer Goods: Non-Durable</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L+550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1,965,000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1,828,667</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1,434,450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Triad Manufacturing, Inc.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12/28/2020</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12.02%</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L+1,125</w:t>
            </w:r>
            <w:r>
              <w:rPr>
                <w:rFonts w:ascii="Arial" w:cs="Arial" w:eastAsia="Arial" w:hAnsi="Arial"/>
                <w:sz w:val="10"/>
                <w:szCs w:val="10"/>
                <w:color w:val="auto"/>
              </w:rPr>
              <w:t>(9)</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9,655,810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9,493,124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9,655,810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58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82"/>
              </w:rPr>
              <w:t>01/14/2019</w:t>
            </w:r>
          </w:p>
        </w:tc>
        <w:tc>
          <w:tcPr>
            <w:tcW w:w="20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88"/>
              </w:rPr>
              <w:t>Telecommunications</w:t>
            </w:r>
          </w:p>
        </w:tc>
        <w:tc>
          <w:tcPr>
            <w:tcW w:w="9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9.50%</w:t>
            </w:r>
          </w:p>
        </w:tc>
        <w:tc>
          <w:tcPr>
            <w:tcW w:w="110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L+850</w:t>
            </w:r>
          </w:p>
        </w:tc>
        <w:tc>
          <w:tcPr>
            <w:tcW w:w="9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257,621</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257,621</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257,621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(PIK 1.00%)</w:t>
            </w: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01/14/2019</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Telecommunications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L+750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599,702</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566,344</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599,702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(10)</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01/14/2019</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8"/>
              </w:rPr>
              <w:t>Telecommunications</w:t>
            </w:r>
          </w:p>
        </w:tc>
        <w:tc>
          <w:tcPr>
            <w:tcW w:w="9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151,090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Universal Fiber Systems, LLC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10/04/2021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5"/>
              </w:rPr>
              <w:t>Chemicals, Plastics and Rubber</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8,939,921</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8,889,413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8,939,921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Anesthesia Partners, Inc.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12/31/2019</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12,368,750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8"/>
              </w:rPr>
              <w:t>12,268,500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12,306,906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US Med Acquisition, Inc. </w:t>
            </w:r>
            <w:r>
              <w:rPr>
                <w:rFonts w:ascii="Arial" w:cs="Arial" w:eastAsia="Arial" w:hAnsi="Arial"/>
                <w:sz w:val="10"/>
                <w:szCs w:val="10"/>
                <w:color w:val="auto"/>
              </w:rPr>
              <w:t>(8)</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08/13/2021</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10.00%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L+900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3,082,031</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3,082,031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3,082,031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Vistage Worldwide, Inc.</w:t>
            </w:r>
          </w:p>
        </w:tc>
        <w:tc>
          <w:tcPr>
            <w:tcW w:w="2920" w:type="dxa"/>
            <w:vAlign w:val="bottom"/>
            <w:gridSpan w:val="4"/>
            <w:shd w:val="clear" w:color="auto" w:fill="CCEEFF"/>
          </w:tcPr>
          <w:p>
            <w:pPr>
              <w:ind w:left="20"/>
              <w:spacing w:after="0" w:line="135" w:lineRule="exact"/>
              <w:rPr>
                <w:sz w:val="20"/>
                <w:szCs w:val="20"/>
                <w:color w:val="auto"/>
              </w:rPr>
            </w:pPr>
            <w:r>
              <w:rPr>
                <w:rFonts w:ascii="Arial" w:cs="Arial" w:eastAsia="Arial" w:hAnsi="Arial"/>
                <w:sz w:val="13"/>
                <w:szCs w:val="13"/>
                <w:color w:val="auto"/>
                <w:w w:val="97"/>
              </w:rPr>
              <w:t>08/19/2021   Media: Broadcasting and Subscription</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L+550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5,092,831</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5,051,051</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5,105,563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Winchester Electronics Corporation</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06/30/2022</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L+650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7,754,100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7,686,604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7,817,225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Winchester Electronics Corporation </w:t>
            </w:r>
            <w:r>
              <w:rPr>
                <w:rFonts w:ascii="Arial" w:cs="Arial" w:eastAsia="Arial" w:hAnsi="Arial"/>
                <w:sz w:val="10"/>
                <w:szCs w:val="10"/>
                <w:color w:val="auto"/>
              </w:rPr>
              <w:t>(8), (10)</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06/30/2022</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708,333</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5,767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20" w:type="dxa"/>
            <w:vAlign w:val="bottom"/>
            <w:gridSpan w:val="2"/>
          </w:tcPr>
          <w:p>
            <w:pPr>
              <w:spacing w:after="0" w:line="121" w:lineRule="exact"/>
              <w:rPr>
                <w:sz w:val="20"/>
                <w:szCs w:val="20"/>
                <w:color w:val="auto"/>
              </w:rPr>
            </w:pPr>
            <w:r>
              <w:rPr>
                <w:rFonts w:ascii="Arial" w:cs="Arial" w:eastAsia="Arial" w:hAnsi="Arial"/>
                <w:sz w:val="13"/>
                <w:szCs w:val="13"/>
                <w:color w:val="auto"/>
              </w:rPr>
              <w:t>Worley Claims Services, LLC</w:t>
            </w:r>
          </w:p>
        </w:tc>
        <w:tc>
          <w:tcPr>
            <w:tcW w:w="580" w:type="dxa"/>
            <w:vAlign w:val="bottom"/>
          </w:tcPr>
          <w:p>
            <w:pPr>
              <w:ind w:left="20"/>
              <w:spacing w:after="0" w:line="121" w:lineRule="exact"/>
              <w:rPr>
                <w:sz w:val="20"/>
                <w:szCs w:val="20"/>
                <w:color w:val="auto"/>
              </w:rPr>
            </w:pPr>
            <w:r>
              <w:rPr>
                <w:rFonts w:ascii="Arial" w:cs="Arial" w:eastAsia="Arial" w:hAnsi="Arial"/>
                <w:sz w:val="13"/>
                <w:szCs w:val="13"/>
                <w:color w:val="auto"/>
                <w:w w:val="82"/>
              </w:rPr>
              <w:t>10/30/2020</w:t>
            </w:r>
          </w:p>
        </w:tc>
        <w:tc>
          <w:tcPr>
            <w:tcW w:w="200" w:type="dxa"/>
            <w:vAlign w:val="bottom"/>
          </w:tcPr>
          <w:p>
            <w:pPr>
              <w:spacing w:after="0"/>
              <w:rPr>
                <w:sz w:val="10"/>
                <w:szCs w:val="10"/>
                <w:color w:val="auto"/>
              </w:rPr>
            </w:pPr>
          </w:p>
        </w:tc>
        <w:tc>
          <w:tcPr>
            <w:tcW w:w="214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7"/>
              </w:rPr>
              <w:t>Banking, Finance, Insurance and</w:t>
            </w:r>
          </w:p>
        </w:tc>
        <w:tc>
          <w:tcPr>
            <w:tcW w:w="9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9.00%</w:t>
            </w:r>
          </w:p>
        </w:tc>
        <w:tc>
          <w:tcPr>
            <w:tcW w:w="110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L+800</w:t>
            </w:r>
          </w:p>
        </w:tc>
        <w:tc>
          <w:tcPr>
            <w:tcW w:w="9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7,297,877</w:t>
            </w:r>
          </w:p>
        </w:tc>
        <w:tc>
          <w:tcPr>
            <w:tcW w:w="8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3"/>
                <w:szCs w:val="13"/>
                <w:color w:val="auto"/>
              </w:rPr>
              <w:t>7,243,917</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7,115,431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4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Real Estate</w:t>
            </w: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8"/>
              </w:rPr>
              <w:t>599,327,868</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600,052,593</w:t>
            </w:r>
          </w:p>
        </w:tc>
        <w:tc>
          <w:tcPr>
            <w:tcW w:w="0" w:type="dxa"/>
            <w:vAlign w:val="bottom"/>
          </w:tcPr>
          <w:p>
            <w:pPr>
              <w:spacing w:after="0"/>
              <w:rPr>
                <w:sz w:val="1"/>
                <w:szCs w:val="1"/>
                <w:color w:val="auto"/>
              </w:rPr>
            </w:pPr>
          </w:p>
        </w:tc>
      </w:tr>
      <w:tr>
        <w:trPr>
          <w:trHeight w:val="142"/>
        </w:trPr>
        <w:tc>
          <w:tcPr>
            <w:tcW w:w="374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Second Lien Secured Debt—9.8%</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Affinion Group, Inc. </w:t>
            </w:r>
            <w:r>
              <w:rPr>
                <w:rFonts w:ascii="Arial" w:cs="Arial" w:eastAsia="Arial" w:hAnsi="Arial"/>
                <w:sz w:val="10"/>
                <w:szCs w:val="10"/>
                <w:color w:val="auto"/>
              </w:rPr>
              <w:t>(8)</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10/31/2018</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Consumer Goods: Durable</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8.50%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L+700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948,800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969,000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12/31/2020</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5"/>
              </w:rPr>
              <w:t>Chemicals, Plastics and Rubber</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11.34%</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(9)</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2,000,000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1,972,437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2,020,000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Howard Berger Co. LLC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09/30/2020</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8"/>
              </w:rPr>
              <w:t>Wholesale</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11.00%</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L+1,000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11,000,000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8"/>
              </w:rPr>
              <w:t>10,537,088</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9,790,000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20" w:type="dxa"/>
            <w:vAlign w:val="bottom"/>
            <w:gridSpan w:val="2"/>
          </w:tcPr>
          <w:p>
            <w:pPr>
              <w:spacing w:after="0" w:line="121" w:lineRule="exact"/>
              <w:rPr>
                <w:sz w:val="20"/>
                <w:szCs w:val="20"/>
                <w:color w:val="auto"/>
              </w:rPr>
            </w:pPr>
            <w:r>
              <w:rPr>
                <w:rFonts w:ascii="Arial" w:cs="Arial" w:eastAsia="Arial" w:hAnsi="Arial"/>
                <w:sz w:val="13"/>
                <w:szCs w:val="13"/>
                <w:color w:val="auto"/>
              </w:rPr>
              <w:t>MailSouth, Inc.</w:t>
            </w:r>
          </w:p>
        </w:tc>
        <w:tc>
          <w:tcPr>
            <w:tcW w:w="580" w:type="dxa"/>
            <w:vAlign w:val="bottom"/>
          </w:tcPr>
          <w:p>
            <w:pPr>
              <w:ind w:left="20"/>
              <w:spacing w:after="0" w:line="121" w:lineRule="exact"/>
              <w:rPr>
                <w:sz w:val="20"/>
                <w:szCs w:val="20"/>
                <w:color w:val="auto"/>
              </w:rPr>
            </w:pPr>
            <w:r>
              <w:rPr>
                <w:rFonts w:ascii="Arial" w:cs="Arial" w:eastAsia="Arial" w:hAnsi="Arial"/>
                <w:sz w:val="13"/>
                <w:szCs w:val="13"/>
                <w:color w:val="auto"/>
                <w:w w:val="82"/>
              </w:rPr>
              <w:t>10/22/2021</w:t>
            </w:r>
          </w:p>
        </w:tc>
        <w:tc>
          <w:tcPr>
            <w:tcW w:w="200" w:type="dxa"/>
            <w:vAlign w:val="bottom"/>
          </w:tcPr>
          <w:p>
            <w:pPr>
              <w:spacing w:after="0"/>
              <w:rPr>
                <w:sz w:val="10"/>
                <w:szCs w:val="10"/>
                <w:color w:val="auto"/>
              </w:rPr>
            </w:pPr>
          </w:p>
        </w:tc>
        <w:tc>
          <w:tcPr>
            <w:tcW w:w="214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90"/>
              </w:rPr>
              <w:t>Media: Advertising, Printing and</w:t>
            </w:r>
          </w:p>
        </w:tc>
        <w:tc>
          <w:tcPr>
            <w:tcW w:w="9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11.50%</w:t>
            </w:r>
          </w:p>
        </w:tc>
        <w:tc>
          <w:tcPr>
            <w:tcW w:w="110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L+1,050</w:t>
            </w:r>
          </w:p>
        </w:tc>
        <w:tc>
          <w:tcPr>
            <w:tcW w:w="9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3,775,000</w:t>
            </w:r>
          </w:p>
        </w:tc>
        <w:tc>
          <w:tcPr>
            <w:tcW w:w="8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3"/>
                <w:szCs w:val="13"/>
                <w:color w:val="auto"/>
              </w:rPr>
              <w:t>3,706,653</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3,775,000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Publishing</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07/07/2021</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12.25%</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L+1,100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11,900,000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8"/>
              </w:rPr>
              <w:t>11,763,956</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11,900,000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(11)</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08/01/2017</w:t>
            </w:r>
          </w:p>
        </w:tc>
        <w:tc>
          <w:tcPr>
            <w:tcW w:w="20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7"/>
              </w:rPr>
              <w:t>Energy: Oil and Gas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12.50%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2,812,500</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2,772,451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1,575,000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VT Buyer Acquisition Corp.</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01/30/2023</w:t>
            </w:r>
          </w:p>
        </w:tc>
        <w:tc>
          <w:tcPr>
            <w:tcW w:w="2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10.75%</w:t>
            </w:r>
          </w:p>
        </w:tc>
        <w:tc>
          <w:tcPr>
            <w:tcW w:w="11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L+975</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1,837,500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1,778,941</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1,837,500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WD Wolverine Holdings, LLC </w:t>
            </w:r>
            <w:r>
              <w:rPr>
                <w:rFonts w:ascii="Arial" w:cs="Arial" w:eastAsia="Arial" w:hAnsi="Arial"/>
                <w:sz w:val="10"/>
                <w:szCs w:val="10"/>
                <w:color w:val="auto"/>
              </w:rPr>
              <w:t>(8)</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10/17/2024</w:t>
            </w:r>
          </w:p>
        </w:tc>
        <w:tc>
          <w:tcPr>
            <w:tcW w:w="200" w:type="dxa"/>
            <w:vAlign w:val="bottom"/>
          </w:tcPr>
          <w:p>
            <w:pPr>
              <w:spacing w:after="0"/>
              <w:rPr>
                <w:sz w:val="12"/>
                <w:szCs w:val="12"/>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10.50%</w:t>
            </w:r>
          </w:p>
        </w:tc>
        <w:tc>
          <w:tcPr>
            <w:tcW w:w="11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L+950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5,250,000</w:t>
            </w: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5,040,000</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5,046,563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38,520,326</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36,913,063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INVESTMENST—(Continued)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8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27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80" w:type="dxa"/>
            <w:vAlign w:val="bottom"/>
          </w:tcPr>
          <w:p>
            <w:pPr>
              <w:ind w:left="420"/>
              <w:spacing w:after="0" w:line="135" w:lineRule="exact"/>
              <w:rPr>
                <w:sz w:val="20"/>
                <w:szCs w:val="20"/>
                <w:color w:val="auto"/>
              </w:rPr>
            </w:pPr>
            <w:r>
              <w:rPr>
                <w:rFonts w:ascii="Arial" w:cs="Arial" w:eastAsia="Arial" w:hAnsi="Arial"/>
                <w:sz w:val="13"/>
                <w:szCs w:val="13"/>
                <w:b w:val="1"/>
                <w:bCs w:val="1"/>
                <w:color w:val="auto"/>
              </w:rPr>
              <w:t>Current</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8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2"/>
              </w:rPr>
              <w:t>Par /</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580" w:type="dxa"/>
            <w:vAlign w:val="bottom"/>
            <w:vMerge w:val="continue"/>
          </w:tcPr>
          <w:p>
            <w:pPr>
              <w:spacing w:after="0"/>
              <w:rPr>
                <w:sz w:val="13"/>
                <w:szCs w:val="13"/>
                <w:color w:val="auto"/>
              </w:rPr>
            </w:pPr>
          </w:p>
        </w:tc>
        <w:tc>
          <w:tcPr>
            <w:tcW w:w="2780" w:type="dxa"/>
            <w:vAlign w:val="bottom"/>
          </w:tcPr>
          <w:p>
            <w:pPr>
              <w:ind w:left="1920"/>
              <w:spacing w:after="0"/>
              <w:rPr>
                <w:sz w:val="20"/>
                <w:szCs w:val="20"/>
                <w:color w:val="auto"/>
              </w:rPr>
            </w:pPr>
            <w:r>
              <w:rPr>
                <w:rFonts w:ascii="Arial" w:cs="Arial" w:eastAsia="Arial" w:hAnsi="Arial"/>
                <w:sz w:val="13"/>
                <w:szCs w:val="13"/>
                <w:b w:val="1"/>
                <w:bCs w:val="1"/>
                <w:color w:val="auto"/>
              </w:rPr>
              <w:t>Maturity</w:t>
            </w:r>
          </w:p>
        </w:tc>
        <w:tc>
          <w:tcPr>
            <w:tcW w:w="1260" w:type="dxa"/>
            <w:vAlign w:val="bottom"/>
          </w:tcPr>
          <w:p>
            <w:pPr>
              <w:ind w:left="360"/>
              <w:spacing w:after="0"/>
              <w:rPr>
                <w:sz w:val="20"/>
                <w:szCs w:val="20"/>
                <w:color w:val="auto"/>
              </w:rPr>
            </w:pPr>
            <w:r>
              <w:rPr>
                <w:rFonts w:ascii="Arial" w:cs="Arial" w:eastAsia="Arial" w:hAnsi="Arial"/>
                <w:sz w:val="13"/>
                <w:szCs w:val="13"/>
                <w:b w:val="1"/>
                <w:bCs w:val="1"/>
                <w:color w:val="auto"/>
              </w:rPr>
              <w:t>Industry</w:t>
            </w:r>
          </w:p>
        </w:tc>
        <w:tc>
          <w:tcPr>
            <w:tcW w:w="1080" w:type="dxa"/>
            <w:vAlign w:val="bottom"/>
          </w:tcPr>
          <w:p>
            <w:pPr>
              <w:ind w:left="440"/>
              <w:spacing w:after="0"/>
              <w:rPr>
                <w:sz w:val="20"/>
                <w:szCs w:val="20"/>
                <w:color w:val="auto"/>
              </w:rPr>
            </w:pPr>
            <w:r>
              <w:rPr>
                <w:rFonts w:ascii="Arial" w:cs="Arial" w:eastAsia="Arial" w:hAnsi="Arial"/>
                <w:sz w:val="13"/>
                <w:szCs w:val="13"/>
                <w:b w:val="1"/>
                <w:bCs w:val="1"/>
                <w:color w:val="auto"/>
              </w:rPr>
              <w:t>Coupon</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800" w:type="dxa"/>
            <w:vAlign w:val="bottom"/>
          </w:tcPr>
          <w:p>
            <w:pPr>
              <w:jc w:val="center"/>
              <w:ind w:right="57"/>
              <w:spacing w:after="0"/>
              <w:rPr>
                <w:sz w:val="20"/>
                <w:szCs w:val="20"/>
                <w:color w:val="auto"/>
              </w:rPr>
            </w:pPr>
            <w:r>
              <w:rPr>
                <w:rFonts w:ascii="Arial" w:cs="Arial" w:eastAsia="Arial" w:hAnsi="Arial"/>
                <w:sz w:val="13"/>
                <w:szCs w:val="13"/>
                <w:b w:val="1"/>
                <w:bCs w:val="1"/>
                <w:color w:val="auto"/>
                <w:w w:val="82"/>
              </w:rPr>
              <w:t>Shares</w:t>
            </w:r>
          </w:p>
        </w:tc>
        <w:tc>
          <w:tcPr>
            <w:tcW w:w="760" w:type="dxa"/>
            <w:vAlign w:val="bottom"/>
          </w:tcPr>
          <w:p>
            <w:pPr>
              <w:ind w:left="280"/>
              <w:spacing w:after="0"/>
              <w:rPr>
                <w:sz w:val="20"/>
                <w:szCs w:val="20"/>
                <w:color w:val="auto"/>
              </w:rPr>
            </w:pPr>
            <w:r>
              <w:rPr>
                <w:rFonts w:ascii="Arial" w:cs="Arial" w:eastAsia="Arial" w:hAnsi="Arial"/>
                <w:sz w:val="13"/>
                <w:szCs w:val="13"/>
                <w:b w:val="1"/>
                <w:bCs w:val="1"/>
                <w:color w:val="auto"/>
              </w:rPr>
              <w:t>Cost</w:t>
            </w:r>
          </w:p>
        </w:tc>
        <w:tc>
          <w:tcPr>
            <w:tcW w:w="940" w:type="dxa"/>
            <w:vAlign w:val="bottom"/>
          </w:tcPr>
          <w:p>
            <w:pPr>
              <w:ind w:left="220"/>
              <w:spacing w:after="0"/>
              <w:rPr>
                <w:sz w:val="20"/>
                <w:szCs w:val="20"/>
                <w:color w:val="auto"/>
              </w:rPr>
            </w:pPr>
            <w:r>
              <w:rPr>
                <w:rFonts w:ascii="Arial" w:cs="Arial" w:eastAsia="Arial" w:hAnsi="Arial"/>
                <w:sz w:val="13"/>
                <w:szCs w:val="13"/>
                <w:b w:val="1"/>
                <w:bCs w:val="1"/>
                <w:u w:val="single" w:color="auto"/>
                <w:color w:val="auto"/>
                <w:w w:val="89"/>
              </w:rPr>
              <w:t xml:space="preserve">Fair Value </w:t>
            </w:r>
            <w:r>
              <w:rPr>
                <w:rFonts w:ascii="Arial" w:cs="Arial" w:eastAsia="Arial" w:hAnsi="Arial"/>
                <w:sz w:val="10"/>
                <w:szCs w:val="10"/>
                <w:b w:val="1"/>
                <w:bCs w:val="1"/>
                <w:u w:val="single" w:color="auto"/>
                <w:color w:val="auto"/>
                <w:w w:val="89"/>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14"/>
          <w:szCs w:val="14"/>
          <w:b w:val="1"/>
          <w:bCs w:val="1"/>
          <w:color w:val="auto"/>
        </w:rPr>
        <w:t xml:space="preserve">Subordinated Debt/Corporate Notes—2.2% </w:t>
      </w:r>
      <w:r>
        <w:rPr>
          <w:rFonts w:ascii="Arial" w:cs="Arial" w:eastAsia="Arial" w:hAnsi="Arial"/>
          <w:sz w:val="12"/>
          <w:szCs w:val="12"/>
          <w:b w:val="1"/>
          <w:bCs w:val="1"/>
          <w:color w:val="auto"/>
        </w:rPr>
        <w:t>(8)</w:t>
      </w:r>
    </w:p>
    <w:tbl>
      <w:tblPr>
        <w:tblLayout w:type="fixed"/>
        <w:tblInd w:w="0" w:type="dxa"/>
        <w:tblCellMar>
          <w:top w:w="0" w:type="dxa"/>
          <w:left w:w="0" w:type="dxa"/>
          <w:bottom w:w="0" w:type="dxa"/>
          <w:right w:w="0" w:type="dxa"/>
        </w:tblCellMar>
      </w:tblPr>
      <w:tr>
        <w:trPr>
          <w:trHeight w:val="125"/>
        </w:trPr>
        <w:tc>
          <w:tcPr>
            <w:tcW w:w="4220" w:type="dxa"/>
            <w:vAlign w:val="bottom"/>
            <w:gridSpan w:val="2"/>
          </w:tcPr>
          <w:p>
            <w:pPr>
              <w:spacing w:after="0" w:line="125"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(5), (6), (11)</w:t>
            </w:r>
          </w:p>
        </w:tc>
        <w:tc>
          <w:tcPr>
            <w:tcW w:w="960" w:type="dxa"/>
            <w:vAlign w:val="bottom"/>
          </w:tcPr>
          <w:p>
            <w:pPr>
              <w:jc w:val="center"/>
              <w:ind w:left="37"/>
              <w:spacing w:after="0" w:line="125" w:lineRule="exact"/>
              <w:rPr>
                <w:sz w:val="20"/>
                <w:szCs w:val="20"/>
                <w:color w:val="auto"/>
              </w:rPr>
            </w:pPr>
            <w:r>
              <w:rPr>
                <w:rFonts w:ascii="Arial" w:cs="Arial" w:eastAsia="Arial" w:hAnsi="Arial"/>
                <w:sz w:val="13"/>
                <w:szCs w:val="13"/>
                <w:color w:val="auto"/>
                <w:w w:val="89"/>
              </w:rPr>
              <w:t>07/30/2018</w:t>
            </w:r>
          </w:p>
        </w:tc>
        <w:tc>
          <w:tcPr>
            <w:tcW w:w="1660" w:type="dxa"/>
            <w:vAlign w:val="bottom"/>
          </w:tcPr>
          <w:p>
            <w:pPr>
              <w:jc w:val="center"/>
              <w:spacing w:after="0" w:line="125" w:lineRule="exact"/>
              <w:rPr>
                <w:sz w:val="20"/>
                <w:szCs w:val="20"/>
                <w:color w:val="auto"/>
              </w:rPr>
            </w:pPr>
            <w:r>
              <w:rPr>
                <w:rFonts w:ascii="Arial" w:cs="Arial" w:eastAsia="Arial" w:hAnsi="Arial"/>
                <w:sz w:val="13"/>
                <w:szCs w:val="13"/>
                <w:color w:val="auto"/>
                <w:w w:val="87"/>
              </w:rPr>
              <w:t>Consumer Goods: Durable</w:t>
            </w:r>
          </w:p>
        </w:tc>
        <w:tc>
          <w:tcPr>
            <w:tcW w:w="1280" w:type="dxa"/>
            <w:vAlign w:val="bottom"/>
          </w:tcPr>
          <w:p>
            <w:pPr>
              <w:jc w:val="right"/>
              <w:ind w:right="377"/>
              <w:spacing w:after="0" w:line="125" w:lineRule="exact"/>
              <w:rPr>
                <w:sz w:val="20"/>
                <w:szCs w:val="20"/>
                <w:color w:val="auto"/>
              </w:rPr>
            </w:pPr>
            <w:r>
              <w:rPr>
                <w:rFonts w:ascii="Arial" w:cs="Arial" w:eastAsia="Arial" w:hAnsi="Arial"/>
                <w:sz w:val="13"/>
                <w:szCs w:val="13"/>
                <w:color w:val="auto"/>
              </w:rPr>
              <w:t>7.50%</w:t>
            </w:r>
          </w:p>
        </w:tc>
        <w:tc>
          <w:tcPr>
            <w:tcW w:w="680" w:type="dxa"/>
            <w:vAlign w:val="bottom"/>
          </w:tcPr>
          <w:p>
            <w:pPr>
              <w:ind w:left="420"/>
              <w:spacing w:after="0" w:line="12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line="125" w:lineRule="exact"/>
              <w:rPr>
                <w:sz w:val="20"/>
                <w:szCs w:val="20"/>
                <w:color w:val="auto"/>
              </w:rPr>
            </w:pPr>
            <w:r>
              <w:rPr>
                <w:rFonts w:ascii="Arial" w:cs="Arial" w:eastAsia="Arial" w:hAnsi="Arial"/>
                <w:sz w:val="13"/>
                <w:szCs w:val="13"/>
                <w:color w:val="auto"/>
              </w:rPr>
              <w:t>1,157,978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line="125" w:lineRule="exact"/>
              <w:rPr>
                <w:sz w:val="20"/>
                <w:szCs w:val="20"/>
                <w:color w:val="auto"/>
              </w:rPr>
            </w:pPr>
            <w:r>
              <w:rPr>
                <w:rFonts w:ascii="Arial" w:cs="Arial" w:eastAsia="Arial" w:hAnsi="Arial"/>
                <w:sz w:val="13"/>
                <w:szCs w:val="13"/>
                <w:color w:val="auto"/>
              </w:rPr>
              <w:t>1,067,044</w:t>
            </w:r>
          </w:p>
        </w:tc>
        <w:tc>
          <w:tcPr>
            <w:tcW w:w="2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80"/>
              <w:spacing w:after="0" w:line="125" w:lineRule="exact"/>
              <w:rPr>
                <w:sz w:val="20"/>
                <w:szCs w:val="20"/>
                <w:color w:val="auto"/>
              </w:rPr>
            </w:pPr>
            <w:r>
              <w:rPr>
                <w:rFonts w:ascii="Arial" w:cs="Arial" w:eastAsia="Arial" w:hAnsi="Arial"/>
                <w:sz w:val="13"/>
                <w:szCs w:val="13"/>
                <w:color w:val="auto"/>
              </w:rPr>
              <w:t>1,111,659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80" w:type="dxa"/>
            <w:vAlign w:val="bottom"/>
          </w:tcPr>
          <w:p>
            <w:pPr>
              <w:jc w:val="right"/>
              <w:ind w:right="337"/>
              <w:spacing w:after="0"/>
              <w:rPr>
                <w:sz w:val="20"/>
                <w:szCs w:val="20"/>
                <w:color w:val="auto"/>
              </w:rPr>
            </w:pPr>
            <w:r>
              <w:rPr>
                <w:rFonts w:ascii="Arial" w:cs="Arial" w:eastAsia="Arial" w:hAnsi="Arial"/>
                <w:sz w:val="13"/>
                <w:szCs w:val="13"/>
                <w:color w:val="auto"/>
              </w:rPr>
              <w:t>(PIK 4.00%)</w:t>
            </w: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0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960" w:type="dxa"/>
            <w:vAlign w:val="bottom"/>
            <w:shd w:val="clear" w:color="auto" w:fill="CCEEFF"/>
          </w:tcPr>
          <w:p>
            <w:pPr>
              <w:jc w:val="center"/>
              <w:ind w:left="37"/>
              <w:spacing w:after="0" w:line="124" w:lineRule="exact"/>
              <w:rPr>
                <w:sz w:val="20"/>
                <w:szCs w:val="20"/>
                <w:color w:val="auto"/>
              </w:rPr>
            </w:pPr>
            <w:r>
              <w:rPr>
                <w:rFonts w:ascii="Arial" w:cs="Arial" w:eastAsia="Arial" w:hAnsi="Arial"/>
                <w:sz w:val="13"/>
                <w:szCs w:val="13"/>
                <w:color w:val="auto"/>
                <w:w w:val="89"/>
              </w:rPr>
              <w:t>12/31/2021</w:t>
            </w:r>
          </w:p>
        </w:tc>
        <w:tc>
          <w:tcPr>
            <w:tcW w:w="166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90"/>
              </w:rPr>
              <w:t>Metals and Mining</w:t>
            </w:r>
          </w:p>
        </w:tc>
        <w:tc>
          <w:tcPr>
            <w:tcW w:w="1280" w:type="dxa"/>
            <w:vAlign w:val="bottom"/>
            <w:shd w:val="clear" w:color="auto" w:fill="CCEEFF"/>
          </w:tcPr>
          <w:p>
            <w:pPr>
              <w:jc w:val="right"/>
              <w:ind w:right="377"/>
              <w:spacing w:after="0" w:line="124" w:lineRule="exact"/>
              <w:rPr>
                <w:sz w:val="20"/>
                <w:szCs w:val="20"/>
                <w:color w:val="auto"/>
              </w:rPr>
            </w:pPr>
            <w:r>
              <w:rPr>
                <w:rFonts w:ascii="Arial" w:cs="Arial" w:eastAsia="Arial" w:hAnsi="Arial"/>
                <w:sz w:val="13"/>
                <w:szCs w:val="13"/>
                <w:color w:val="auto"/>
              </w:rPr>
              <w:t>17.00%</w:t>
            </w:r>
          </w:p>
        </w:tc>
        <w:tc>
          <w:tcPr>
            <w:tcW w:w="680" w:type="dxa"/>
            <w:vAlign w:val="bottom"/>
            <w:shd w:val="clear" w:color="auto" w:fill="CCEEFF"/>
          </w:tcPr>
          <w:p>
            <w:pPr>
              <w:ind w:left="420"/>
              <w:spacing w:after="0" w:line="124"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7"/>
              <w:spacing w:after="0" w:line="124" w:lineRule="exact"/>
              <w:rPr>
                <w:sz w:val="20"/>
                <w:szCs w:val="20"/>
                <w:color w:val="auto"/>
              </w:rPr>
            </w:pPr>
            <w:r>
              <w:rPr>
                <w:rFonts w:ascii="Arial" w:cs="Arial" w:eastAsia="Arial" w:hAnsi="Arial"/>
                <w:sz w:val="13"/>
                <w:szCs w:val="13"/>
                <w:color w:val="auto"/>
              </w:rPr>
              <w:t>370,370</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4" w:lineRule="exact"/>
              <w:rPr>
                <w:sz w:val="20"/>
                <w:szCs w:val="20"/>
                <w:color w:val="auto"/>
              </w:rPr>
            </w:pPr>
            <w:r>
              <w:rPr>
                <w:rFonts w:ascii="Arial" w:cs="Arial" w:eastAsia="Arial" w:hAnsi="Arial"/>
                <w:sz w:val="13"/>
                <w:szCs w:val="13"/>
                <w:color w:val="auto"/>
              </w:rPr>
              <w:t>370,370</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3"/>
                <w:szCs w:val="13"/>
                <w:color w:val="auto"/>
              </w:rPr>
              <w:t>370,370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(PIK 17.00%)</w:t>
            </w:r>
          </w:p>
        </w:tc>
        <w:tc>
          <w:tcPr>
            <w:tcW w:w="6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960" w:type="dxa"/>
            <w:vAlign w:val="bottom"/>
          </w:tcPr>
          <w:p>
            <w:pPr>
              <w:jc w:val="center"/>
              <w:ind w:left="37"/>
              <w:spacing w:after="0" w:line="121" w:lineRule="exact"/>
              <w:rPr>
                <w:sz w:val="20"/>
                <w:szCs w:val="20"/>
                <w:color w:val="auto"/>
              </w:rPr>
            </w:pPr>
            <w:r>
              <w:rPr>
                <w:rFonts w:ascii="Arial" w:cs="Arial" w:eastAsia="Arial" w:hAnsi="Arial"/>
                <w:sz w:val="13"/>
                <w:szCs w:val="13"/>
                <w:color w:val="auto"/>
                <w:w w:val="89"/>
              </w:rPr>
              <w:t>10/26/2018</w:t>
            </w:r>
          </w:p>
        </w:tc>
        <w:tc>
          <w:tcPr>
            <w:tcW w:w="1660" w:type="dxa"/>
            <w:vAlign w:val="bottom"/>
          </w:tcPr>
          <w:p>
            <w:pPr>
              <w:jc w:val="center"/>
              <w:spacing w:after="0" w:line="121" w:lineRule="exact"/>
              <w:rPr>
                <w:sz w:val="20"/>
                <w:szCs w:val="20"/>
                <w:color w:val="auto"/>
              </w:rPr>
            </w:pPr>
            <w:r>
              <w:rPr>
                <w:rFonts w:ascii="Arial" w:cs="Arial" w:eastAsia="Arial" w:hAnsi="Arial"/>
                <w:sz w:val="13"/>
                <w:szCs w:val="13"/>
                <w:color w:val="auto"/>
                <w:w w:val="88"/>
              </w:rPr>
              <w:t>High Tech Industries</w:t>
            </w:r>
          </w:p>
        </w:tc>
        <w:tc>
          <w:tcPr>
            <w:tcW w:w="1280" w:type="dxa"/>
            <w:vAlign w:val="bottom"/>
          </w:tcPr>
          <w:p>
            <w:pPr>
              <w:jc w:val="right"/>
              <w:ind w:right="377"/>
              <w:spacing w:after="0" w:line="121" w:lineRule="exact"/>
              <w:rPr>
                <w:sz w:val="20"/>
                <w:szCs w:val="20"/>
                <w:color w:val="auto"/>
              </w:rPr>
            </w:pPr>
            <w:r>
              <w:rPr>
                <w:rFonts w:ascii="Arial" w:cs="Arial" w:eastAsia="Arial" w:hAnsi="Arial"/>
                <w:sz w:val="13"/>
                <w:szCs w:val="13"/>
                <w:color w:val="auto"/>
              </w:rPr>
              <w:t>13.25%</w:t>
            </w:r>
          </w:p>
        </w:tc>
        <w:tc>
          <w:tcPr>
            <w:tcW w:w="680" w:type="dxa"/>
            <w:vAlign w:val="bottom"/>
          </w:tcPr>
          <w:p>
            <w:pPr>
              <w:ind w:left="420"/>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2,079,296</w:t>
            </w:r>
          </w:p>
        </w:tc>
        <w:tc>
          <w:tcPr>
            <w:tcW w:w="8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2,039,546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2,023,013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80" w:type="dxa"/>
            <w:vAlign w:val="bottom"/>
          </w:tcPr>
          <w:p>
            <w:pPr>
              <w:jc w:val="right"/>
              <w:ind w:right="337"/>
              <w:spacing w:after="0"/>
              <w:rPr>
                <w:sz w:val="20"/>
                <w:szCs w:val="20"/>
                <w:color w:val="auto"/>
              </w:rPr>
            </w:pPr>
            <w:r>
              <w:rPr>
                <w:rFonts w:ascii="Arial" w:cs="Arial" w:eastAsia="Arial" w:hAnsi="Arial"/>
                <w:sz w:val="13"/>
                <w:szCs w:val="13"/>
                <w:color w:val="auto"/>
              </w:rPr>
              <w:t>(PIK 2.00%)</w:t>
            </w: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Sonny’s Enterprises, LLC</w:t>
            </w:r>
          </w:p>
        </w:tc>
        <w:tc>
          <w:tcPr>
            <w:tcW w:w="960" w:type="dxa"/>
            <w:vAlign w:val="bottom"/>
            <w:shd w:val="clear" w:color="auto" w:fill="CCEEFF"/>
          </w:tcPr>
          <w:p>
            <w:pPr>
              <w:jc w:val="center"/>
              <w:ind w:left="37"/>
              <w:spacing w:after="0" w:line="138" w:lineRule="exact"/>
              <w:rPr>
                <w:sz w:val="20"/>
                <w:szCs w:val="20"/>
                <w:color w:val="auto"/>
              </w:rPr>
            </w:pPr>
            <w:r>
              <w:rPr>
                <w:rFonts w:ascii="Arial" w:cs="Arial" w:eastAsia="Arial" w:hAnsi="Arial"/>
                <w:sz w:val="13"/>
                <w:szCs w:val="13"/>
                <w:color w:val="auto"/>
                <w:w w:val="89"/>
              </w:rPr>
              <w:t>06/01/2023</w:t>
            </w:r>
          </w:p>
        </w:tc>
        <w:tc>
          <w:tcPr>
            <w:tcW w:w="1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8"/>
              </w:rPr>
              <w:t>Capital Equipment</w:t>
            </w:r>
          </w:p>
        </w:tc>
        <w:tc>
          <w:tcPr>
            <w:tcW w:w="1280" w:type="dxa"/>
            <w:vAlign w:val="bottom"/>
            <w:shd w:val="clear" w:color="auto" w:fill="CCEEFF"/>
          </w:tcPr>
          <w:p>
            <w:pPr>
              <w:jc w:val="right"/>
              <w:ind w:right="377"/>
              <w:spacing w:after="0" w:line="138" w:lineRule="exact"/>
              <w:rPr>
                <w:sz w:val="20"/>
                <w:szCs w:val="20"/>
                <w:color w:val="auto"/>
              </w:rPr>
            </w:pPr>
            <w:r>
              <w:rPr>
                <w:rFonts w:ascii="Arial" w:cs="Arial" w:eastAsia="Arial" w:hAnsi="Arial"/>
                <w:sz w:val="13"/>
                <w:szCs w:val="13"/>
                <w:color w:val="auto"/>
              </w:rPr>
              <w:t>11.00%</w:t>
            </w:r>
          </w:p>
        </w:tc>
        <w:tc>
          <w:tcPr>
            <w:tcW w:w="680" w:type="dxa"/>
            <w:vAlign w:val="bottom"/>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7"/>
              <w:spacing w:after="0" w:line="138" w:lineRule="exact"/>
              <w:rPr>
                <w:sz w:val="20"/>
                <w:szCs w:val="20"/>
                <w:color w:val="auto"/>
              </w:rPr>
            </w:pPr>
            <w:r>
              <w:rPr>
                <w:rFonts w:ascii="Arial" w:cs="Arial" w:eastAsia="Arial" w:hAnsi="Arial"/>
                <w:sz w:val="13"/>
                <w:szCs w:val="13"/>
                <w:color w:val="auto"/>
              </w:rPr>
              <w:t>4,750,000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4,656,141</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4,655,000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UniTek Global Services, Inc.</w:t>
            </w:r>
          </w:p>
        </w:tc>
        <w:tc>
          <w:tcPr>
            <w:tcW w:w="960" w:type="dxa"/>
            <w:vAlign w:val="bottom"/>
          </w:tcPr>
          <w:p>
            <w:pPr>
              <w:jc w:val="center"/>
              <w:ind w:left="37"/>
              <w:spacing w:after="0" w:line="121" w:lineRule="exact"/>
              <w:rPr>
                <w:sz w:val="20"/>
                <w:szCs w:val="20"/>
                <w:color w:val="auto"/>
              </w:rPr>
            </w:pPr>
            <w:r>
              <w:rPr>
                <w:rFonts w:ascii="Arial" w:cs="Arial" w:eastAsia="Arial" w:hAnsi="Arial"/>
                <w:sz w:val="13"/>
                <w:szCs w:val="13"/>
                <w:color w:val="auto"/>
                <w:w w:val="89"/>
              </w:rPr>
              <w:t>07/15/2019</w:t>
            </w:r>
          </w:p>
        </w:tc>
        <w:tc>
          <w:tcPr>
            <w:tcW w:w="1660" w:type="dxa"/>
            <w:vAlign w:val="bottom"/>
          </w:tcPr>
          <w:p>
            <w:pPr>
              <w:jc w:val="center"/>
              <w:spacing w:after="0" w:line="121" w:lineRule="exact"/>
              <w:rPr>
                <w:sz w:val="20"/>
                <w:szCs w:val="20"/>
                <w:color w:val="auto"/>
              </w:rPr>
            </w:pPr>
            <w:r>
              <w:rPr>
                <w:rFonts w:ascii="Arial" w:cs="Arial" w:eastAsia="Arial" w:hAnsi="Arial"/>
                <w:sz w:val="13"/>
                <w:szCs w:val="13"/>
                <w:color w:val="auto"/>
                <w:w w:val="87"/>
              </w:rPr>
              <w:t>Telecommunications</w:t>
            </w:r>
          </w:p>
        </w:tc>
        <w:tc>
          <w:tcPr>
            <w:tcW w:w="1280" w:type="dxa"/>
            <w:vAlign w:val="bottom"/>
          </w:tcPr>
          <w:p>
            <w:pPr>
              <w:jc w:val="right"/>
              <w:ind w:right="377"/>
              <w:spacing w:after="0" w:line="121" w:lineRule="exact"/>
              <w:rPr>
                <w:sz w:val="20"/>
                <w:szCs w:val="20"/>
                <w:color w:val="auto"/>
              </w:rPr>
            </w:pPr>
            <w:r>
              <w:rPr>
                <w:rFonts w:ascii="Arial" w:cs="Arial" w:eastAsia="Arial" w:hAnsi="Arial"/>
                <w:sz w:val="13"/>
                <w:szCs w:val="13"/>
                <w:color w:val="auto"/>
              </w:rPr>
              <w:t>15.00%</w:t>
            </w:r>
          </w:p>
        </w:tc>
        <w:tc>
          <w:tcPr>
            <w:tcW w:w="680" w:type="dxa"/>
            <w:vAlign w:val="bottom"/>
          </w:tcPr>
          <w:p>
            <w:pPr>
              <w:ind w:left="420"/>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152,509</w:t>
            </w:r>
          </w:p>
        </w:tc>
        <w:tc>
          <w:tcPr>
            <w:tcW w:w="80" w:type="dxa"/>
            <w:vAlign w:val="bottom"/>
          </w:tcPr>
          <w:p>
            <w:pPr>
              <w:spacing w:after="0"/>
              <w:rPr>
                <w:sz w:val="10"/>
                <w:szCs w:val="10"/>
                <w:color w:val="auto"/>
              </w:rPr>
            </w:pPr>
          </w:p>
        </w:tc>
        <w:tc>
          <w:tcPr>
            <w:tcW w:w="8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152,509</w:t>
            </w: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154,797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jc w:val="right"/>
              <w:ind w:right="337"/>
              <w:spacing w:after="0"/>
              <w:rPr>
                <w:sz w:val="20"/>
                <w:szCs w:val="20"/>
                <w:color w:val="auto"/>
              </w:rPr>
            </w:pPr>
            <w:r>
              <w:rPr>
                <w:rFonts w:ascii="Arial" w:cs="Arial" w:eastAsia="Arial" w:hAnsi="Arial"/>
                <w:sz w:val="13"/>
                <w:szCs w:val="13"/>
                <w:color w:val="auto"/>
              </w:rPr>
              <w:t>(PIK 15.00%)</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9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8,285,610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8,314,839</w:t>
            </w: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Preferred Equity—0.4% </w:t>
            </w:r>
            <w:r>
              <w:rPr>
                <w:rFonts w:ascii="Arial" w:cs="Arial" w:eastAsia="Arial" w:hAnsi="Arial"/>
                <w:sz w:val="10"/>
                <w:szCs w:val="10"/>
                <w:b w:val="1"/>
                <w:bCs w:val="1"/>
                <w:color w:val="auto"/>
              </w:rPr>
              <w:t>(7), (8)</w:t>
            </w:r>
          </w:p>
        </w:tc>
        <w:tc>
          <w:tcPr>
            <w:tcW w:w="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w:t>
            </w:r>
          </w:p>
        </w:tc>
        <w:tc>
          <w:tcPr>
            <w:tcW w:w="96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1280" w:type="dxa"/>
            <w:vAlign w:val="bottom"/>
            <w:shd w:val="clear" w:color="auto" w:fill="CCEEFF"/>
          </w:tcPr>
          <w:p>
            <w:pPr>
              <w:jc w:val="right"/>
              <w:ind w:right="377"/>
              <w:spacing w:after="0" w:line="135" w:lineRule="exact"/>
              <w:rPr>
                <w:sz w:val="20"/>
                <w:szCs w:val="20"/>
                <w:color w:val="auto"/>
              </w:rPr>
            </w:pPr>
            <w:r>
              <w:rPr>
                <w:rFonts w:ascii="Arial" w:cs="Arial" w:eastAsia="Arial" w:hAnsi="Arial"/>
                <w:sz w:val="13"/>
                <w:szCs w:val="13"/>
                <w:color w:val="auto"/>
              </w:rPr>
              <w:t>13.50%</w:t>
            </w:r>
          </w:p>
        </w:tc>
        <w:tc>
          <w:tcPr>
            <w:tcW w:w="68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1,047,317</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670,283</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1,364,841</w:t>
            </w: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Common Equity/Warrants—2.7% </w:t>
            </w:r>
            <w:r>
              <w:rPr>
                <w:rFonts w:ascii="Arial" w:cs="Arial" w:eastAsia="Arial" w:hAnsi="Arial"/>
                <w:sz w:val="10"/>
                <w:szCs w:val="10"/>
                <w:b w:val="1"/>
                <w:bCs w:val="1"/>
                <w:color w:val="auto"/>
              </w:rPr>
              <w:t>(7), (8)</w:t>
            </w:r>
          </w:p>
        </w:tc>
        <w:tc>
          <w:tcPr>
            <w:tcW w:w="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96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1280" w:type="dxa"/>
            <w:vAlign w:val="bottom"/>
            <w:shd w:val="clear" w:color="auto" w:fill="CCEEFF"/>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99,029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3,514,572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3,889,552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96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1280" w:type="dxa"/>
            <w:vAlign w:val="bottom"/>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4,298</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1,186,649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28,641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American Gilsonite Company</w:t>
            </w:r>
          </w:p>
        </w:tc>
        <w:tc>
          <w:tcPr>
            <w:tcW w:w="96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Metals and Mining</w:t>
            </w:r>
          </w:p>
        </w:tc>
        <w:tc>
          <w:tcPr>
            <w:tcW w:w="1280" w:type="dxa"/>
            <w:vAlign w:val="bottom"/>
            <w:shd w:val="clear" w:color="auto" w:fill="CCEEFF"/>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215,182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215,182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Corfin InvestCo, L.P.</w:t>
            </w:r>
          </w:p>
        </w:tc>
        <w:tc>
          <w:tcPr>
            <w:tcW w:w="96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280" w:type="dxa"/>
            <w:vAlign w:val="bottom"/>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3,000</w:t>
            </w:r>
          </w:p>
        </w:tc>
        <w:tc>
          <w:tcPr>
            <w:tcW w:w="8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300,000</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694,987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(10)</w:t>
            </w:r>
          </w:p>
        </w:tc>
        <w:tc>
          <w:tcPr>
            <w:tcW w:w="96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280" w:type="dxa"/>
            <w:vAlign w:val="bottom"/>
            <w:shd w:val="clear" w:color="auto" w:fill="CCEEFF"/>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3,000</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e.l.f. Beauty, Inc.</w:t>
            </w:r>
          </w:p>
        </w:tc>
        <w:tc>
          <w:tcPr>
            <w:tcW w:w="96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1280" w:type="dxa"/>
            <w:vAlign w:val="bottom"/>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110,399</w:t>
            </w:r>
          </w:p>
        </w:tc>
        <w:tc>
          <w:tcPr>
            <w:tcW w:w="8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295,670</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3,102,473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Faraday Holdings, LLC</w:t>
            </w:r>
          </w:p>
        </w:tc>
        <w:tc>
          <w:tcPr>
            <w:tcW w:w="960" w:type="dxa"/>
            <w:vAlign w:val="bottom"/>
            <w:shd w:val="clear" w:color="auto" w:fill="CCEEFF"/>
          </w:tcPr>
          <w:p>
            <w:pPr>
              <w:jc w:val="center"/>
              <w:ind w:left="57"/>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Construction and Building</w:t>
            </w:r>
          </w:p>
        </w:tc>
        <w:tc>
          <w:tcPr>
            <w:tcW w:w="1280" w:type="dxa"/>
            <w:vAlign w:val="bottom"/>
            <w:shd w:val="clear" w:color="auto" w:fill="CCEEFF"/>
          </w:tcPr>
          <w:p>
            <w:pPr>
              <w:jc w:val="right"/>
              <w:ind w:right="477"/>
              <w:spacing w:after="0" w:line="121"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420"/>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1,141</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58,044</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110,766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(Interior Specialists, Inc.)</w:t>
            </w:r>
          </w:p>
        </w:tc>
        <w:tc>
          <w:tcPr>
            <w:tcW w:w="9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Gauge InfosoftCoInvest, LLC</w:t>
            </w:r>
          </w:p>
        </w:tc>
        <w:tc>
          <w:tcPr>
            <w:tcW w:w="960" w:type="dxa"/>
            <w:vAlign w:val="bottom"/>
          </w:tcPr>
          <w:p>
            <w:pPr>
              <w:jc w:val="center"/>
              <w:ind w:left="57"/>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tcPr>
          <w:p>
            <w:pPr>
              <w:jc w:val="center"/>
              <w:spacing w:after="0" w:line="121" w:lineRule="exact"/>
              <w:rPr>
                <w:sz w:val="20"/>
                <w:szCs w:val="20"/>
                <w:color w:val="auto"/>
              </w:rPr>
            </w:pPr>
            <w:r>
              <w:rPr>
                <w:rFonts w:ascii="Arial" w:cs="Arial" w:eastAsia="Arial" w:hAnsi="Arial"/>
                <w:sz w:val="13"/>
                <w:szCs w:val="13"/>
                <w:color w:val="auto"/>
                <w:w w:val="87"/>
              </w:rPr>
              <w:t>Media: Broadcasting and</w:t>
            </w:r>
          </w:p>
        </w:tc>
        <w:tc>
          <w:tcPr>
            <w:tcW w:w="1280" w:type="dxa"/>
            <w:vAlign w:val="bottom"/>
          </w:tcPr>
          <w:p>
            <w:pPr>
              <w:jc w:val="right"/>
              <w:ind w:right="477"/>
              <w:spacing w:after="0" w:line="121" w:lineRule="exact"/>
              <w:rPr>
                <w:sz w:val="20"/>
                <w:szCs w:val="20"/>
                <w:color w:val="auto"/>
              </w:rPr>
            </w:pPr>
            <w:r>
              <w:rPr>
                <w:rFonts w:ascii="Arial" w:cs="Arial" w:eastAsia="Arial" w:hAnsi="Arial"/>
                <w:sz w:val="13"/>
                <w:szCs w:val="13"/>
                <w:color w:val="auto"/>
              </w:rPr>
              <w:t>—</w:t>
            </w:r>
          </w:p>
        </w:tc>
        <w:tc>
          <w:tcPr>
            <w:tcW w:w="680" w:type="dxa"/>
            <w:vAlign w:val="bottom"/>
          </w:tcPr>
          <w:p>
            <w:pPr>
              <w:ind w:left="420"/>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500</w:t>
            </w:r>
          </w:p>
        </w:tc>
        <w:tc>
          <w:tcPr>
            <w:tcW w:w="80" w:type="dxa"/>
            <w:vAlign w:val="bottom"/>
          </w:tcPr>
          <w:p>
            <w:pPr>
              <w:spacing w:after="0"/>
              <w:rPr>
                <w:sz w:val="10"/>
                <w:szCs w:val="10"/>
                <w:color w:val="auto"/>
              </w:rPr>
            </w:pPr>
          </w:p>
        </w:tc>
        <w:tc>
          <w:tcPr>
            <w:tcW w:w="8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500,000</w:t>
            </w: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120"/>
              <w:spacing w:after="0"/>
              <w:rPr>
                <w:sz w:val="20"/>
                <w:szCs w:val="20"/>
                <w:color w:val="auto"/>
              </w:rPr>
            </w:pPr>
            <w:r>
              <w:rPr>
                <w:rFonts w:ascii="Arial" w:cs="Arial" w:eastAsia="Arial" w:hAnsi="Arial"/>
                <w:sz w:val="13"/>
                <w:szCs w:val="13"/>
                <w:color w:val="auto"/>
              </w:rPr>
              <w:t>(The Infosoft Group, LLC)</w:t>
            </w:r>
          </w:p>
        </w:tc>
        <w:tc>
          <w:tcPr>
            <w:tcW w:w="96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89"/>
              </w:rPr>
              <w:t>Subscription</w:t>
            </w: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w:t>
            </w:r>
          </w:p>
        </w:tc>
        <w:tc>
          <w:tcPr>
            <w:tcW w:w="960" w:type="dxa"/>
            <w:vAlign w:val="bottom"/>
            <w:shd w:val="clear" w:color="auto" w:fill="CCEEFF"/>
          </w:tcPr>
          <w:p>
            <w:pPr>
              <w:jc w:val="center"/>
              <w:ind w:left="57"/>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Banking, Finance,</w:t>
            </w:r>
          </w:p>
        </w:tc>
        <w:tc>
          <w:tcPr>
            <w:tcW w:w="1280" w:type="dxa"/>
            <w:vAlign w:val="bottom"/>
            <w:shd w:val="clear" w:color="auto" w:fill="CCEEFF"/>
          </w:tcPr>
          <w:p>
            <w:pPr>
              <w:jc w:val="right"/>
              <w:ind w:right="477"/>
              <w:spacing w:after="0" w:line="121"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420"/>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11,867</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27,995</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55,182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Insurance and Real Estate</w:t>
            </w: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TPC Broadband Investors, LP</w:t>
            </w:r>
          </w:p>
        </w:tc>
        <w:tc>
          <w:tcPr>
            <w:tcW w:w="960" w:type="dxa"/>
            <w:vAlign w:val="bottom"/>
          </w:tcPr>
          <w:p>
            <w:pPr>
              <w:jc w:val="center"/>
              <w:ind w:left="57"/>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tcPr>
          <w:p>
            <w:pPr>
              <w:jc w:val="center"/>
              <w:spacing w:after="0" w:line="121" w:lineRule="exact"/>
              <w:rPr>
                <w:sz w:val="20"/>
                <w:szCs w:val="20"/>
                <w:color w:val="auto"/>
              </w:rPr>
            </w:pPr>
            <w:r>
              <w:rPr>
                <w:rFonts w:ascii="Arial" w:cs="Arial" w:eastAsia="Arial" w:hAnsi="Arial"/>
                <w:sz w:val="13"/>
                <w:szCs w:val="13"/>
                <w:color w:val="auto"/>
                <w:w w:val="87"/>
              </w:rPr>
              <w:t>Telecommunications</w:t>
            </w:r>
          </w:p>
        </w:tc>
        <w:tc>
          <w:tcPr>
            <w:tcW w:w="1280" w:type="dxa"/>
            <w:vAlign w:val="bottom"/>
          </w:tcPr>
          <w:p>
            <w:pPr>
              <w:jc w:val="right"/>
              <w:ind w:right="477"/>
              <w:spacing w:after="0" w:line="121" w:lineRule="exact"/>
              <w:rPr>
                <w:sz w:val="20"/>
                <w:szCs w:val="20"/>
                <w:color w:val="auto"/>
              </w:rPr>
            </w:pPr>
            <w:r>
              <w:rPr>
                <w:rFonts w:ascii="Arial" w:cs="Arial" w:eastAsia="Arial" w:hAnsi="Arial"/>
                <w:sz w:val="13"/>
                <w:szCs w:val="13"/>
                <w:color w:val="auto"/>
              </w:rPr>
              <w:t>—</w:t>
            </w:r>
          </w:p>
        </w:tc>
        <w:tc>
          <w:tcPr>
            <w:tcW w:w="680" w:type="dxa"/>
            <w:vAlign w:val="bottom"/>
          </w:tcPr>
          <w:p>
            <w:pPr>
              <w:ind w:left="420"/>
              <w:spacing w:after="0" w:line="12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438,098</w:t>
            </w:r>
          </w:p>
        </w:tc>
        <w:tc>
          <w:tcPr>
            <w:tcW w:w="80" w:type="dxa"/>
            <w:vAlign w:val="bottom"/>
          </w:tcPr>
          <w:p>
            <w:pPr>
              <w:spacing w:after="0"/>
              <w:rPr>
                <w:sz w:val="10"/>
                <w:szCs w:val="10"/>
                <w:color w:val="auto"/>
              </w:rPr>
            </w:pPr>
          </w:p>
        </w:tc>
        <w:tc>
          <w:tcPr>
            <w:tcW w:w="8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438,098</w:t>
            </w: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438,098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120"/>
              <w:spacing w:after="0"/>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(13)</w:t>
            </w:r>
          </w:p>
        </w:tc>
        <w:tc>
          <w:tcPr>
            <w:tcW w:w="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TPC Broadband Investors, LP</w:t>
            </w:r>
          </w:p>
        </w:tc>
        <w:tc>
          <w:tcPr>
            <w:tcW w:w="960" w:type="dxa"/>
            <w:vAlign w:val="bottom"/>
            <w:shd w:val="clear" w:color="auto" w:fill="CCEEFF"/>
          </w:tcPr>
          <w:p>
            <w:pPr>
              <w:jc w:val="center"/>
              <w:ind w:left="57"/>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Telecommunications</w:t>
            </w:r>
          </w:p>
        </w:tc>
        <w:tc>
          <w:tcPr>
            <w:tcW w:w="1280" w:type="dxa"/>
            <w:vAlign w:val="bottom"/>
            <w:shd w:val="clear" w:color="auto" w:fill="CCEEFF"/>
          </w:tcPr>
          <w:p>
            <w:pPr>
              <w:jc w:val="right"/>
              <w:ind w:right="477"/>
              <w:spacing w:after="0" w:line="121"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420"/>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561,902</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(10), (13)</w:t>
            </w:r>
          </w:p>
        </w:tc>
        <w:tc>
          <w:tcPr>
            <w:tcW w:w="9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UniTek Global Services, Inc.</w:t>
            </w:r>
          </w:p>
        </w:tc>
        <w:tc>
          <w:tcPr>
            <w:tcW w:w="96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1280" w:type="dxa"/>
            <w:vAlign w:val="bottom"/>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ind w:left="42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149,617</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1,188,670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Equity/Warrants</w:t>
            </w:r>
          </w:p>
        </w:tc>
        <w:tc>
          <w:tcPr>
            <w:tcW w:w="9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6,536,210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10,223,551</w:t>
            </w:r>
          </w:p>
        </w:tc>
        <w:tc>
          <w:tcPr>
            <w:tcW w:w="0" w:type="dxa"/>
            <w:vAlign w:val="bottom"/>
          </w:tcPr>
          <w:p>
            <w:pPr>
              <w:spacing w:after="0"/>
              <w:rPr>
                <w:sz w:val="1"/>
                <w:szCs w:val="1"/>
                <w:color w:val="auto"/>
              </w:rPr>
            </w:pPr>
          </w:p>
        </w:tc>
      </w:tr>
      <w:tr>
        <w:trPr>
          <w:trHeight w:val="149"/>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93"/>
              </w:rPr>
              <w:t>Total Investments in Non-Controlled, Non-Affiliated Portfolio Companies</w:t>
            </w:r>
          </w:p>
        </w:tc>
        <w:tc>
          <w:tcPr>
            <w:tcW w:w="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653,340,297</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1"/>
              </w:rPr>
              <w:t>656,868,887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and Cash Equivalents—6.4%</w:t>
            </w:r>
          </w:p>
        </w:tc>
        <w:tc>
          <w:tcPr>
            <w:tcW w:w="9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BlackRock Federal FD Instl 30</w:t>
            </w:r>
          </w:p>
        </w:tc>
        <w:tc>
          <w:tcPr>
            <w:tcW w:w="9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5"/>
              </w:rPr>
              <w:t>22,526,563</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22,526,563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BNY Mellon Cash</w:t>
            </w:r>
          </w:p>
        </w:tc>
        <w:tc>
          <w:tcPr>
            <w:tcW w:w="9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1,674,695</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1,677,002</w:t>
            </w:r>
          </w:p>
        </w:tc>
        <w:tc>
          <w:tcPr>
            <w:tcW w:w="0" w:type="dxa"/>
            <w:vAlign w:val="bottom"/>
          </w:tcPr>
          <w:p>
            <w:pPr>
              <w:spacing w:after="0"/>
              <w:rPr>
                <w:sz w:val="1"/>
                <w:szCs w:val="1"/>
                <w:color w:val="auto"/>
              </w:rPr>
            </w:pPr>
          </w:p>
        </w:tc>
      </w:tr>
      <w:tr>
        <w:trPr>
          <w:trHeight w:val="149"/>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Cash and Cash Equivalents</w:t>
            </w:r>
          </w:p>
        </w:tc>
        <w:tc>
          <w:tcPr>
            <w:tcW w:w="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24,201,258</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24,203,565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Equivalents—180.6%</w:t>
            </w:r>
          </w:p>
        </w:tc>
        <w:tc>
          <w:tcPr>
            <w:tcW w:w="9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5"/>
              </w:rPr>
              <w:t>677,541,555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1"/>
              </w:rPr>
              <w:t>681,072,452</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Assets—(80.6)%</w:t>
            </w: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2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w w:val="81"/>
              </w:rPr>
              <w:t>(303,934,786)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9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1"/>
              </w:rPr>
              <w:t>377,137,666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60" w:hanging="452"/>
        <w:spacing w:after="0" w:line="222"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Offered Rate, or LIBOR or “L,” the Euro Interbank Offered Rate, or EURIBOR or “E,” or Prime rate, or “P.” All securities are subject to a LIBOR or Prime rate floor where a spread is provided, unless noted. The spread provided includes payment-in-kind, or PIK, interest and other fee rates, if any.</w:t>
      </w:r>
    </w:p>
    <w:p>
      <w:pPr>
        <w:ind w:left="460" w:hanging="452"/>
        <w:spacing w:after="0" w:line="216"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460" w:right="880" w:hanging="452"/>
        <w:spacing w:after="0" w:line="256" w:lineRule="auto"/>
        <w:tabs>
          <w:tab w:leader="none" w:pos="4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60" w:right="580" w:hanging="452"/>
        <w:spacing w:after="0" w:line="234" w:lineRule="auto"/>
        <w:tabs>
          <w:tab w:leader="none" w:pos="4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460" w:right="260" w:hanging="452"/>
        <w:spacing w:after="0" w:line="216"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1" w:lineRule="exact"/>
        <w:rPr>
          <w:rFonts w:ascii="Arial" w:cs="Arial" w:eastAsia="Arial" w:hAnsi="Arial"/>
          <w:sz w:val="13"/>
          <w:szCs w:val="13"/>
          <w:color w:val="auto"/>
        </w:rPr>
      </w:pPr>
    </w:p>
    <w:p>
      <w:pPr>
        <w:ind w:left="460" w:hanging="452"/>
        <w:spacing w:after="0" w:line="216"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460" w:hanging="452"/>
        <w:spacing w:after="0" w:line="216"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460" w:hanging="452"/>
        <w:spacing w:after="0" w:line="216"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securities, or a portion thereof, are not pledged as collateral under the Credit Facility. All other securities are pledged as collateral under the Credit Facility and held through Funding I.</w:t>
      </w:r>
    </w:p>
    <w:p>
      <w:pPr>
        <w:ind w:left="460" w:hanging="452"/>
        <w:spacing w:after="0" w:line="216"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460" w:hanging="452"/>
        <w:spacing w:after="0"/>
        <w:tabs>
          <w:tab w:leader="none" w:pos="4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460" w:right="160" w:hanging="452"/>
        <w:spacing w:after="0" w:line="216"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1" w:lineRule="exact"/>
        <w:rPr>
          <w:rFonts w:ascii="Arial" w:cs="Arial" w:eastAsia="Arial" w:hAnsi="Arial"/>
          <w:sz w:val="13"/>
          <w:szCs w:val="13"/>
          <w:color w:val="auto"/>
        </w:rPr>
      </w:pPr>
    </w:p>
    <w:p>
      <w:pPr>
        <w:ind w:left="460" w:hanging="452"/>
        <w:spacing w:after="0" w:line="216"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Par amount is denominated in Canadian Dollars (C$) or in Euros (€) as denoted.</w:t>
      </w:r>
    </w:p>
    <w:p>
      <w:pPr>
        <w:ind w:left="460" w:hanging="452"/>
        <w:spacing w:after="0"/>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Investment is held through our Taxable Subsidiary (See Note 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 SEPTEMBER 30,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4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4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Current</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76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Par /</w:t>
            </w: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640" w:type="dxa"/>
            <w:vAlign w:val="bottom"/>
            <w:vMerge w:val="continue"/>
          </w:tcPr>
          <w:p>
            <w:pPr>
              <w:spacing w:after="0"/>
              <w:rPr>
                <w:sz w:val="13"/>
                <w:szCs w:val="13"/>
                <w:color w:val="auto"/>
              </w:rPr>
            </w:pPr>
          </w:p>
        </w:tc>
        <w:tc>
          <w:tcPr>
            <w:tcW w:w="1460" w:type="dxa"/>
            <w:vAlign w:val="bottom"/>
          </w:tcPr>
          <w:p>
            <w:pPr>
              <w:jc w:val="right"/>
              <w:ind w:right="97"/>
              <w:spacing w:after="0"/>
              <w:rPr>
                <w:sz w:val="20"/>
                <w:szCs w:val="20"/>
                <w:color w:val="auto"/>
              </w:rPr>
            </w:pPr>
            <w:r>
              <w:rPr>
                <w:rFonts w:ascii="Arial" w:cs="Arial" w:eastAsia="Arial" w:hAnsi="Arial"/>
                <w:sz w:val="13"/>
                <w:szCs w:val="13"/>
                <w:b w:val="1"/>
                <w:bCs w:val="1"/>
                <w:color w:val="auto"/>
              </w:rPr>
              <w:t>Maturity</w:t>
            </w:r>
          </w:p>
        </w:tc>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w w:val="93"/>
              </w:rPr>
              <w:t>Coupon</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76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900" w:type="dxa"/>
            <w:vAlign w:val="bottom"/>
          </w:tcPr>
          <w:p>
            <w:pPr>
              <w:jc w:val="right"/>
              <w:ind w:right="257"/>
              <w:spacing w:after="0"/>
              <w:rPr>
                <w:sz w:val="20"/>
                <w:szCs w:val="20"/>
                <w:color w:val="auto"/>
              </w:rPr>
            </w:pPr>
            <w:r>
              <w:rPr>
                <w:rFonts w:ascii="Arial" w:cs="Arial" w:eastAsia="Arial" w:hAnsi="Arial"/>
                <w:sz w:val="13"/>
                <w:szCs w:val="13"/>
                <w:b w:val="1"/>
                <w:bCs w:val="1"/>
                <w:color w:val="auto"/>
              </w:rPr>
              <w:t>Cost</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9"/>
        </w:trPr>
        <w:tc>
          <w:tcPr>
            <w:tcW w:w="51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Investments in Non-Controlled, Non-Affiliated Portfolio Companies—159.3% </w:t>
            </w:r>
            <w:r>
              <w:rPr>
                <w:rFonts w:ascii="Arial" w:cs="Arial" w:eastAsia="Arial" w:hAnsi="Arial"/>
                <w:sz w:val="10"/>
                <w:szCs w:val="10"/>
                <w:b w:val="1"/>
                <w:bCs w:val="1"/>
                <w:color w:val="auto"/>
              </w:rPr>
              <w:t>(3), (4)</w:t>
            </w:r>
          </w:p>
        </w:tc>
        <w:tc>
          <w:tcPr>
            <w:tcW w:w="20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Debt—145.9%</w:t>
            </w:r>
          </w:p>
        </w:tc>
        <w:tc>
          <w:tcPr>
            <w:tcW w:w="14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Advanced Cable Communications, LLC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08/09/2021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6.75%</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12,500,000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  12,255,990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  12,250,000</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(10)</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08/09/2021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6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4,000,000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(80,000)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ALG USA Holdings, LLC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02/28/2019</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12,064,454</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12,037,105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12,064,454</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 xml:space="preserve">Alvogen Pharma US, Inc. </w:t>
            </w:r>
            <w:r>
              <w:rPr>
                <w:rFonts w:ascii="Arial" w:cs="Arial" w:eastAsia="Arial" w:hAnsi="Arial"/>
                <w:sz w:val="10"/>
                <w:szCs w:val="10"/>
                <w:color w:val="auto"/>
              </w:rPr>
              <w:t>(6), (11)</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04/04/2022</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3,943,925</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3,925,777</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3,946,410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American Bath Group, LLC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10/02/2023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6.75%</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3,000,000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2,970,000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2,992,500</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American Scaffold</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03/31/2022</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7.50%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4,937,500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4,866,801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4,888,125</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AMF Bowling Centers, Inc.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09/19/2023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15,000,000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14,850,608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14,931,300</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12/21/2020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9.25%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L+825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6,534,878</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6,462,308</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6,220,419</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API Technologies Corp.</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04/22/2022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9,975,000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9,787,810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9,825,375</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Azure Midstream Energy LLC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11/15/2018</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7"/>
              </w:rPr>
              <w:t>Energy: Oil and Gas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7.50%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5,125,684</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5,042,414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4,228,689</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Blue Bird Body Company</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06/29/2020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3,498,670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3,462,806</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3,498,670</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06/03/2021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2,440,000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2,397,229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2,422,820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06/03/2021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13.50%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L+1,225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2,460,000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2,415,653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2,442,679</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Camin Cargo Control, Inc.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06/30/2021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Transportation: Cargo</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5.75%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2,468,750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2,448,157</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2,370,000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CareCentrix, Inc.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07/08/2021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4,950,000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4,847,215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4,863,375</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07/02/2020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8.25%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4,962,500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4,930,912</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4,850,844</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CD&amp;R TZ Purchaser, Inc.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07/21/2023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12,500,000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12,179,928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12,343,750</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12/24/2019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4,098,750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4,061,551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3,750,357</w:t>
            </w:r>
          </w:p>
        </w:tc>
        <w:tc>
          <w:tcPr>
            <w:tcW w:w="0" w:type="dxa"/>
            <w:vAlign w:val="bottom"/>
          </w:tcPr>
          <w:p>
            <w:pPr>
              <w:spacing w:after="0"/>
              <w:rPr>
                <w:sz w:val="1"/>
                <w:szCs w:val="1"/>
                <w:color w:val="auto"/>
              </w:rPr>
            </w:pPr>
          </w:p>
        </w:tc>
      </w:tr>
      <w:tr>
        <w:trPr>
          <w:trHeight w:val="121"/>
        </w:trPr>
        <w:tc>
          <w:tcPr>
            <w:tcW w:w="36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14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01/08/2019</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68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7.50%</w:t>
            </w:r>
          </w:p>
        </w:tc>
        <w:tc>
          <w:tcPr>
            <w:tcW w:w="9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L+625</w:t>
            </w:r>
          </w:p>
        </w:tc>
        <w:tc>
          <w:tcPr>
            <w:tcW w:w="7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4,828,571</w:t>
            </w:r>
          </w:p>
        </w:tc>
        <w:tc>
          <w:tcPr>
            <w:tcW w:w="9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4,801,254</w:t>
            </w: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4,732,000</w:t>
            </w: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6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Corfin Industries LLC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11/25/2020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10.75%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L+975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6,272,600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6,163,749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6,272,600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(10)</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11/25/2020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6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518,033</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CRGT Inc.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12/21/2020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7.50%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10,531,671</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10,451,145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10,505,342</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Curo Health Services Holdings, Inc.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02/07/2022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1,970,000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1,953,997</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1,970,000</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DBI Holding LLC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08/02/2021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L+525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10,000,000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9,900,163</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9,900,000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DCS Business Services, Inc.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03/19/2018</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8.75%</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L+725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2,237,139</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2,225,615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2,237,139</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DISA Global Solutions, Inc.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12/09/2020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5.50%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4,925,000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4,889,096</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4,875,750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06/30/2020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5.75%</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4,687,500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4,659,016</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4,687,500</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 xml:space="preserve">Driven Performance Brands, Inc. </w:t>
            </w:r>
            <w:r>
              <w:rPr>
                <w:rFonts w:ascii="Arial" w:cs="Arial" w:eastAsia="Arial" w:hAnsi="Arial"/>
                <w:sz w:val="10"/>
                <w:szCs w:val="10"/>
                <w:color w:val="auto"/>
              </w:rPr>
              <w:t>(8)</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09/10/2020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5.75%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8,550,000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8,513,835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8,507,250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Driven Performance Brands, Inc. (Revolver) </w:t>
            </w:r>
            <w:r>
              <w:rPr>
                <w:rFonts w:ascii="Arial" w:cs="Arial" w:eastAsia="Arial" w:hAnsi="Arial"/>
                <w:sz w:val="10"/>
                <w:szCs w:val="10"/>
                <w:color w:val="auto"/>
              </w:rPr>
              <w:t>(8), (10)</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09/10/2020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6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1,000,000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Education Networks of America, Inc.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05/06/2021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8,641,304</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8,599,431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8,598,098</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Education Networks of America, Inc. (Revolver)</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05/06/2021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434,783</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434,783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434,783</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 xml:space="preserve">Education Networks of America, Inc. (Revolver) </w:t>
            </w:r>
            <w:r>
              <w:rPr>
                <w:rFonts w:ascii="Arial" w:cs="Arial" w:eastAsia="Arial" w:hAnsi="Arial"/>
                <w:sz w:val="10"/>
                <w:szCs w:val="10"/>
                <w:color w:val="auto"/>
              </w:rPr>
              <w:t>(10)</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05/06/2021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6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869,565</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Efficient Collaborative Retail Marketing Company, LLC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06/15/2022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7.75%</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10,972,500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10,864,398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10,972,500</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Emerging Markets Communications, LLC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07/01/2021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6.75%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4,937,500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4,875,844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4,702,969</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FHC Health Systems, Inc.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12/23/2021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L+400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4,925,000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4,884,041</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4,798,821</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GlobalLogic Holdings, Inc.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05/31/2019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L+525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3,890,000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3,867,640</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3,880,275</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Greenway Health, LLC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11/04/2020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6,807,500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6,765,938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6,620,294</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GTCR Valor Companies, Inc.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06/16/2023</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Media: Broadcasting and Subscription</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7,481,250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7,191,975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7,116,539</w:t>
            </w:r>
          </w:p>
        </w:tc>
        <w:tc>
          <w:tcPr>
            <w:tcW w:w="0" w:type="dxa"/>
            <w:vAlign w:val="bottom"/>
          </w:tcPr>
          <w:p>
            <w:pPr>
              <w:spacing w:after="0"/>
              <w:rPr>
                <w:sz w:val="1"/>
                <w:szCs w:val="1"/>
                <w:color w:val="auto"/>
              </w:rPr>
            </w:pPr>
          </w:p>
        </w:tc>
      </w:tr>
      <w:tr>
        <w:trPr>
          <w:trHeight w:val="121"/>
        </w:trPr>
        <w:tc>
          <w:tcPr>
            <w:tcW w:w="36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Harbortouch Payments, LLC</w:t>
            </w:r>
          </w:p>
        </w:tc>
        <w:tc>
          <w:tcPr>
            <w:tcW w:w="14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05/31/2022</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Banking, Finance, Insurance and</w:t>
            </w:r>
          </w:p>
        </w:tc>
        <w:tc>
          <w:tcPr>
            <w:tcW w:w="68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7.00%</w:t>
            </w:r>
          </w:p>
        </w:tc>
        <w:tc>
          <w:tcPr>
            <w:tcW w:w="9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6,956,250</w:t>
            </w:r>
          </w:p>
        </w:tc>
        <w:tc>
          <w:tcPr>
            <w:tcW w:w="9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6,889,369</w:t>
            </w: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7,025,812</w:t>
            </w: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Real Estate</w:t>
            </w:r>
          </w:p>
        </w:tc>
        <w:tc>
          <w:tcPr>
            <w:tcW w:w="6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640" w:type="dxa"/>
            <w:vAlign w:val="bottom"/>
          </w:tcPr>
          <w:p>
            <w:pPr>
              <w:spacing w:after="0" w:line="121" w:lineRule="exact"/>
              <w:rPr>
                <w:sz w:val="20"/>
                <w:szCs w:val="20"/>
                <w:color w:val="auto"/>
              </w:rPr>
            </w:pPr>
            <w:r>
              <w:rPr>
                <w:rFonts w:ascii="Arial" w:cs="Arial" w:eastAsia="Arial" w:hAnsi="Arial"/>
                <w:sz w:val="13"/>
                <w:szCs w:val="13"/>
                <w:color w:val="auto"/>
              </w:rPr>
              <w:t>Highline Aftermarket Acquisition, LLC (f/k/a DYK</w:t>
            </w:r>
          </w:p>
        </w:tc>
        <w:tc>
          <w:tcPr>
            <w:tcW w:w="1460" w:type="dxa"/>
            <w:vAlign w:val="bottom"/>
          </w:tcPr>
          <w:p>
            <w:pPr>
              <w:jc w:val="right"/>
              <w:ind w:right="37"/>
              <w:spacing w:after="0" w:line="121" w:lineRule="exact"/>
              <w:rPr>
                <w:sz w:val="20"/>
                <w:szCs w:val="20"/>
                <w:color w:val="auto"/>
              </w:rPr>
            </w:pPr>
            <w:r>
              <w:rPr>
                <w:rFonts w:ascii="Arial" w:cs="Arial" w:eastAsia="Arial" w:hAnsi="Arial"/>
                <w:sz w:val="13"/>
                <w:szCs w:val="13"/>
                <w:color w:val="auto"/>
              </w:rPr>
              <w:t>04/01/2022</w:t>
            </w:r>
          </w:p>
        </w:tc>
        <w:tc>
          <w:tcPr>
            <w:tcW w:w="2080" w:type="dxa"/>
            <w:vAlign w:val="bottom"/>
          </w:tcPr>
          <w:p>
            <w:pPr>
              <w:jc w:val="center"/>
              <w:spacing w:after="0" w:line="121" w:lineRule="exact"/>
              <w:rPr>
                <w:sz w:val="20"/>
                <w:szCs w:val="20"/>
                <w:color w:val="auto"/>
              </w:rPr>
            </w:pPr>
            <w:r>
              <w:rPr>
                <w:rFonts w:ascii="Arial" w:cs="Arial" w:eastAsia="Arial" w:hAnsi="Arial"/>
                <w:sz w:val="13"/>
                <w:szCs w:val="13"/>
                <w:color w:val="auto"/>
                <w:w w:val="88"/>
              </w:rPr>
              <w:t>Wholesale</w:t>
            </w:r>
          </w:p>
        </w:tc>
        <w:tc>
          <w:tcPr>
            <w:tcW w:w="68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5.75%</w:t>
            </w:r>
          </w:p>
        </w:tc>
        <w:tc>
          <w:tcPr>
            <w:tcW w:w="9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L+475</w:t>
            </w:r>
          </w:p>
        </w:tc>
        <w:tc>
          <w:tcPr>
            <w:tcW w:w="760" w:type="dxa"/>
            <w:vAlign w:val="bottom"/>
          </w:tcPr>
          <w:p>
            <w:pPr>
              <w:jc w:val="right"/>
              <w:ind w:right="17"/>
              <w:spacing w:after="0" w:line="121" w:lineRule="exact"/>
              <w:rPr>
                <w:sz w:val="20"/>
                <w:szCs w:val="20"/>
                <w:color w:val="auto"/>
              </w:rPr>
            </w:pPr>
            <w:r>
              <w:rPr>
                <w:rFonts w:ascii="Arial" w:cs="Arial" w:eastAsia="Arial" w:hAnsi="Arial"/>
                <w:sz w:val="13"/>
                <w:szCs w:val="13"/>
                <w:color w:val="auto"/>
              </w:rPr>
              <w:t>7,312,500</w:t>
            </w:r>
          </w:p>
        </w:tc>
        <w:tc>
          <w:tcPr>
            <w:tcW w:w="9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7,244,146</w:t>
            </w:r>
          </w:p>
        </w:tc>
        <w:tc>
          <w:tcPr>
            <w:tcW w:w="9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7,275,937</w:t>
            </w:r>
          </w:p>
        </w:tc>
        <w:tc>
          <w:tcPr>
            <w:tcW w:w="0" w:type="dxa"/>
            <w:vAlign w:val="bottom"/>
          </w:tcPr>
          <w:p>
            <w:pPr>
              <w:spacing w:after="0"/>
              <w:rPr>
                <w:sz w:val="1"/>
                <w:szCs w:val="1"/>
                <w:color w:val="auto"/>
              </w:rPr>
            </w:pPr>
          </w:p>
        </w:tc>
      </w:tr>
      <w:tr>
        <w:trPr>
          <w:trHeight w:val="149"/>
        </w:trPr>
        <w:tc>
          <w:tcPr>
            <w:tcW w:w="3640" w:type="dxa"/>
            <w:vAlign w:val="bottom"/>
          </w:tcPr>
          <w:p>
            <w:pPr>
              <w:ind w:left="140"/>
              <w:spacing w:after="0"/>
              <w:rPr>
                <w:sz w:val="20"/>
                <w:szCs w:val="20"/>
                <w:color w:val="auto"/>
              </w:rPr>
            </w:pPr>
            <w:r>
              <w:rPr>
                <w:rFonts w:ascii="Arial" w:cs="Arial" w:eastAsia="Arial" w:hAnsi="Arial"/>
                <w:sz w:val="13"/>
                <w:szCs w:val="13"/>
                <w:color w:val="auto"/>
              </w:rPr>
              <w:t>Prime Acquisition, LLC)</w:t>
            </w:r>
          </w:p>
        </w:tc>
        <w:tc>
          <w:tcPr>
            <w:tcW w:w="14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10/21/2020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1,165,886</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1,153,016</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1,142,569</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Hostway Corporation</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12/13/2019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2,624,730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2,610,592</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2,183,890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Hunter Defense Technologies, Inc. </w:t>
            </w:r>
            <w:r>
              <w:rPr>
                <w:rFonts w:ascii="Arial" w:cs="Arial" w:eastAsia="Arial" w:hAnsi="Arial"/>
                <w:sz w:val="10"/>
                <w:szCs w:val="10"/>
                <w:color w:val="auto"/>
              </w:rPr>
              <w:t>(8)</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08/05/2019</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6,256,250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6,218,559</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5,505,500</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(11)</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11/04/2020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7.25%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L+625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6,225,820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6,133,990</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6,225,820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Idera, Inc.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04/09/2021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7,942,494</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7,293,179</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7,684,363</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(11)</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05/01/2019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7.25%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8,676,097</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8,614,521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8,242,292</w:t>
            </w:r>
          </w:p>
        </w:tc>
        <w:tc>
          <w:tcPr>
            <w:tcW w:w="0" w:type="dxa"/>
            <w:vAlign w:val="bottom"/>
          </w:tcPr>
          <w:p>
            <w:pPr>
              <w:spacing w:after="0"/>
              <w:rPr>
                <w:sz w:val="1"/>
                <w:szCs w:val="1"/>
                <w:color w:val="auto"/>
              </w:rPr>
            </w:pPr>
          </w:p>
        </w:tc>
      </w:tr>
      <w:tr>
        <w:trPr>
          <w:trHeight w:val="121"/>
        </w:trPr>
        <w:tc>
          <w:tcPr>
            <w:tcW w:w="36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Imagine! Print Solutions, LLC</w:t>
            </w:r>
          </w:p>
        </w:tc>
        <w:tc>
          <w:tcPr>
            <w:tcW w:w="14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03/30/2022</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68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7.00%</w:t>
            </w:r>
          </w:p>
        </w:tc>
        <w:tc>
          <w:tcPr>
            <w:tcW w:w="9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5,974,987</w:t>
            </w:r>
          </w:p>
        </w:tc>
        <w:tc>
          <w:tcPr>
            <w:tcW w:w="9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5,914,562</w:t>
            </w: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6,027,269</w:t>
            </w: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6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640" w:type="dxa"/>
            <w:vAlign w:val="bottom"/>
          </w:tcPr>
          <w:p>
            <w:pPr>
              <w:spacing w:after="0" w:line="121" w:lineRule="exact"/>
              <w:rPr>
                <w:sz w:val="20"/>
                <w:szCs w:val="20"/>
                <w:color w:val="auto"/>
              </w:rPr>
            </w:pPr>
            <w:r>
              <w:rPr>
                <w:rFonts w:ascii="Arial" w:cs="Arial" w:eastAsia="Arial" w:hAnsi="Arial"/>
                <w:sz w:val="13"/>
                <w:szCs w:val="13"/>
                <w:color w:val="auto"/>
              </w:rPr>
              <w:t>Instant Web, LLC, Term Loan A</w:t>
            </w:r>
          </w:p>
        </w:tc>
        <w:tc>
          <w:tcPr>
            <w:tcW w:w="1460" w:type="dxa"/>
            <w:vAlign w:val="bottom"/>
          </w:tcPr>
          <w:p>
            <w:pPr>
              <w:jc w:val="right"/>
              <w:ind w:right="37"/>
              <w:spacing w:after="0" w:line="121" w:lineRule="exact"/>
              <w:rPr>
                <w:sz w:val="20"/>
                <w:szCs w:val="20"/>
                <w:color w:val="auto"/>
              </w:rPr>
            </w:pPr>
            <w:r>
              <w:rPr>
                <w:rFonts w:ascii="Arial" w:cs="Arial" w:eastAsia="Arial" w:hAnsi="Arial"/>
                <w:sz w:val="13"/>
                <w:szCs w:val="13"/>
                <w:color w:val="auto"/>
              </w:rPr>
              <w:t>03/28/2019</w:t>
            </w:r>
          </w:p>
        </w:tc>
        <w:tc>
          <w:tcPr>
            <w:tcW w:w="208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68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5.50%</w:t>
            </w:r>
          </w:p>
        </w:tc>
        <w:tc>
          <w:tcPr>
            <w:tcW w:w="9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L+450</w:t>
            </w:r>
          </w:p>
        </w:tc>
        <w:tc>
          <w:tcPr>
            <w:tcW w:w="76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5,277,938</w:t>
            </w:r>
          </w:p>
        </w:tc>
        <w:tc>
          <w:tcPr>
            <w:tcW w:w="9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5,235,239</w:t>
            </w:r>
          </w:p>
        </w:tc>
        <w:tc>
          <w:tcPr>
            <w:tcW w:w="9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5,277,938</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8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6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B</w:t>
            </w:r>
          </w:p>
        </w:tc>
        <w:tc>
          <w:tcPr>
            <w:tcW w:w="14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03/28/2019</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68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12.00%</w:t>
            </w:r>
          </w:p>
        </w:tc>
        <w:tc>
          <w:tcPr>
            <w:tcW w:w="9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L+1,100</w:t>
            </w:r>
          </w:p>
        </w:tc>
        <w:tc>
          <w:tcPr>
            <w:tcW w:w="7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4,500,000</w:t>
            </w:r>
          </w:p>
        </w:tc>
        <w:tc>
          <w:tcPr>
            <w:tcW w:w="9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4,460,571</w:t>
            </w: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6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06/30/2020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6,662,719</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6,609,864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6,662,719</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Inventus Power, Inc. (f/k/a ICC-Nexergy, Inc.)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04/30/2020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4,882,266</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4,846,935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4,686,976</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Jackson Hewitt Inc.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07/30/2020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4,900,000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4,820,995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4,753,000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02/19/2021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L+900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4,002,471</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3,932,760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3,925,841</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Kendra Scott, LLC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07/17/2020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2,850,000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2,827,307</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2,821,500</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KHC Holdings, Inc.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10/31/2022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Wholesale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12,406,250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12,210,683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12,344,219</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 xml:space="preserve">KHC Holdings, Inc. (Revolver) </w:t>
            </w:r>
            <w:r>
              <w:rPr>
                <w:rFonts w:ascii="Arial" w:cs="Arial" w:eastAsia="Arial" w:hAnsi="Arial"/>
                <w:sz w:val="10"/>
                <w:szCs w:val="10"/>
                <w:color w:val="auto"/>
              </w:rPr>
              <w:t>(8), (10)</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10/30/2020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Wholesale</w:t>
            </w:r>
          </w:p>
        </w:tc>
        <w:tc>
          <w:tcPr>
            <w:tcW w:w="6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1,209,677</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Lago Resort &amp; Casino, LLC</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03/07/2022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L+950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10,174,500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9,984,965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9,971,010</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Lanyon Solutions, Inc.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11/13/2020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5.50%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1,945,020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1,940,066</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1,930,432</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11/30/2018</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L+525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5,407,864</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5,371,524</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5,272,668</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 xml:space="preserve">Lindblad Expeditions, Inc. </w:t>
            </w:r>
            <w:r>
              <w:rPr>
                <w:rFonts w:ascii="Arial" w:cs="Arial" w:eastAsia="Arial" w:hAnsi="Arial"/>
                <w:sz w:val="10"/>
                <w:szCs w:val="10"/>
                <w:color w:val="auto"/>
              </w:rPr>
              <w:t>(6), (11)</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05/10/2021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5.50%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2,186,607</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2,177,539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2,186,607</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Lindblad Maritime Enterprises, Ltd. </w:t>
            </w:r>
            <w:r>
              <w:rPr>
                <w:rFonts w:ascii="Arial" w:cs="Arial" w:eastAsia="Arial" w:hAnsi="Arial"/>
                <w:sz w:val="10"/>
                <w:szCs w:val="10"/>
                <w:color w:val="auto"/>
              </w:rPr>
              <w:t>(6), (11)</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05/10/2021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L+450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282,143</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280,973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282,143</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Lombart Brothers, Inc.</w:t>
            </w:r>
          </w:p>
        </w:tc>
        <w:tc>
          <w:tcPr>
            <w:tcW w:w="14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04/13/2022</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Capital Equipment</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7.75%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5,985,000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5,901,046</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6,014,925</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Lombart Brothers, Inc. (Revolver) </w:t>
            </w:r>
            <w:r>
              <w:rPr>
                <w:rFonts w:ascii="Arial" w:cs="Arial" w:eastAsia="Arial" w:hAnsi="Arial"/>
                <w:sz w:val="10"/>
                <w:szCs w:val="10"/>
                <w:color w:val="auto"/>
              </w:rPr>
              <w:t>(8)</w:t>
            </w:r>
          </w:p>
        </w:tc>
        <w:tc>
          <w:tcPr>
            <w:tcW w:w="14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04/13/2022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Capital Equipment</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7.75%</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176,991</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176,991</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176,991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2016</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Basis Point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Issuer Name</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Current</w:t>
            </w: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Spread Above</w:t>
            </w:r>
          </w:p>
        </w:tc>
        <w:tc>
          <w:tcPr>
            <w:tcW w:w="8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Par /</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40" w:type="dxa"/>
            <w:vAlign w:val="bottom"/>
            <w:gridSpan w:val="3"/>
            <w:vMerge w:val="continue"/>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2180" w:type="dxa"/>
            <w:vAlign w:val="bottom"/>
            <w:gridSpan w:val="2"/>
          </w:tcPr>
          <w:p>
            <w:pPr>
              <w:ind w:left="760"/>
              <w:spacing w:after="0"/>
              <w:rPr>
                <w:sz w:val="20"/>
                <w:szCs w:val="20"/>
                <w:color w:val="auto"/>
              </w:rPr>
            </w:pPr>
            <w:r>
              <w:rPr>
                <w:rFonts w:ascii="Arial" w:cs="Arial" w:eastAsia="Arial" w:hAnsi="Arial"/>
                <w:sz w:val="13"/>
                <w:szCs w:val="13"/>
                <w:b w:val="1"/>
                <w:bCs w:val="1"/>
                <w:color w:val="auto"/>
              </w:rPr>
              <w:t>Industry</w:t>
            </w: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Coupon</w:t>
            </w: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8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3"/>
                <w:szCs w:val="13"/>
                <w:color w:val="auto"/>
              </w:rPr>
            </w:pPr>
          </w:p>
        </w:tc>
        <w:tc>
          <w:tcPr>
            <w:tcW w:w="740" w:type="dxa"/>
            <w:vAlign w:val="bottom"/>
            <w:gridSpan w:val="3"/>
          </w:tcPr>
          <w:p>
            <w:pPr>
              <w:ind w:left="16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 xml:space="preserve">Fair Value </w:t>
            </w:r>
            <w:r>
              <w:rPr>
                <w:rFonts w:ascii="Arial" w:cs="Arial" w:eastAsia="Arial" w:hAnsi="Arial"/>
                <w:sz w:val="10"/>
                <w:szCs w:val="10"/>
                <w:b w:val="1"/>
                <w:bCs w:val="1"/>
                <w:color w:val="auto"/>
                <w:w w:val="99"/>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 xml:space="preserve">Lombart Brothers, Inc. (Revolver) </w:t>
            </w:r>
            <w:r>
              <w:rPr>
                <w:rFonts w:ascii="Arial" w:cs="Arial" w:eastAsia="Arial" w:hAnsi="Arial"/>
                <w:sz w:val="10"/>
                <w:szCs w:val="10"/>
                <w:color w:val="auto"/>
              </w:rPr>
              <w:t>(8), (10)</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04/13/2022</w:t>
            </w:r>
          </w:p>
        </w:tc>
        <w:tc>
          <w:tcPr>
            <w:tcW w:w="200" w:type="dxa"/>
            <w:vAlign w:val="bottom"/>
            <w:tcBorders>
              <w:top w:val="single" w:sz="8" w:color="CCEEFF"/>
            </w:tcBorders>
            <w:shd w:val="clear" w:color="auto" w:fill="CCEEFF"/>
          </w:tcPr>
          <w:p>
            <w:pPr>
              <w:spacing w:after="0"/>
              <w:rPr>
                <w:sz w:val="11"/>
                <w:szCs w:val="11"/>
                <w:color w:val="auto"/>
              </w:rPr>
            </w:pPr>
          </w:p>
        </w:tc>
        <w:tc>
          <w:tcPr>
            <w:tcW w:w="19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Capital Equipment</w:t>
            </w:r>
          </w:p>
        </w:tc>
        <w:tc>
          <w:tcPr>
            <w:tcW w:w="2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1,061,947</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Long’s Drugs Incorporated</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08/19/2021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6.25%</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L+525</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5,000,000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4,951,874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LSF9 Atlantis Holdings,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01/15/2021</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10.00%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L+900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9,542,392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9,417,467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9,542,392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LTI Holdings, Inc.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04/18/2022</w:t>
            </w:r>
          </w:p>
        </w:tc>
        <w:tc>
          <w:tcPr>
            <w:tcW w:w="21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5.25%</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L+425</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5,431,250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4,973,326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5,254,734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Marketplace Events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01/27/2021</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6.25%</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L+525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1,362,530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1,342,162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1,342,092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Marketplace Events LLC </w:t>
            </w:r>
            <w:r>
              <w:rPr>
                <w:rFonts w:ascii="Arial" w:cs="Arial" w:eastAsia="Arial" w:hAnsi="Arial"/>
                <w:sz w:val="10"/>
                <w:szCs w:val="10"/>
                <w:color w:val="auto"/>
              </w:rPr>
              <w:t>(12)</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01/27/2021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6.25%</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P+275</w:t>
            </w:r>
          </w:p>
        </w:tc>
        <w:tc>
          <w:tcPr>
            <w:tcW w:w="1020" w:type="dxa"/>
            <w:vAlign w:val="bottom"/>
            <w:gridSpan w:val="3"/>
          </w:tcPr>
          <w:p>
            <w:pPr>
              <w:jc w:val="center"/>
              <w:ind w:right="140"/>
              <w:spacing w:after="0" w:line="135" w:lineRule="exact"/>
              <w:rPr>
                <w:sz w:val="20"/>
                <w:szCs w:val="20"/>
                <w:color w:val="auto"/>
              </w:rPr>
            </w:pPr>
            <w:r>
              <w:rPr>
                <w:rFonts w:ascii="Arial" w:cs="Arial" w:eastAsia="Arial" w:hAnsi="Arial"/>
                <w:sz w:val="13"/>
                <w:szCs w:val="13"/>
                <w:color w:val="auto"/>
                <w:w w:val="88"/>
              </w:rPr>
              <w:t>C$17,244,188</w:t>
            </w: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12,065,652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13,078,215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01/27/2021</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6.25%</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P+275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1,090,024</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1,090,024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1,090,024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 (10)</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01/27/2021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613,139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Mission Critical Electronics, Inc. </w:t>
            </w:r>
            <w:r>
              <w:rPr>
                <w:rFonts w:ascii="Arial" w:cs="Arial" w:eastAsia="Arial" w:hAnsi="Arial"/>
                <w:sz w:val="10"/>
                <w:szCs w:val="10"/>
                <w:color w:val="auto"/>
              </w:rPr>
              <w:t>(8)</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09/28/2022</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102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4,116,608</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4,075,499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4,075,442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Mission Critical Electronics, Inc. (Revolver) </w:t>
            </w:r>
            <w:r>
              <w:rPr>
                <w:rFonts w:ascii="Arial" w:cs="Arial" w:eastAsia="Arial" w:hAnsi="Arial"/>
                <w:sz w:val="10"/>
                <w:szCs w:val="10"/>
                <w:color w:val="auto"/>
              </w:rPr>
              <w:t>(8), (10)</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09/28/2021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883,392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Trident HoldCorp, Inc.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07/31/2019</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L+525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8,817,647</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8,767,669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8,288,588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08/19/2022</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6.00%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6,268,657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6,205,970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6,205,970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 (10)</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08/19/2022</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3,731,343</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Polycom, Inc.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09/27/2023</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Telecommunications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7.50%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L+650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6,000,000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5,760,000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5,775,000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Precyse Acquisition Corp.</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10/20/2022</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3,990,000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3,932,956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4,014,938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Premier Dental Services, Inc.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11/01/2018</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Consumer Services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7.50%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L+650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7,528,230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7,473,587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7,490,588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Profile Products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05/20/2021</w:t>
            </w:r>
          </w:p>
        </w:tc>
        <w:tc>
          <w:tcPr>
            <w:tcW w:w="21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9"/>
              </w:rPr>
              <w:t>Environmental Industries</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5.75%</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L+475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7,281,762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7,222,561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7,281,762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 (10)</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05/20/2020</w:t>
            </w:r>
          </w:p>
        </w:tc>
        <w:tc>
          <w:tcPr>
            <w:tcW w:w="21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9"/>
              </w:rPr>
              <w:t>Environmental Industries</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2,459,016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Quick Weight Loss Centers,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08/23/2021</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5"/>
              </w:rPr>
              <w:t>Beverage, Food and Tobacco</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5.75%</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L+475</w:t>
            </w:r>
          </w:p>
        </w:tc>
        <w:tc>
          <w:tcPr>
            <w:tcW w:w="102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10,000,000</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9,852,456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9,900,000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Research Now Group, Inc.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03/18/2021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5.50%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L+450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6,895,000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6,867,800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6,688,150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06/18/2019</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Consumer Goods: Durable</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8.50%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L+700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4,252,830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4,233,671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4,258,699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Ryan,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08/07/2020</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6.75%</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L+575</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4,218,750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4,166,413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4,163,400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Sensus USA, Inc.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04/05/2023</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3"/>
              </w:rPr>
              <w:t>Utilities: Water</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9,975,000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9,692,511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9,999,938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Snak Club,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07/19/2021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5"/>
              </w:rPr>
              <w:t>Beverage, Food and Tobacco</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6.00%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4,968,748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4,896,623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4,919,060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Snak Club, LLC (Revolver) </w:t>
            </w:r>
            <w:r>
              <w:rPr>
                <w:rFonts w:ascii="Arial" w:cs="Arial" w:eastAsia="Arial" w:hAnsi="Arial"/>
                <w:sz w:val="10"/>
                <w:szCs w:val="10"/>
                <w:color w:val="auto"/>
              </w:rPr>
              <w:t>(10)</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07/19/2021</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5"/>
              </w:rPr>
              <w:t>Beverage, Food and Tobacco</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Software Paradigms International Group,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05/21/2021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9,875,000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9,781,596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9,825,625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04/21/2017</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4"/>
              </w:rPr>
              <w:t>Aerospace and Defense</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9.00%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L+750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5,668,843</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5,614,696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5,640,499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Sundial Group Holdings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10/19/2021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Consumer Goods: Non-Durable</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7.25%</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L+625</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7,312,500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7,200,786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7,312,500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12/16/2020</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7,446,562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7,395,200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7,409,329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10/18/2019</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5.00%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L+400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5,850,000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5,834,217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5,733,000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Tensar Corporation</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07/09/2021</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Construction and Building</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5.75%</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L+475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4,822,723</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4,786,985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4,071,198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The Original Cakerie, Co. </w:t>
            </w:r>
            <w:r>
              <w:rPr>
                <w:rFonts w:ascii="Arial" w:cs="Arial" w:eastAsia="Arial" w:hAnsi="Arial"/>
                <w:sz w:val="10"/>
                <w:szCs w:val="10"/>
                <w:color w:val="auto"/>
              </w:rPr>
              <w:t>(6), (11)</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07/20/2021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Consumer Goods: Non-Durable</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3,092,295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3,062,366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3,061,372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The Original Cakerie Ltd. </w:t>
            </w:r>
            <w:r>
              <w:rPr>
                <w:rFonts w:ascii="Arial" w:cs="Arial" w:eastAsia="Arial" w:hAnsi="Arial"/>
                <w:sz w:val="10"/>
                <w:szCs w:val="10"/>
                <w:color w:val="auto"/>
              </w:rPr>
              <w:t>(6), (11)</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07/20/2021</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8"/>
              </w:rPr>
              <w:t>Consumer Goods: Non-Durable</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5,986,002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5,928,120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5,926,142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The Original Cakerie Ltd. (Revolver) </w:t>
            </w:r>
            <w:r>
              <w:rPr>
                <w:rFonts w:ascii="Arial" w:cs="Arial" w:eastAsia="Arial" w:hAnsi="Arial"/>
                <w:sz w:val="10"/>
                <w:szCs w:val="10"/>
                <w:color w:val="auto"/>
              </w:rPr>
              <w:t>(6), (8), (10), (11)</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07/20/2021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Consumer Goods: Non-Durable</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1,418,484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(7,092)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TOMS Shoes,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11/02/2020</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8"/>
              </w:rPr>
              <w:t>Consumer Goods: Non-Durable</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1,970,000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1,825,559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1,576,000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Triad Manufacturing, Inc.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12/28/2020</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11.27%</w:t>
            </w: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L+1,075</w:t>
            </w:r>
            <w:r>
              <w:rPr>
                <w:rFonts w:ascii="Arial" w:cs="Arial" w:eastAsia="Arial" w:hAnsi="Arial"/>
                <w:sz w:val="10"/>
                <w:szCs w:val="10"/>
                <w:color w:val="auto"/>
              </w:rPr>
              <w:t>(9)</w:t>
            </w:r>
          </w:p>
        </w:tc>
        <w:tc>
          <w:tcPr>
            <w:tcW w:w="102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10,306,936</w:t>
            </w: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10,124,477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10,306,936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82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w w:val="92"/>
              </w:rPr>
              <w:t>01/14/2019</w:t>
            </w:r>
          </w:p>
        </w:tc>
        <w:tc>
          <w:tcPr>
            <w:tcW w:w="218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88"/>
              </w:rPr>
              <w:t>Telecommunications</w:t>
            </w:r>
          </w:p>
        </w:tc>
        <w:tc>
          <w:tcPr>
            <w:tcW w:w="86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9.50%</w:t>
            </w:r>
          </w:p>
        </w:tc>
        <w:tc>
          <w:tcPr>
            <w:tcW w:w="9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L+850</w:t>
            </w:r>
          </w:p>
        </w:tc>
        <w:tc>
          <w:tcPr>
            <w:tcW w:w="8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256,971</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256,971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256,971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(PIK 1.00%)</w:t>
            </w: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01/14/2019</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Telecommunications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8.50%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L+750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599,702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562,432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590,706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(10)</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01/14/2019</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8"/>
              </w:rPr>
              <w:t>Telecommunications</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151,090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Universal Fiber Systems,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10/04/2021</w:t>
            </w:r>
          </w:p>
        </w:tc>
        <w:tc>
          <w:tcPr>
            <w:tcW w:w="21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4,962,500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4,919,423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4,937,688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Anesthesia Partners, Inc.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12/31/2019</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9,900,000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9,818,407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9,850,500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US Med Acquisition, Inc. </w:t>
            </w:r>
            <w:r>
              <w:rPr>
                <w:rFonts w:ascii="Arial" w:cs="Arial" w:eastAsia="Arial" w:hAnsi="Arial"/>
                <w:sz w:val="10"/>
                <w:szCs w:val="10"/>
                <w:color w:val="auto"/>
              </w:rPr>
              <w:t>(8)</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08/13/2021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10.00%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L+900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3,089,844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3,089,844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3,089,844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Vistage Worldwide, Inc.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08/19/2021</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8"/>
              </w:rPr>
              <w:t>Media: Broadcasting and Subscription</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4,792,831</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4,752,002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4,792,831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Winchester Electronics Corporation</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06/30/2022</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7.50%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L+650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7,773,579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7,703,094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7,668,171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Winchester Electronics Corporation </w:t>
            </w:r>
            <w:r>
              <w:rPr>
                <w:rFonts w:ascii="Arial" w:cs="Arial" w:eastAsia="Arial" w:hAnsi="Arial"/>
                <w:sz w:val="10"/>
                <w:szCs w:val="10"/>
                <w:color w:val="auto"/>
              </w:rPr>
              <w:t>(10)</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06/30/2022</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708,333</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(9,605)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820" w:type="dxa"/>
            <w:vAlign w:val="bottom"/>
            <w:gridSpan w:val="2"/>
          </w:tcPr>
          <w:p>
            <w:pPr>
              <w:spacing w:after="0" w:line="121" w:lineRule="exact"/>
              <w:rPr>
                <w:sz w:val="20"/>
                <w:szCs w:val="20"/>
                <w:color w:val="auto"/>
              </w:rPr>
            </w:pPr>
            <w:r>
              <w:rPr>
                <w:rFonts w:ascii="Arial" w:cs="Arial" w:eastAsia="Arial" w:hAnsi="Arial"/>
                <w:sz w:val="13"/>
                <w:szCs w:val="13"/>
                <w:color w:val="auto"/>
              </w:rPr>
              <w:t>Worley Claims Services, LLC</w:t>
            </w:r>
          </w:p>
        </w:tc>
        <w:tc>
          <w:tcPr>
            <w:tcW w:w="82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w w:val="92"/>
              </w:rPr>
              <w:t>10/30/2020</w:t>
            </w:r>
          </w:p>
        </w:tc>
        <w:tc>
          <w:tcPr>
            <w:tcW w:w="218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8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9.00%</w:t>
            </w:r>
          </w:p>
        </w:tc>
        <w:tc>
          <w:tcPr>
            <w:tcW w:w="98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L+800</w:t>
            </w:r>
          </w:p>
        </w:tc>
        <w:tc>
          <w:tcPr>
            <w:tcW w:w="8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7,316,440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7,259,010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7,316,440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3"/>
                <w:szCs w:val="13"/>
                <w:color w:val="auto"/>
                <w:w w:val="81"/>
              </w:rPr>
              <w:t>Estate</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5"/>
              </w:rPr>
              <w:t>549,736,982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548,410,095</w:t>
            </w:r>
          </w:p>
        </w:tc>
        <w:tc>
          <w:tcPr>
            <w:tcW w:w="0" w:type="dxa"/>
            <w:vAlign w:val="bottom"/>
          </w:tcPr>
          <w:p>
            <w:pPr>
              <w:spacing w:after="0"/>
              <w:rPr>
                <w:sz w:val="1"/>
                <w:szCs w:val="1"/>
                <w:color w:val="auto"/>
              </w:rPr>
            </w:pPr>
          </w:p>
        </w:tc>
      </w:tr>
      <w:tr>
        <w:trPr>
          <w:trHeight w:val="142"/>
        </w:trPr>
        <w:tc>
          <w:tcPr>
            <w:tcW w:w="384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Second Lien Secured Debt—9.7%</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Affinion Group, Inc. </w:t>
            </w:r>
            <w:r>
              <w:rPr>
                <w:rFonts w:ascii="Arial" w:cs="Arial" w:eastAsia="Arial" w:hAnsi="Arial"/>
                <w:sz w:val="10"/>
                <w:szCs w:val="10"/>
                <w:color w:val="auto"/>
              </w:rPr>
              <w:t>(8)</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10/31/2018</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Consumer Goods: Durable</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8.50%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L+700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942,276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879,170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09/01/2017</w:t>
            </w:r>
          </w:p>
        </w:tc>
        <w:tc>
          <w:tcPr>
            <w:tcW w:w="21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0"/>
              </w:rPr>
              <w:t>Metals and Mining</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(7)</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1,000,000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12/31/2020</w:t>
            </w:r>
          </w:p>
        </w:tc>
        <w:tc>
          <w:tcPr>
            <w:tcW w:w="21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11.34%</w:t>
            </w:r>
          </w:p>
        </w:tc>
        <w:tc>
          <w:tcPr>
            <w:tcW w:w="9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(9)</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2,000,000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1,971,030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2,020,000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Howard Berger Co.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09/30/2020</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Wholesale</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11.00%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L+1,000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11,000,000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10,511,818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9,900,000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MailSouth, Inc.</w:t>
            </w:r>
          </w:p>
        </w:tc>
        <w:tc>
          <w:tcPr>
            <w:tcW w:w="82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w w:val="92"/>
              </w:rPr>
              <w:t>10/22/2021</w:t>
            </w:r>
          </w:p>
        </w:tc>
        <w:tc>
          <w:tcPr>
            <w:tcW w:w="218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90"/>
              </w:rPr>
              <w:t>Media: Advertising, Printing and</w:t>
            </w:r>
          </w:p>
        </w:tc>
        <w:tc>
          <w:tcPr>
            <w:tcW w:w="86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11.50%</w:t>
            </w:r>
          </w:p>
        </w:tc>
        <w:tc>
          <w:tcPr>
            <w:tcW w:w="9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L+1,050</w:t>
            </w:r>
          </w:p>
        </w:tc>
        <w:tc>
          <w:tcPr>
            <w:tcW w:w="8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3,775,000</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3,703,724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3,775,000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89"/>
              </w:rPr>
              <w:t>Publishing</w:t>
            </w: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Novitex Acquisition,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07/07/2021</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12.25%</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L+1,100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11,000,000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10,914,618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11,000,000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10/02/2020</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9.00%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L+775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4,872,042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4,826,926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4,853,772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(11)</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08/01/2017</w:t>
            </w:r>
          </w:p>
        </w:tc>
        <w:tc>
          <w:tcPr>
            <w:tcW w:w="21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Energy: Oil and Gas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12.50%</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2,812,500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2,756,732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1,631,250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VT Buyer Acquisition Corp.</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01/30/2023</w:t>
            </w:r>
          </w:p>
        </w:tc>
        <w:tc>
          <w:tcPr>
            <w:tcW w:w="21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10.75%</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L+975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1,837,500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1,777,304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1,837,500</w:t>
            </w:r>
          </w:p>
        </w:tc>
        <w:tc>
          <w:tcPr>
            <w:tcW w:w="0" w:type="dxa"/>
            <w:vAlign w:val="bottom"/>
          </w:tcPr>
          <w:p>
            <w:pPr>
              <w:spacing w:after="0"/>
              <w:rPr>
                <w:sz w:val="1"/>
                <w:szCs w:val="1"/>
                <w:color w:val="auto"/>
              </w:rPr>
            </w:pPr>
          </w:p>
        </w:tc>
      </w:tr>
      <w:tr>
        <w:trPr>
          <w:trHeight w:val="142"/>
        </w:trPr>
        <w:tc>
          <w:tcPr>
            <w:tcW w:w="384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38,404,428</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36,596,692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2016</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0"/>
              </w:rPr>
              <w:t>Basis Point</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1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Issuer Name</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auto"/>
              </w:rPr>
              <w:t>Current</w:t>
            </w:r>
          </w:p>
        </w:tc>
        <w:tc>
          <w:tcPr>
            <w:tcW w:w="100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82"/>
              </w:rPr>
              <w:t>Spread Above</w:t>
            </w: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Par /</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20" w:type="dxa"/>
            <w:vAlign w:val="bottom"/>
            <w:gridSpan w:val="3"/>
            <w:vMerge w:val="continue"/>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Maturity</w:t>
            </w:r>
          </w:p>
        </w:tc>
        <w:tc>
          <w:tcPr>
            <w:tcW w:w="1660" w:type="dxa"/>
            <w:vAlign w:val="bottom"/>
            <w:gridSpan w:val="2"/>
          </w:tcPr>
          <w:p>
            <w:pPr>
              <w:ind w:left="480"/>
              <w:spacing w:after="0"/>
              <w:rPr>
                <w:sz w:val="20"/>
                <w:szCs w:val="20"/>
                <w:color w:val="auto"/>
              </w:rPr>
            </w:pPr>
            <w:r>
              <w:rPr>
                <w:rFonts w:ascii="Arial" w:cs="Arial" w:eastAsia="Arial" w:hAnsi="Arial"/>
                <w:sz w:val="13"/>
                <w:szCs w:val="13"/>
                <w:b w:val="1"/>
                <w:bCs w:val="1"/>
                <w:color w:val="auto"/>
              </w:rPr>
              <w:t>Industry</w:t>
            </w:r>
          </w:p>
        </w:tc>
        <w:tc>
          <w:tcPr>
            <w:tcW w:w="10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Coupon</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 xml:space="preserve">Index </w:t>
            </w:r>
            <w:r>
              <w:rPr>
                <w:rFonts w:ascii="Arial" w:cs="Arial" w:eastAsia="Arial" w:hAnsi="Arial"/>
                <w:sz w:val="10"/>
                <w:szCs w:val="10"/>
                <w:b w:val="1"/>
                <w:bCs w:val="1"/>
                <w:color w:val="auto"/>
              </w:rPr>
              <w:t>(1)</w:t>
            </w:r>
          </w:p>
        </w:tc>
        <w:tc>
          <w:tcPr>
            <w:tcW w:w="8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4"/>
          </w:tcPr>
          <w:p>
            <w:pPr>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Subordinated Debt/Corporate Notes—0.8% </w:t>
            </w:r>
            <w:r>
              <w:rPr>
                <w:rFonts w:ascii="Arial" w:cs="Arial" w:eastAsia="Arial" w:hAnsi="Arial"/>
                <w:sz w:val="10"/>
                <w:szCs w:val="10"/>
                <w:b w:val="1"/>
                <w:bCs w:val="1"/>
                <w:color w:val="auto"/>
              </w:rPr>
              <w:t>(8)</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(5), (6), (11)</w:t>
            </w:r>
          </w:p>
        </w:tc>
        <w:tc>
          <w:tcPr>
            <w:tcW w:w="88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6"/>
              </w:rPr>
              <w:t>07/30/2018</w:t>
            </w:r>
          </w:p>
        </w:tc>
        <w:tc>
          <w:tcPr>
            <w:tcW w:w="166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7.50%</w:t>
            </w:r>
          </w:p>
        </w:tc>
        <w:tc>
          <w:tcPr>
            <w:tcW w:w="10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w w:val="93"/>
              </w:rPr>
              <w:t>1,135,273</w:t>
            </w:r>
          </w:p>
        </w:tc>
        <w:tc>
          <w:tcPr>
            <w:tcW w:w="320" w:type="dxa"/>
            <w:vAlign w:val="bottom"/>
          </w:tcPr>
          <w:p>
            <w:pPr>
              <w:spacing w:after="0"/>
              <w:rPr>
                <w:sz w:val="10"/>
                <w:szCs w:val="10"/>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1,030,320</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1,035,937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(PIK 4.00%)</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00" w:type="dxa"/>
            <w:vAlign w:val="bottom"/>
            <w:gridSpan w:val="2"/>
            <w:shd w:val="clear" w:color="auto" w:fill="CCEEFF"/>
          </w:tcPr>
          <w:p>
            <w:pPr>
              <w:spacing w:after="0" w:line="124" w:lineRule="exact"/>
              <w:rPr>
                <w:sz w:val="20"/>
                <w:szCs w:val="20"/>
                <w:color w:val="auto"/>
              </w:rPr>
            </w:pPr>
            <w:r>
              <w:rPr>
                <w:rFonts w:ascii="Arial" w:cs="Arial" w:eastAsia="Arial" w:hAnsi="Arial"/>
                <w:sz w:val="13"/>
                <w:szCs w:val="13"/>
                <w:color w:val="auto"/>
              </w:rPr>
              <w:t>Credit Infonet, Inc.</w:t>
            </w:r>
          </w:p>
        </w:tc>
        <w:tc>
          <w:tcPr>
            <w:tcW w:w="880" w:type="dxa"/>
            <w:vAlign w:val="bottom"/>
            <w:gridSpan w:val="2"/>
            <w:shd w:val="clear" w:color="auto" w:fill="CCEEFF"/>
          </w:tcPr>
          <w:p>
            <w:pPr>
              <w:jc w:val="center"/>
              <w:ind w:right="200"/>
              <w:spacing w:after="0" w:line="124" w:lineRule="exact"/>
              <w:rPr>
                <w:sz w:val="20"/>
                <w:szCs w:val="20"/>
                <w:color w:val="auto"/>
              </w:rPr>
            </w:pPr>
            <w:r>
              <w:rPr>
                <w:rFonts w:ascii="Arial" w:cs="Arial" w:eastAsia="Arial" w:hAnsi="Arial"/>
                <w:sz w:val="13"/>
                <w:szCs w:val="13"/>
                <w:color w:val="auto"/>
                <w:w w:val="86"/>
              </w:rPr>
              <w:t>10/26/2018</w:t>
            </w:r>
          </w:p>
        </w:tc>
        <w:tc>
          <w:tcPr>
            <w:tcW w:w="1660" w:type="dxa"/>
            <w:vAlign w:val="bottom"/>
            <w:gridSpan w:val="2"/>
            <w:shd w:val="clear" w:color="auto" w:fill="CCEEFF"/>
          </w:tcPr>
          <w:p>
            <w:pPr>
              <w:jc w:val="center"/>
              <w:ind w:right="200"/>
              <w:spacing w:after="0" w:line="124" w:lineRule="exact"/>
              <w:rPr>
                <w:sz w:val="20"/>
                <w:szCs w:val="20"/>
                <w:color w:val="auto"/>
              </w:rPr>
            </w:pPr>
            <w:r>
              <w:rPr>
                <w:rFonts w:ascii="Arial" w:cs="Arial" w:eastAsia="Arial" w:hAnsi="Arial"/>
                <w:sz w:val="13"/>
                <w:szCs w:val="13"/>
                <w:color w:val="auto"/>
                <w:w w:val="88"/>
              </w:rPr>
              <w:t>High Tech Industries</w:t>
            </w:r>
          </w:p>
        </w:tc>
        <w:tc>
          <w:tcPr>
            <w:tcW w:w="1000" w:type="dxa"/>
            <w:vAlign w:val="bottom"/>
            <w:gridSpan w:val="2"/>
            <w:shd w:val="clear" w:color="auto" w:fill="CCEEFF"/>
          </w:tcPr>
          <w:p>
            <w:pPr>
              <w:jc w:val="right"/>
              <w:ind w:right="280"/>
              <w:spacing w:after="0" w:line="124" w:lineRule="exact"/>
              <w:rPr>
                <w:sz w:val="20"/>
                <w:szCs w:val="20"/>
                <w:color w:val="auto"/>
              </w:rPr>
            </w:pPr>
            <w:r>
              <w:rPr>
                <w:rFonts w:ascii="Arial" w:cs="Arial" w:eastAsia="Arial" w:hAnsi="Arial"/>
                <w:sz w:val="13"/>
                <w:szCs w:val="13"/>
                <w:color w:val="auto"/>
              </w:rPr>
              <w:t>13.00%</w:t>
            </w:r>
          </w:p>
        </w:tc>
        <w:tc>
          <w:tcPr>
            <w:tcW w:w="1000" w:type="dxa"/>
            <w:vAlign w:val="bottom"/>
            <w:gridSpan w:val="2"/>
            <w:shd w:val="clear" w:color="auto" w:fill="CCEEFF"/>
          </w:tcPr>
          <w:p>
            <w:pPr>
              <w:jc w:val="right"/>
              <w:ind w:right="260"/>
              <w:spacing w:after="0" w:line="124"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w w:val="93"/>
              </w:rPr>
              <w:t>2,069,078</w:t>
            </w: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60"/>
              <w:spacing w:after="0" w:line="124" w:lineRule="exact"/>
              <w:rPr>
                <w:sz w:val="20"/>
                <w:szCs w:val="20"/>
                <w:color w:val="auto"/>
              </w:rPr>
            </w:pPr>
            <w:r>
              <w:rPr>
                <w:rFonts w:ascii="Arial" w:cs="Arial" w:eastAsia="Arial" w:hAnsi="Arial"/>
                <w:sz w:val="13"/>
                <w:szCs w:val="13"/>
                <w:color w:val="auto"/>
              </w:rPr>
              <w:t>2,050,767</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3"/>
                <w:szCs w:val="13"/>
                <w:color w:val="auto"/>
              </w:rPr>
              <w:t>1,975,969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(PIK 1.75%)</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tcPr>
          <w:p>
            <w:pPr>
              <w:spacing w:after="0" w:line="121" w:lineRule="exact"/>
              <w:rPr>
                <w:sz w:val="20"/>
                <w:szCs w:val="20"/>
                <w:color w:val="auto"/>
              </w:rPr>
            </w:pPr>
            <w:r>
              <w:rPr>
                <w:rFonts w:ascii="Arial" w:cs="Arial" w:eastAsia="Arial" w:hAnsi="Arial"/>
                <w:sz w:val="13"/>
                <w:szCs w:val="13"/>
                <w:color w:val="auto"/>
              </w:rPr>
              <w:t>UniTek Global Services, Inc.</w:t>
            </w:r>
          </w:p>
        </w:tc>
        <w:tc>
          <w:tcPr>
            <w:tcW w:w="88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6"/>
              </w:rPr>
              <w:t>07/15/2019</w:t>
            </w:r>
          </w:p>
        </w:tc>
        <w:tc>
          <w:tcPr>
            <w:tcW w:w="166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15.00%</w:t>
            </w:r>
          </w:p>
        </w:tc>
        <w:tc>
          <w:tcPr>
            <w:tcW w:w="10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146,996</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146,996</w:t>
            </w:r>
          </w:p>
        </w:tc>
        <w:tc>
          <w:tcPr>
            <w:tcW w:w="6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148,466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w w:val="95"/>
              </w:rPr>
              <w:t>(PIK 15.00%)</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3,228,083</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3,160,372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2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 xml:space="preserve">Preferred Equity—0.4% </w:t>
            </w:r>
            <w:r>
              <w:rPr>
                <w:rFonts w:ascii="Arial" w:cs="Arial" w:eastAsia="Arial" w:hAnsi="Arial"/>
                <w:sz w:val="10"/>
                <w:szCs w:val="10"/>
                <w:b w:val="1"/>
                <w:bCs w:val="1"/>
                <w:color w:val="auto"/>
              </w:rPr>
              <w:t>(7), (8)</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w:t>
            </w:r>
          </w:p>
        </w:tc>
        <w:tc>
          <w:tcPr>
            <w:tcW w:w="88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13.50%</w:t>
            </w:r>
          </w:p>
        </w:tc>
        <w:tc>
          <w:tcPr>
            <w:tcW w:w="10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1,047,317</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670,283</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1,319,308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2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 xml:space="preserve">Common Equity/Warrants—2.5% </w:t>
            </w:r>
            <w:r>
              <w:rPr>
                <w:rFonts w:ascii="Arial" w:cs="Arial" w:eastAsia="Arial" w:hAnsi="Arial"/>
                <w:sz w:val="10"/>
                <w:szCs w:val="10"/>
                <w:b w:val="1"/>
                <w:bCs w:val="1"/>
                <w:color w:val="auto"/>
              </w:rPr>
              <w:t>(7), (8)</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88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99,029</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3,514,572</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3,700,216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4,298</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1,186,649</w:t>
            </w:r>
          </w:p>
        </w:tc>
        <w:tc>
          <w:tcPr>
            <w:tcW w:w="6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20,096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Corfin InvestCo, L.P.</w:t>
            </w:r>
          </w:p>
        </w:tc>
        <w:tc>
          <w:tcPr>
            <w:tcW w:w="88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4"/>
              </w:rPr>
              <w:t>Aerospace and Defense</w:t>
            </w:r>
          </w:p>
        </w:tc>
        <w:tc>
          <w:tcPr>
            <w:tcW w:w="10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300,000</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621,550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(10)</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4"/>
              </w:rPr>
              <w:t>Aerospace and Defense</w:t>
            </w:r>
          </w:p>
        </w:tc>
        <w:tc>
          <w:tcPr>
            <w:tcW w:w="10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3,000</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e.l.f. Beauty, Inc. (f/k/a J.A. Cosmetics US, Inc.)</w:t>
            </w:r>
          </w:p>
        </w:tc>
        <w:tc>
          <w:tcPr>
            <w:tcW w:w="88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110,399</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295,670</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2,957,767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tcPr>
          <w:p>
            <w:pPr>
              <w:spacing w:after="0" w:line="121" w:lineRule="exact"/>
              <w:rPr>
                <w:sz w:val="20"/>
                <w:szCs w:val="20"/>
                <w:color w:val="auto"/>
              </w:rPr>
            </w:pPr>
            <w:r>
              <w:rPr>
                <w:rFonts w:ascii="Arial" w:cs="Arial" w:eastAsia="Arial" w:hAnsi="Arial"/>
                <w:sz w:val="13"/>
                <w:szCs w:val="13"/>
                <w:color w:val="auto"/>
              </w:rPr>
              <w:t>Faraday Holdings, LLC</w:t>
            </w:r>
          </w:p>
        </w:tc>
        <w:tc>
          <w:tcPr>
            <w:tcW w:w="88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90"/>
              </w:rPr>
              <w:t>Construction and Building</w:t>
            </w:r>
          </w:p>
        </w:tc>
        <w:tc>
          <w:tcPr>
            <w:tcW w:w="100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1,141</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58,044</w:t>
            </w:r>
          </w:p>
        </w:tc>
        <w:tc>
          <w:tcPr>
            <w:tcW w:w="6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94,560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ind w:left="120"/>
              <w:spacing w:after="0"/>
              <w:rPr>
                <w:sz w:val="20"/>
                <w:szCs w:val="20"/>
                <w:color w:val="auto"/>
              </w:rPr>
            </w:pPr>
            <w:r>
              <w:rPr>
                <w:rFonts w:ascii="Arial" w:cs="Arial" w:eastAsia="Arial" w:hAnsi="Arial"/>
                <w:sz w:val="13"/>
                <w:szCs w:val="13"/>
                <w:color w:val="auto"/>
              </w:rPr>
              <w:t>(Interior Specialists, Inc.)</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w:t>
            </w:r>
          </w:p>
        </w:tc>
        <w:tc>
          <w:tcPr>
            <w:tcW w:w="88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20"/>
              <w:spacing w:after="0" w:line="121" w:lineRule="exact"/>
              <w:rPr>
                <w:sz w:val="20"/>
                <w:szCs w:val="20"/>
                <w:color w:val="auto"/>
              </w:rPr>
            </w:pPr>
            <w:r>
              <w:rPr>
                <w:rFonts w:ascii="Arial" w:cs="Arial" w:eastAsia="Arial" w:hAnsi="Arial"/>
                <w:sz w:val="13"/>
                <w:szCs w:val="13"/>
                <w:color w:val="auto"/>
                <w:w w:val="88"/>
              </w:rPr>
              <w:t>Banking, Finance,</w:t>
            </w:r>
          </w:p>
        </w:tc>
        <w:tc>
          <w:tcPr>
            <w:tcW w:w="100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11,867</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27,995</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106,922</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84"/>
              </w:rPr>
              <w:t>Insurance and Real Estate</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tcPr>
          <w:p>
            <w:pPr>
              <w:spacing w:after="0" w:line="121" w:lineRule="exact"/>
              <w:rPr>
                <w:sz w:val="20"/>
                <w:szCs w:val="20"/>
                <w:color w:val="auto"/>
              </w:rPr>
            </w:pPr>
            <w:r>
              <w:rPr>
                <w:rFonts w:ascii="Arial" w:cs="Arial" w:eastAsia="Arial" w:hAnsi="Arial"/>
                <w:sz w:val="13"/>
                <w:szCs w:val="13"/>
                <w:color w:val="auto"/>
              </w:rPr>
              <w:t>TPC Broadband Investors, LP</w:t>
            </w:r>
          </w:p>
        </w:tc>
        <w:tc>
          <w:tcPr>
            <w:tcW w:w="88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430,666</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430,666</w:t>
            </w:r>
          </w:p>
        </w:tc>
        <w:tc>
          <w:tcPr>
            <w:tcW w:w="6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430,666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ind w:left="120"/>
              <w:spacing w:after="0"/>
              <w:rPr>
                <w:sz w:val="20"/>
                <w:szCs w:val="20"/>
                <w:color w:val="auto"/>
              </w:rPr>
            </w:pPr>
            <w:r>
              <w:rPr>
                <w:rFonts w:ascii="Arial" w:cs="Arial" w:eastAsia="Arial" w:hAnsi="Arial"/>
                <w:sz w:val="13"/>
                <w:szCs w:val="13"/>
                <w:color w:val="auto"/>
              </w:rPr>
              <w:t>(Advanced Cable Communications, LLC)</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TPC Broadband Investors, LP</w:t>
            </w:r>
          </w:p>
        </w:tc>
        <w:tc>
          <w:tcPr>
            <w:tcW w:w="88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569,334</w:t>
            </w: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(10)</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UniTek Global Services, Inc.</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149,617</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892,276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Vestcom Parent Holdings, Inc.</w:t>
            </w:r>
          </w:p>
        </w:tc>
        <w:tc>
          <w:tcPr>
            <w:tcW w:w="88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92"/>
              </w:rPr>
              <w:t>Media: Advertising,</w:t>
            </w:r>
          </w:p>
        </w:tc>
        <w:tc>
          <w:tcPr>
            <w:tcW w:w="100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15,179</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56,895</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577,005</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88"/>
              </w:rPr>
              <w:t>Printing and Publishing</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Common Equity/Warrants</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5,870,491</w:t>
            </w:r>
          </w:p>
        </w:tc>
        <w:tc>
          <w:tcPr>
            <w:tcW w:w="2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9,401,058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1"/>
              </w:rPr>
              <w:t>Total Investments in Non-Controlled, Non-Affiliated Portfolio Companies</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1"/>
              </w:rPr>
              <w:t>597,910,267</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1"/>
              </w:rPr>
              <w:t>598,887,525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2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Cash and Cash Equivalents—7.7%</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2"/>
              </w:rPr>
              <w:t>BlackRock Liquidity Funds, Temp Cash and Temp Fund, Institutional Shares</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28,212,041</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28,212,041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691,318</w:t>
            </w:r>
          </w:p>
        </w:tc>
        <w:tc>
          <w:tcPr>
            <w:tcW w:w="2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698,932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Cash and Cash Equivalents</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28,903,359</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28,910,973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2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Investments and Cash Equivalents—167.0%</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1"/>
              </w:rPr>
              <w:t>626,813,626</w:t>
            </w:r>
          </w:p>
        </w:tc>
        <w:tc>
          <w:tcPr>
            <w:tcW w:w="2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1"/>
              </w:rPr>
              <w:t>627,798,498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in Excess of Other Assets—(67.0)%</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86"/>
              </w:rPr>
              <w:t>(251,891,670)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w w:val="91"/>
              </w:rPr>
              <w:t>375,906,828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340" w:right="240" w:hanging="332"/>
        <w:spacing w:after="0" w:line="224" w:lineRule="auto"/>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3"/>
          <w:szCs w:val="13"/>
          <w:color w:val="auto"/>
        </w:rPr>
      </w:pPr>
    </w:p>
    <w:p>
      <w:pPr>
        <w:ind w:left="340" w:hanging="332"/>
        <w:spacing w:after="0" w:line="216" w:lineRule="auto"/>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right="100" w:hanging="332"/>
        <w:spacing w:after="0" w:line="234" w:lineRule="auto"/>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rFonts w:ascii="Arial" w:cs="Arial" w:eastAsia="Arial" w:hAnsi="Arial"/>
          <w:sz w:val="12"/>
          <w:szCs w:val="12"/>
          <w:color w:val="auto"/>
        </w:rPr>
      </w:pPr>
    </w:p>
    <w:p>
      <w:pPr>
        <w:ind w:left="340" w:right="680" w:hanging="332"/>
        <w:spacing w:after="0" w:line="234" w:lineRule="auto"/>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19"/>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16" w:lineRule="auto"/>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line="216" w:lineRule="auto"/>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line="216" w:lineRule="auto"/>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securities, or a portion thereof, are not pledged as collateral under the Credit Facility. All other securities are pledged as collateral under the Credit Facility and held through Funding I.</w:t>
      </w:r>
    </w:p>
    <w:p>
      <w:pPr>
        <w:ind w:left="340" w:hanging="332"/>
        <w:spacing w:after="0" w:line="216" w:lineRule="auto"/>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340" w:hanging="332"/>
        <w:spacing w:after="0"/>
        <w:tabs>
          <w:tab w:leader="none" w:pos="340" w:val="left"/>
        </w:tabs>
        <w:numPr>
          <w:ilvl w:val="0"/>
          <w:numId w:val="19"/>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right="260" w:hanging="332"/>
        <w:spacing w:after="0" w:line="216" w:lineRule="auto"/>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Par amount is denominated in Canadian Dollars.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7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investment objectives are to generate current income and capital appreciation while seeking to preserve capital. We seek to achieve our investment objective by investing primarily in loans bearing a variable-rate of interest, or Floating Rate Loans, and other investments made to U.S. middle-market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debt, or first lien loans, will represent at least 65% of our overall portfolio. We generally expect to invest up to 35% of our overall portfolio opportunistically in other types of investments, including mezzanine debt, which we define as second lien secured and subordinated debt, and, to a lesser extent, equity investments.</w:t>
      </w:r>
    </w:p>
    <w:p>
      <w:pPr>
        <w:spacing w:after="0" w:line="19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$350 million at LIBOR plus 200 basis points during the revolving period. The Credit Facility is secured by all of the assets held by Funding I. See Note 9.</w:t>
      </w:r>
    </w:p>
    <w:p>
      <w:pPr>
        <w:spacing w:after="0" w:line="173"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8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900" w:right="2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right="640" w:hanging="446"/>
        <w:spacing w:after="0" w:line="279"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900" w:right="260" w:hanging="446"/>
        <w:spacing w:after="0" w:line="286"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36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and Credit Facility during the reporting period, including any reversal of previously recorded unrealized appreciation or depreciation, when gains or losses are realized.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167"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have complied with the requirements of Subchapter M of the Code and expect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level of federal income taxes. Although we generally do not incur federal income taxes as a RIC, we may elect to retain a portion of our calendar year income, which may result in an excise tax or we may incur taxes through our taxable subsidiaries. For the three months ended December 31, 2016 and 2015, we recorded a provision for taxes of less than $0.1 million and zero, respectively.</w:t>
      </w:r>
    </w:p>
    <w:p>
      <w:pPr>
        <w:spacing w:after="0" w:line="17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We did not have any material uncertain tax positions or any unrecognized tax benefits that met the recognition or measurement criteria of ASC 740-10-25 as of the periods presented herein.</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8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62" w:lineRule="exact"/>
        <w:rPr>
          <w:sz w:val="20"/>
          <w:szCs w:val="20"/>
          <w:color w:val="auto"/>
        </w:rPr>
      </w:pPr>
    </w:p>
    <w:p>
      <w:pPr>
        <w:ind w:left="480" w:hanging="244"/>
        <w:spacing w:after="0"/>
        <w:tabs>
          <w:tab w:leader="none" w:pos="48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 Translation</w:t>
      </w:r>
    </w:p>
    <w:p>
      <w:pPr>
        <w:spacing w:after="0" w:line="117"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rFonts w:ascii="Arial" w:cs="Arial" w:eastAsia="Arial" w:hAnsi="Arial"/>
          <w:sz w:val="18"/>
          <w:szCs w:val="18"/>
          <w:b w:val="1"/>
          <w:bCs w:val="1"/>
          <w:i w:val="1"/>
          <w:iCs w:val="1"/>
          <w:color w:val="auto"/>
        </w:rPr>
      </w:pPr>
    </w:p>
    <w:p>
      <w:pPr>
        <w:ind w:left="900" w:hanging="446"/>
        <w:spacing w:after="0"/>
        <w:tabs>
          <w:tab w:leader="none" w:pos="9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Fair value of investment securities, other assets and liabilities – at the exchange rates prevailing at the end of the applicable period; and</w:t>
      </w:r>
    </w:p>
    <w:p>
      <w:pPr>
        <w:spacing w:after="0" w:line="142" w:lineRule="exact"/>
        <w:rPr>
          <w:rFonts w:ascii="Arial" w:cs="Arial" w:eastAsia="Arial" w:hAnsi="Arial"/>
          <w:sz w:val="17"/>
          <w:szCs w:val="17"/>
          <w:color w:val="auto"/>
        </w:rPr>
      </w:pPr>
    </w:p>
    <w:p>
      <w:pPr>
        <w:ind w:left="5540" w:right="60" w:hanging="5086"/>
        <w:spacing w:after="0" w:line="449" w:lineRule="auto"/>
        <w:tabs>
          <w:tab w:leader="none" w:pos="8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 S-42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0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7"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taxable subsidiaries in our Consolidated Financial Statements.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Asset Transfers and Servicing</w:t>
      </w:r>
    </w:p>
    <w:p>
      <w:pPr>
        <w:spacing w:after="0" w:line="11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of its assets and such assets are not intended to be available to the creditors of PennantPark Floating Rate Capital Ltd. or any of its affiliates.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 in February 2017.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8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2016 and 2015, the Investment Adviser earned a base management fee of $1.6 million and $1.1 million, respectively, from 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0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ind w:right="40" w:firstLine="456"/>
        <w:spacing w:after="0" w:line="267" w:lineRule="auto"/>
        <w:rPr>
          <w:sz w:val="20"/>
          <w:szCs w:val="20"/>
          <w:color w:val="auto"/>
        </w:rPr>
      </w:pPr>
      <w:r>
        <w:rPr>
          <w:rFonts w:ascii="Arial" w:cs="Arial" w:eastAsia="Arial" w:hAnsi="Arial"/>
          <w:sz w:val="17"/>
          <w:szCs w:val="17"/>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months ended December 31, 2016 and 2015, the Investment Adviser earned $0.9 million and zero, respectively, in incentive fees on net investment income from us.</w:t>
      </w:r>
    </w:p>
    <w:p>
      <w:pPr>
        <w:spacing w:after="0" w:line="190"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2016 and 2015, the Investment Adviser did not earn an incentive fee on capital gains as calculated under the Investment Management Agreement (as described above).</w:t>
      </w:r>
    </w:p>
    <w:p>
      <w:pPr>
        <w:spacing w:after="0" w:line="17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if any, will be realized in the future. The incentive fee accrued for under GAAP on our unrealized and realized capital gains for the three months ended December 31, 2016 and 2015 was $0.6 million and zero, respectively.</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the directors who are not interested persons of us, in February 2017.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Statements of Operations. For the three months ended December 31, 2016 and 2015, the Investment Adviser was reimbursed approximately $0.3 million and $0.1 million, respectively, from us, including expenses the Investment Adviser incurred on behalf of the Administrator, for services described above.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58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Purchases of investments, including PIK interest, for the three months ended December 31, 2016 and 2015 totaled $124.9 million and $99.2 million, respectively. Sales and repayments of investments for the same periods totaled $70.4 million and $26.9 million, respectively. For the three months ended December 31, 2016, the Company sold $5.0 million in total investments to an affiliated fund managed by our Investment Adviser in accordance with, and pursuant to procedures adopted under, Rule 17a-7 of the 1940 Act. Realized gain on that transaction amounted to less than $0.1 million.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cash and cash equivalents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000" w:type="dxa"/>
            <w:vAlign w:val="bottom"/>
          </w:tcPr>
          <w:p>
            <w:pPr>
              <w:spacing w:after="0"/>
              <w:rPr>
                <w:sz w:val="14"/>
                <w:szCs w:val="14"/>
                <w:color w:val="auto"/>
              </w:rPr>
            </w:pPr>
          </w:p>
        </w:tc>
        <w:tc>
          <w:tcPr>
            <w:tcW w:w="2800" w:type="dxa"/>
            <w:vAlign w:val="bottom"/>
            <w:gridSpan w:val="4"/>
          </w:tcPr>
          <w:p>
            <w:pPr>
              <w:ind w:left="620"/>
              <w:spacing w:after="0"/>
              <w:rPr>
                <w:sz w:val="20"/>
                <w:szCs w:val="20"/>
                <w:color w:val="auto"/>
              </w:rPr>
            </w:pPr>
            <w:r>
              <w:rPr>
                <w:rFonts w:ascii="Arial" w:cs="Arial" w:eastAsia="Arial" w:hAnsi="Arial"/>
                <w:sz w:val="14"/>
                <w:szCs w:val="14"/>
                <w:b w:val="1"/>
                <w:bCs w:val="1"/>
                <w:color w:val="auto"/>
              </w:rPr>
              <w:t>December 31, 2016</w:t>
            </w:r>
          </w:p>
        </w:tc>
        <w:tc>
          <w:tcPr>
            <w:tcW w:w="25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42"/>
        </w:trPr>
        <w:tc>
          <w:tcPr>
            <w:tcW w:w="420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400" w:type="dxa"/>
            <w:vAlign w:val="bottom"/>
            <w:tcBorders>
              <w:top w:val="single" w:sz="8" w:color="auto"/>
            </w:tcBorders>
            <w:gridSpan w:val="2"/>
          </w:tcPr>
          <w:p>
            <w:pPr>
              <w:ind w:left="360"/>
              <w:spacing w:after="0" w:line="142" w:lineRule="exact"/>
              <w:rPr>
                <w:sz w:val="20"/>
                <w:szCs w:val="20"/>
                <w:color w:val="auto"/>
              </w:rPr>
            </w:pPr>
            <w:r>
              <w:rPr>
                <w:rFonts w:ascii="Arial" w:cs="Arial" w:eastAsia="Arial" w:hAnsi="Arial"/>
                <w:sz w:val="14"/>
                <w:szCs w:val="14"/>
                <w:b w:val="1"/>
                <w:bCs w:val="1"/>
                <w:color w:val="auto"/>
              </w:rPr>
              <w:t>Cost</w:t>
            </w:r>
          </w:p>
        </w:tc>
        <w:tc>
          <w:tcPr>
            <w:tcW w:w="100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Cost</w:t>
            </w: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26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$599,327,868</w:t>
            </w:r>
          </w:p>
        </w:tc>
        <w:tc>
          <w:tcPr>
            <w:tcW w:w="4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$600,052,593</w:t>
            </w:r>
          </w:p>
        </w:tc>
        <w:tc>
          <w:tcPr>
            <w:tcW w:w="4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$549,736,982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$548,410,095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400" w:type="dxa"/>
            <w:vAlign w:val="bottom"/>
            <w:gridSpan w:val="3"/>
          </w:tcPr>
          <w:p>
            <w:pPr>
              <w:jc w:val="right"/>
              <w:ind w:right="400"/>
              <w:spacing w:after="0"/>
              <w:rPr>
                <w:sz w:val="20"/>
                <w:szCs w:val="20"/>
                <w:color w:val="auto"/>
              </w:rPr>
            </w:pPr>
            <w:r>
              <w:rPr>
                <w:rFonts w:ascii="Arial" w:cs="Arial" w:eastAsia="Arial" w:hAnsi="Arial"/>
                <w:sz w:val="18"/>
                <w:szCs w:val="18"/>
                <w:color w:val="auto"/>
              </w:rPr>
              <w:t>38,520,326</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36,913,063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38,404,428</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36,596,692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8,285,610</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8,314,839</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3,228,083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0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7,206,493</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11,588,392</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6,540,774</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10,720,366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653,340,297</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656,868,887</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597,910,267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598,887,525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24,201,258</w:t>
            </w:r>
          </w:p>
        </w:tc>
        <w:tc>
          <w:tcPr>
            <w:tcW w:w="4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24,203,565</w:t>
            </w:r>
          </w:p>
        </w:tc>
        <w:tc>
          <w:tcPr>
            <w:tcW w:w="4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28,903,359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28,910,973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cash and cash equivalents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677,541,555</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681,072,452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626,813,626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627,798,498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26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December 31, 2016</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2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Pharmaceuticals</w:t>
            </w:r>
          </w:p>
        </w:tc>
        <w:tc>
          <w:tcPr>
            <w:tcW w:w="90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Healthcare and</w:t>
            </w:r>
          </w:p>
        </w:tc>
        <w:tc>
          <w:tcPr>
            <w:tcW w:w="27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50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Media: Broadcasting and Subscription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Banking, Finance, Insurance and Real Estate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Utilities: Water</w:t>
            </w:r>
          </w:p>
        </w:tc>
        <w:tc>
          <w:tcPr>
            <w:tcW w:w="900" w:type="dxa"/>
            <w:vAlign w:val="bottom"/>
          </w:tcPr>
          <w:p>
            <w:pPr>
              <w:spacing w:after="0"/>
              <w:rPr>
                <w:sz w:val="18"/>
                <w:szCs w:val="18"/>
                <w:color w:val="auto"/>
              </w:rPr>
            </w:pP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9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260"/>
          </w:cols>
          <w:pgMar w:left="240" w:top="459" w:right="3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2360" w:right="820" w:hanging="886"/>
        <w:spacing w:after="0" w:line="277" w:lineRule="auto"/>
        <w:tabs>
          <w:tab w:leader="none" w:pos="23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2360" w:right="820" w:hanging="886"/>
        <w:spacing w:after="0" w:line="312" w:lineRule="auto"/>
        <w:tabs>
          <w:tab w:leader="none" w:pos="23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ind w:left="2360" w:right="1080" w:hanging="886"/>
        <w:spacing w:after="0" w:line="277" w:lineRule="auto"/>
        <w:tabs>
          <w:tab w:leader="none" w:pos="23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7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93"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2016 and 2015, our ability to observe valuation inputs resulted in no reclassifications and one reclassification of an asset from Level 2 to 1, respectively.</w:t>
      </w:r>
    </w:p>
    <w:p>
      <w:pPr>
        <w:spacing w:after="0" w:line="17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1" w:lineRule="exact"/>
        <w:rPr>
          <w:sz w:val="20"/>
          <w:szCs w:val="20"/>
          <w:color w:val="auto"/>
        </w:rPr>
      </w:pPr>
    </w:p>
    <w:p>
      <w:pPr>
        <w:jc w:val="both"/>
        <w:ind w:right="160" w:firstLine="456"/>
        <w:spacing w:after="0" w:line="276" w:lineRule="auto"/>
        <w:rPr>
          <w:sz w:val="20"/>
          <w:szCs w:val="20"/>
          <w:color w:val="auto"/>
        </w:rPr>
      </w:pPr>
      <w:r>
        <w:rPr>
          <w:rFonts w:ascii="Arial" w:cs="Arial" w:eastAsia="Arial" w:hAnsi="Arial"/>
          <w:sz w:val="17"/>
          <w:szCs w:val="17"/>
          <w:color w:val="auto"/>
        </w:rPr>
        <w:t>As outlined in the table below, some of our Level 3 investments using a market approach valuation technique are valued using the average of the bids from brokers or dealers. The bids typically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will have the opposite effect.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Fair Value at</w:t>
            </w:r>
          </w:p>
        </w:tc>
        <w:tc>
          <w:tcPr>
            <w:tcW w:w="1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Valuation Technique</w:t>
            </w:r>
          </w:p>
        </w:tc>
        <w:tc>
          <w:tcPr>
            <w:tcW w:w="2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Unobservable Input</w:t>
            </w: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36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December 31, 2016</w:t>
            </w:r>
          </w:p>
        </w:tc>
        <w:tc>
          <w:tcPr>
            <w:tcW w:w="1740" w:type="dxa"/>
            <w:vAlign w:val="bottom"/>
            <w:gridSpan w:val="2"/>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42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284,513,256</w:t>
            </w:r>
          </w:p>
        </w:tc>
        <w:tc>
          <w:tcPr>
            <w:tcW w:w="30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30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2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N/A</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7,590,563</w:t>
            </w:r>
          </w:p>
        </w:tc>
        <w:tc>
          <w:tcPr>
            <w:tcW w:w="300" w:type="dxa"/>
            <w:vAlign w:val="bottom"/>
          </w:tcPr>
          <w:p>
            <w:pPr>
              <w:spacing w:after="0"/>
              <w:rPr>
                <w:sz w:val="12"/>
                <w:szCs w:val="12"/>
                <w:color w:val="auto"/>
              </w:rPr>
            </w:pP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Broker/Dealer bids or quotes</w:t>
            </w:r>
          </w:p>
        </w:tc>
        <w:tc>
          <w:tcPr>
            <w:tcW w:w="440" w:type="dxa"/>
            <w:vAlign w:val="bottom"/>
          </w:tcPr>
          <w:p>
            <w:pPr>
              <w:spacing w:after="0"/>
              <w:rPr>
                <w:sz w:val="12"/>
                <w:szCs w:val="12"/>
                <w:color w:val="auto"/>
              </w:rPr>
            </w:pPr>
          </w:p>
        </w:tc>
        <w:tc>
          <w:tcPr>
            <w:tcW w:w="10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1,111,659</w:t>
            </w:r>
          </w:p>
        </w:tc>
        <w:tc>
          <w:tcPr>
            <w:tcW w:w="17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Broker/Dealer bids or quotes</w:t>
            </w: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First lien</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315,539,337</w:t>
            </w:r>
          </w:p>
        </w:tc>
        <w:tc>
          <w:tcPr>
            <w:tcW w:w="300" w:type="dxa"/>
            <w:vAlign w:val="bottom"/>
          </w:tcPr>
          <w:p>
            <w:pPr>
              <w:spacing w:after="0"/>
              <w:rPr>
                <w:sz w:val="12"/>
                <w:szCs w:val="12"/>
                <w:color w:val="auto"/>
              </w:rPr>
            </w:pP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Market Yield</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 16.4% (8.5%)</w:t>
            </w:r>
          </w:p>
        </w:tc>
        <w:tc>
          <w:tcPr>
            <w:tcW w:w="0" w:type="dxa"/>
            <w:vAlign w:val="bottom"/>
          </w:tcPr>
          <w:p>
            <w:pPr>
              <w:spacing w:after="0"/>
              <w:rPr>
                <w:sz w:val="1"/>
                <w:szCs w:val="1"/>
                <w:color w:val="auto"/>
              </w:rPr>
            </w:pPr>
          </w:p>
        </w:tc>
      </w:tr>
      <w:tr>
        <w:trPr>
          <w:trHeight w:val="149"/>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Second lien</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29,322,500</w:t>
            </w:r>
          </w:p>
        </w:tc>
        <w:tc>
          <w:tcPr>
            <w:tcW w:w="3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7"/>
              </w:rPr>
              <w:t>Market Yield</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1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 17.0% (14.5%)</w:t>
            </w: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7,203,180</w:t>
            </w:r>
          </w:p>
        </w:tc>
        <w:tc>
          <w:tcPr>
            <w:tcW w:w="300" w:type="dxa"/>
            <w:vAlign w:val="bottom"/>
          </w:tcPr>
          <w:p>
            <w:pPr>
              <w:spacing w:after="0"/>
              <w:rPr>
                <w:sz w:val="12"/>
                <w:szCs w:val="12"/>
                <w:color w:val="auto"/>
              </w:rPr>
            </w:pP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Market Yield</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9"/>
              </w:rPr>
              <w:t>– 18.6% (13.4%)</w:t>
            </w:r>
          </w:p>
        </w:tc>
        <w:tc>
          <w:tcPr>
            <w:tcW w:w="0" w:type="dxa"/>
            <w:vAlign w:val="bottom"/>
          </w:tcPr>
          <w:p>
            <w:pPr>
              <w:spacing w:after="0"/>
              <w:rPr>
                <w:sz w:val="1"/>
                <w:szCs w:val="1"/>
                <w:color w:val="auto"/>
              </w:rPr>
            </w:pPr>
          </w:p>
        </w:tc>
      </w:tr>
      <w:tr>
        <w:trPr>
          <w:trHeight w:val="149"/>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1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8,430,737</w:t>
            </w:r>
          </w:p>
        </w:tc>
        <w:tc>
          <w:tcPr>
            <w:tcW w:w="3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Enterprise Market Value</w:t>
            </w:r>
          </w:p>
        </w:tc>
        <w:tc>
          <w:tcPr>
            <w:tcW w:w="20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rPr>
              <w:t>EBITDA multiple</w:t>
            </w:r>
          </w:p>
        </w:tc>
        <w:tc>
          <w:tcPr>
            <w:tcW w:w="15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4"/>
              </w:rPr>
              <w:t>4.5x – 11.5x (7.5x)</w:t>
            </w:r>
          </w:p>
        </w:tc>
        <w:tc>
          <w:tcPr>
            <w:tcW w:w="0" w:type="dxa"/>
            <w:vAlign w:val="bottom"/>
          </w:tcPr>
          <w:p>
            <w:pPr>
              <w:spacing w:after="0"/>
              <w:rPr>
                <w:sz w:val="1"/>
                <w:szCs w:val="1"/>
                <w:color w:val="auto"/>
              </w:rPr>
            </w:pPr>
          </w:p>
        </w:tc>
      </w:tr>
      <w:tr>
        <w:trPr>
          <w:trHeight w:val="156"/>
        </w:trPr>
        <w:tc>
          <w:tcPr>
            <w:tcW w:w="336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1300" w:type="dxa"/>
            <w:vAlign w:val="bottom"/>
          </w:tcPr>
          <w:p>
            <w:pPr>
              <w:spacing w:after="0"/>
              <w:rPr>
                <w:sz w:val="13"/>
                <w:szCs w:val="13"/>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653,711,232</w:t>
            </w: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420" w:type="dxa"/>
            <w:vAlign w:val="bottom"/>
            <w:gridSpan w:val="2"/>
            <w:shd w:val="clear" w:color="auto" w:fill="CCEEFF"/>
          </w:tcPr>
          <w:p>
            <w:pPr>
              <w:jc w:val="right"/>
              <w:ind w:right="2"/>
              <w:spacing w:after="0" w:line="143"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299,859,712</w:t>
            </w:r>
          </w:p>
        </w:tc>
        <w:tc>
          <w:tcPr>
            <w:tcW w:w="3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260"/>
              <w:spacing w:after="0" w:line="143"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shd w:val="clear" w:color="auto" w:fill="CCEEFF"/>
          </w:tcPr>
          <w:p>
            <w:pPr>
              <w:jc w:val="center"/>
              <w:ind w:right="240"/>
              <w:spacing w:after="0" w:line="143" w:lineRule="exact"/>
              <w:rPr>
                <w:sz w:val="20"/>
                <w:szCs w:val="20"/>
                <w:color w:val="auto"/>
              </w:rPr>
            </w:pPr>
            <w:r>
              <w:rPr>
                <w:rFonts w:ascii="Arial" w:cs="Arial" w:eastAsia="Arial" w:hAnsi="Arial"/>
                <w:sz w:val="14"/>
                <w:szCs w:val="14"/>
                <w:color w:val="auto"/>
                <w:w w:val="97"/>
              </w:rPr>
              <w:t>Market Yield</w:t>
            </w: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68"/>
              <w:spacing w:after="0" w:line="143" w:lineRule="exact"/>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 at</w:t>
            </w:r>
          </w:p>
        </w:tc>
        <w:tc>
          <w:tcPr>
            <w:tcW w:w="1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Valuation Technique</w:t>
            </w:r>
          </w:p>
        </w:tc>
        <w:tc>
          <w:tcPr>
            <w:tcW w:w="2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Unobservable Input</w:t>
            </w: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36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1740" w:type="dxa"/>
            <w:vAlign w:val="bottom"/>
            <w:gridSpan w:val="2"/>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42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264,299,729</w:t>
            </w:r>
          </w:p>
        </w:tc>
        <w:tc>
          <w:tcPr>
            <w:tcW w:w="30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30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2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N/A</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8,064,192</w:t>
            </w:r>
          </w:p>
        </w:tc>
        <w:tc>
          <w:tcPr>
            <w:tcW w:w="300" w:type="dxa"/>
            <w:vAlign w:val="bottom"/>
          </w:tcPr>
          <w:p>
            <w:pPr>
              <w:spacing w:after="0"/>
              <w:rPr>
                <w:sz w:val="12"/>
                <w:szCs w:val="12"/>
                <w:color w:val="auto"/>
              </w:rPr>
            </w:pP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Broker/Dealer bids or quotes</w:t>
            </w:r>
          </w:p>
        </w:tc>
        <w:tc>
          <w:tcPr>
            <w:tcW w:w="440" w:type="dxa"/>
            <w:vAlign w:val="bottom"/>
          </w:tcPr>
          <w:p>
            <w:pPr>
              <w:spacing w:after="0"/>
              <w:rPr>
                <w:sz w:val="12"/>
                <w:szCs w:val="12"/>
                <w:color w:val="auto"/>
              </w:rPr>
            </w:pPr>
          </w:p>
        </w:tc>
        <w:tc>
          <w:tcPr>
            <w:tcW w:w="10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1,035,937</w:t>
            </w:r>
          </w:p>
        </w:tc>
        <w:tc>
          <w:tcPr>
            <w:tcW w:w="3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Broker/Dealer bids or quotes</w:t>
            </w: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First lien</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284,110,366</w:t>
            </w: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Market Yield</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 13.9% (8.3%)</w:t>
            </w:r>
          </w:p>
        </w:tc>
        <w:tc>
          <w:tcPr>
            <w:tcW w:w="0" w:type="dxa"/>
            <w:vAlign w:val="bottom"/>
          </w:tcPr>
          <w:p>
            <w:pPr>
              <w:spacing w:after="0"/>
              <w:rPr>
                <w:sz w:val="1"/>
                <w:szCs w:val="1"/>
                <w:color w:val="auto"/>
              </w:rPr>
            </w:pPr>
          </w:p>
        </w:tc>
      </w:tr>
      <w:tr>
        <w:trPr>
          <w:trHeight w:val="149"/>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Second lien</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28,532,500</w:t>
            </w:r>
          </w:p>
        </w:tc>
        <w:tc>
          <w:tcPr>
            <w:tcW w:w="3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7"/>
              </w:rPr>
              <w:t>Market Yield</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1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 15.9% (13.7%)</w:t>
            </w: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2,124,435</w:t>
            </w:r>
          </w:p>
        </w:tc>
        <w:tc>
          <w:tcPr>
            <w:tcW w:w="300" w:type="dxa"/>
            <w:vAlign w:val="bottom"/>
          </w:tcPr>
          <w:p>
            <w:pPr>
              <w:spacing w:after="0"/>
              <w:rPr>
                <w:sz w:val="12"/>
                <w:szCs w:val="12"/>
                <w:color w:val="auto"/>
              </w:rPr>
            </w:pP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Market Yield</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9"/>
              </w:rPr>
              <w:t>– 16.5% (15.8%)</w:t>
            </w:r>
          </w:p>
        </w:tc>
        <w:tc>
          <w:tcPr>
            <w:tcW w:w="0" w:type="dxa"/>
            <w:vAlign w:val="bottom"/>
          </w:tcPr>
          <w:p>
            <w:pPr>
              <w:spacing w:after="0"/>
              <w:rPr>
                <w:sz w:val="1"/>
                <w:szCs w:val="1"/>
                <w:color w:val="auto"/>
              </w:rPr>
            </w:pPr>
          </w:p>
        </w:tc>
      </w:tr>
      <w:tr>
        <w:trPr>
          <w:trHeight w:val="149"/>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1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7,655,677</w:t>
            </w:r>
          </w:p>
        </w:tc>
        <w:tc>
          <w:tcPr>
            <w:tcW w:w="3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Enterprise Market Value</w:t>
            </w:r>
          </w:p>
        </w:tc>
        <w:tc>
          <w:tcPr>
            <w:tcW w:w="20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rPr>
              <w:t>EBITDA multiple</w:t>
            </w:r>
          </w:p>
        </w:tc>
        <w:tc>
          <w:tcPr>
            <w:tcW w:w="152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6"/>
              </w:rPr>
              <w:t>4.3x – 9.0x (7.2x)</w:t>
            </w:r>
          </w:p>
        </w:tc>
        <w:tc>
          <w:tcPr>
            <w:tcW w:w="0" w:type="dxa"/>
            <w:vAlign w:val="bottom"/>
          </w:tcPr>
          <w:p>
            <w:pPr>
              <w:spacing w:after="0"/>
              <w:rPr>
                <w:sz w:val="1"/>
                <w:szCs w:val="1"/>
                <w:color w:val="auto"/>
              </w:rPr>
            </w:pPr>
          </w:p>
        </w:tc>
      </w:tr>
      <w:tr>
        <w:trPr>
          <w:trHeight w:val="156"/>
        </w:trPr>
        <w:tc>
          <w:tcPr>
            <w:tcW w:w="336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1300" w:type="dxa"/>
            <w:vAlign w:val="bottom"/>
          </w:tcPr>
          <w:p>
            <w:pPr>
              <w:spacing w:after="0"/>
              <w:rPr>
                <w:sz w:val="13"/>
                <w:szCs w:val="13"/>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595,822,836</w:t>
            </w: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420" w:type="dxa"/>
            <w:vAlign w:val="bottom"/>
            <w:gridSpan w:val="2"/>
            <w:shd w:val="clear" w:color="auto" w:fill="CCEEFF"/>
          </w:tcPr>
          <w:p>
            <w:pPr>
              <w:ind w:left="1300"/>
              <w:spacing w:after="0" w:line="143"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232,389,498</w:t>
            </w:r>
          </w:p>
        </w:tc>
        <w:tc>
          <w:tcPr>
            <w:tcW w:w="3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260"/>
              <w:spacing w:after="0" w:line="143"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shd w:val="clear" w:color="auto" w:fill="CCEEFF"/>
          </w:tcPr>
          <w:p>
            <w:pPr>
              <w:jc w:val="center"/>
              <w:ind w:right="240"/>
              <w:spacing w:after="0" w:line="143" w:lineRule="exact"/>
              <w:rPr>
                <w:sz w:val="20"/>
                <w:szCs w:val="20"/>
                <w:color w:val="auto"/>
              </w:rPr>
            </w:pPr>
            <w:r>
              <w:rPr>
                <w:rFonts w:ascii="Arial" w:cs="Arial" w:eastAsia="Arial" w:hAnsi="Arial"/>
                <w:sz w:val="14"/>
                <w:szCs w:val="14"/>
                <w:color w:val="auto"/>
                <w:w w:val="97"/>
              </w:rPr>
              <w:t>Market Yield</w:t>
            </w: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68"/>
              <w:spacing w:after="0" w:line="143"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720" w:right="228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investments, cash and cash equivalents and Credit Facility were categorized as follows in the fair value hierarchy for ASC 820 purposes:</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2"/>
              </w:rPr>
              <w:t>Fair Value Measurements at December 31, 2016</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0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36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$600,052,593</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$600,052,593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140" w:type="dxa"/>
            <w:vAlign w:val="bottom"/>
            <w:gridSpan w:val="3"/>
          </w:tcPr>
          <w:p>
            <w:pPr>
              <w:jc w:val="right"/>
              <w:ind w:right="20"/>
              <w:spacing w:after="0"/>
              <w:rPr>
                <w:sz w:val="20"/>
                <w:szCs w:val="20"/>
                <w:color w:val="auto"/>
              </w:rPr>
            </w:pPr>
            <w:r>
              <w:rPr>
                <w:rFonts w:ascii="Arial" w:cs="Arial" w:eastAsia="Arial" w:hAnsi="Arial"/>
                <w:sz w:val="18"/>
                <w:szCs w:val="18"/>
                <w:color w:val="auto"/>
              </w:rPr>
              <w:t>36,913,063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36,913,063</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8,314,839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11,588,392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55,182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3,102,473</w:t>
            </w:r>
          </w:p>
        </w:tc>
        <w:tc>
          <w:tcPr>
            <w:tcW w:w="1000" w:type="dxa"/>
            <w:vAlign w:val="bottom"/>
          </w:tcPr>
          <w:p>
            <w:pPr>
              <w:jc w:val="right"/>
              <w:spacing w:after="0"/>
              <w:rPr>
                <w:sz w:val="20"/>
                <w:szCs w:val="20"/>
                <w:color w:val="auto"/>
              </w:rPr>
            </w:pPr>
            <w:r>
              <w:rPr>
                <w:rFonts w:ascii="Arial" w:cs="Arial" w:eastAsia="Arial" w:hAnsi="Arial"/>
                <w:sz w:val="18"/>
                <w:szCs w:val="18"/>
                <w:color w:val="auto"/>
              </w:rPr>
              <w:t>8,430,737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656,868,887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3,102,473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653,711,232</w:t>
            </w: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24,203,565</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24,203,565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cash and cash equivalents</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681,072,452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24,258,747</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3,102,473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653,711,232</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299,859,712</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299,859,712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20" w:type="dxa"/>
            <w:vAlign w:val="bottom"/>
          </w:tcPr>
          <w:p>
            <w:pPr>
              <w:spacing w:after="0"/>
              <w:rPr>
                <w:sz w:val="24"/>
                <w:szCs w:val="24"/>
                <w:color w:val="auto"/>
              </w:rPr>
            </w:pPr>
          </w:p>
        </w:tc>
        <w:tc>
          <w:tcPr>
            <w:tcW w:w="5040" w:type="dxa"/>
            <w:vAlign w:val="bottom"/>
            <w:gridSpan w:val="12"/>
          </w:tcPr>
          <w:p>
            <w:pPr>
              <w:ind w:left="980"/>
              <w:spacing w:after="0"/>
              <w:rPr>
                <w:sz w:val="20"/>
                <w:szCs w:val="20"/>
                <w:color w:val="auto"/>
              </w:rPr>
            </w:pPr>
            <w:r>
              <w:rPr>
                <w:rFonts w:ascii="Arial" w:cs="Arial" w:eastAsia="Arial" w:hAnsi="Arial"/>
                <w:sz w:val="14"/>
                <w:szCs w:val="14"/>
                <w:b w:val="1"/>
                <w:bCs w:val="1"/>
                <w:color w:val="auto"/>
              </w:rPr>
              <w:t>Fair Value Measurements at September 30, 2016</w:t>
            </w: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Fair Value</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00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36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$548,410,095</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$548,410,095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140" w:type="dxa"/>
            <w:vAlign w:val="bottom"/>
            <w:gridSpan w:val="3"/>
          </w:tcPr>
          <w:p>
            <w:pPr>
              <w:jc w:val="right"/>
              <w:ind w:right="20"/>
              <w:spacing w:after="0"/>
              <w:rPr>
                <w:sz w:val="20"/>
                <w:szCs w:val="20"/>
                <w:color w:val="auto"/>
              </w:rPr>
            </w:pPr>
            <w:r>
              <w:rPr>
                <w:rFonts w:ascii="Arial" w:cs="Arial" w:eastAsia="Arial" w:hAnsi="Arial"/>
                <w:sz w:val="18"/>
                <w:szCs w:val="18"/>
                <w:color w:val="auto"/>
              </w:rPr>
              <w:t>36,596,692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36,596,692</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3,160,372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10,720,366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106,922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2,957,767</w:t>
            </w:r>
          </w:p>
        </w:tc>
        <w:tc>
          <w:tcPr>
            <w:tcW w:w="1000" w:type="dxa"/>
            <w:vAlign w:val="bottom"/>
          </w:tcPr>
          <w:p>
            <w:pPr>
              <w:jc w:val="right"/>
              <w:spacing w:after="0"/>
              <w:rPr>
                <w:sz w:val="20"/>
                <w:szCs w:val="20"/>
                <w:color w:val="auto"/>
              </w:rPr>
            </w:pPr>
            <w:r>
              <w:rPr>
                <w:rFonts w:ascii="Arial" w:cs="Arial" w:eastAsia="Arial" w:hAnsi="Arial"/>
                <w:sz w:val="18"/>
                <w:szCs w:val="18"/>
                <w:color w:val="auto"/>
              </w:rPr>
              <w:t>7,655,677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598,887,525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2,957,767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595,822,836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28,910,973</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28,910,973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cash and cash equivalents</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627,798,498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29,017,895</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2,957,757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595,822,836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232,389,498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232,389,498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140" w:type="dxa"/>
            <w:vAlign w:val="bottom"/>
            <w:gridSpan w:val="3"/>
          </w:tcPr>
          <w:p>
            <w:pPr>
              <w:jc w:val="right"/>
              <w:ind w:right="1060"/>
              <w:spacing w:after="0"/>
              <w:rPr>
                <w:sz w:val="20"/>
                <w:szCs w:val="20"/>
                <w:color w:val="auto"/>
              </w:rPr>
            </w:pPr>
            <w:r>
              <w:rPr>
                <w:rFonts w:ascii="Arial" w:cs="Arial" w:eastAsia="Arial" w:hAnsi="Arial"/>
                <w:sz w:val="18"/>
                <w:szCs w:val="18"/>
                <w:color w:val="auto"/>
              </w:rPr>
              <w:t>S-48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58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8"/>
          </w:tcPr>
          <w:p>
            <w:pPr>
              <w:jc w:val="center"/>
              <w:ind w:left="734"/>
              <w:spacing w:after="0"/>
              <w:rPr>
                <w:sz w:val="20"/>
                <w:szCs w:val="20"/>
                <w:color w:val="auto"/>
              </w:rPr>
            </w:pPr>
            <w:r>
              <w:rPr>
                <w:rFonts w:ascii="Arial" w:cs="Arial" w:eastAsia="Arial" w:hAnsi="Arial"/>
                <w:sz w:val="14"/>
                <w:szCs w:val="14"/>
                <w:b w:val="1"/>
                <w:bCs w:val="1"/>
                <w:color w:val="auto"/>
                <w:w w:val="93"/>
              </w:rPr>
              <w:t>Three Months Ended December 31, 2016</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12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80" w:type="dxa"/>
            <w:vAlign w:val="bottom"/>
          </w:tcPr>
          <w:p>
            <w:pPr>
              <w:spacing w:after="0"/>
              <w:rPr>
                <w:sz w:val="12"/>
                <w:szCs w:val="12"/>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equity investments</w:t>
            </w: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Beginning</w:t>
            </w:r>
          </w:p>
        </w:tc>
        <w:tc>
          <w:tcPr>
            <w:tcW w:w="42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548,410,095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47,412,741</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595,822,836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Arial" w:cs="Arial" w:eastAsia="Arial" w:hAnsi="Arial"/>
                <w:sz w:val="18"/>
                <w:szCs w:val="18"/>
                <w:color w:val="auto"/>
              </w:rPr>
              <w:t>Net realized gains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280,208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8"/>
                <w:szCs w:val="18"/>
                <w:color w:val="auto"/>
              </w:rPr>
              <w:t>263,993</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544,201</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unrealized appreciation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2,051,612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406,754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2,458,366</w:t>
            </w:r>
          </w:p>
        </w:tc>
        <w:tc>
          <w:tcPr>
            <w:tcW w:w="0" w:type="dxa"/>
            <w:vAlign w:val="bottom"/>
          </w:tcPr>
          <w:p>
            <w:pPr>
              <w:spacing w:after="0"/>
              <w:rPr>
                <w:sz w:val="1"/>
                <w:szCs w:val="1"/>
                <w:color w:val="auto"/>
              </w:rPr>
            </w:pPr>
          </w:p>
        </w:tc>
      </w:tr>
      <w:tr>
        <w:trPr>
          <w:trHeight w:val="202"/>
        </w:trPr>
        <w:tc>
          <w:tcPr>
            <w:tcW w:w="50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Purchases, PIK interest, net discount accretion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540"/>
              <w:spacing w:after="0"/>
              <w:rPr>
                <w:sz w:val="20"/>
                <w:szCs w:val="20"/>
                <w:color w:val="auto"/>
              </w:rPr>
            </w:pPr>
            <w:r>
              <w:rPr>
                <w:rFonts w:ascii="Arial" w:cs="Arial" w:eastAsia="Arial" w:hAnsi="Arial"/>
                <w:sz w:val="18"/>
                <w:szCs w:val="18"/>
                <w:color w:val="auto"/>
              </w:rPr>
              <w:t>non-cash exchanges</w:t>
            </w: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109,256,025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8"/>
                <w:szCs w:val="18"/>
                <w:color w:val="auto"/>
              </w:rPr>
              <w:t>16,035,021</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125,291,046</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repayments and non-cash exchanges</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2"/>
              </w:rPr>
              <w:t>(59,945,347)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(10,459,870)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(70,405,217)</w:t>
            </w:r>
          </w:p>
        </w:tc>
        <w:tc>
          <w:tcPr>
            <w:tcW w:w="0" w:type="dxa"/>
            <w:vAlign w:val="bottom"/>
          </w:tcPr>
          <w:p>
            <w:pPr>
              <w:spacing w:after="0"/>
              <w:rPr>
                <w:sz w:val="1"/>
                <w:szCs w:val="1"/>
                <w:color w:val="auto"/>
              </w:rPr>
            </w:pPr>
          </w:p>
        </w:tc>
      </w:tr>
      <w:tr>
        <w:trPr>
          <w:trHeight w:val="223"/>
        </w:trPr>
        <w:tc>
          <w:tcPr>
            <w:tcW w:w="5000" w:type="dxa"/>
            <w:vAlign w:val="bottom"/>
            <w:gridSpan w:val="2"/>
          </w:tcPr>
          <w:p>
            <w:pPr>
              <w:ind w:left="360"/>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600,052,593</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53,658,639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653,711,232</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change in unrealized appreciation reported within the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change in unrealized appreciation on investments in our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Consolidated Statements of Operations attributable to our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Level 3 assets still held at the reporting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1,927,211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540"/>
              <w:spacing w:after="0"/>
              <w:rPr>
                <w:sz w:val="20"/>
                <w:szCs w:val="20"/>
                <w:color w:val="auto"/>
              </w:rPr>
            </w:pPr>
            <w:r>
              <w:rPr>
                <w:rFonts w:ascii="Arial" w:cs="Arial" w:eastAsia="Arial" w:hAnsi="Arial"/>
                <w:sz w:val="18"/>
                <w:szCs w:val="18"/>
                <w:color w:val="auto"/>
              </w:rPr>
              <w:t>653,710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2,580,921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jc w:val="center"/>
              <w:ind w:left="734"/>
              <w:spacing w:after="0"/>
              <w:rPr>
                <w:sz w:val="20"/>
                <w:szCs w:val="20"/>
                <w:color w:val="auto"/>
              </w:rPr>
            </w:pPr>
            <w:r>
              <w:rPr>
                <w:rFonts w:ascii="Arial" w:cs="Arial" w:eastAsia="Arial" w:hAnsi="Arial"/>
                <w:sz w:val="14"/>
                <w:szCs w:val="14"/>
                <w:b w:val="1"/>
                <w:bCs w:val="1"/>
                <w:color w:val="auto"/>
                <w:w w:val="93"/>
              </w:rPr>
              <w:t>Three Months Ended December 31, 2015</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12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80" w:type="dxa"/>
            <w:vAlign w:val="bottom"/>
          </w:tcPr>
          <w:p>
            <w:pPr>
              <w:spacing w:after="0"/>
              <w:rPr>
                <w:sz w:val="12"/>
                <w:szCs w:val="12"/>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equity investments</w:t>
            </w: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Beginning</w:t>
            </w:r>
          </w:p>
        </w:tc>
        <w:tc>
          <w:tcPr>
            <w:tcW w:w="42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334,957,341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56,163,940</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391,121,281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53,300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480"/>
              <w:spacing w:after="0"/>
              <w:rPr>
                <w:sz w:val="20"/>
                <w:szCs w:val="20"/>
                <w:color w:val="auto"/>
              </w:rPr>
            </w:pPr>
            <w:r>
              <w:rPr>
                <w:rFonts w:ascii="Arial" w:cs="Arial" w:eastAsia="Arial" w:hAnsi="Arial"/>
                <w:sz w:val="18"/>
                <w:szCs w:val="18"/>
                <w:color w:val="auto"/>
              </w:rPr>
              <w:t>(3,285,308)</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(3,232,008)</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unrealized (depreciation) appreciation</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(2,864,750)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2,266,779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(597,971)</w:t>
            </w:r>
          </w:p>
        </w:tc>
        <w:tc>
          <w:tcPr>
            <w:tcW w:w="0" w:type="dxa"/>
            <w:vAlign w:val="bottom"/>
          </w:tcPr>
          <w:p>
            <w:pPr>
              <w:spacing w:after="0"/>
              <w:rPr>
                <w:sz w:val="1"/>
                <w:szCs w:val="1"/>
                <w:color w:val="auto"/>
              </w:rPr>
            </w:pPr>
          </w:p>
        </w:tc>
      </w:tr>
      <w:tr>
        <w:trPr>
          <w:trHeight w:val="202"/>
        </w:trPr>
        <w:tc>
          <w:tcPr>
            <w:tcW w:w="50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Purchases, PIK interest, net discount accretion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540"/>
              <w:spacing w:after="0"/>
              <w:rPr>
                <w:sz w:val="20"/>
                <w:szCs w:val="20"/>
                <w:color w:val="auto"/>
              </w:rPr>
            </w:pPr>
            <w:r>
              <w:rPr>
                <w:rFonts w:ascii="Arial" w:cs="Arial" w:eastAsia="Arial" w:hAnsi="Arial"/>
                <w:sz w:val="18"/>
                <w:szCs w:val="18"/>
                <w:color w:val="auto"/>
              </w:rPr>
              <w:t>non-cash exchanges</w:t>
            </w: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97,970,469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1,584,985</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99,555,454</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repayments and non-cash exchanges</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2"/>
              </w:rPr>
              <w:t>(26,887,251)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26,442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(26,860,809)</w:t>
            </w:r>
          </w:p>
        </w:tc>
        <w:tc>
          <w:tcPr>
            <w:tcW w:w="0" w:type="dxa"/>
            <w:vAlign w:val="bottom"/>
          </w:tcPr>
          <w:p>
            <w:pPr>
              <w:spacing w:after="0"/>
              <w:rPr>
                <w:sz w:val="1"/>
                <w:szCs w:val="1"/>
                <w:color w:val="auto"/>
              </w:rPr>
            </w:pPr>
          </w:p>
        </w:tc>
      </w:tr>
      <w:tr>
        <w:trPr>
          <w:trHeight w:val="223"/>
        </w:trPr>
        <w:tc>
          <w:tcPr>
            <w:tcW w:w="5000" w:type="dxa"/>
            <w:vAlign w:val="bottom"/>
            <w:gridSpan w:val="2"/>
          </w:tcPr>
          <w:p>
            <w:pPr>
              <w:ind w:left="360"/>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403,229,109</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56,756,838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459,985,947</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change in unrealized depreciation reported within the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change in unrealized depreciation on investments in our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Consolidated Statements of Operations attributable to our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Level 3 assets still held at the reporting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(2,963,079)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480"/>
              <w:spacing w:after="0"/>
              <w:rPr>
                <w:sz w:val="20"/>
                <w:szCs w:val="20"/>
                <w:color w:val="auto"/>
              </w:rPr>
            </w:pPr>
            <w:r>
              <w:rPr>
                <w:rFonts w:ascii="Arial" w:cs="Arial" w:eastAsia="Arial" w:hAnsi="Arial"/>
                <w:sz w:val="18"/>
                <w:szCs w:val="18"/>
                <w:color w:val="auto"/>
              </w:rPr>
              <w:t>(758,129)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(3,721,208)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table below shows a reconciliation of the beginning and ending balances for fair valued liabilities measured using significant unobservable inputs (Level 3):</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Long-Term Credit Facility </w:t>
            </w:r>
            <w:r>
              <w:rPr>
                <w:rFonts w:ascii="Arial" w:cs="Arial" w:eastAsia="Arial" w:hAnsi="Arial"/>
                <w:sz w:val="12"/>
                <w:szCs w:val="12"/>
                <w:b w:val="1"/>
                <w:bCs w:val="1"/>
                <w:color w:val="auto"/>
              </w:rPr>
              <w:t>(1)</w:t>
            </w:r>
          </w:p>
        </w:tc>
        <w:tc>
          <w:tcPr>
            <w:tcW w:w="20" w:type="dxa"/>
            <w:vAlign w:val="bottom"/>
          </w:tcPr>
          <w:p>
            <w:pPr>
              <w:spacing w:after="0"/>
              <w:rPr>
                <w:sz w:val="14"/>
                <w:szCs w:val="14"/>
                <w:color w:val="auto"/>
              </w:rPr>
            </w:pPr>
          </w:p>
        </w:tc>
        <w:tc>
          <w:tcPr>
            <w:tcW w:w="26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Three Months Ended December 31,</w:t>
            </w:r>
          </w:p>
        </w:tc>
        <w:tc>
          <w:tcPr>
            <w:tcW w:w="0" w:type="dxa"/>
            <w:vAlign w:val="bottom"/>
          </w:tcPr>
          <w:p>
            <w:pPr>
              <w:spacing w:after="0"/>
              <w:rPr>
                <w:sz w:val="1"/>
                <w:szCs w:val="1"/>
                <w:color w:val="auto"/>
              </w:rPr>
            </w:pPr>
          </w:p>
        </w:tc>
      </w:tr>
      <w:tr>
        <w:trPr>
          <w:trHeight w:val="142"/>
        </w:trPr>
        <w:tc>
          <w:tcPr>
            <w:tcW w:w="60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Borders>
              <w:top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Beginning Balance (cost</w:t>
            </w:r>
          </w:p>
        </w:tc>
        <w:tc>
          <w:tcPr>
            <w:tcW w:w="4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$232,907,500 and $29,600,000, respectively)</w:t>
            </w: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$ 232,389,498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$ 29,600,000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Net change in unrealized appreciation (depreciation) included in</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ind w:left="540"/>
              <w:spacing w:after="0"/>
              <w:rPr>
                <w:sz w:val="20"/>
                <w:szCs w:val="20"/>
                <w:color w:val="auto"/>
              </w:rPr>
            </w:pPr>
            <w:r>
              <w:rPr>
                <w:rFonts w:ascii="Arial" w:cs="Arial" w:eastAsia="Arial" w:hAnsi="Arial"/>
                <w:sz w:val="18"/>
                <w:szCs w:val="18"/>
                <w:color w:val="auto"/>
              </w:rPr>
              <w:t>earnings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1,068,214</w:t>
            </w:r>
          </w:p>
        </w:tc>
        <w:tc>
          <w:tcPr>
            <w:tcW w:w="280" w:type="dxa"/>
            <w:vAlign w:val="bottom"/>
          </w:tcPr>
          <w:p>
            <w:pPr>
              <w:spacing w:after="0"/>
              <w:rPr>
                <w:sz w:val="20"/>
                <w:szCs w:val="20"/>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(601,875)</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Borrowings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91,902,000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360"/>
              <w:spacing w:after="0"/>
              <w:rPr>
                <w:sz w:val="20"/>
                <w:szCs w:val="20"/>
                <w:color w:val="auto"/>
              </w:rPr>
            </w:pPr>
            <w:r>
              <w:rPr>
                <w:rFonts w:ascii="Arial" w:cs="Arial" w:eastAsia="Arial" w:hAnsi="Arial"/>
                <w:sz w:val="18"/>
                <w:szCs w:val="18"/>
                <w:color w:val="auto"/>
              </w:rPr>
              <w:t>Repayments</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(25,500,000)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(2,600,000)</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Ending Balance (cost – $299,309,500 and $96,300,000, respectively)</w:t>
            </w: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$ 299,859,712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$ 95,698,125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The carrying value of our consolidated financial liabilities approximates fair value.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260"/>
          </w:cols>
          <w:pgMar w:left="240" w:top="459" w:right="3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As of December 31, 2016, we had outstanding non-U.S. dollar borrowings on our Credit Facility. Net change in fair value from foreign currency translation on outstanding borrowings is listed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1700" w:type="dxa"/>
            <w:vAlign w:val="bottom"/>
          </w:tcPr>
          <w:p>
            <w:pPr>
              <w:spacing w:after="0"/>
              <w:rPr>
                <w:sz w:val="14"/>
                <w:szCs w:val="14"/>
                <w:color w:val="auto"/>
              </w:rPr>
            </w:pPr>
          </w:p>
        </w:tc>
        <w:tc>
          <w:tcPr>
            <w:tcW w:w="15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3"/>
              </w:rPr>
              <w:t>Amount Borrowed</w:t>
            </w:r>
          </w:p>
        </w:tc>
        <w:tc>
          <w:tcPr>
            <w:tcW w:w="11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1"/>
              </w:rPr>
              <w:t>Borrowing Cost</w:t>
            </w:r>
          </w:p>
        </w:tc>
        <w:tc>
          <w:tcPr>
            <w:tcW w:w="200" w:type="dxa"/>
            <w:vAlign w:val="bottom"/>
          </w:tcPr>
          <w:p>
            <w:pPr>
              <w:spacing w:after="0"/>
              <w:rPr>
                <w:sz w:val="14"/>
                <w:szCs w:val="14"/>
                <w:color w:val="auto"/>
              </w:rPr>
            </w:pPr>
          </w:p>
        </w:tc>
        <w:tc>
          <w:tcPr>
            <w:tcW w:w="13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Current Value</w:t>
            </w:r>
          </w:p>
        </w:tc>
        <w:tc>
          <w:tcPr>
            <w:tcW w:w="16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Reset Date</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Change in Fair</w:t>
            </w: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Canadian Dollar</w:t>
            </w:r>
          </w:p>
        </w:tc>
        <w:tc>
          <w:tcPr>
            <w:tcW w:w="17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17,500,000</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12,407,501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$13,049,470</w:t>
            </w:r>
          </w:p>
        </w:tc>
        <w:tc>
          <w:tcPr>
            <w:tcW w:w="4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January 3, 2017</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Euro</w:t>
            </w:r>
          </w:p>
        </w:tc>
        <w:tc>
          <w:tcPr>
            <w:tcW w:w="198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18,000,000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18,702,000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18,985,536</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January 3, 2017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31,109,501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32,035,006</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As of September 30, 2016, we had outstanding non-U.S. dollar borrowings on our Credit Facility. Net change in fair value from foreign currency translation on outstanding borrowings is listed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Borrowing Cost</w:t>
            </w:r>
          </w:p>
        </w:tc>
        <w:tc>
          <w:tcPr>
            <w:tcW w:w="20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16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Reset Date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1"/>
        </w:trPr>
        <w:tc>
          <w:tcPr>
            <w:tcW w:w="454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Canadian Dollar</w:t>
            </w:r>
          </w:p>
        </w:tc>
        <w:tc>
          <w:tcPr>
            <w:tcW w:w="34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C$  17,500,000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$ 12,407,501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$13,338,920</w:t>
            </w:r>
          </w:p>
        </w:tc>
        <w:tc>
          <w:tcPr>
            <w:tcW w:w="4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October 3, 2016</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931,419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expenses of zero and $0.9 million, respectively, relating to amendment fees on the Credit Facility during the three months ended December 31, 2016 and 2015.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months ended December 31, 2016 and 2015, our Credit Facility had a net change in unrealized (appreciation) depreciation of $(1.1) million and $0.6 million, respectively. As of December 31, 2016 and September 30, 2016, the net unrealized (appreciation) depreciation on our Credit Facility totaled $(0.6) million and</w:t>
      </w:r>
    </w:p>
    <w:p>
      <w:pPr>
        <w:spacing w:after="0" w:line="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December 31,</w:t>
            </w:r>
          </w:p>
        </w:tc>
      </w:tr>
      <w:tr>
        <w:trPr>
          <w:trHeight w:val="142"/>
        </w:trPr>
        <w:tc>
          <w:tcPr>
            <w:tcW w:w="58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8,848,909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1,746,879</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26,730,074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26,730,074</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w w:val="92"/>
              </w:rPr>
              <w:t>Basic and diluted net increase in net assets per share resulting from operations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AND CASH EQUIVALENTS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December 31, 2016 and September 30, 2016, cash and cash equivalents consisted of money market funds in the amounts of $24.2 million and $28.9 million, respectively, at fair value.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20" w:right="268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60" w:right="8400" w:hanging="452"/>
        <w:spacing w:after="0" w:line="407" w:lineRule="auto"/>
        <w:tabs>
          <w:tab w:leader="none" w:pos="18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HIGHLIGHTS </w:t>
      </w:r>
      <w:r>
        <w:rPr>
          <w:rFonts w:ascii="Arial" w:cs="Arial" w:eastAsia="Arial" w:hAnsi="Arial"/>
          <w:sz w:val="18"/>
          <w:szCs w:val="18"/>
          <w:color w:val="auto"/>
        </w:rPr>
        <w:t>Below are the financial highlights:</w:t>
      </w:r>
    </w:p>
    <w:p>
      <w:pPr>
        <w:spacing w:after="0" w:line="7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8"/>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14.06</w:t>
            </w:r>
          </w:p>
        </w:tc>
        <w:tc>
          <w:tcPr>
            <w:tcW w:w="300" w:type="dxa"/>
            <w:vAlign w:val="bottom"/>
          </w:tcPr>
          <w:p>
            <w:pPr>
              <w:spacing w:after="0"/>
              <w:rPr>
                <w:sz w:val="18"/>
                <w:szCs w:val="18"/>
                <w:color w:val="auto"/>
              </w:rPr>
            </w:pP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13.95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 xml:space="preserve">Net change in realized and unrealized gain (loss) </w:t>
            </w:r>
            <w:r>
              <w:rPr>
                <w:rFonts w:ascii="Arial" w:cs="Arial" w:eastAsia="Arial" w:hAnsi="Arial"/>
                <w:sz w:val="15"/>
                <w:szCs w:val="15"/>
                <w:color w:val="auto"/>
              </w:rPr>
              <w:t>(1)</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increase in net assets resulting from operations </w:t>
            </w:r>
            <w:r>
              <w:rPr>
                <w:rFonts w:ascii="Arial" w:cs="Arial" w:eastAsia="Arial" w:hAnsi="Arial"/>
                <w:sz w:val="15"/>
                <w:szCs w:val="15"/>
                <w:color w:val="auto"/>
              </w:rPr>
              <w:t>(1)</w:t>
            </w:r>
          </w:p>
        </w:tc>
        <w:tc>
          <w:tcPr>
            <w:tcW w:w="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 xml:space="preserve">Distributions to stockholders </w:t>
            </w:r>
            <w:r>
              <w:rPr>
                <w:rFonts w:ascii="Arial" w:cs="Arial" w:eastAsia="Arial" w:hAnsi="Arial"/>
                <w:sz w:val="15"/>
                <w:szCs w:val="15"/>
                <w:color w:val="auto"/>
              </w:rPr>
              <w:t>(1), (2)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Per share market value, end of period</w:t>
            </w: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5"/>
                <w:szCs w:val="15"/>
                <w:color w:val="auto"/>
              </w:rPr>
              <w:t>(3)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26,730,074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26,730,074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 xml:space="preserve">Ratio of operating expenses to average net assets </w:t>
            </w:r>
            <w:r>
              <w:rPr>
                <w:rFonts w:ascii="Arial" w:cs="Arial" w:eastAsia="Arial" w:hAnsi="Arial"/>
                <w:sz w:val="15"/>
                <w:szCs w:val="15"/>
                <w:color w:val="auto"/>
              </w:rPr>
              <w:t>(4)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7"/>
              </w:rPr>
              <w:t xml:space="preserve">Ratio of Credit Facility related expenses to average net assets </w:t>
            </w:r>
            <w:r>
              <w:rPr>
                <w:rFonts w:ascii="Arial" w:cs="Arial" w:eastAsia="Arial" w:hAnsi="Arial"/>
                <w:sz w:val="15"/>
                <w:szCs w:val="15"/>
                <w:color w:val="auto"/>
                <w:w w:val="97"/>
              </w:rPr>
              <w:t>(5)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Ratio of total expenses to average net assets </w:t>
            </w:r>
            <w:r>
              <w:rPr>
                <w:rFonts w:ascii="Arial" w:cs="Arial" w:eastAsia="Arial" w:hAnsi="Arial"/>
                <w:sz w:val="15"/>
                <w:szCs w:val="15"/>
                <w:color w:val="auto"/>
              </w:rPr>
              <w:t>(5)</w:t>
            </w: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6.16%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Ratio of net investment income to average net assets </w:t>
            </w:r>
            <w:r>
              <w:rPr>
                <w:rFonts w:ascii="Arial" w:cs="Arial" w:eastAsia="Arial" w:hAnsi="Arial"/>
                <w:sz w:val="15"/>
                <w:szCs w:val="15"/>
                <w:color w:val="auto"/>
              </w:rPr>
              <w:t>(5)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377,137,666</w:t>
            </w:r>
          </w:p>
        </w:tc>
        <w:tc>
          <w:tcPr>
            <w:tcW w:w="300" w:type="dxa"/>
            <w:vAlign w:val="bottom"/>
          </w:tcPr>
          <w:p>
            <w:pPr>
              <w:spacing w:after="0"/>
              <w:rPr>
                <w:sz w:val="18"/>
                <w:szCs w:val="18"/>
                <w:color w:val="auto"/>
              </w:rPr>
            </w:pP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367,019,257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outstanding</w:t>
            </w:r>
          </w:p>
        </w:tc>
        <w:tc>
          <w:tcPr>
            <w:tcW w:w="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247,183,783</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63,132,609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 xml:space="preserve">Weighted average debt per share </w:t>
            </w:r>
            <w:r>
              <w:rPr>
                <w:rFonts w:ascii="Arial" w:cs="Arial" w:eastAsia="Arial" w:hAnsi="Arial"/>
                <w:sz w:val="15"/>
                <w:szCs w:val="15"/>
                <w:color w:val="auto"/>
              </w:rPr>
              <w:t>(1)</w:t>
            </w:r>
          </w:p>
        </w:tc>
        <w:tc>
          <w:tcPr>
            <w:tcW w:w="4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Asset coverage per unit </w:t>
            </w:r>
            <w:r>
              <w:rPr>
                <w:rFonts w:ascii="Arial" w:cs="Arial" w:eastAsia="Arial" w:hAnsi="Arial"/>
                <w:sz w:val="15"/>
                <w:szCs w:val="15"/>
                <w:color w:val="auto"/>
              </w:rPr>
              <w:t>(6)</w:t>
            </w:r>
          </w:p>
        </w:tc>
        <w:tc>
          <w:tcPr>
            <w:tcW w:w="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44.82%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Not annualized for periods less than one year.</w:t>
      </w:r>
    </w:p>
    <w:p>
      <w:pPr>
        <w:spacing w:after="0" w:line="2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8"/>
          <w:szCs w:val="18"/>
          <w:color w:val="auto"/>
        </w:rPr>
        <w:t>Annualized for periods less than one year.</w:t>
      </w:r>
    </w:p>
    <w:p>
      <w:pPr>
        <w:spacing w:after="0" w:line="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Based on the weighted average shares outstanding for the respective periods.</w:t>
      </w:r>
    </w:p>
    <w:p>
      <w:pPr>
        <w:spacing w:after="0" w:line="10" w:lineRule="exact"/>
        <w:rPr>
          <w:rFonts w:ascii="Arial" w:cs="Arial" w:eastAsia="Arial" w:hAnsi="Arial"/>
          <w:sz w:val="15"/>
          <w:szCs w:val="15"/>
          <w:color w:val="auto"/>
        </w:rPr>
      </w:pPr>
    </w:p>
    <w:p>
      <w:pPr>
        <w:ind w:left="460" w:right="180" w:hanging="452"/>
        <w:spacing w:after="0" w:line="250"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The tax status of distributions is calculated in accordance with income tax regulations, which may differ from amounts determined under GAAP, and reported on Form 1099-DIV each calendar year.</w:t>
      </w:r>
    </w:p>
    <w:p>
      <w:pPr>
        <w:ind w:left="460" w:right="20" w:hanging="452"/>
        <w:spacing w:after="0" w:line="250"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Based on the change in market price per share during the period and takes into account distributions, if any, reinvested in accordance with our dividend reinvestment plan.</w:t>
      </w:r>
    </w:p>
    <w:p>
      <w:pPr>
        <w:ind w:left="460" w:hanging="45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Excludes Credit Facility related costs.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Credit Facility amendment costs, if any, are not annualized.</w:t>
      </w:r>
    </w:p>
    <w:p>
      <w:pPr>
        <w:spacing w:after="0" w:line="9" w:lineRule="exact"/>
        <w:rPr>
          <w:rFonts w:ascii="Arial" w:cs="Arial" w:eastAsia="Arial" w:hAnsi="Arial"/>
          <w:sz w:val="15"/>
          <w:szCs w:val="15"/>
          <w:color w:val="auto"/>
        </w:rPr>
      </w:pPr>
    </w:p>
    <w:p>
      <w:pPr>
        <w:ind w:left="460" w:right="100" w:hanging="452"/>
        <w:spacing w:after="0" w:line="255"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CREDIT FACILITY</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Funding I’s multi-currency Credit Facility with affiliates of SunTrust Bank, or the Lenders, was $350.0 million as of December 31, 2016, subject to satisfaction of certain conditions and the regulatory restrictions that the 1940 Act imposes on us as a BDC, has an interest rate spread above LIBOR of 200 basis points, a maturity date of August 2020 and a revolving period that ends in August 2018. As of December 31, 2016 and September 30, 2016, Funding I had $299.3 million and $232.9 million of outstanding borrowings under the Credit Facility, respectively. The Credit Facility had an interest rate of 2.74% and 2.57%, as of December 31, 2016 and September 30, 2016, respectively, excluding the undrawn commitment fees of 0.375%. The annualized weighted average cost of debt for the three months ended December 31, 2016 and 2015, inclusive of the fee on the undrawn commitment on the Credit Facility but excluding amendment costs, was 2.91% and 5.95%, respectively.</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DECEMBER 31, 2016</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8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December 31, 2016, we were in compliance with the covenants relating to our Credit Facility.</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Schedules of Investments. As of December 31, 2016 and September 30, 2016, we had $34.2 million and $20.0 million, respectively, in commitments to fund investments.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139700</wp:posOffset>
            </wp:positionV>
            <wp:extent cx="2383790" cy="514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837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6"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51" w:lineRule="exact"/>
        <w:rPr>
          <w:sz w:val="20"/>
          <w:szCs w:val="20"/>
          <w:color w:val="auto"/>
        </w:rPr>
      </w:pPr>
    </w:p>
    <w:p>
      <w:pPr>
        <w:ind w:right="280" w:firstLine="571"/>
        <w:spacing w:after="0" w:line="298" w:lineRule="auto"/>
        <w:rPr>
          <w:sz w:val="20"/>
          <w:szCs w:val="20"/>
          <w:color w:val="auto"/>
        </w:rPr>
      </w:pPr>
      <w:r>
        <w:rPr>
          <w:rFonts w:ascii="Arial" w:cs="Arial" w:eastAsia="Arial" w:hAnsi="Arial"/>
          <w:sz w:val="16"/>
          <w:szCs w:val="16"/>
          <w:color w:val="auto"/>
        </w:rPr>
        <w:t>Our investment objectives are to generate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32"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8 and “Sales of Common Stock Below Net Asset Value” on page 49 of this prospectus for more information.</w:t>
      </w:r>
    </w:p>
    <w:p>
      <w:pPr>
        <w:spacing w:after="0" w:line="42"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Our common stock is traded on the NASDAQ Global Select Market under the symbol “PFLT.” The last reported closing price for our common stock on January 13, 2017 was $14.10 per share, and our net asset value on September 30, 2016 was $14.06 per share.</w:t>
      </w:r>
    </w:p>
    <w:p>
      <w:pPr>
        <w:spacing w:after="0" w:line="51"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jc w:val="both"/>
        <w:ind w:right="100" w:firstLine="571"/>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6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Prospectus dated January 19, 2017</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20" w:type="dxa"/>
            <w:vAlign w:val="bottom"/>
            <w:gridSpan w:val="3"/>
          </w:tcPr>
          <w:p>
            <w:pPr>
              <w:jc w:val="center"/>
              <w:ind w:right="4100"/>
              <w:spacing w:after="0"/>
              <w:rPr>
                <w:sz w:val="20"/>
                <w:szCs w:val="20"/>
                <w:color w:val="auto"/>
              </w:rPr>
            </w:pPr>
            <w:r>
              <w:rPr>
                <w:rFonts w:ascii="Arial" w:cs="Arial" w:eastAsia="Arial" w:hAnsi="Arial"/>
                <w:sz w:val="18"/>
                <w:szCs w:val="18"/>
                <w:b w:val="1"/>
                <w:bCs w:val="1"/>
                <w:color w:val="auto"/>
                <w:w w:val="96"/>
              </w:rPr>
              <w:t>TABLE OF CONTENTS</w:t>
            </w:r>
          </w:p>
        </w:tc>
        <w:tc>
          <w:tcPr>
            <w:tcW w:w="540" w:type="dxa"/>
            <w:vAlign w:val="bottom"/>
          </w:tcPr>
          <w:p>
            <w:pPr>
              <w:spacing w:after="0"/>
              <w:rPr>
                <w:sz w:val="19"/>
                <w:szCs w:val="19"/>
                <w:color w:val="auto"/>
              </w:rPr>
            </w:pPr>
          </w:p>
        </w:tc>
      </w:tr>
      <w:tr>
        <w:trPr>
          <w:trHeight w:val="353"/>
        </w:trPr>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10780" w:type="dxa"/>
            <w:vAlign w:val="bottom"/>
            <w:gridSpan w:val="3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PROSPECTUS SUMMARY</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22"/>
                <w:szCs w:val="22"/>
                <w:color w:val="auto"/>
              </w:rPr>
            </w:pPr>
          </w:p>
        </w:tc>
        <w:tc>
          <w:tcPr>
            <w:tcW w:w="8740" w:type="dxa"/>
            <w:vAlign w:val="bottom"/>
            <w:gridSpan w:val="2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FORWARD-LOOKING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2860" w:type="dxa"/>
            <w:vAlign w:val="bottom"/>
            <w:tcBorders>
              <w:top w:val="single" w:sz="8" w:color="0000EE"/>
            </w:tcBorders>
            <w:gridSpan w:val="15"/>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USE OF PROCEEDS</w:t>
              </w:r>
            </w:hyperlink>
          </w:p>
        </w:tc>
        <w:tc>
          <w:tcPr>
            <w:tcW w:w="7920" w:type="dxa"/>
            <w:vAlign w:val="bottom"/>
            <w:gridSpan w:val="1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238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90">
              <w:r>
                <w:rPr>
                  <w:rFonts w:ascii="Arial" w:cs="Arial" w:eastAsia="Arial" w:hAnsi="Arial"/>
                  <w:sz w:val="18"/>
                  <w:szCs w:val="18"/>
                  <w:color w:val="0000EE"/>
                  <w:w w:val="95"/>
                </w:rPr>
                <w:t>SELECTED FINANCIAL DATA</w:t>
              </w:r>
            </w:hyperlink>
          </w:p>
        </w:tc>
        <w:tc>
          <w:tcPr>
            <w:tcW w:w="8400" w:type="dxa"/>
            <w:vAlign w:val="bottom"/>
            <w:gridSpan w:val="2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64"/>
        </w:trPr>
        <w:tc>
          <w:tcPr>
            <w:tcW w:w="8700" w:type="dxa"/>
            <w:vAlign w:val="bottom"/>
            <w:tcBorders>
              <w:top w:val="single" w:sz="8" w:color="0000EE"/>
            </w:tcBorders>
            <w:gridSpan w:val="31"/>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SENIOR SECURITIES</w:t>
              </w:r>
            </w:hyperlink>
          </w:p>
        </w:tc>
        <w:tc>
          <w:tcPr>
            <w:tcW w:w="20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290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105">
              <w:r>
                <w:rPr>
                  <w:rFonts w:ascii="Arial" w:cs="Arial" w:eastAsia="Arial" w:hAnsi="Arial"/>
                  <w:sz w:val="18"/>
                  <w:szCs w:val="18"/>
                  <w:color w:val="0000EE"/>
                  <w:w w:val="92"/>
                </w:rPr>
                <w:t>PRICE RANGE OF COMMON STOCK</w:t>
              </w:r>
            </w:hyperlink>
          </w:p>
        </w:tc>
        <w:tc>
          <w:tcPr>
            <w:tcW w:w="7880" w:type="dxa"/>
            <w:vAlign w:val="bottom"/>
            <w:gridSpan w:val="1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64"/>
        </w:trPr>
        <w:tc>
          <w:tcPr>
            <w:tcW w:w="4540" w:type="dxa"/>
            <w:vAlign w:val="bottom"/>
            <w:tcBorders>
              <w:bottom w:val="single" w:sz="8" w:color="0000EE"/>
            </w:tcBorders>
            <w:gridSpan w:val="27"/>
          </w:tcPr>
          <w:p>
            <w:pPr>
              <w:spacing w:after="0"/>
              <w:rPr>
                <w:rFonts w:ascii="Arial" w:cs="Arial" w:eastAsia="Arial" w:hAnsi="Arial"/>
                <w:sz w:val="18"/>
                <w:szCs w:val="18"/>
                <w:color w:val="0000EE"/>
                <w:w w:val="93"/>
              </w:rPr>
            </w:pPr>
            <w:hyperlink w:anchor="page106">
              <w:r>
                <w:rPr>
                  <w:rFonts w:ascii="Arial" w:cs="Arial" w:eastAsia="Arial" w:hAnsi="Arial"/>
                  <w:sz w:val="18"/>
                  <w:szCs w:val="18"/>
                  <w:color w:val="0000EE"/>
                  <w:w w:val="93"/>
                </w:rPr>
                <w:t>SALES OF COMMON STOCK BELOW NET ASSET VALUE</w:t>
              </w:r>
            </w:hyperlink>
          </w:p>
        </w:tc>
        <w:tc>
          <w:tcPr>
            <w:tcW w:w="6240" w:type="dxa"/>
            <w:vAlign w:val="bottom"/>
            <w:gridSpan w:val="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64"/>
        </w:trPr>
        <w:tc>
          <w:tcPr>
            <w:tcW w:w="134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11">
              <w:r>
                <w:rPr>
                  <w:rFonts w:ascii="Arial" w:cs="Arial" w:eastAsia="Arial" w:hAnsi="Arial"/>
                  <w:sz w:val="18"/>
                  <w:szCs w:val="18"/>
                  <w:color w:val="0000EE"/>
                  <w:w w:val="94"/>
                </w:rPr>
                <w:t>DISTRIBUTIONS</w:t>
              </w:r>
            </w:hyperlink>
          </w:p>
        </w:tc>
        <w:tc>
          <w:tcPr>
            <w:tcW w:w="9440" w:type="dxa"/>
            <w:vAlign w:val="bottom"/>
            <w:gridSpan w:val="2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64"/>
        </w:trPr>
        <w:tc>
          <w:tcPr>
            <w:tcW w:w="840" w:type="dxa"/>
            <w:vAlign w:val="bottom"/>
            <w:tcBorders>
              <w:bottom w:val="single" w:sz="8" w:color="0000EE"/>
            </w:tcBorders>
          </w:tcPr>
          <w:p>
            <w:pPr>
              <w:spacing w:after="0"/>
              <w:rPr>
                <w:rFonts w:ascii="Arial" w:cs="Arial" w:eastAsia="Arial" w:hAnsi="Arial"/>
                <w:sz w:val="18"/>
                <w:szCs w:val="18"/>
                <w:color w:val="0000EE"/>
                <w:w w:val="90"/>
              </w:rPr>
            </w:pPr>
            <w:hyperlink w:anchor="page113">
              <w:r>
                <w:rPr>
                  <w:rFonts w:ascii="Arial" w:cs="Arial" w:eastAsia="Arial" w:hAnsi="Arial"/>
                  <w:sz w:val="18"/>
                  <w:szCs w:val="18"/>
                  <w:color w:val="0000EE"/>
                  <w:w w:val="90"/>
                </w:rPr>
                <w:t>BUSINESS</w:t>
              </w:r>
            </w:hyperlink>
          </w:p>
        </w:tc>
        <w:tc>
          <w:tcPr>
            <w:tcW w:w="9940" w:type="dxa"/>
            <w:vAlign w:val="bottom"/>
            <w:gridSpan w:val="3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INVESTMENT OBJECTIVES AND POLICIES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64"/>
        </w:trPr>
        <w:tc>
          <w:tcPr>
            <w:tcW w:w="3440" w:type="dxa"/>
            <w:vAlign w:val="bottom"/>
            <w:tcBorders>
              <w:top w:val="single" w:sz="8" w:color="0000EE"/>
            </w:tcBorders>
            <w:gridSpan w:val="20"/>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PORTFOLIO COMPANIES</w:t>
              </w:r>
            </w:hyperlink>
          </w:p>
        </w:tc>
        <w:tc>
          <w:tcPr>
            <w:tcW w:w="7340" w:type="dxa"/>
            <w:vAlign w:val="bottom"/>
            <w:gridSpan w:val="1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64"/>
        </w:trPr>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7"/>
              </w:rPr>
            </w:pPr>
            <w:hyperlink w:anchor="page131">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22"/>
                <w:szCs w:val="22"/>
                <w:color w:val="auto"/>
              </w:rPr>
            </w:pPr>
          </w:p>
        </w:tc>
        <w:tc>
          <w:tcPr>
            <w:tcW w:w="8780" w:type="dxa"/>
            <w:vAlign w:val="bottom"/>
            <w:gridSpan w:val="2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64"/>
        </w:trPr>
        <w:tc>
          <w:tcPr>
            <w:tcW w:w="4440" w:type="dxa"/>
            <w:vAlign w:val="bottom"/>
            <w:tcBorders>
              <w:bottom w:val="single" w:sz="8" w:color="0000EE"/>
            </w:tcBorders>
            <w:gridSpan w:val="26"/>
          </w:tcPr>
          <w:p>
            <w:pPr>
              <w:spacing w:after="0"/>
              <w:rPr>
                <w:rFonts w:ascii="Arial" w:cs="Arial" w:eastAsia="Arial" w:hAnsi="Arial"/>
                <w:sz w:val="18"/>
                <w:szCs w:val="18"/>
                <w:color w:val="0000EE"/>
                <w:w w:val="92"/>
              </w:rPr>
            </w:pPr>
            <w:hyperlink w:anchor="page137">
              <w:r>
                <w:rPr>
                  <w:rFonts w:ascii="Arial" w:cs="Arial" w:eastAsia="Arial" w:hAnsi="Arial"/>
                  <w:sz w:val="18"/>
                  <w:szCs w:val="18"/>
                  <w:color w:val="0000EE"/>
                  <w:w w:val="92"/>
                </w:rPr>
                <w:t>CONTROL PERSONS AND PRINCIPAL STOCKHOLDERS</w:t>
              </w:r>
            </w:hyperlink>
          </w:p>
        </w:tc>
        <w:tc>
          <w:tcPr>
            <w:tcW w:w="6340" w:type="dxa"/>
            <w:vAlign w:val="bottom"/>
            <w:gridSpan w:val="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CERTAIN RELATIONSHIPS AND TRANSACTIONS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64"/>
        </w:trPr>
        <w:tc>
          <w:tcPr>
            <w:tcW w:w="330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4"/>
              </w:rPr>
            </w:pPr>
            <w:hyperlink w:anchor="page145">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5"/>
          </w:tcPr>
          <w:p>
            <w:pPr>
              <w:spacing w:after="0"/>
              <w:rPr>
                <w:sz w:val="22"/>
                <w:szCs w:val="22"/>
                <w:color w:val="auto"/>
              </w:rPr>
            </w:pPr>
          </w:p>
        </w:tc>
        <w:tc>
          <w:tcPr>
            <w:tcW w:w="6860" w:type="dxa"/>
            <w:vAlign w:val="bottom"/>
            <w:gridSpan w:val="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64"/>
        </w:trPr>
        <w:tc>
          <w:tcPr>
            <w:tcW w:w="276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147">
              <w:r>
                <w:rPr>
                  <w:rFonts w:ascii="Arial" w:cs="Arial" w:eastAsia="Arial" w:hAnsi="Arial"/>
                  <w:sz w:val="18"/>
                  <w:szCs w:val="18"/>
                  <w:color w:val="0000EE"/>
                  <w:w w:val="96"/>
                </w:rPr>
                <w:t>DIVIDEND REINVESTMENT PLAN</w:t>
              </w:r>
            </w:hyperlink>
          </w:p>
        </w:tc>
        <w:tc>
          <w:tcPr>
            <w:tcW w:w="8020" w:type="dxa"/>
            <w:vAlign w:val="bottom"/>
            <w:gridSpan w:val="1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64"/>
        </w:trPr>
        <w:tc>
          <w:tcPr>
            <w:tcW w:w="322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148">
              <w:r>
                <w:rPr>
                  <w:rFonts w:ascii="Arial" w:cs="Arial" w:eastAsia="Arial" w:hAnsi="Arial"/>
                  <w:sz w:val="18"/>
                  <w:szCs w:val="18"/>
                  <w:color w:val="0000EE"/>
                  <w:w w:val="92"/>
                </w:rPr>
                <w:t>DESCRIPTION OF OUR CAPITAL STOCK</w:t>
              </w:r>
            </w:hyperlink>
          </w:p>
        </w:tc>
        <w:tc>
          <w:tcPr>
            <w:tcW w:w="7560" w:type="dxa"/>
            <w:vAlign w:val="bottom"/>
            <w:gridSpan w:val="1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DESCRIPTION OF OUR PREFERRED STOCK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64"/>
        </w:trPr>
        <w:tc>
          <w:tcPr>
            <w:tcW w:w="3480" w:type="dxa"/>
            <w:vAlign w:val="bottom"/>
            <w:tcBorders>
              <w:top w:val="single" w:sz="8" w:color="0000EE"/>
            </w:tcBorders>
            <w:gridSpan w:val="21"/>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DESCRIPTION OF OUR WARRANTS</w:t>
              </w:r>
            </w:hyperlink>
          </w:p>
        </w:tc>
        <w:tc>
          <w:tcPr>
            <w:tcW w:w="7300" w:type="dxa"/>
            <w:vAlign w:val="bottom"/>
            <w:gridSpan w:val="1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DESCRIPTION OF OUR SUBSCRIPTION RIGHTS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64"/>
        </w:trPr>
        <w:tc>
          <w:tcPr>
            <w:tcW w:w="33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156">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22"/>
                <w:szCs w:val="22"/>
                <w:color w:val="auto"/>
              </w:rPr>
            </w:pPr>
          </w:p>
        </w:tc>
        <w:tc>
          <w:tcPr>
            <w:tcW w:w="6980" w:type="dxa"/>
            <w:vAlign w:val="bottom"/>
            <w:gridSpan w:val="1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64"/>
        </w:trPr>
        <w:tc>
          <w:tcPr>
            <w:tcW w:w="112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67">
              <w:r>
                <w:rPr>
                  <w:rFonts w:ascii="Arial" w:cs="Arial" w:eastAsia="Arial" w:hAnsi="Arial"/>
                  <w:sz w:val="18"/>
                  <w:szCs w:val="18"/>
                  <w:color w:val="0000EE"/>
                  <w:w w:val="93"/>
                </w:rPr>
                <w:t>REGULATION</w:t>
              </w:r>
            </w:hyperlink>
          </w:p>
        </w:tc>
        <w:tc>
          <w:tcPr>
            <w:tcW w:w="9660" w:type="dxa"/>
            <w:vAlign w:val="bottom"/>
            <w:gridSpan w:val="3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64"/>
        </w:trPr>
        <w:tc>
          <w:tcPr>
            <w:tcW w:w="4380" w:type="dxa"/>
            <w:vAlign w:val="bottom"/>
            <w:tcBorders>
              <w:bottom w:val="single" w:sz="8" w:color="0000EE"/>
            </w:tcBorders>
            <w:gridSpan w:val="25"/>
          </w:tcPr>
          <w:p>
            <w:pPr>
              <w:spacing w:after="0"/>
              <w:rPr>
                <w:rFonts w:ascii="Arial" w:cs="Arial" w:eastAsia="Arial" w:hAnsi="Arial"/>
                <w:sz w:val="18"/>
                <w:szCs w:val="18"/>
                <w:color w:val="0000EE"/>
                <w:w w:val="93"/>
              </w:rPr>
            </w:pPr>
            <w:hyperlink w:anchor="page171">
              <w:r>
                <w:rPr>
                  <w:rFonts w:ascii="Arial" w:cs="Arial" w:eastAsia="Arial" w:hAnsi="Arial"/>
                  <w:sz w:val="18"/>
                  <w:szCs w:val="18"/>
                  <w:color w:val="0000EE"/>
                  <w:w w:val="93"/>
                </w:rPr>
                <w:t>BROKERAGE ALLOCATIONS AND OTHER PRACTICES</w:t>
              </w:r>
            </w:hyperlink>
          </w:p>
        </w:tc>
        <w:tc>
          <w:tcPr>
            <w:tcW w:w="6400" w:type="dxa"/>
            <w:vAlign w:val="bottom"/>
            <w:gridSpan w:val="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64"/>
        </w:trPr>
        <w:tc>
          <w:tcPr>
            <w:tcW w:w="4760" w:type="dxa"/>
            <w:vAlign w:val="bottom"/>
            <w:tcBorders>
              <w:bottom w:val="single" w:sz="8" w:color="0000EE"/>
            </w:tcBorders>
            <w:gridSpan w:val="29"/>
          </w:tcPr>
          <w:p>
            <w:pPr>
              <w:spacing w:after="0"/>
              <w:rPr>
                <w:rFonts w:ascii="Arial" w:cs="Arial" w:eastAsia="Arial" w:hAnsi="Arial"/>
                <w:sz w:val="18"/>
                <w:szCs w:val="18"/>
                <w:color w:val="0000EE"/>
                <w:w w:val="94"/>
              </w:rPr>
            </w:pPr>
            <w:hyperlink w:anchor="page172">
              <w:r>
                <w:rPr>
                  <w:rFonts w:ascii="Arial" w:cs="Arial" w:eastAsia="Arial" w:hAnsi="Arial"/>
                  <w:sz w:val="18"/>
                  <w:szCs w:val="18"/>
                  <w:color w:val="0000EE"/>
                  <w:w w:val="94"/>
                </w:rPr>
                <w:t>MATERIAL U.S. FEDERAL INCOME TAX CONSIDERATIONS</w:t>
              </w:r>
            </w:hyperlink>
          </w:p>
        </w:tc>
        <w:tc>
          <w:tcPr>
            <w:tcW w:w="6020" w:type="dxa"/>
            <w:vAlign w:val="bottom"/>
            <w:gridSpan w:val="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PLAN OF DISTRIBUTION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60" w:type="dxa"/>
            <w:vAlign w:val="bottom"/>
            <w:gridSpan w:val="1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5800" w:type="dxa"/>
            <w:vAlign w:val="bottom"/>
            <w:tcBorders>
              <w:bottom w:val="single" w:sz="8" w:color="0000EE"/>
            </w:tcBorders>
            <w:gridSpan w:val="30"/>
          </w:tcPr>
          <w:p>
            <w:pPr>
              <w:spacing w:after="0"/>
              <w:rPr>
                <w:rFonts w:ascii="Arial" w:cs="Arial" w:eastAsia="Arial" w:hAnsi="Arial"/>
                <w:sz w:val="18"/>
                <w:szCs w:val="18"/>
                <w:color w:val="0000EE"/>
                <w:w w:val="94"/>
              </w:rPr>
            </w:pPr>
            <w:hyperlink w:anchor="page179">
              <w:r>
                <w:rPr>
                  <w:rFonts w:ascii="Arial" w:cs="Arial" w:eastAsia="Arial" w:hAnsi="Arial"/>
                  <w:sz w:val="18"/>
                  <w:szCs w:val="18"/>
                  <w:color w:val="0000EE"/>
                  <w:w w:val="94"/>
                </w:rPr>
                <w:t>SUB-ADMINISTRATOR, CUSTODIAN, TRANSFER AGENT AND TRUSTEE</w:t>
              </w:r>
            </w:hyperlink>
          </w:p>
        </w:tc>
        <w:tc>
          <w:tcPr>
            <w:tcW w:w="4980" w:type="dxa"/>
            <w:vAlign w:val="bottom"/>
            <w:gridSpan w:val="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LEGAL MATTERS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40" w:type="dxa"/>
            <w:vAlign w:val="bottom"/>
            <w:gridSpan w:val="18"/>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64"/>
        </w:trPr>
        <w:tc>
          <w:tcPr>
            <w:tcW w:w="4680" w:type="dxa"/>
            <w:vAlign w:val="bottom"/>
            <w:tcBorders>
              <w:top w:val="single" w:sz="8" w:color="0000EE"/>
            </w:tcBorders>
            <w:gridSpan w:val="28"/>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INDEX TO CONSOLIDATED FINANCIAL STATEMENTS</w:t>
              </w:r>
            </w:hyperlink>
          </w:p>
        </w:tc>
        <w:tc>
          <w:tcPr>
            <w:tcW w:w="6100" w:type="dxa"/>
            <w:vAlign w:val="bottom"/>
            <w:gridSpan w:val="4"/>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3"/>
        </w:trPr>
        <w:tc>
          <w:tcPr>
            <w:tcW w:w="8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gridSpan w:val="3"/>
          </w:tcPr>
          <w:p>
            <w:pPr>
              <w:jc w:val="center"/>
              <w:ind w:right="4120"/>
              <w:spacing w:after="0"/>
              <w:rPr>
                <w:sz w:val="20"/>
                <w:szCs w:val="20"/>
                <w:color w:val="auto"/>
              </w:rPr>
            </w:pPr>
            <w:r>
              <w:rPr>
                <w:rFonts w:ascii="Arial" w:cs="Arial" w:eastAsia="Arial" w:hAnsi="Arial"/>
                <w:sz w:val="18"/>
                <w:szCs w:val="18"/>
                <w:color w:val="auto"/>
              </w:rPr>
              <w:t>i</w:t>
            </w:r>
          </w:p>
        </w:tc>
        <w:tc>
          <w:tcPr>
            <w:tcW w:w="5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147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6465" cy="71475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1" w:lineRule="exact"/>
        <w:rPr>
          <w:sz w:val="20"/>
          <w:szCs w:val="20"/>
          <w:color w:val="auto"/>
        </w:rPr>
      </w:pPr>
    </w:p>
    <w:p>
      <w:pPr>
        <w:ind w:left="200" w:firstLine="553"/>
        <w:spacing w:after="0" w:line="285"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except where the context suggests otherwise: the terms “we,” “us,” “our” and “Company” refer to PennantPark Floating Rate Capital Ltd. and its wholly-owned consolidated subsidiaries; “Funding I” refers to PennantPark Floating Rate Funding I, LLC; “PennantPark Investment Advisers” or “Investment Adviser” refers to PennantPark Investment Advisers, LLC; “PennantPark Investment Administration” or “Administrator” refers to PennantPark Investment Administration, LLC; “Code” refers to the Internal Revenue Code of 1986, as amended; “RIC” refers to a regulated investment company under the Code; “1940 Act” refers to the Investment Company Act of 1940, as amended; “BDC” refers to a business development company under the 1940 Act; “MCG” refers to MCG Capital Corporation; and “Credit Facility” refers to our multi-currency senior secured revolving credit facility, as amended and restated with SunTrust Bank and other lenders, or the Lenders.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96" w:lineRule="exact"/>
        <w:rPr>
          <w:sz w:val="20"/>
          <w:szCs w:val="20"/>
          <w:color w:val="auto"/>
        </w:rPr>
      </w:pPr>
    </w:p>
    <w:p>
      <w:pPr>
        <w:ind w:left="200" w:right="80" w:firstLine="553"/>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32" w:lineRule="exact"/>
        <w:rPr>
          <w:sz w:val="20"/>
          <w:szCs w:val="20"/>
          <w:color w:val="auto"/>
        </w:rPr>
      </w:pPr>
    </w:p>
    <w:p>
      <w:pPr>
        <w:ind w:left="200" w:right="20" w:firstLine="553"/>
        <w:spacing w:after="0" w:line="288"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left="200" w:right="140" w:firstLine="553"/>
        <w:spacing w:after="0" w:line="291"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20" w:lineRule="exact"/>
        <w:rPr>
          <w:sz w:val="20"/>
          <w:szCs w:val="20"/>
          <w:color w:val="auto"/>
        </w:rPr>
      </w:pPr>
    </w:p>
    <w:p>
      <w:pPr>
        <w:ind w:left="200" w:right="20" w:firstLine="553"/>
        <w:spacing w:after="0" w:line="294"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 For a description of our Credit Facility, see “Management’s Discussion and Analysis of Financial Condition and Results of Operations — Liquidity and Capital Resources.”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left="200" w:right="180" w:firstLine="553"/>
        <w:spacing w:after="0" w:line="259"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40" w:lineRule="exact"/>
        <w:rPr>
          <w:sz w:val="20"/>
          <w:szCs w:val="20"/>
          <w:color w:val="auto"/>
        </w:rPr>
      </w:pPr>
    </w:p>
    <w:p>
      <w:pPr>
        <w:ind w:left="200" w:right="340" w:firstLine="553"/>
        <w:spacing w:after="0" w:line="268"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250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6465" cy="72504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firstLine="553"/>
        <w:spacing w:after="0" w:line="259" w:lineRule="auto"/>
        <w:rPr>
          <w:sz w:val="20"/>
          <w:szCs w:val="20"/>
          <w:color w:val="auto"/>
        </w:rPr>
      </w:pPr>
      <w:r>
        <w:rPr>
          <w:rFonts w:ascii="Arial" w:cs="Arial" w:eastAsia="Arial" w:hAnsi="Arial"/>
          <w:sz w:val="18"/>
          <w:szCs w:val="18"/>
          <w:color w:val="auto"/>
        </w:rPr>
        <w:t>In August 2015, we completed the acquisition of MCG pursuant to the Agreement and Plan of Merger, or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right="40" w:firstLine="553"/>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$3.0 billion in debt and equity capital and has invested $5.5 billion in more than 400 companies with over 160 different financial sponsors through its managed funds.</w:t>
      </w:r>
    </w:p>
    <w:p>
      <w:pPr>
        <w:spacing w:after="0" w:line="120" w:lineRule="exact"/>
        <w:rPr>
          <w:sz w:val="20"/>
          <w:szCs w:val="20"/>
          <w:color w:val="auto"/>
        </w:rPr>
      </w:pPr>
    </w:p>
    <w:p>
      <w:pPr>
        <w:ind w:left="200" w:right="80" w:firstLine="55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20" w:firstLine="553"/>
        <w:spacing w:after="0" w:line="291" w:lineRule="auto"/>
        <w:rPr>
          <w:sz w:val="20"/>
          <w:szCs w:val="20"/>
          <w:color w:val="auto"/>
        </w:rPr>
      </w:pPr>
      <w:r>
        <w:rPr>
          <w:rFonts w:ascii="Arial" w:cs="Arial" w:eastAsia="Arial" w:hAnsi="Arial"/>
          <w:sz w:val="16"/>
          <w:szCs w:val="16"/>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capital markets and private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with debt investments. See “Business” for more information.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200" w:right="180" w:firstLine="553"/>
        <w:spacing w:after="0" w:line="255" w:lineRule="auto"/>
        <w:rPr>
          <w:sz w:val="20"/>
          <w:szCs w:val="20"/>
          <w:color w:val="auto"/>
        </w:rPr>
      </w:pPr>
      <w:r>
        <w:rPr>
          <w:rFonts w:ascii="Arial" w:cs="Arial" w:eastAsia="Arial" w:hAnsi="Arial"/>
          <w:sz w:val="18"/>
          <w:szCs w:val="18"/>
          <w:color w:val="auto"/>
        </w:rPr>
        <w:t>We believe that we have competitive advantages over other capital providers to middle-market companies, such as a management team with an average of over 25 years of experience in senior lending, mezzanine lending, leveraged finance, distressed debt and private equity businesses, a disciplined investment approach with strong value orientation, an ability to source and evaluate transactions through our Investment Adviser’s proactive research capability and established network and flexible transaction structuring that allows for us to invest across the capital structure. See “Business”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280" w:firstLine="553"/>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16" w:lineRule="exact"/>
        <w:rPr>
          <w:sz w:val="20"/>
          <w:szCs w:val="20"/>
          <w:color w:val="auto"/>
        </w:rPr>
      </w:pPr>
    </w:p>
    <w:p>
      <w:pPr>
        <w:ind w:left="200" w:firstLine="553"/>
        <w:spacing w:after="0" w:line="318"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 — Risk Relating to our Business and Structure — We operate in a highly competitive market for investment opportunities” for more information.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75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6465" cy="45751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firstLine="553"/>
        <w:spacing w:after="0" w:line="253" w:lineRule="auto"/>
        <w:rPr>
          <w:sz w:val="20"/>
          <w:szCs w:val="20"/>
          <w:color w:val="auto"/>
        </w:rPr>
      </w:pPr>
      <w:r>
        <w:rPr>
          <w:rFonts w:ascii="Arial" w:cs="Arial" w:eastAsia="Arial" w:hAnsi="Arial"/>
          <w:sz w:val="18"/>
          <w:szCs w:val="18"/>
          <w:color w:val="auto"/>
        </w:rPr>
        <w:t>We currently use and expect to continue to use leverage to make investments. As a result, we may continue to be exposed to the risks associated with leverage. See “Risk Factors — Risks Relating to our Business and Structure” for more information. We believe that our capital resources provide us with the flexibility to take advantage of market opportunities when they arise. Our use of leverage, as calculated under the asset coverage ratio of the 1940 Act, may generally range between 70% and 90% of our net assets, or 40% and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 Liquidity and Capital Resources” for more information.</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77" w:lineRule="exact"/>
        <w:rPr>
          <w:sz w:val="20"/>
          <w:szCs w:val="20"/>
          <w:color w:val="auto"/>
        </w:rPr>
      </w:pPr>
    </w:p>
    <w:p>
      <w:pPr>
        <w:ind w:left="200" w:right="20" w:firstLine="553"/>
        <w:spacing w:after="0" w:line="255" w:lineRule="auto"/>
        <w:rPr>
          <w:sz w:val="20"/>
          <w:szCs w:val="20"/>
          <w:color w:val="auto"/>
        </w:rPr>
      </w:pPr>
      <w:r>
        <w:rPr>
          <w:rFonts w:ascii="Arial" w:cs="Arial" w:eastAsia="Arial" w:hAnsi="Arial"/>
          <w:sz w:val="18"/>
          <w:szCs w:val="18"/>
          <w:color w:val="auto"/>
        </w:rPr>
        <w:t>Our investment activities are managed by PennantPark Investment Advisers. Our board of directors, a majority of whom are independent of us, provides overall supervision of our activities, and the Investment Adviser supervises our day-to-day activities.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43" w:lineRule="exact"/>
        <w:rPr>
          <w:sz w:val="20"/>
          <w:szCs w:val="20"/>
          <w:color w:val="auto"/>
        </w:rPr>
      </w:pPr>
    </w:p>
    <w:p>
      <w:pPr>
        <w:ind w:left="200" w:right="120" w:firstLine="553"/>
        <w:spacing w:after="0" w:line="255"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143" w:lineRule="exact"/>
        <w:rPr>
          <w:sz w:val="20"/>
          <w:szCs w:val="20"/>
          <w:color w:val="auto"/>
        </w:rPr>
      </w:pPr>
    </w:p>
    <w:p>
      <w:pPr>
        <w:ind w:left="200" w:right="280" w:firstLine="553"/>
        <w:spacing w:after="0" w:line="306"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right="20" w:firstLine="553"/>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more information.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808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6465" cy="28086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96" w:lineRule="exact"/>
        <w:rPr>
          <w:sz w:val="20"/>
          <w:szCs w:val="20"/>
          <w:color w:val="auto"/>
        </w:rPr>
      </w:pPr>
    </w:p>
    <w:p>
      <w:pPr>
        <w:ind w:left="200" w:right="80" w:firstLine="553"/>
        <w:spacing w:after="0" w:line="268" w:lineRule="auto"/>
        <w:rPr>
          <w:sz w:val="20"/>
          <w:szCs w:val="20"/>
          <w:color w:val="auto"/>
        </w:rPr>
      </w:pPr>
      <w:r>
        <w:rPr>
          <w:rFonts w:ascii="Arial" w:cs="Arial" w:eastAsia="Arial" w:hAnsi="Arial"/>
          <w:sz w:val="18"/>
          <w:szCs w:val="18"/>
          <w:color w:val="auto"/>
        </w:rPr>
        <w:t>We intend to continue our monthly distributions to our stockholders. Our monthly distributions, if any, are determined by our board of directors. See “Distributions” for more information.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left="200" w:right="160" w:firstLine="553"/>
        <w:spacing w:after="0" w:line="294"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firstLine="55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6830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6465" cy="36830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200" w:right="220" w:firstLine="553"/>
        <w:spacing w:after="0" w:line="268" w:lineRule="auto"/>
        <w:rPr>
          <w:sz w:val="20"/>
          <w:szCs w:val="20"/>
          <w:color w:val="auto"/>
        </w:rPr>
      </w:pPr>
      <w:r>
        <w:rPr>
          <w:rFonts w:ascii="Arial" w:cs="Arial" w:eastAsia="Arial" w:hAnsi="Arial"/>
          <w:sz w:val="18"/>
          <w:szCs w:val="18"/>
          <w:color w:val="auto"/>
        </w:rPr>
        <w:t>We may offer, from time to time, up to $500 million of our securities, on terms to be determined at the time of each such offering and set forth in a supplement to this prospectus.</w:t>
      </w:r>
    </w:p>
    <w:p>
      <w:pPr>
        <w:spacing w:after="0" w:line="132" w:lineRule="exact"/>
        <w:rPr>
          <w:sz w:val="20"/>
          <w:szCs w:val="20"/>
          <w:color w:val="auto"/>
        </w:rPr>
      </w:pPr>
    </w:p>
    <w:p>
      <w:pPr>
        <w:ind w:left="200" w:firstLine="553"/>
        <w:spacing w:after="0" w:line="290"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18" w:lineRule="exact"/>
        <w:rPr>
          <w:sz w:val="20"/>
          <w:szCs w:val="20"/>
          <w:color w:val="auto"/>
        </w:rPr>
      </w:pPr>
    </w:p>
    <w:p>
      <w:pPr>
        <w:ind w:left="200" w:right="120" w:firstLine="553"/>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right="20" w:firstLine="553"/>
        <w:spacing w:after="0" w:line="289"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Information contained on our website is not incorporated by reference into this prospectus or any supplements to this prospectus,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w:t>
      </w:r>
      <w:r>
        <w:rPr>
          <w:rFonts w:ascii="Arial" w:cs="Arial" w:eastAsia="Arial" w:hAnsi="Arial"/>
          <w:sz w:val="16"/>
          <w:szCs w:val="16"/>
          <w:color w:val="auto"/>
        </w:rPr>
        <w:t>that contains material that we file with the SEC on the EDGAR Database.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20" w:type="dxa"/>
            <w:vAlign w:val="bottom"/>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220" w:type="dxa"/>
            <w:vAlign w:val="bottom"/>
          </w:tcPr>
          <w:p>
            <w:pPr>
              <w:spacing w:after="0"/>
              <w:rPr>
                <w:sz w:val="19"/>
                <w:szCs w:val="19"/>
                <w:color w:val="auto"/>
              </w:rPr>
            </w:pPr>
          </w:p>
        </w:tc>
      </w:tr>
      <w:tr>
        <w:trPr>
          <w:trHeight w:val="297"/>
        </w:trPr>
        <w:tc>
          <w:tcPr>
            <w:tcW w:w="8020" w:type="dxa"/>
            <w:vAlign w:val="bottom"/>
          </w:tcPr>
          <w:p>
            <w:pPr>
              <w:spacing w:after="0"/>
              <w:rPr>
                <w:sz w:val="20"/>
                <w:szCs w:val="20"/>
                <w:color w:val="auto"/>
              </w:rPr>
            </w:pPr>
            <w:r>
              <w:rPr>
                <w:rFonts w:ascii="Arial" w:cs="Arial" w:eastAsia="Arial" w:hAnsi="Arial"/>
                <w:sz w:val="18"/>
                <w:szCs w:val="18"/>
                <w:color w:val="auto"/>
              </w:rPr>
              <w:t>Sales load</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rPr>
          <w:sz w:val="20"/>
          <w:szCs w:val="20"/>
          <w:color w:val="auto"/>
        </w:rPr>
      </w:pPr>
      <w:r>
        <w:rPr>
          <w:rFonts w:ascii="Arial" w:cs="Arial" w:eastAsia="Arial" w:hAnsi="Arial"/>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 expenses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annual expenses (as a percentage of average net assets attributable to common shares)</w:t>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Interest on borrowed funds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estimated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5176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0"/>
          <w:szCs w:val="10"/>
          <w:color w:val="auto"/>
        </w:rPr>
        <w:t>(2)</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1.63 %</w:t>
      </w:r>
      <w:r>
        <w:rPr>
          <w:rFonts w:ascii="Arial" w:cs="Arial" w:eastAsia="Arial" w:hAnsi="Arial"/>
          <w:sz w:val="10"/>
          <w:szCs w:val="10"/>
          <w:color w:val="auto"/>
        </w:rPr>
        <w:t>(4)</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1.30 %</w:t>
      </w:r>
      <w:r>
        <w:rPr>
          <w:rFonts w:ascii="Arial" w:cs="Arial" w:eastAsia="Arial" w:hAnsi="Arial"/>
          <w:sz w:val="10"/>
          <w:szCs w:val="10"/>
          <w:color w:val="auto"/>
        </w:rPr>
        <w:t>(5)</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1.58 %</w:t>
      </w:r>
      <w:r>
        <w:rPr>
          <w:rFonts w:ascii="Arial" w:cs="Arial" w:eastAsia="Arial" w:hAnsi="Arial"/>
          <w:sz w:val="10"/>
          <w:szCs w:val="10"/>
          <w:color w:val="auto"/>
        </w:rPr>
        <w:t>(6)</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0.90 %</w:t>
      </w: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33020</wp:posOffset>
            </wp:positionV>
            <wp:extent cx="231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5.41 %</w:t>
      </w:r>
      <w:r>
        <w:rPr>
          <w:rFonts w:ascii="Arial" w:cs="Arial" w:eastAsia="Arial" w:hAnsi="Arial"/>
          <w:sz w:val="10"/>
          <w:szCs w:val="10"/>
          <w:color w:val="auto"/>
        </w:rPr>
        <w:t>(8)</w:t>
      </w:r>
    </w:p>
    <w:p>
      <w:pPr>
        <w:spacing w:after="0" w:line="214" w:lineRule="exact"/>
        <w:rPr>
          <w:sz w:val="20"/>
          <w:szCs w:val="20"/>
          <w:color w:val="auto"/>
        </w:rPr>
      </w:pPr>
    </w:p>
    <w:p>
      <w:pPr>
        <w:sectPr>
          <w:pgSz w:w="11900" w:h="16838" w:orient="portrait"/>
          <w:cols w:equalWidth="0" w:num="2">
            <w:col w:w="9900" w:space="720"/>
            <w:col w:w="740"/>
          </w:cols>
          <w:pgMar w:left="240" w:top="459" w:right="299" w:bottom="1440" w:gutter="0" w:footer="0" w:header="0"/>
          <w:type w:val="continuous"/>
        </w:sectPr>
      </w:pPr>
    </w:p>
    <w:p>
      <w:pPr>
        <w:spacing w:after="0" w:line="42"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for the fiscal year ended September 30, 2016.</w:t>
      </w:r>
    </w:p>
    <w:p>
      <w:pPr>
        <w:spacing w:after="0" w:line="68" w:lineRule="exact"/>
        <w:rPr>
          <w:rFonts w:ascii="Arial" w:cs="Arial" w:eastAsia="Arial" w:hAnsi="Arial"/>
          <w:sz w:val="14"/>
          <w:szCs w:val="14"/>
          <w:color w:val="auto"/>
        </w:rPr>
      </w:pPr>
    </w:p>
    <w:p>
      <w:pPr>
        <w:ind w:left="580" w:right="400" w:hanging="572"/>
        <w:spacing w:after="0" w:line="239" w:lineRule="auto"/>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on September 30, 2016.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580" w:right="40" w:hanging="572"/>
        <w:spacing w:after="0" w:line="266" w:lineRule="auto"/>
        <w:tabs>
          <w:tab w:leader="none" w:pos="5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and capital gains, if any, is based on actual amounts incurred during the fiscal year ended September 30, 2016.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2016.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580" w:right="80" w:hanging="572"/>
        <w:spacing w:after="0" w:line="273" w:lineRule="auto"/>
        <w:tabs>
          <w:tab w:leader="none" w:pos="5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As of September 30, 2016, we had $232.9 million in borrowings outstanding under our $350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and amendment costs incurred on our Credit Facility for the fiscal year ended September 30, 2016 and we caution you that our actual interest expense in the future will depend on prevailing interest rates and our rate of borrowing, which may be substantially higher than the amount provided in this table. See “Risk Factors— 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jc w:val="both"/>
        <w:ind w:left="580" w:right="100" w:hanging="572"/>
        <w:spacing w:after="0" w:line="233" w:lineRule="auto"/>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57" w:lineRule="exact"/>
        <w:rPr>
          <w:rFonts w:ascii="Arial" w:cs="Arial" w:eastAsia="Arial" w:hAnsi="Arial"/>
          <w:sz w:val="14"/>
          <w:szCs w:val="14"/>
          <w:color w:val="auto"/>
        </w:rPr>
      </w:pPr>
    </w:p>
    <w:p>
      <w:pPr>
        <w:ind w:left="580" w:right="60" w:hanging="572"/>
        <w:spacing w:after="0" w:line="278" w:lineRule="auto"/>
        <w:tabs>
          <w:tab w:leader="none" w:pos="5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For a presentation and calculation of total estimated annual expenses based on average total assets, see page 37 of this prospectus.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77"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0.48%, (2) total net estimated annual expenses of 4.11%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sz w:val="20"/>
                <w:szCs w:val="20"/>
                <w:color w:val="auto"/>
              </w:rPr>
            </w:pPr>
            <w:r>
              <w:rPr>
                <w:rFonts w:ascii="Arial" w:cs="Arial" w:eastAsia="Arial" w:hAnsi="Arial"/>
                <w:sz w:val="14"/>
                <w:szCs w:val="14"/>
                <w:b w:val="1"/>
                <w:bCs w:val="1"/>
                <w:color w:val="auto"/>
              </w:rPr>
              <w:t>You would pay the following expenses on a $1,000 common stock investment:</w:t>
            </w: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3 years</w:t>
            </w:r>
          </w:p>
        </w:tc>
        <w:tc>
          <w:tcPr>
            <w:tcW w:w="2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2"/>
              </w:rPr>
              <w:t>5 years</w:t>
            </w:r>
          </w:p>
        </w:tc>
        <w:tc>
          <w:tcPr>
            <w:tcW w:w="26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10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Assuming a 5% annual return (assumes no return from net realized capital gains or net unrealized capital appreciation)</w:t>
            </w: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75</w:t>
            </w:r>
          </w:p>
        </w:tc>
        <w:tc>
          <w:tcPr>
            <w:tcW w:w="28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155</w:t>
            </w:r>
          </w:p>
        </w:tc>
        <w:tc>
          <w:tcPr>
            <w:tcW w:w="40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238</w:t>
            </w:r>
          </w:p>
        </w:tc>
        <w:tc>
          <w:tcPr>
            <w:tcW w:w="440" w:type="dxa"/>
            <w:vAlign w:val="bottom"/>
            <w:gridSpan w:val="2"/>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00" w:type="dxa"/>
            <w:vAlign w:val="bottom"/>
            <w:gridSpan w:val="2"/>
          </w:tcPr>
          <w:p>
            <w:pPr>
              <w:spacing w:after="0"/>
              <w:rPr>
                <w:sz w:val="20"/>
                <w:szCs w:val="20"/>
                <w:color w:val="auto"/>
              </w:rPr>
            </w:pPr>
            <w:r>
              <w:rPr>
                <w:rFonts w:ascii="Arial" w:cs="Arial" w:eastAsia="Arial" w:hAnsi="Arial"/>
                <w:sz w:val="14"/>
                <w:szCs w:val="14"/>
                <w:color w:val="auto"/>
              </w:rPr>
              <w:t>Assuming a 5% annual return (assumes return from only realized capital gains and thus subject to the capital gains incentive fee)</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84</w:t>
            </w:r>
          </w:p>
        </w:tc>
        <w:tc>
          <w:tcPr>
            <w:tcW w:w="2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183</w:t>
            </w:r>
          </w:p>
        </w:tc>
        <w:tc>
          <w:tcPr>
            <w:tcW w:w="4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281</w:t>
            </w:r>
          </w:p>
        </w:tc>
        <w:tc>
          <w:tcPr>
            <w:tcW w:w="44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525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Reinvestment of distributions under our dividend reinvestment plan may occur at a price per share that differs from NAV. See “Distributions” and “Dividend Reinvestment Plan”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or any securities we may issue, may decline, and you may lose all or part of your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77" w:lineRule="exact"/>
        <w:rPr>
          <w:sz w:val="20"/>
          <w:szCs w:val="20"/>
          <w:color w:val="auto"/>
        </w:rPr>
      </w:pPr>
    </w:p>
    <w:p>
      <w:pPr>
        <w:ind w:right="300" w:firstLine="228"/>
        <w:spacing w:after="0" w:line="259"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140"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The U.S. and global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regarding the United Kingdom referendum decision to leave the European Union (the so called “Brexit”), continuing signs of deteriorating sovereign debt conditions in Europe and an economic slowdown in China create uncertainty that could lead to further disruptions, instability and weakening consumer, corporate and financial confidence. We may in the future have difficulty accessing debt and equity capital markets, and a severe disruption in the global financial markets, deterioration in credit and financing conditions or uncertainty regarding U.S. government spending and deficit levels, Brexit, European sovereign debt, Chinese economic slowdown or other global economic conditions could have a material adverse effect on our business, financial condition and results of operations.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90" w:lineRule="exact"/>
        <w:rPr>
          <w:sz w:val="20"/>
          <w:szCs w:val="20"/>
          <w:color w:val="auto"/>
        </w:rPr>
      </w:pPr>
    </w:p>
    <w:p>
      <w:pPr>
        <w:ind w:right="20" w:firstLine="571"/>
        <w:spacing w:after="0" w:line="309" w:lineRule="auto"/>
        <w:rPr>
          <w:sz w:val="20"/>
          <w:szCs w:val="20"/>
          <w:color w:val="auto"/>
        </w:rPr>
      </w:pPr>
      <w:r>
        <w:rPr>
          <w:rFonts w:ascii="Arial" w:cs="Arial" w:eastAsia="Arial" w:hAnsi="Arial"/>
          <w:sz w:val="15"/>
          <w:szCs w:val="15"/>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08"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significant disruption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could be subject to reduced availability and/or mandatory prepayments under Funding I’s Credit Facility.</w:t>
      </w:r>
    </w:p>
    <w:p>
      <w:pPr>
        <w:spacing w:after="0" w:line="90"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In addition to the asset coverage ratio requirements, our Credit Facility contains various covenants applicable to Funding I, which restricts our ability to borrow funds. For example, the income coverage covenant, or test, requires us to maintain a ratio whereby the aggregate amount of interest received on the portfolio loans must equal at least 125% of the interest payable in respect to the Lenders and other parties. Failure to satisfy the various covenants under the Credit Facility could accelerate repayment under the Credit Facility or otherwise prevent us from receiving distributions under the payment waterfall. This could materially and adversely affect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159"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requirement to retain our tax status as a RIC;</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requirement that our outstanding borrowings under the Credit Facility not exceed a certain percentage of the value of our portfolio.</w:t>
      </w:r>
    </w:p>
    <w:p>
      <w:pPr>
        <w:spacing w:after="0" w:line="171" w:lineRule="exact"/>
        <w:rPr>
          <w:sz w:val="20"/>
          <w:szCs w:val="20"/>
          <w:color w:val="auto"/>
        </w:rPr>
      </w:pPr>
    </w:p>
    <w:p>
      <w:pPr>
        <w:ind w:right="260" w:firstLine="571"/>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in Funding I. This could have a material adverse effect on our operations, as it would reduce availability under the Credit Facility and could trigger mandatory prepayment obligations under the terms of the Credit Facility.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90"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85"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43"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We make long-term loans and debt investments, which may involve a high degree of repayment risk. Our investments with a deferred interest feature, such as original issue discount, or OID, income and payment-in-kind, or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205"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51"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43" w:lineRule="exact"/>
        <w:rPr>
          <w:sz w:val="20"/>
          <w:szCs w:val="20"/>
          <w:color w:val="auto"/>
        </w:rPr>
      </w:pPr>
    </w:p>
    <w:p>
      <w:pPr>
        <w:ind w:right="360" w:firstLine="571"/>
        <w:spacing w:after="0" w:line="259" w:lineRule="auto"/>
        <w:rPr>
          <w:sz w:val="20"/>
          <w:szCs w:val="20"/>
          <w:color w:val="auto"/>
        </w:rPr>
      </w:pPr>
      <w:r>
        <w:rPr>
          <w:rFonts w:ascii="Arial" w:cs="Arial" w:eastAsia="Arial" w:hAnsi="Arial"/>
          <w:sz w:val="18"/>
          <w:szCs w:val="18"/>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the target of litigation.</w:t>
      </w:r>
    </w:p>
    <w:p>
      <w:pPr>
        <w:spacing w:after="0" w:line="90" w:lineRule="exact"/>
        <w:rPr>
          <w:sz w:val="20"/>
          <w:szCs w:val="20"/>
          <w:color w:val="auto"/>
        </w:rPr>
      </w:pPr>
    </w:p>
    <w:p>
      <w:pPr>
        <w:ind w:right="380" w:firstLine="571"/>
        <w:spacing w:after="0" w:line="306" w:lineRule="auto"/>
        <w:rPr>
          <w:sz w:val="20"/>
          <w:szCs w:val="20"/>
          <w:color w:val="auto"/>
        </w:rPr>
      </w:pPr>
      <w:r>
        <w:rPr>
          <w:rFonts w:ascii="Arial" w:cs="Arial" w:eastAsia="Arial" w:hAnsi="Arial"/>
          <w:sz w:val="16"/>
          <w:szCs w:val="16"/>
          <w:color w:val="auto"/>
        </w:rPr>
        <w:t>We may be the target of securities litigation in the future, particularly if the trading price of our common stock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59" w:lineRule="exact"/>
        <w:rPr>
          <w:sz w:val="20"/>
          <w:szCs w:val="20"/>
          <w:color w:val="auto"/>
        </w:rPr>
      </w:pPr>
    </w:p>
    <w:p>
      <w:pPr>
        <w:ind w:right="20" w:firstLine="436"/>
        <w:spacing w:after="0" w:line="289" w:lineRule="auto"/>
        <w:rPr>
          <w:sz w:val="20"/>
          <w:szCs w:val="20"/>
          <w:color w:val="auto"/>
        </w:rPr>
      </w:pPr>
      <w:r>
        <w:rPr>
          <w:rFonts w:ascii="Arial" w:cs="Arial" w:eastAsia="Arial" w:hAnsi="Arial"/>
          <w:sz w:val="16"/>
          <w:szCs w:val="16"/>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18"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Operations—Quantitative and Qualitative Disclosures about Market Risk” for more information.</w:t>
      </w:r>
    </w:p>
    <w:p>
      <w:pPr>
        <w:spacing w:after="0" w:line="127"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90" w:lineRule="exact"/>
        <w:rPr>
          <w:sz w:val="20"/>
          <w:szCs w:val="20"/>
          <w:color w:val="auto"/>
        </w:rPr>
      </w:pPr>
    </w:p>
    <w:p>
      <w:pPr>
        <w:ind w:right="120" w:firstLine="571"/>
        <w:spacing w:after="0" w:line="287" w:lineRule="auto"/>
        <w:rPr>
          <w:sz w:val="20"/>
          <w:szCs w:val="20"/>
          <w:color w:val="auto"/>
        </w:rPr>
      </w:pPr>
      <w:r>
        <w:rPr>
          <w:rFonts w:ascii="Arial" w:cs="Arial" w:eastAsia="Arial" w:hAnsi="Arial"/>
          <w:sz w:val="16"/>
          <w:szCs w:val="16"/>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51"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221"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b w:val="1"/>
          <w:bCs w:val="1"/>
          <w:i w:val="1"/>
          <w:iCs w:val="1"/>
          <w:color w:val="auto"/>
        </w:rPr>
        <w:t>We may not replicate the historical performance of other investment companies and funds with which our senior and other investment professionals have been affiliated.</w:t>
      </w:r>
    </w:p>
    <w:p>
      <w:pPr>
        <w:spacing w:after="0" w:line="51"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of RIC tax status would substantially reduce our net assets and income available for debt service and distributions.</w:t>
      </w:r>
    </w:p>
    <w:p>
      <w:pPr>
        <w:spacing w:after="0" w:line="90"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We have operated and continue to operate so as to maintain our election to be treated as a RIC under Subchapter M of the Code. If we meet the annual source of income, quarterly asset diversification, and distribution requirements,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of an amount at least equal to the sum of (1) 98% of our net ordinary income (subject to certain deferrals and elections) for the calendar year, (2) 98.2% of our capital gain net income (adjusted for certain ordinary losses) generally for the one-year period ending on October 31 of the calendar year plus (3) any net ordinary income or capital gain net income for preceding years that was not distributed during such years and on which we were not subject to corporate income tax.</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13" w:lineRule="exact"/>
        <w:rPr>
          <w:sz w:val="20"/>
          <w:szCs w:val="20"/>
          <w:color w:val="auto"/>
        </w:rPr>
      </w:pPr>
    </w:p>
    <w:p>
      <w:pPr>
        <w:ind w:right="140" w:firstLine="571"/>
        <w:spacing w:after="0" w:line="253" w:lineRule="auto"/>
        <w:rPr>
          <w:sz w:val="20"/>
          <w:szCs w:val="20"/>
          <w:color w:val="auto"/>
        </w:rPr>
      </w:pPr>
      <w:r>
        <w:rPr>
          <w:rFonts w:ascii="Arial" w:cs="Arial" w:eastAsia="Arial" w:hAnsi="Arial"/>
          <w:sz w:val="18"/>
          <w:szCs w:val="18"/>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47"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may have difficulty meeting the tax requirement to distribute at least 90% of the sum of our ordinary income and realized net short-term capital gains, if any, to obtain RIC tax benefits. Accordingly,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RIC tax status and thus be subject to corporate-level income tax.</w:t>
      </w:r>
    </w:p>
    <w:p>
      <w:pPr>
        <w:spacing w:after="0" w:line="62" w:lineRule="exact"/>
        <w:rPr>
          <w:sz w:val="20"/>
          <w:szCs w:val="20"/>
          <w:color w:val="auto"/>
        </w:rPr>
      </w:pPr>
    </w:p>
    <w:p>
      <w:pPr>
        <w:ind w:right="300" w:firstLine="228"/>
        <w:spacing w:after="0" w:line="357" w:lineRule="auto"/>
        <w:rPr>
          <w:sz w:val="20"/>
          <w:szCs w:val="20"/>
          <w:color w:val="auto"/>
        </w:rPr>
      </w:pPr>
      <w:r>
        <w:rPr>
          <w:rFonts w:ascii="Arial" w:cs="Arial" w:eastAsia="Arial" w:hAnsi="Arial"/>
          <w:sz w:val="15"/>
          <w:szCs w:val="15"/>
          <w:b w:val="1"/>
          <w:bCs w:val="1"/>
          <w:i w:val="1"/>
          <w:iCs w:val="1"/>
          <w:color w:val="auto"/>
        </w:rPr>
        <w:t>Because we intend to distribute substantially all of our income to our stockholders to maintain our tax status as a RIC, we will need to raise additional capital to finance our growth. If funds are not available to us, we may need to curtail new investments, and our common stock value could decline.</w:t>
      </w:r>
    </w:p>
    <w:p>
      <w:pPr>
        <w:ind w:right="120" w:firstLine="571"/>
        <w:spacing w:after="0" w:line="306" w:lineRule="auto"/>
        <w:rPr>
          <w:sz w:val="20"/>
          <w:szCs w:val="20"/>
          <w:color w:val="auto"/>
        </w:rPr>
      </w:pPr>
      <w:r>
        <w:rPr>
          <w:rFonts w:ascii="Arial" w:cs="Arial" w:eastAsia="Arial" w:hAnsi="Arial"/>
          <w:sz w:val="16"/>
          <w:szCs w:val="16"/>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07"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As a BDC, we are required to meet a 200%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6"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We are partially dependent on our subsidiary Funding I for cash distributions to enable us to meet the RIC distribution requirements. Funding I may be limited by its covenants from making certain distributions to us that may be necessary to fulfill our requirements to be subject to tax as a RIC for federal income tax purposes. We may have to request a waiver of these covenants’ restrictions for Funding I to make certain distributions to enable us to be treated as a RIC for federal income tax purposes. We cannot assure you that Funding I will be granted such a waiver, and if Funding I is unable to obtain a waiver, compliance with the covenants may cause us to incur a corporate-level income tax.</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and the way in which we, raise additional capital.</w:t>
      </w:r>
    </w:p>
    <w:p>
      <w:pPr>
        <w:spacing w:after="0" w:line="90"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Under the 1940 Act, the asset coverage ratio requirements permit us to issue senior securities or incur indebtedness subject to certain limits.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160" w:lineRule="exact"/>
        <w:rPr>
          <w:sz w:val="20"/>
          <w:szCs w:val="20"/>
          <w:color w:val="auto"/>
        </w:rPr>
      </w:pPr>
    </w:p>
    <w:p>
      <w:pPr>
        <w:ind w:left="460" w:hanging="452"/>
        <w:spacing w:after="0" w:line="29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Securities. </w:t>
      </w:r>
      <w:r>
        <w:rPr>
          <w:rFonts w:ascii="Arial" w:cs="Arial" w:eastAsia="Arial" w:hAnsi="Arial"/>
          <w:sz w:val="16"/>
          <w:szCs w:val="16"/>
          <w:color w:val="auto"/>
        </w:rPr>
        <w:t>As a result of issuing senior securities, we are exposed to typical risks associated with leverage, including an increased risk of loss. If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60" w:lineRule="exact"/>
        <w:rPr>
          <w:rFonts w:ascii="Arial" w:cs="Arial" w:eastAsia="Arial" w:hAnsi="Arial"/>
          <w:sz w:val="16"/>
          <w:szCs w:val="16"/>
          <w:color w:val="auto"/>
        </w:rPr>
      </w:pPr>
    </w:p>
    <w:p>
      <w:pPr>
        <w:ind w:left="460" w:right="20" w:hanging="452"/>
        <w:spacing w:after="0" w:line="290"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86" w:lineRule="auto"/>
        <w:rPr>
          <w:sz w:val="20"/>
          <w:szCs w:val="20"/>
          <w:color w:val="auto"/>
        </w:rPr>
      </w:pPr>
      <w:r>
        <w:rPr>
          <w:rFonts w:ascii="Arial" w:cs="Arial" w:eastAsia="Arial" w:hAnsi="Arial"/>
          <w:sz w:val="16"/>
          <w:szCs w:val="16"/>
          <w:color w:val="auto"/>
        </w:rPr>
        <w:t>of our common stock may differ materially from and will necessarily be more abbreviated than the procedures used by the board of directors to determine the NAV per share of our common stock at the end of each quarter because there is a time-intensive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See “Determination of Net Asset Value.”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65" w:lineRule="exact"/>
        <w:rPr>
          <w:sz w:val="20"/>
          <w:szCs w:val="20"/>
          <w:color w:val="auto"/>
        </w:rPr>
      </w:pPr>
    </w:p>
    <w:p>
      <w:pPr>
        <w:ind w:left="460" w:hanging="452"/>
        <w:spacing w:after="0" w:line="285"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90"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Because we borrow funds through Funding I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and any cash that we use to service our indebtedness is not available for distribution to our common stockholders.</w:t>
      </w:r>
    </w:p>
    <w:p>
      <w:pPr>
        <w:spacing w:after="0" w:line="143" w:lineRule="exact"/>
        <w:rPr>
          <w:sz w:val="20"/>
          <w:szCs w:val="20"/>
          <w:color w:val="auto"/>
        </w:rPr>
      </w:pPr>
    </w:p>
    <w:p>
      <w:pPr>
        <w:ind w:right="200" w:firstLine="571"/>
        <w:spacing w:after="0" w:line="298" w:lineRule="auto"/>
        <w:rPr>
          <w:sz w:val="20"/>
          <w:szCs w:val="20"/>
          <w:color w:val="auto"/>
        </w:rPr>
      </w:pPr>
      <w:r>
        <w:rPr>
          <w:rFonts w:ascii="Arial" w:cs="Arial" w:eastAsia="Arial" w:hAnsi="Arial"/>
          <w:sz w:val="16"/>
          <w:szCs w:val="16"/>
          <w:color w:val="auto"/>
        </w:rPr>
        <w:t>Our current debt is governed by the terms of the Credit Facility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90" w:lineRule="exact"/>
        <w:rPr>
          <w:sz w:val="20"/>
          <w:szCs w:val="20"/>
          <w:color w:val="auto"/>
        </w:rPr>
      </w:pPr>
    </w:p>
    <w:p>
      <w:pPr>
        <w:ind w:right="20" w:firstLine="571"/>
        <w:spacing w:after="0" w:line="307" w:lineRule="auto"/>
        <w:rPr>
          <w:sz w:val="20"/>
          <w:szCs w:val="20"/>
          <w:color w:val="auto"/>
        </w:rPr>
      </w:pPr>
      <w:r>
        <w:rPr>
          <w:rFonts w:ascii="Arial" w:cs="Arial" w:eastAsia="Arial" w:hAnsi="Arial"/>
          <w:sz w:val="15"/>
          <w:szCs w:val="15"/>
          <w:color w:val="auto"/>
        </w:rPr>
        <w:t>We have indebtedness outstanding pursuant to our Credit Facility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2"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As of September 30, 2016, we had outstanding borrowings of $232.9 million under our Credit Facility with a current interest rate of 2.57% exclusive of the fees on the undrawn commitment. To cover the annual interest on our borrowings of $232.9 million outstanding at September 30, 2016, at the weighted average annual rate of 2.57%, we would have to receive an annual yield of at least 0.98%.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16" w:lineRule="exact"/>
        <w:rPr>
          <w:sz w:val="20"/>
          <w:szCs w:val="20"/>
          <w:color w:val="auto"/>
        </w:rPr>
      </w:pPr>
    </w:p>
    <w:p>
      <w:pPr>
        <w:ind w:right="260" w:firstLine="571"/>
        <w:spacing w:after="0" w:line="254" w:lineRule="auto"/>
        <w:rPr>
          <w:sz w:val="20"/>
          <w:szCs w:val="20"/>
          <w:color w:val="auto"/>
        </w:rPr>
      </w:pPr>
      <w:r>
        <w:rPr>
          <w:rFonts w:ascii="Arial" w:cs="Arial" w:eastAsia="Arial" w:hAnsi="Arial"/>
          <w:sz w:val="18"/>
          <w:szCs w:val="18"/>
          <w:color w:val="auto"/>
        </w:rPr>
        <w:t>The following table is designed to illustrate the effect on the return to a holder of our common stock of the leverage created by our use of borrowing at September 30, 2016 of 37% of total assets (including such borrowed funds), at the current interest rate at the time of 2.57%,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Assumed return on portfolio (net of expenses) </w:t>
            </w:r>
            <w:r>
              <w:rPr>
                <w:rFonts w:ascii="Arial" w:cs="Arial" w:eastAsia="Arial" w:hAnsi="Arial"/>
                <w:sz w:val="11"/>
                <w:szCs w:val="11"/>
                <w:color w:val="auto"/>
              </w:rPr>
              <w:t>(1)</w:t>
            </w:r>
          </w:p>
        </w:tc>
        <w:tc>
          <w:tcPr>
            <w:tcW w:w="2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 xml:space="preserve">Corresponding return to common stockholders </w:t>
            </w:r>
            <w:r>
              <w:rPr>
                <w:rFonts w:ascii="Arial" w:cs="Arial" w:eastAsia="Arial" w:hAnsi="Arial"/>
                <w:sz w:val="11"/>
                <w:szCs w:val="11"/>
                <w:color w:val="auto"/>
              </w:rPr>
              <w:t>(2)</w:t>
            </w:r>
          </w:p>
        </w:tc>
        <w:tc>
          <w:tcPr>
            <w:tcW w:w="2860" w:type="dxa"/>
            <w:vAlign w:val="bottom"/>
          </w:tcPr>
          <w:p>
            <w:pPr>
              <w:jc w:val="right"/>
              <w:ind w:right="52"/>
              <w:spacing w:after="0"/>
              <w:rPr>
                <w:sz w:val="20"/>
                <w:szCs w:val="20"/>
                <w:color w:val="auto"/>
              </w:rPr>
            </w:pPr>
            <w:r>
              <w:rPr>
                <w:rFonts w:ascii="Arial" w:cs="Arial" w:eastAsia="Arial" w:hAnsi="Arial"/>
                <w:sz w:val="18"/>
                <w:szCs w:val="18"/>
                <w:color w:val="auto"/>
              </w:rPr>
              <w:t>(18.4)%</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(10.0)%</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6.8%</w:t>
            </w:r>
          </w:p>
        </w:tc>
        <w:tc>
          <w:tcPr>
            <w:tcW w:w="660" w:type="dxa"/>
            <w:vAlign w:val="bottom"/>
          </w:tcPr>
          <w:p>
            <w:pPr>
              <w:jc w:val="right"/>
              <w:spacing w:after="0"/>
              <w:rPr>
                <w:sz w:val="20"/>
                <w:szCs w:val="20"/>
                <w:color w:val="auto"/>
              </w:rPr>
            </w:pPr>
            <w:r>
              <w:rPr>
                <w:rFonts w:ascii="Arial" w:cs="Arial" w:eastAsia="Arial" w:hAnsi="Arial"/>
                <w:sz w:val="18"/>
                <w:szCs w:val="18"/>
                <w:color w:val="auto"/>
              </w:rPr>
              <w:t>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8865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11"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220" w:right="20" w:hanging="212"/>
        <w:spacing w:after="0" w:line="277" w:lineRule="auto"/>
        <w:tabs>
          <w:tab w:leader="none" w:pos="2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01"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debt securities, which would magnify the potential for loss and the risks of investing in us.</w:t>
      </w:r>
    </w:p>
    <w:p>
      <w:pPr>
        <w:spacing w:after="0" w:line="51" w:lineRule="exact"/>
        <w:rPr>
          <w:sz w:val="20"/>
          <w:szCs w:val="20"/>
          <w:color w:val="auto"/>
        </w:rPr>
      </w:pPr>
    </w:p>
    <w:p>
      <w:pPr>
        <w:ind w:right="260" w:firstLine="571"/>
        <w:spacing w:after="0" w:line="256" w:lineRule="auto"/>
        <w:rPr>
          <w:sz w:val="20"/>
          <w:szCs w:val="20"/>
          <w:color w:val="auto"/>
        </w:rPr>
      </w:pPr>
      <w:r>
        <w:rPr>
          <w:rFonts w:ascii="Arial" w:cs="Arial" w:eastAsia="Arial" w:hAnsi="Arial"/>
          <w:sz w:val="18"/>
          <w:szCs w:val="18"/>
          <w:color w:val="auto"/>
        </w:rPr>
        <w:t>As a result of any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debt securities in the future, it is likely that such securities will be governed by an indenture or other instrument containing covenants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90"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generally may not reflect the potential impact of risks related to market conditions or other factors discussed above on the market value of, or trading market for, any publicly issued debt securities.</w:t>
      </w:r>
    </w:p>
    <w:p>
      <w:pPr>
        <w:spacing w:after="0" w:line="188"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would have a material adverse effect on our business.</w:t>
      </w:r>
    </w:p>
    <w:p>
      <w:pPr>
        <w:spacing w:after="0" w:line="51"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Our Credit Facility expires in August 2020. We utilize proceeds from the Credit Facility to make investments in our portfolio companies. The duration of many of our investments exceeds the duration of our indebtedness under our Credit Facility. This means that we will have to extend the maturity of our Credit Facility or refinance our indebtedness under our Credit Facility in order to avoid selling investments at maturity of the Credit Facility, at which time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04"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51"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your best interest.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interests in Funding I are subordinated.</w:t>
      </w:r>
    </w:p>
    <w:p>
      <w:pPr>
        <w:spacing w:after="0" w:line="9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20" w:lineRule="exact"/>
        <w:rPr>
          <w:sz w:val="20"/>
          <w:szCs w:val="20"/>
          <w:color w:val="auto"/>
        </w:rPr>
      </w:pPr>
    </w:p>
    <w:p>
      <w:pPr>
        <w:ind w:right="180" w:firstLine="571"/>
        <w:spacing w:after="0" w:line="298" w:lineRule="auto"/>
        <w:rPr>
          <w:sz w:val="20"/>
          <w:szCs w:val="20"/>
          <w:color w:val="auto"/>
        </w:rPr>
      </w:pPr>
      <w:r>
        <w:rPr>
          <w:rFonts w:ascii="Arial" w:cs="Arial" w:eastAsia="Arial" w:hAnsi="Arial"/>
          <w:sz w:val="16"/>
          <w:szCs w:val="16"/>
          <w:color w:val="auto"/>
        </w:rPr>
        <w:t>Our equity interests in Funding I are subordinate to all of the secured and unsecured creditors, known or unknown, of Funding I, including the Lenders. Consequently, to the extent that the value of Funding I’s portfolio of loan investments has been reduced as a result of conditions in the credit markets, defaulted loans, capital losses exceeding gains on the underlying assets, prepayments or changes in interest rates, the return on our investment in Funding I could be reduced. Accordingly, our investment in Funding I is subject to a complete risk of loss.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receive cash on our equity interests from Funding I.</w:t>
      </w:r>
    </w:p>
    <w:p>
      <w:pPr>
        <w:spacing w:after="0" w:line="90"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Lenders and other secured parties are paid in full. In the event that we fail to receive cash from Funding I, we could be unable to make distributions to our stockholders in amounts sufficient to maintain our ability to be subject to tax as a RIC. We also could be forced to sell investments in portfolio companies at less than their fair value in order to continue making such distributions.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90" w:lineRule="exact"/>
        <w:rPr>
          <w:sz w:val="20"/>
          <w:szCs w:val="20"/>
          <w:color w:val="auto"/>
        </w:rPr>
      </w:pPr>
    </w:p>
    <w:p>
      <w:pPr>
        <w:ind w:firstLine="571"/>
        <w:spacing w:after="0" w:line="306" w:lineRule="auto"/>
        <w:rPr>
          <w:sz w:val="20"/>
          <w:szCs w:val="20"/>
          <w:color w:val="auto"/>
        </w:rPr>
      </w:pPr>
      <w:r>
        <w:rPr>
          <w:rFonts w:ascii="Arial" w:cs="Arial" w:eastAsia="Arial" w:hAnsi="Arial"/>
          <w:sz w:val="15"/>
          <w:szCs w:val="15"/>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12"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144" w:lineRule="exact"/>
        <w:rPr>
          <w:sz w:val="20"/>
          <w:szCs w:val="20"/>
          <w:color w:val="auto"/>
        </w:rPr>
      </w:pPr>
    </w:p>
    <w:p>
      <w:pPr>
        <w:ind w:right="80" w:firstLine="571"/>
        <w:spacing w:after="0" w:line="254" w:lineRule="auto"/>
        <w:rPr>
          <w:sz w:val="20"/>
          <w:szCs w:val="20"/>
          <w:color w:val="auto"/>
        </w:rPr>
      </w:pPr>
      <w:r>
        <w:rPr>
          <w:rFonts w:ascii="Arial" w:cs="Arial" w:eastAsia="Arial" w:hAnsi="Arial"/>
          <w:sz w:val="18"/>
          <w:szCs w:val="18"/>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44"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This is expected to mitigate volatility in our earnings and NAV. As a result of these factors, results for any period should not be relied upon as being indicative of performance in future periods.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51"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ability to be subject to tax as a RIC for U.S. federal income tax purposes, which could have a material adverse effect on our business, financial condition and results of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If we issue preferred stock, debt securities or convertible debt securities the NAV and market value of our common stock may become more volatile.</w:t>
      </w:r>
    </w:p>
    <w:p>
      <w:pPr>
        <w:spacing w:after="0" w:line="125"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20"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ability to sell investments held by Funding I is limited.</w:t>
      </w:r>
    </w:p>
    <w:p>
      <w:pPr>
        <w:spacing w:after="0" w:line="90" w:lineRule="exact"/>
        <w:rPr>
          <w:sz w:val="20"/>
          <w:szCs w:val="20"/>
          <w:color w:val="auto"/>
        </w:rPr>
      </w:pPr>
    </w:p>
    <w:p>
      <w:pPr>
        <w:ind w:right="380" w:firstLine="571"/>
        <w:spacing w:after="0" w:line="268" w:lineRule="auto"/>
        <w:rPr>
          <w:sz w:val="20"/>
          <w:szCs w:val="20"/>
          <w:color w:val="auto"/>
        </w:rPr>
      </w:pPr>
      <w:r>
        <w:rPr>
          <w:rFonts w:ascii="Arial" w:cs="Arial" w:eastAsia="Arial" w:hAnsi="Arial"/>
          <w:sz w:val="18"/>
          <w:szCs w:val="18"/>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90"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factors include the following:</w:t>
      </w:r>
    </w:p>
    <w:p>
      <w:pPr>
        <w:spacing w:after="0" w:line="90"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or similar to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90"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Terms relating to debt redemption may have a material adverse effect on the return on any debt securities.</w:t>
      </w:r>
    </w:p>
    <w:p>
      <w:pPr>
        <w:spacing w:after="0" w:line="90" w:lineRule="exact"/>
        <w:rPr>
          <w:sz w:val="20"/>
          <w:szCs w:val="20"/>
          <w:color w:val="auto"/>
        </w:rPr>
      </w:pPr>
    </w:p>
    <w:p>
      <w:pPr>
        <w:ind w:firstLine="571"/>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issue subscription rights or warrants for our common stock, your interest in us may be diluted as a result of such rights or warrants offering.</w:t>
      </w:r>
    </w:p>
    <w:p>
      <w:pPr>
        <w:spacing w:after="0" w:line="113"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62"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90"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are continuing to evaluate the effect the Dodd-Frank Act or implementing its regulations will have on our business, financial condition and results of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or those of our portfolio companies may adversely affect our business.</w:t>
      </w:r>
    </w:p>
    <w:p>
      <w:pPr>
        <w:spacing w:after="0" w:line="90" w:lineRule="exact"/>
        <w:rPr>
          <w:sz w:val="20"/>
          <w:szCs w:val="20"/>
          <w:color w:val="auto"/>
        </w:rPr>
      </w:pPr>
    </w:p>
    <w:p>
      <w:pPr>
        <w:jc w:val="both"/>
        <w:ind w:right="500" w:firstLine="571"/>
        <w:spacing w:after="0" w:line="335" w:lineRule="auto"/>
        <w:rPr>
          <w:sz w:val="20"/>
          <w:szCs w:val="20"/>
          <w:color w:val="auto"/>
        </w:rPr>
      </w:pPr>
      <w:r>
        <w:rPr>
          <w:rFonts w:ascii="Arial" w:cs="Arial" w:eastAsia="Arial" w:hAnsi="Arial"/>
          <w:sz w:val="15"/>
          <w:szCs w:val="15"/>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See “Regulation” for more information.</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13"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risks associated with cybersecurity and cyber incidents.</w:t>
      </w:r>
    </w:p>
    <w:p>
      <w:pPr>
        <w:spacing w:after="0" w:line="90"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6"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1" w:lineRule="exact"/>
        <w:rPr>
          <w:sz w:val="20"/>
          <w:szCs w:val="20"/>
          <w:color w:val="auto"/>
        </w:rPr>
      </w:pPr>
    </w:p>
    <w:p>
      <w:pPr>
        <w:ind w:right="80" w:firstLine="571"/>
        <w:spacing w:after="0" w:line="284" w:lineRule="auto"/>
        <w:rPr>
          <w:sz w:val="20"/>
          <w:szCs w:val="20"/>
          <w:color w:val="auto"/>
        </w:rPr>
      </w:pPr>
      <w:r>
        <w:rPr>
          <w:rFonts w:ascii="Arial" w:cs="Arial" w:eastAsia="Arial" w:hAnsi="Arial"/>
          <w:sz w:val="16"/>
          <w:szCs w:val="16"/>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w:t>
      </w:r>
    </w:p>
    <w:p>
      <w:pPr>
        <w:spacing w:after="0" w:line="1" w:lineRule="exact"/>
        <w:rPr>
          <w:sz w:val="20"/>
          <w:szCs w:val="20"/>
          <w:color w:val="auto"/>
        </w:rPr>
      </w:pPr>
    </w:p>
    <w:p>
      <w:pPr>
        <w:ind w:right="60" w:firstLine="8"/>
        <w:spacing w:after="0" w:line="290" w:lineRule="auto"/>
        <w:tabs>
          <w:tab w:leader="none" w:pos="351"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118" w:lineRule="exact"/>
        <w:rPr>
          <w:sz w:val="20"/>
          <w:szCs w:val="20"/>
          <w:color w:val="auto"/>
        </w:rPr>
      </w:pPr>
    </w:p>
    <w:p>
      <w:pPr>
        <w:ind w:right="20" w:firstLine="571"/>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45"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90" w:lineRule="exact"/>
        <w:rPr>
          <w:sz w:val="20"/>
          <w:szCs w:val="20"/>
          <w:color w:val="auto"/>
        </w:rPr>
      </w:pPr>
    </w:p>
    <w:p>
      <w:pPr>
        <w:ind w:right="180" w:firstLine="571"/>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35"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90"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debt maturities. Funding I’s borrowings under its Credit Facility are collateralized by the assets in our investment portfolio.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right="280" w:firstLine="571"/>
        <w:spacing w:after="0" w:line="294" w:lineRule="auto"/>
        <w:rPr>
          <w:sz w:val="20"/>
          <w:szCs w:val="20"/>
          <w:color w:val="auto"/>
        </w:rPr>
      </w:pPr>
      <w:r>
        <w:rPr>
          <w:rFonts w:ascii="Arial" w:cs="Arial" w:eastAsia="Arial" w:hAnsi="Arial"/>
          <w:sz w:val="16"/>
          <w:szCs w:val="16"/>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invest in over-the-counter securities, which have and may continue to face liquidity constraints, to provide us with liquidity.</w:t>
      </w:r>
    </w:p>
    <w:p>
      <w:pPr>
        <w:spacing w:after="0" w:line="113"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90"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We intend to invest primarily in Floating Rate Loans, which may consist of senior secured debt and mezzanine debt, and, to a lesser extent, equity investments issued by U.S. middle-market companies.</w:t>
      </w:r>
    </w:p>
    <w:p>
      <w:pPr>
        <w:spacing w:after="0" w:line="118" w:lineRule="exact"/>
        <w:rPr>
          <w:sz w:val="20"/>
          <w:szCs w:val="20"/>
          <w:color w:val="auto"/>
        </w:rPr>
      </w:pPr>
    </w:p>
    <w:p>
      <w:pPr>
        <w:ind w:left="920" w:right="140" w:hanging="345"/>
        <w:spacing w:after="0" w:line="289" w:lineRule="auto"/>
        <w:tabs>
          <w:tab w:leader="none" w:pos="920"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Floating Rate Loans: </w:t>
      </w:r>
      <w:r>
        <w:rPr>
          <w:rFonts w:ascii="Arial" w:cs="Arial" w:eastAsia="Arial" w:hAnsi="Arial"/>
          <w:sz w:val="16"/>
          <w:szCs w:val="16"/>
          <w:color w:val="auto"/>
        </w:rPr>
        <w:t>The Floating Rate Loans we invest in are usually rated below investment grade or may also be unrated. Investments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Floating Rate Loans rated below investment grade are 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default rate by portfolio companies.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fair value. Floating Rate Loans are subject to a number of risks, including liquidity risk and the risk of investing in below investment-grade, variable-rate securities.</w:t>
      </w:r>
    </w:p>
    <w:p>
      <w:pPr>
        <w:spacing w:after="0" w:line="91" w:lineRule="exact"/>
        <w:rPr>
          <w:rFonts w:ascii="Arial" w:cs="Arial" w:eastAsia="Arial" w:hAnsi="Arial"/>
          <w:sz w:val="16"/>
          <w:szCs w:val="16"/>
          <w:color w:val="auto"/>
        </w:rPr>
      </w:pPr>
    </w:p>
    <w:p>
      <w:pPr>
        <w:ind w:left="920" w:right="60"/>
        <w:spacing w:after="0" w:line="288" w:lineRule="auto"/>
        <w:rPr>
          <w:rFonts w:ascii="Arial" w:cs="Arial" w:eastAsia="Arial" w:hAnsi="Arial"/>
          <w:sz w:val="16"/>
          <w:szCs w:val="16"/>
          <w:color w:val="auto"/>
        </w:rPr>
      </w:pPr>
      <w:r>
        <w:rPr>
          <w:rFonts w:ascii="Arial" w:cs="Arial" w:eastAsia="Arial" w:hAnsi="Arial"/>
          <w:sz w:val="16"/>
          <w:szCs w:val="16"/>
          <w:color w:val="auto"/>
        </w:rPr>
        <w:t>Floating Rate Loans are subject to the risk of non-payment of scheduled interest or principal. Such non-payment would result in a reduction of income to us, a reduction in the fair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actions detrimental to the holders of loans including, in certain circumstances, invalidating such loans or causing interest previously paid to be refunded to the borrower. Either such step could materially negatively affect our performance.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286" w:lineRule="auto"/>
        <w:rPr>
          <w:sz w:val="20"/>
          <w:szCs w:val="20"/>
          <w:color w:val="auto"/>
        </w:rPr>
      </w:pPr>
      <w:r>
        <w:rPr>
          <w:rFonts w:ascii="Arial" w:cs="Arial" w:eastAsia="Arial" w:hAnsi="Arial"/>
          <w:sz w:val="16"/>
          <w:szCs w:val="16"/>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111" w:lineRule="exact"/>
        <w:rPr>
          <w:sz w:val="20"/>
          <w:szCs w:val="20"/>
          <w:color w:val="auto"/>
        </w:rPr>
      </w:pPr>
    </w:p>
    <w:p>
      <w:pPr>
        <w:ind w:left="920" w:hanging="345"/>
        <w:spacing w:after="0" w:line="288" w:lineRule="auto"/>
        <w:tabs>
          <w:tab w:leader="none" w:pos="92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Secured Debt: </w:t>
      </w:r>
      <w:r>
        <w:rPr>
          <w:rFonts w:ascii="Arial" w:cs="Arial" w:eastAsia="Arial" w:hAnsi="Arial"/>
          <w:sz w:val="16"/>
          <w:szCs w:val="16"/>
          <w:color w:val="auto"/>
        </w:rPr>
        <w:t>When we extend senior secured debt, which we define to include first lien debt, we will generally take a security interest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available assets of these portfolio companies, including the 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senior secured debt investment is secured does not guarantee that we will receive principal and interest payments according to the loan’s terms, or at all, or that we will be able to collect on the loan should we be forced to enforce our remedies.</w:t>
      </w:r>
    </w:p>
    <w:p>
      <w:pPr>
        <w:spacing w:after="0" w:line="106" w:lineRule="exact"/>
        <w:rPr>
          <w:rFonts w:ascii="Arial" w:cs="Arial" w:eastAsia="Arial" w:hAnsi="Arial"/>
          <w:sz w:val="16"/>
          <w:szCs w:val="16"/>
          <w:color w:val="auto"/>
        </w:rPr>
      </w:pPr>
    </w:p>
    <w:p>
      <w:pPr>
        <w:ind w:left="920" w:right="60" w:hanging="345"/>
        <w:spacing w:after="0" w:line="290" w:lineRule="auto"/>
        <w:tabs>
          <w:tab w:leader="none" w:pos="92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Mezzanine Debt: </w:t>
      </w:r>
      <w:r>
        <w:rPr>
          <w:rFonts w:ascii="Arial" w:cs="Arial" w:eastAsia="Arial" w:hAnsi="Arial"/>
          <w:sz w:val="16"/>
          <w:szCs w:val="16"/>
          <w:color w:val="auto"/>
        </w:rPr>
        <w:t>Our mezzanine debt investments, which we define to include second lien secured and subordinated debt, will generally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subordinated to senior secured debt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hanging="345"/>
        <w:spacing w:after="0" w:line="289" w:lineRule="auto"/>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Equity Investments: </w:t>
      </w:r>
      <w:r>
        <w:rPr>
          <w:rFonts w:ascii="Arial" w:cs="Arial" w:eastAsia="Arial" w:hAnsi="Arial"/>
          <w:sz w:val="16"/>
          <w:szCs w:val="16"/>
          <w:color w:val="auto"/>
        </w:rPr>
        <w:t>We have made and expect to continue to make select equity investments, all of which are subordinated to debt investments.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 when we invest in senior secured debt 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investments, we may pay taxes at regular corporate tax rates, which will reduce the amount on gains or dividends available for distributions to our stockholders.</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212" w:lineRule="exact"/>
        <w:rPr>
          <w:sz w:val="20"/>
          <w:szCs w:val="20"/>
          <w:color w:val="auto"/>
        </w:rPr>
      </w:pPr>
    </w:p>
    <w:p>
      <w:pPr>
        <w:jc w:val="both"/>
        <w:ind w:left="900" w:right="10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80" w:lineRule="exact"/>
        <w:rPr>
          <w:rFonts w:ascii="Arial" w:cs="Arial" w:eastAsia="Arial" w:hAnsi="Arial"/>
          <w:sz w:val="18"/>
          <w:szCs w:val="18"/>
          <w:color w:val="auto"/>
        </w:rPr>
      </w:pPr>
    </w:p>
    <w:p>
      <w:pPr>
        <w:jc w:val="both"/>
        <w:ind w:left="900" w:right="14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180"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25"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53" w:lineRule="exact"/>
        <w:rPr>
          <w:rFonts w:ascii="Arial" w:cs="Arial" w:eastAsia="Arial" w:hAnsi="Arial"/>
          <w:sz w:val="16"/>
          <w:szCs w:val="16"/>
          <w:color w:val="auto"/>
        </w:rPr>
      </w:pPr>
    </w:p>
    <w:p>
      <w:pPr>
        <w:ind w:left="900" w:right="60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refinance their outstanding indebtedness upon maturity.</w:t>
      </w:r>
    </w:p>
    <w:p>
      <w:pPr>
        <w:spacing w:after="0" w:line="213"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4" w:lineRule="exact"/>
        <w:rPr>
          <w:sz w:val="20"/>
          <w:szCs w:val="20"/>
          <w:color w:val="auto"/>
        </w:rPr>
      </w:pPr>
    </w:p>
    <w:p>
      <w:pPr>
        <w:ind w:right="200" w:firstLine="571"/>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43"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9"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51" w:lineRule="exact"/>
        <w:rPr>
          <w:sz w:val="20"/>
          <w:szCs w:val="20"/>
          <w:color w:val="auto"/>
        </w:rPr>
      </w:pPr>
    </w:p>
    <w:p>
      <w:pPr>
        <w:ind w:right="140" w:firstLine="436"/>
        <w:spacing w:after="0" w:line="268"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portfolio diversification, and our investments could be concentrated in relatively few portfolio companies or industries.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90"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172"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201"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4" w:lineRule="exact"/>
        <w:rPr>
          <w:sz w:val="20"/>
          <w:szCs w:val="20"/>
          <w:color w:val="auto"/>
        </w:rPr>
      </w:pPr>
    </w:p>
    <w:p>
      <w:pPr>
        <w:ind w:right="20" w:firstLine="439"/>
        <w:spacing w:after="0" w:line="323" w:lineRule="auto"/>
        <w:rPr>
          <w:sz w:val="20"/>
          <w:szCs w:val="20"/>
          <w:color w:val="auto"/>
        </w:rPr>
      </w:pPr>
      <w:r>
        <w:rPr>
          <w:rFonts w:ascii="Arial" w:cs="Arial" w:eastAsia="Arial" w:hAnsi="Arial"/>
          <w:sz w:val="15"/>
          <w:szCs w:val="15"/>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firstLine="228"/>
        <w:spacing w:after="0" w:line="259"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9"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225"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 and our portfolio companies may be highly leveraged.</w:t>
      </w:r>
    </w:p>
    <w:p>
      <w:pPr>
        <w:spacing w:after="0" w:line="51"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We invest primarily in Floating Rate Loans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90" w:lineRule="exact"/>
        <w:rPr>
          <w:sz w:val="20"/>
          <w:szCs w:val="20"/>
          <w:color w:val="auto"/>
        </w:rPr>
      </w:pPr>
    </w:p>
    <w:p>
      <w:pPr>
        <w:ind w:right="60" w:firstLine="571"/>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Any investments in distressed debt may not produce income and may require us to bear large expenses in order to protect and recover our investment.</w:t>
      </w:r>
    </w:p>
    <w:p>
      <w:pPr>
        <w:spacing w:after="0" w:line="125"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90" w:lineRule="exact"/>
        <w:rPr>
          <w:sz w:val="20"/>
          <w:szCs w:val="20"/>
          <w:color w:val="auto"/>
        </w:rPr>
      </w:pPr>
    </w:p>
    <w:p>
      <w:pPr>
        <w:ind w:right="120" w:firstLine="439"/>
        <w:spacing w:after="0" w:line="291"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Investments in securities of companies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39"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197" w:lineRule="exact"/>
        <w:rPr>
          <w:sz w:val="20"/>
          <w:szCs w:val="20"/>
          <w:color w:val="auto"/>
        </w:rPr>
      </w:pPr>
    </w:p>
    <w:p>
      <w:pPr>
        <w:ind w:right="660" w:firstLine="228"/>
        <w:spacing w:after="0" w:line="268"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51"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90"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90"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90"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6"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26" w:lineRule="exact"/>
        <w:rPr>
          <w:sz w:val="20"/>
          <w:szCs w:val="20"/>
          <w:color w:val="auto"/>
        </w:rPr>
      </w:pPr>
    </w:p>
    <w:p>
      <w:pPr>
        <w:jc w:val="both"/>
        <w:ind w:right="40" w:firstLine="571"/>
        <w:spacing w:after="0" w:line="306" w:lineRule="auto"/>
        <w:rPr>
          <w:sz w:val="20"/>
          <w:szCs w:val="20"/>
          <w:color w:val="auto"/>
        </w:rPr>
      </w:pPr>
      <w:r>
        <w:rPr>
          <w:rFonts w:ascii="Arial" w:cs="Arial" w:eastAsia="Arial" w:hAnsi="Arial"/>
          <w:sz w:val="16"/>
          <w:szCs w:val="16"/>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07"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18"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90"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9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90" w:lineRule="exact"/>
        <w:rPr>
          <w:sz w:val="20"/>
          <w:szCs w:val="20"/>
          <w:color w:val="auto"/>
        </w:rPr>
      </w:pPr>
    </w:p>
    <w:p>
      <w:pPr>
        <w:ind w:right="260" w:firstLine="571"/>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allocate the net proceeds from any offering of our securities in ways with which you may not agree.</w:t>
      </w:r>
    </w:p>
    <w:p>
      <w:pPr>
        <w:spacing w:after="0" w:line="90"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Shares of BDCs may trade at a market price that is less than the NAV that is attributable to those shares. Our shares have traded above and below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NAV. Our shares closed on the NASDAQ Global Select Market at $13.23 and $11.94 on September 30, 2016 and 2015, respectively. Our NAV per share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$14.06 and $13.95 for the same periods. The possibility that our shares of common stock will trade at a discount from NAV or at a premium that is unsustainable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the long term is separate and distinct from the risk that our NAV will decrease. It is not possible to predict whether our shares will trade at, above or below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NAV in the future.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90"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72" w:lineRule="exact"/>
        <w:rPr>
          <w:sz w:val="20"/>
          <w:szCs w:val="20"/>
          <w:color w:val="auto"/>
        </w:rPr>
      </w:pPr>
    </w:p>
    <w:p>
      <w:pPr>
        <w:ind w:left="9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loss of our BDC or RIC status;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211"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national and international economic trends and other external factors;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price and volume fluctuations in the stock markets, including as a result of short sales;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i w:val="1"/>
          <w:iCs w:val="1"/>
          <w:color w:val="auto"/>
        </w:rPr>
        <w:t>We may be unable to invest the net proceeds raised from offerings on acceptable terms, which would harm our financial condition and operating results.</w:t>
      </w:r>
    </w:p>
    <w:p>
      <w:pPr>
        <w:spacing w:after="0" w:line="125"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90"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51"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90"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or the Sarbanes-Oxley Act, and other rules implemented by the SEC and the listing standards of the NASDAQ Stock Market LLC.</w:t>
      </w:r>
    </w:p>
    <w:p>
      <w:pPr>
        <w:spacing w:after="0" w:line="224"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5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Maryland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Maryland Business Combination Act may discourage third parties from trying to acquire control of us and increase the difficulty of consummating such an offer.</w:t>
      </w:r>
    </w:p>
    <w:p>
      <w:pPr>
        <w:spacing w:after="0" w:line="12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20"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20" w:firstLine="571"/>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62" w:lineRule="exact"/>
        <w:rPr>
          <w:sz w:val="20"/>
          <w:szCs w:val="20"/>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European sovereign debt, Brexit and other world economic and political issues.</w:t>
      </w:r>
    </w:p>
    <w:p>
      <w:pPr>
        <w:spacing w:after="0" w:line="171" w:lineRule="exact"/>
        <w:rPr>
          <w:sz w:val="20"/>
          <w:szCs w:val="20"/>
          <w:color w:val="auto"/>
        </w:rPr>
      </w:pPr>
    </w:p>
    <w:p>
      <w:pPr>
        <w:ind w:right="220" w:firstLine="571"/>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07" w:lineRule="exact"/>
        <w:rPr>
          <w:sz w:val="20"/>
          <w:szCs w:val="20"/>
          <w:color w:val="auto"/>
        </w:rPr>
      </w:pPr>
    </w:p>
    <w:p>
      <w:pPr>
        <w:jc w:val="both"/>
        <w:ind w:right="60" w:firstLine="571"/>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or through reports that we in the future may file with the SEC, including reports on Form 10-K/Q and current reports on Form 8-K.</w:t>
      </w:r>
    </w:p>
    <w:p>
      <w:pPr>
        <w:spacing w:after="0" w:line="143"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or for other general corporate or strategic purposes. Any supplements to this prospectus relating to an offering may more fully identify the use of the proceeds from such offering.</w:t>
      </w:r>
    </w:p>
    <w:p>
      <w:pPr>
        <w:spacing w:after="0" w:line="140"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As of September 30, 2016, we had $232.9 million in borrowings outstanding under our $350 million multi-currency Credit Facility. Borrowings under our Credit Facility bear interest at LIBOR plus 200 basis points per annum during the revolving period, and the rate resets to LIBOR plus 425 basis points per annum for the remaining two years. At September 30, 2016, the interest rate was 2.57% exclusive of the fees on the undrawn commitment. The Credit Facility is a revolving facility maturing in August 2020 and is secured by all of the assets held by Funding I. Amounts repaid under our Credit Facility remain available for future borrowings during the revolving period. See “Management’s Discussion and Analysis of Financial Condition and Results of Operations” for more information.</w:t>
      </w:r>
    </w:p>
    <w:p>
      <w:pPr>
        <w:spacing w:after="0" w:line="144"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280" w:firstLine="571"/>
        <w:spacing w:after="0" w:line="256" w:lineRule="auto"/>
        <w:rPr>
          <w:sz w:val="20"/>
          <w:szCs w:val="20"/>
          <w:color w:val="auto"/>
        </w:rPr>
      </w:pPr>
      <w:r>
        <w:rPr>
          <w:rFonts w:ascii="Arial" w:cs="Arial" w:eastAsia="Arial" w:hAnsi="Arial"/>
          <w:sz w:val="18"/>
          <w:szCs w:val="18"/>
          <w:color w:val="auto"/>
        </w:rPr>
        <w:t>We have derived the data below from our audited and unaudited financial data. The Consolidated Statement of Operations data, Per share data, Consolidated Statement of Assets and Liabilities data and Total returns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w w:val="89"/>
              </w:rPr>
              <w:t>For the years ended September 30,</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340" w:type="dxa"/>
            <w:vAlign w:val="bottom"/>
          </w:tcPr>
          <w:p>
            <w:pPr>
              <w:spacing w:after="0"/>
              <w:rPr>
                <w:sz w:val="12"/>
                <w:szCs w:val="12"/>
                <w:color w:val="auto"/>
              </w:rPr>
            </w:pPr>
          </w:p>
        </w:tc>
        <w:tc>
          <w:tcPr>
            <w:tcW w:w="52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52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52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62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6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r>
      <w:tr>
        <w:trPr>
          <w:trHeight w:val="129"/>
        </w:trPr>
        <w:tc>
          <w:tcPr>
            <w:tcW w:w="73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(Dollar amounts in thousands, except per share data)</w:t>
            </w:r>
          </w:p>
        </w:tc>
        <w:tc>
          <w:tcPr>
            <w:tcW w:w="5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income</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1"/>
              </w:rPr>
              <w:t>$ 46,301</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$ 30,355</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$ 30,357</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$ 18,867</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$ 12,099</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18,965</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12,695</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13,721</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8,344</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5,789</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27,336</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17,660</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16,636</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10,523</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6,310</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6,153</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(5,156)</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3,878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1,461</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5,651</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33,489</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12,504</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20,514</w:t>
            </w: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11,985</w:t>
            </w: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11,961</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14.06</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13.95</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14.40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14.10</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13.98</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1"/>
                <w:szCs w:val="11"/>
                <w:color w:val="auto"/>
              </w:rPr>
              <w:t xml:space="preserve">Net investment income </w:t>
            </w:r>
            <w:r>
              <w:rPr>
                <w:rFonts w:ascii="Arial" w:cs="Arial" w:eastAsia="Arial" w:hAnsi="Arial"/>
                <w:sz w:val="17"/>
                <w:szCs w:val="17"/>
                <w:color w:val="auto"/>
                <w:vertAlign w:val="superscript"/>
              </w:rPr>
              <w:t>(1)</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1.02</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1.08</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0.92</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realized and unrealized gain (loss) </w:t>
            </w:r>
            <w:r>
              <w:rPr>
                <w:rFonts w:ascii="Arial" w:cs="Arial" w:eastAsia="Arial" w:hAnsi="Arial"/>
                <w:sz w:val="17"/>
                <w:szCs w:val="17"/>
                <w:color w:val="auto"/>
                <w:vertAlign w:val="superscript"/>
              </w:rPr>
              <w:t>(1)</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0.23</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(0.31)</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0.26</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0.15</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0.83</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1"/>
                <w:szCs w:val="11"/>
                <w:color w:val="auto"/>
              </w:rPr>
              <w:t xml:space="preserve">Net increase in net assets resulting from operations </w:t>
            </w:r>
            <w:r>
              <w:rPr>
                <w:rFonts w:ascii="Arial" w:cs="Arial" w:eastAsia="Arial" w:hAnsi="Arial"/>
                <w:sz w:val="17"/>
                <w:szCs w:val="17"/>
                <w:color w:val="auto"/>
                <w:vertAlign w:val="superscript"/>
              </w:rPr>
              <w:t>(1)</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1.25</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0.77</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1.75</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Distributions declared </w:t>
            </w:r>
            <w:r>
              <w:rPr>
                <w:rFonts w:ascii="Arial" w:cs="Arial" w:eastAsia="Arial" w:hAnsi="Arial"/>
                <w:sz w:val="17"/>
                <w:szCs w:val="17"/>
                <w:color w:val="auto"/>
                <w:vertAlign w:val="superscript"/>
              </w:rPr>
              <w:t>(1), (2)</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1.14</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1.16</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1.08</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0.91</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Statements of Assets and Liabilities data:</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8"/>
              </w:rPr>
              <w:t>631,420</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8"/>
              </w:rPr>
              <w:t>416,120</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372,874</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328,802</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178,367</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color w:val="auto"/>
              </w:rPr>
              <w:t>Total investment portfolio</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8"/>
              </w:rPr>
              <w:t>598,888</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8"/>
              </w:rPr>
              <w:t>391,312</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348,428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317,804</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171,834</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Credit Facility payable </w:t>
            </w:r>
            <w:r>
              <w:rPr>
                <w:rFonts w:ascii="Arial" w:cs="Arial" w:eastAsia="Arial" w:hAnsi="Arial"/>
                <w:sz w:val="17"/>
                <w:szCs w:val="17"/>
                <w:color w:val="auto"/>
                <w:vertAlign w:val="superscript"/>
              </w:rPr>
              <w:t>(3)</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8"/>
              </w:rPr>
              <w:t>232,389</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29,600</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146,949</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99,600</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75,123</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color w:val="auto"/>
              </w:rPr>
              <w:t>Total net asset value</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8"/>
              </w:rPr>
              <w:t>375,907</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8"/>
              </w:rPr>
              <w:t>372,890</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214,528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210,066</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95,744</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1"/>
                <w:szCs w:val="11"/>
                <w:color w:val="auto"/>
              </w:rPr>
              <w:t xml:space="preserve">Total return </w:t>
            </w:r>
            <w:r>
              <w:rPr>
                <w:rFonts w:ascii="Arial" w:cs="Arial" w:eastAsia="Arial" w:hAnsi="Arial"/>
                <w:sz w:val="17"/>
                <w:szCs w:val="17"/>
                <w:color w:val="auto"/>
                <w:vertAlign w:val="superscript"/>
              </w:rPr>
              <w:t>(4)</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21.77%</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(6.01)%</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8.05%</w:t>
            </w:r>
          </w:p>
        </w:tc>
        <w:tc>
          <w:tcPr>
            <w:tcW w:w="8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17.17%</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29.43%</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Number of portfolio companies </w:t>
            </w:r>
            <w:r>
              <w:rPr>
                <w:rFonts w:ascii="Arial" w:cs="Arial" w:eastAsia="Arial" w:hAnsi="Arial"/>
                <w:sz w:val="17"/>
                <w:szCs w:val="17"/>
                <w:color w:val="auto"/>
                <w:vertAlign w:val="superscript"/>
              </w:rPr>
              <w:t>(5)</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98</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76</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w:t>
            </w:r>
          </w:p>
        </w:tc>
      </w:tr>
      <w:tr>
        <w:trPr>
          <w:trHeight w:val="278"/>
        </w:trPr>
        <w:tc>
          <w:tcPr>
            <w:tcW w:w="7340" w:type="dxa"/>
            <w:vAlign w:val="bottom"/>
          </w:tcPr>
          <w:p>
            <w:pPr>
              <w:spacing w:after="0"/>
              <w:rPr>
                <w:sz w:val="20"/>
                <w:szCs w:val="20"/>
                <w:color w:val="auto"/>
              </w:rPr>
            </w:pPr>
            <w:r>
              <w:rPr>
                <w:rFonts w:ascii="Arial" w:cs="Arial" w:eastAsia="Arial" w:hAnsi="Arial"/>
                <w:sz w:val="14"/>
                <w:szCs w:val="14"/>
                <w:color w:val="auto"/>
              </w:rPr>
              <w:t xml:space="preserve">Yield on debt portfolio </w:t>
            </w:r>
            <w:r>
              <w:rPr>
                <w:rFonts w:ascii="Arial" w:cs="Arial" w:eastAsia="Arial" w:hAnsi="Arial"/>
                <w:sz w:val="22"/>
                <w:szCs w:val="22"/>
                <w:color w:val="auto"/>
                <w:vertAlign w:val="superscript"/>
              </w:rPr>
              <w:t>(5)</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7.8%</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7.9%</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8.2%</w:t>
            </w: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8.1%</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18865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ind w:left="580" w:hanging="572"/>
        <w:spacing w:after="0" w:line="185" w:lineRule="auto"/>
        <w:tabs>
          <w:tab w:leader="none" w:pos="580" w:val="left"/>
        </w:tabs>
        <w:numPr>
          <w:ilvl w:val="0"/>
          <w:numId w:val="40"/>
        </w:numPr>
        <w:rPr>
          <w:rFonts w:ascii="Arial" w:cs="Arial" w:eastAsia="Arial" w:hAnsi="Arial"/>
          <w:sz w:val="19"/>
          <w:szCs w:val="19"/>
          <w:color w:val="auto"/>
          <w:vertAlign w:val="superscript"/>
        </w:rPr>
      </w:pPr>
      <w:r>
        <w:rPr>
          <w:rFonts w:ascii="Arial" w:cs="Arial" w:eastAsia="Arial" w:hAnsi="Arial"/>
          <w:sz w:val="12"/>
          <w:szCs w:val="12"/>
          <w:color w:val="auto"/>
        </w:rPr>
        <w:t>Based on the weighted average shares outstanding for the respective periods.</w:t>
      </w:r>
    </w:p>
    <w:p>
      <w:pPr>
        <w:ind w:left="580" w:right="140" w:hanging="572"/>
        <w:spacing w:after="0" w:line="182" w:lineRule="auto"/>
        <w:tabs>
          <w:tab w:leader="none" w:pos="580" w:val="left"/>
        </w:tabs>
        <w:numPr>
          <w:ilvl w:val="0"/>
          <w:numId w:val="40"/>
        </w:numPr>
        <w:rPr>
          <w:rFonts w:ascii="Arial" w:cs="Arial" w:eastAsia="Arial" w:hAnsi="Arial"/>
          <w:sz w:val="21"/>
          <w:szCs w:val="21"/>
          <w:color w:val="auto"/>
          <w:vertAlign w:val="superscript"/>
        </w:rPr>
      </w:pPr>
      <w:r>
        <w:rPr>
          <w:rFonts w:ascii="Arial" w:cs="Arial" w:eastAsia="Arial" w:hAnsi="Arial"/>
          <w:sz w:val="13"/>
          <w:szCs w:val="13"/>
          <w:color w:val="auto"/>
        </w:rPr>
        <w:t>The tax status of our distributions is calculated in accordance with income tax regulations, which may differ from amounts determined under GAAP and is reported on Form 1099-DIV each calendar year.</w:t>
      </w:r>
    </w:p>
    <w:p>
      <w:pPr>
        <w:ind w:left="580" w:hanging="572"/>
        <w:spacing w:after="0" w:line="182" w:lineRule="auto"/>
        <w:tabs>
          <w:tab w:leader="none" w:pos="580" w:val="left"/>
        </w:tabs>
        <w:numPr>
          <w:ilvl w:val="0"/>
          <w:numId w:val="40"/>
        </w:numPr>
        <w:rPr>
          <w:rFonts w:ascii="Arial" w:cs="Arial" w:eastAsia="Arial" w:hAnsi="Arial"/>
          <w:sz w:val="17"/>
          <w:szCs w:val="17"/>
          <w:color w:val="auto"/>
          <w:vertAlign w:val="superscript"/>
        </w:rPr>
      </w:pPr>
      <w:r>
        <w:rPr>
          <w:rFonts w:ascii="Arial" w:cs="Arial" w:eastAsia="Arial" w:hAnsi="Arial"/>
          <w:sz w:val="11"/>
          <w:szCs w:val="11"/>
          <w:color w:val="auto"/>
        </w:rPr>
        <w:t>At fair value.</w:t>
      </w:r>
    </w:p>
    <w:p>
      <w:pPr>
        <w:ind w:left="580" w:hanging="572"/>
        <w:spacing w:after="0" w:line="182" w:lineRule="auto"/>
        <w:tabs>
          <w:tab w:leader="none" w:pos="580" w:val="left"/>
        </w:tabs>
        <w:numPr>
          <w:ilvl w:val="0"/>
          <w:numId w:val="40"/>
        </w:numPr>
        <w:rPr>
          <w:rFonts w:ascii="Arial" w:cs="Arial" w:eastAsia="Arial" w:hAnsi="Arial"/>
          <w:sz w:val="17"/>
          <w:szCs w:val="17"/>
          <w:color w:val="auto"/>
          <w:vertAlign w:val="superscript"/>
        </w:rPr>
      </w:pPr>
      <w:r>
        <w:rPr>
          <w:rFonts w:ascii="Arial" w:cs="Arial" w:eastAsia="Arial" w:hAnsi="Arial"/>
          <w:sz w:val="11"/>
          <w:szCs w:val="11"/>
          <w:color w:val="auto"/>
        </w:rPr>
        <w:t>Based on the change in market price per share during the periods and takes into account distributions, if any, reinvested in accordance with our dividend reinvestment plan.</w:t>
      </w:r>
    </w:p>
    <w:p>
      <w:pPr>
        <w:ind w:left="580" w:hanging="572"/>
        <w:spacing w:after="0" w:line="185" w:lineRule="auto"/>
        <w:tabs>
          <w:tab w:leader="none" w:pos="580" w:val="left"/>
        </w:tabs>
        <w:numPr>
          <w:ilvl w:val="0"/>
          <w:numId w:val="40"/>
        </w:numPr>
        <w:rPr>
          <w:rFonts w:ascii="Arial" w:cs="Arial" w:eastAsia="Arial" w:hAnsi="Arial"/>
          <w:sz w:val="18"/>
          <w:szCs w:val="18"/>
          <w:color w:val="auto"/>
          <w:vertAlign w:val="superscript"/>
        </w:rPr>
      </w:pPr>
      <w:r>
        <w:rPr>
          <w:rFonts w:ascii="Arial" w:cs="Arial" w:eastAsia="Arial" w:hAnsi="Arial"/>
          <w:sz w:val="12"/>
          <w:szCs w:val="12"/>
          <w:color w:val="auto"/>
        </w:rPr>
        <w:t>Unaudited, at year end.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Q4</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6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15,396</w:t>
            </w:r>
          </w:p>
        </w:tc>
        <w:tc>
          <w:tcPr>
            <w:tcW w:w="3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10,803</w:t>
            </w:r>
          </w:p>
        </w:tc>
        <w:tc>
          <w:tcPr>
            <w:tcW w:w="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11,346</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8,756</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8,155</w:t>
            </w:r>
          </w:p>
        </w:tc>
        <w:tc>
          <w:tcPr>
            <w:tcW w:w="5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6,830</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7,265</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5,086</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7,732</w:t>
            </w:r>
          </w:p>
        </w:tc>
        <w:tc>
          <w:tcPr>
            <w:tcW w:w="5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6,589</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(4,829)</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(3,339)</w:t>
            </w: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15,887</w:t>
            </w:r>
          </w:p>
        </w:tc>
        <w:tc>
          <w:tcPr>
            <w:tcW w:w="5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13,419</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2,436</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1,747</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 *</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0.59</w:t>
            </w:r>
          </w:p>
        </w:tc>
        <w:tc>
          <w:tcPr>
            <w:tcW w:w="5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0.50</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0.09</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14.06</w:t>
            </w:r>
          </w:p>
        </w:tc>
        <w:tc>
          <w:tcPr>
            <w:tcW w:w="5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13.75</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13.54</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13.73</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13.23</w:t>
            </w:r>
          </w:p>
        </w:tc>
        <w:tc>
          <w:tcPr>
            <w:tcW w:w="5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12.40</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11.70</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11.25</w:t>
            </w:r>
          </w:p>
        </w:tc>
        <w:tc>
          <w:tcPr>
            <w:tcW w:w="100" w:type="dxa"/>
            <w:vAlign w:val="bottom"/>
            <w:shd w:val="clear" w:color="auto" w:fill="CCEEFF"/>
          </w:tcPr>
          <w:p>
            <w:pPr>
              <w:spacing w:after="0"/>
              <w:rPr>
                <w:sz w:val="12"/>
                <w:szCs w:val="12"/>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6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7,791</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7,104</w:t>
            </w:r>
          </w:p>
        </w:tc>
        <w:tc>
          <w:tcPr>
            <w:tcW w:w="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7,983</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7,477</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3,639</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4,097</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4,456</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5,468</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(2,424)</w:t>
            </w: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1,668</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(5,030)</w:t>
            </w: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1,215</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4,727</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6,124</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438</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 *</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0.41</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13.95</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14.33</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14.30</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14.16</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11.94</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13.88</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14.03</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13.73</w:t>
            </w:r>
          </w:p>
        </w:tc>
        <w:tc>
          <w:tcPr>
            <w:tcW w:w="100" w:type="dxa"/>
            <w:vAlign w:val="bottom"/>
            <w:shd w:val="clear" w:color="auto" w:fill="CCEEFF"/>
          </w:tcPr>
          <w:p>
            <w:pPr>
              <w:spacing w:after="0"/>
              <w:rPr>
                <w:sz w:val="12"/>
                <w:szCs w:val="12"/>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6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8,221</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7,669</w:t>
            </w:r>
          </w:p>
        </w:tc>
        <w:tc>
          <w:tcPr>
            <w:tcW w:w="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7,623</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6,844</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5,320</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4,363</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3,725</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3,228</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(3,043)</w:t>
            </w: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3,513</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2,829</w:t>
            </w: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2,278</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4,942</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7,237</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6,057</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 *</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0.15</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0.33</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0.49</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14.40</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14.52</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14.46</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14.24</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13.78</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14.29</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13.82</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13.73</w:t>
            </w:r>
          </w:p>
        </w:tc>
        <w:tc>
          <w:tcPr>
            <w:tcW w:w="10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8865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18"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260" w:firstLine="571"/>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80" w:firstLine="571"/>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32"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8" w:lineRule="exact"/>
        <w:rPr>
          <w:sz w:val="20"/>
          <w:szCs w:val="20"/>
          <w:color w:val="auto"/>
        </w:rPr>
      </w:pPr>
    </w:p>
    <w:p>
      <w:pPr>
        <w:ind w:right="80" w:firstLine="571"/>
        <w:spacing w:after="0" w:line="318" w:lineRule="auto"/>
        <w:rPr>
          <w:sz w:val="20"/>
          <w:szCs w:val="20"/>
          <w:color w:val="auto"/>
        </w:rPr>
      </w:pPr>
      <w:r>
        <w:rPr>
          <w:rFonts w:ascii="Arial" w:cs="Arial" w:eastAsia="Arial" w:hAnsi="Arial"/>
          <w:sz w:val="15"/>
          <w:szCs w:val="15"/>
          <w:color w:val="auto"/>
        </w:rPr>
        <w:t>Under normal market conditions, we generally expect that at least 80% of the value of our Managed Assets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00" w:lineRule="exact"/>
        <w:rPr>
          <w:sz w:val="20"/>
          <w:szCs w:val="20"/>
          <w:color w:val="auto"/>
        </w:rPr>
      </w:pPr>
    </w:p>
    <w:p>
      <w:pPr>
        <w:ind w:right="220"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In August 2015, we completed the acquisition of MCG pursuant to the Merger Agreement. As a result of the transactions contemplated by the Merger Agreement, MCG was merged with and into PFLT Panama, LLC with MCG as the surviving corporation, following which MCG was merged with and into PFLT Funding II, LLC with PFLT Funding II, LLC as the surviving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dividends, if any, on investment securities that we may acquire in portfolio companies. Our debt investments, whether in the form of senior secured debt or mezzanine debt, typically have a term of three to ten years and bear interest at a fixed or floating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or expense, as applicable, using the effective interest method as interest income. We record prepayment penalties on loans and debt securities as income. Dividend income, if any, is recognized on an accrual basis on the ex-dividend date to the extent that we expect to collect such amounts. Litigation settlements are accounted for in accordance with the gain contingency provisions of ASC 450-30.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62" w:lineRule="exact"/>
        <w:rPr>
          <w:sz w:val="20"/>
          <w:szCs w:val="20"/>
          <w:color w:val="auto"/>
        </w:rPr>
      </w:pPr>
    </w:p>
    <w:p>
      <w:pPr>
        <w:ind w:left="660" w:hanging="31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76"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0" w:hanging="314"/>
        <w:spacing w:after="0" w:line="256"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40" w:lineRule="exact"/>
        <w:rPr>
          <w:sz w:val="20"/>
          <w:szCs w:val="20"/>
          <w:color w:val="auto"/>
        </w:rPr>
      </w:pPr>
    </w:p>
    <w:p>
      <w:pPr>
        <w:jc w:val="both"/>
        <w:ind w:right="300" w:firstLine="571"/>
        <w:spacing w:after="0" w:line="306" w:lineRule="auto"/>
        <w:rPr>
          <w:sz w:val="20"/>
          <w:szCs w:val="20"/>
          <w:color w:val="auto"/>
        </w:rPr>
      </w:pPr>
      <w:r>
        <w:rPr>
          <w:rFonts w:ascii="Arial" w:cs="Arial" w:eastAsia="Arial" w:hAnsi="Arial"/>
          <w:sz w:val="16"/>
          <w:szCs w:val="16"/>
          <w:color w:val="auto"/>
        </w:rPr>
        <w:t>The SEC requires that “Total Estimated Annual Expenses” be calculated as a percentage of average net assets in the table on page 6 of this prospectus rather than as a percentage of average total assets. Total assets include assets that have been funded with borrowed money (leverage). For reference, the table below illustrates our “Total Estimated Annual Expenses” as a percentage of average total assets:</w:t>
      </w:r>
    </w:p>
    <w:p>
      <w:pPr>
        <w:spacing w:after="0" w:line="101"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620" w:type="dxa"/>
            <w:vAlign w:val="bottom"/>
            <w:gridSpan w:val="2"/>
          </w:tcPr>
          <w:p>
            <w:pPr>
              <w:ind w:left="1200"/>
              <w:spacing w:after="0"/>
              <w:rPr>
                <w:sz w:val="20"/>
                <w:szCs w:val="20"/>
                <w:color w:val="auto"/>
              </w:rPr>
            </w:pPr>
            <w:r>
              <w:rPr>
                <w:rFonts w:ascii="Arial" w:cs="Arial" w:eastAsia="Arial" w:hAnsi="Arial"/>
                <w:sz w:val="18"/>
                <w:szCs w:val="18"/>
                <w:b w:val="1"/>
                <w:bCs w:val="1"/>
                <w:color w:val="auto"/>
                <w:w w:val="87"/>
              </w:rPr>
              <w:t>Estimated Annual Expenses (as a Percentage of Average Total Assets</w:t>
            </w:r>
            <w:r>
              <w:rPr>
                <w:rFonts w:ascii="Arial" w:cs="Arial" w:eastAsia="Arial" w:hAnsi="Arial"/>
                <w:sz w:val="11"/>
                <w:szCs w:val="11"/>
                <w:b w:val="1"/>
                <w:bCs w:val="1"/>
                <w:color w:val="auto"/>
                <w:w w:val="87"/>
              </w:rPr>
              <w:t>(1)</w:t>
            </w:r>
            <w:r>
              <w:rPr>
                <w:rFonts w:ascii="Arial" w:cs="Arial" w:eastAsia="Arial" w:hAnsi="Arial"/>
                <w:sz w:val="18"/>
                <w:szCs w:val="18"/>
                <w:b w:val="1"/>
                <w:bCs w:val="1"/>
                <w:color w:val="auto"/>
                <w:w w:val="87"/>
              </w:rPr>
              <w:t>)</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1.00 % </w:t>
            </w:r>
            <w:r>
              <w:rPr>
                <w:rFonts w:ascii="Arial" w:cs="Arial" w:eastAsia="Arial" w:hAnsi="Arial"/>
                <w:sz w:val="11"/>
                <w:szCs w:val="11"/>
                <w:color w:val="auto"/>
              </w:rPr>
              <w:t>(2)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Incentive fees</w:t>
            </w:r>
          </w:p>
        </w:tc>
        <w:tc>
          <w:tcPr>
            <w:tcW w:w="780" w:type="dxa"/>
            <w:vAlign w:val="bottom"/>
          </w:tcPr>
          <w:p>
            <w:pPr>
              <w:jc w:val="right"/>
              <w:spacing w:after="0"/>
              <w:rPr>
                <w:sz w:val="20"/>
                <w:szCs w:val="20"/>
                <w:color w:val="auto"/>
              </w:rPr>
            </w:pPr>
            <w:r>
              <w:rPr>
                <w:rFonts w:ascii="Arial" w:cs="Arial" w:eastAsia="Arial" w:hAnsi="Arial"/>
                <w:sz w:val="18"/>
                <w:szCs w:val="18"/>
                <w:color w:val="auto"/>
              </w:rPr>
              <w:t xml:space="preserve">0.90 % </w:t>
            </w:r>
            <w:r>
              <w:rPr>
                <w:rFonts w:ascii="Arial" w:cs="Arial" w:eastAsia="Arial" w:hAnsi="Arial"/>
                <w:sz w:val="11"/>
                <w:szCs w:val="11"/>
                <w:color w:val="auto"/>
              </w:rPr>
              <w:t>(3)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borrowed funds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1.09 % </w:t>
            </w:r>
            <w:r>
              <w:rPr>
                <w:rFonts w:ascii="Arial" w:cs="Arial" w:eastAsia="Arial" w:hAnsi="Arial"/>
                <w:sz w:val="11"/>
                <w:szCs w:val="11"/>
                <w:color w:val="auto"/>
              </w:rPr>
              <w:t>(4)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expenses</w:t>
            </w:r>
          </w:p>
        </w:tc>
        <w:tc>
          <w:tcPr>
            <w:tcW w:w="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0.62 % </w:t>
            </w:r>
            <w:r>
              <w:rPr>
                <w:rFonts w:ascii="Arial" w:cs="Arial" w:eastAsia="Arial" w:hAnsi="Arial"/>
                <w:sz w:val="11"/>
                <w:szCs w:val="11"/>
                <w:color w:val="auto"/>
              </w:rPr>
              <w:t>(5)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3.61 % </w:t>
            </w:r>
            <w:r>
              <w:rPr>
                <w:rFonts w:ascii="Arial" w:cs="Arial" w:eastAsia="Arial" w:hAnsi="Arial"/>
                <w:sz w:val="11"/>
                <w:szCs w:val="11"/>
                <w:color w:val="auto"/>
              </w:rPr>
              <w:t>(6)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Average total assets attributable to common shares equals average gross assets for the fiscal year ended September 30, 2016.</w:t>
      </w:r>
    </w:p>
    <w:p>
      <w:pPr>
        <w:spacing w:after="0" w:line="68"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340" w:right="40" w:hanging="332"/>
        <w:spacing w:after="0" w:line="266" w:lineRule="auto"/>
        <w:tabs>
          <w:tab w:leader="none" w:pos="3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and capital gains, if any, is based on actual amounts incurred during the fiscal year ended September 30, 2016.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year ended September 30, 2016.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340" w:right="20" w:hanging="332"/>
        <w:spacing w:after="0" w:line="273" w:lineRule="auto"/>
        <w:tabs>
          <w:tab w:leader="none" w:pos="3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As of September 30, 2016, we had $232.9 million in borrowings outstanding under our $350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and amendment costs incurred on our Credit Facility for the fiscal year ended September 30, 2016 and we caution you that our actual interest expense will depend on prevailing interest rates and our rate of borrowing, which may be substantially higher than the amount provided in this table. See “Risk Factors—Risks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ind w:left="340" w:right="200" w:hanging="332"/>
        <w:spacing w:after="0" w:line="233"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57" w:lineRule="exact"/>
        <w:rPr>
          <w:rFonts w:ascii="Arial" w:cs="Arial" w:eastAsia="Arial" w:hAnsi="Arial"/>
          <w:sz w:val="14"/>
          <w:szCs w:val="14"/>
          <w:color w:val="auto"/>
        </w:rPr>
      </w:pPr>
    </w:p>
    <w:p>
      <w:pPr>
        <w:ind w:left="340" w:right="140" w:hanging="332"/>
        <w:spacing w:after="0" w:line="273" w:lineRule="auto"/>
        <w:tabs>
          <w:tab w:leader="none" w:pos="3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for the fiscal year ended September 30, 2016.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7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As of September 30, 2016, our portfolio totaled $598.9 million and consisted of $548.4 million of senior secured debt, $36.6 million of second lien secured debt and $13.9 million of subordinated debt, preferred and common equity. Our debt portfolio consisted of 99% variable-rate investments (including 94% with a LIBOR or prime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senior secured debt, 6% in second lien secured debt and 2% in subordinated debt, preferred and common equity.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As of September 30, 2015, our portfolio totaled $391.3 million and consisted of $335.0 million of senior secured debt, $47.9 million of second lien secured debt and $8.4 million of subordinated debt, preferred and common equity. Our debt portfolio consisted of 97% variable-rate investments (including 92% with a LIBOR or prime floor) and 3% fixed-rate investments. As of September 30, 2015, we had one company on non-accrual, representing 1.6% and 0.9% of our overall portfolio on a cost and fair value basis, respectively. Overall, the portfolio had net unrealized depreciation of $6.0 million. Our overall portfolio consisted of 76 companies with an average investment size of $5.1 million, had a weighted average yield on debt investments of 7.9%, and was invested 86% in senior secured debt, 12% in second lien secured debt and 2% in subordinated debt, preferred and common equity.</w:t>
      </w:r>
    </w:p>
    <w:p>
      <w:pPr>
        <w:spacing w:after="0" w:line="93"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For the fiscal year ended September 30, 2016, we invested $364.4 million of investments in 37 new and 25 existing portfolio companies with a weighted average yield on debt investments of 7.8%. Sales and repayments of investments for the year ended September 30, 2016 totaled $164.2 million.</w:t>
      </w:r>
    </w:p>
    <w:p>
      <w:pPr>
        <w:spacing w:after="0" w:line="58"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For the fiscal year ended September 30, 2015, we invested $224.2 million of investments in 32 new and 34 existing portfolio companies with a weighted average yield on debt investments of 7.7%. Sales and repayments of investments for the year ended September 30, 2015 totaled $195.0 million.</w:t>
      </w:r>
    </w:p>
    <w:p>
      <w:pPr>
        <w:spacing w:after="0" w:line="58"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For the fiscal year ended September 30, 2014, we invested $248.1 million of investments in 36 new and 33 existing portfolio companies with a weighted average yield on debt investments of 8.2%. Sales and repayments of investments for the year ended September 30, 2014 totaled $225.6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firstLine="571"/>
        <w:spacing w:after="0" w:line="310" w:lineRule="auto"/>
        <w:rPr>
          <w:sz w:val="20"/>
          <w:szCs w:val="20"/>
          <w:color w:val="auto"/>
        </w:rPr>
      </w:pPr>
      <w:r>
        <w:rPr>
          <w:rFonts w:ascii="Arial" w:cs="Arial" w:eastAsia="Arial" w:hAnsi="Arial"/>
          <w:sz w:val="15"/>
          <w:szCs w:val="15"/>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below.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81"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7" w:lineRule="exact"/>
        <w:rPr>
          <w:sz w:val="20"/>
          <w:szCs w:val="20"/>
          <w:color w:val="auto"/>
        </w:rPr>
      </w:pPr>
    </w:p>
    <w:p>
      <w:pPr>
        <w:ind w:left="900" w:right="46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118"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7"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29"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5"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89"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58" w:lineRule="exact"/>
        <w:rPr>
          <w:sz w:val="20"/>
          <w:szCs w:val="20"/>
          <w:color w:val="auto"/>
        </w:rPr>
      </w:pPr>
    </w:p>
    <w:p>
      <w:pPr>
        <w:ind w:left="1700" w:right="1660" w:hanging="769"/>
        <w:spacing w:after="0" w:line="268" w:lineRule="auto"/>
        <w:tabs>
          <w:tab w:leader="none" w:pos="168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ind w:left="1700" w:right="940" w:hanging="769"/>
        <w:spacing w:after="0" w:line="306" w:lineRule="auto"/>
        <w:tabs>
          <w:tab w:leader="none" w:pos="16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3" w:lineRule="exact"/>
        <w:rPr>
          <w:sz w:val="20"/>
          <w:szCs w:val="20"/>
          <w:color w:val="auto"/>
        </w:rPr>
      </w:pPr>
    </w:p>
    <w:p>
      <w:pPr>
        <w:ind w:left="1700" w:right="1380" w:hanging="769"/>
        <w:spacing w:after="0" w:line="268" w:lineRule="auto"/>
        <w:tabs>
          <w:tab w:leader="none" w:pos="168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05"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6"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3"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$0.9 million, $2.3 million and $0.7 million, relating to amendment fees on the Credit Facility during the years ended September 30, 2016, 2015 and 2014,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2016, 2015 and 2014, our Credit Facility had a net change in unrealized depreciation (appreciation) of $0.5 million, $0.5 million and $(0.5) million, respectively. As of September 30, 2016 and 2015, the net unrealized depreciation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firstLine="571"/>
        <w:spacing w:after="0" w:line="323" w:lineRule="auto"/>
        <w:rPr>
          <w:sz w:val="20"/>
          <w:szCs w:val="20"/>
          <w:color w:val="auto"/>
        </w:rPr>
      </w:pPr>
      <w:r>
        <w:rPr>
          <w:rFonts w:ascii="Arial" w:cs="Arial" w:eastAsia="Arial" w:hAnsi="Arial"/>
          <w:sz w:val="15"/>
          <w:szCs w:val="15"/>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 of our portfolio investments and Credit Facility during the reporting period, including any reversal of previously recorded unrealized appreciation or depreciation, when gains or losses are realized.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books and records are maintained in U.S. dollars. Any foreign currency amounts are translated into U.S. dollars on the following basis:</w:t>
      </w:r>
    </w:p>
    <w:p>
      <w:pPr>
        <w:spacing w:after="0" w:line="167" w:lineRule="exact"/>
        <w:rPr>
          <w:sz w:val="20"/>
          <w:szCs w:val="20"/>
          <w:color w:val="auto"/>
        </w:rPr>
      </w:pPr>
    </w:p>
    <w:p>
      <w:pPr>
        <w:ind w:left="1100" w:hanging="179"/>
        <w:spacing w:after="0"/>
        <w:tabs>
          <w:tab w:leader="none" w:pos="11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167" w:lineRule="exact"/>
        <w:rPr>
          <w:rFonts w:ascii="Arial" w:cs="Arial" w:eastAsia="Arial" w:hAnsi="Arial"/>
          <w:sz w:val="16"/>
          <w:szCs w:val="16"/>
          <w:color w:val="auto"/>
        </w:rPr>
      </w:pPr>
    </w:p>
    <w:p>
      <w:pPr>
        <w:ind w:left="1100" w:hanging="179"/>
        <w:spacing w:after="0"/>
        <w:tabs>
          <w:tab w:leader="none" w:pos="11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Purchases and sales of investment securities, income and expenses – at the exchange rates prevailing on the respective dates of such transactions.</w:t>
      </w:r>
    </w:p>
    <w:p>
      <w:pPr>
        <w:spacing w:after="0" w:line="179" w:lineRule="exact"/>
        <w:rPr>
          <w:sz w:val="20"/>
          <w:szCs w:val="20"/>
          <w:color w:val="auto"/>
        </w:rPr>
      </w:pPr>
    </w:p>
    <w:p>
      <w:pPr>
        <w:jc w:val="both"/>
        <w:ind w:right="260" w:firstLine="571"/>
        <w:spacing w:after="0" w:line="306"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In order for us to maintain our ability to be treated as a RIC for federal income tax purposes, substantially all of this income must be paid out to stockholders in the form of dividends for U.S. federal income tax purposes, even though we have not collected any cash with respect to interest on PIK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to our stockholders in respect of each calendar year an amount at least equal to the sum of (1) 98% of our net ordinary income for the calendar year, (2) 98.2%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for federal income tax purposes, to provide us with additional liquidity.</w:t>
      </w:r>
    </w:p>
    <w:p>
      <w:pPr>
        <w:spacing w:after="0" w:line="91" w:lineRule="exact"/>
        <w:rPr>
          <w:sz w:val="20"/>
          <w:szCs w:val="20"/>
          <w:color w:val="auto"/>
        </w:rPr>
      </w:pPr>
    </w:p>
    <w:p>
      <w:pPr>
        <w:ind w:right="240" w:firstLine="571"/>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86"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Accordingly, the Taxable Subsidiaries will pay income taxes at regular corporate income tax rates. These Taxable Subsidiaries allow us to hold equity securities of certain portfolio companies treated as pass-through entities for U.S. federal income tax purposes while continuing to satisfy the requirements of a RIC under the Code.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Set forth below are the results of operations for the fiscal years ended September 30, 2016, 2015 and 2014.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jc w:val="both"/>
        <w:ind w:right="180" w:firstLine="571"/>
        <w:spacing w:after="0" w:line="335" w:lineRule="auto"/>
        <w:rPr>
          <w:sz w:val="20"/>
          <w:szCs w:val="20"/>
          <w:color w:val="auto"/>
        </w:rPr>
      </w:pPr>
      <w:r>
        <w:rPr>
          <w:rFonts w:ascii="Arial" w:cs="Arial" w:eastAsia="Arial" w:hAnsi="Arial"/>
          <w:sz w:val="15"/>
          <w:szCs w:val="15"/>
          <w:color w:val="auto"/>
        </w:rPr>
        <w:t>Investment income for the fiscal year ended September 30, 2016 was $46.3 million and was attributable to $36.4 million from senior secured debt, $6.1 million from second lien secured debt and $3.8 million from subordinated debt (including $3.3 million from a litigation settlement related to a former portfolio company of MCG that is not expected to be recurring). The increase in investment income over the prior year was primarily due to the growth of our portfolio.</w:t>
      </w:r>
    </w:p>
    <w:p>
      <w:pPr>
        <w:spacing w:after="0" w:line="61"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Investment income for the fiscal year ended September 30, 2015 was $30.4 million and was attributable to $23.5 million from senior secured debt, $5.7 million from second lien secured debt and $1.2 million from subordinated debt. Investment income was relatively the same compared to the prior year due to investing in debt with lower yields.</w:t>
      </w:r>
    </w:p>
    <w:p>
      <w:pPr>
        <w:spacing w:after="0" w:line="113"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Investment income for the fiscal year ended September 30, 2014 was $30.4 million and was attributable to $24.5 million from senior secured debt, $4.2 million from second lien secured debt and $1.7 million from subordinated debt.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Expenses for the fiscal year ended September 30, 2016 totaled $19.0 million. Base management fee for the same period totaled $5.0 million, incentive fee totaled $4.8 million (including $1.1 million on net unrealized gains accrued but not payable), Credit Facility expenses totaled $5.8 million (including $0.9 million of Credit Facility amendment expenses) and general and administrative expenses totaled $3.4 million. The increase in expenses over the prior year was primarily due to increases in base management and incentive fees as a result from the growth of our portfolio.</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Expenses for the fiscal year ended September 30, 2015 totaled $12.7 million. Base management fee for the same period totaled $3.6 million, incentive fee totaled $1.1 million (including $(0.4) million on net realized gains and $(0.7) million on net unrealized gains accrued but not payable), Credit Facility expenses totaled $5.6 million (including $2.3 million of Credit Facility amendment expenses), general and administrative expenses totaled $2.0 million and excise taxes were $0.4 million. The decrease in expenses over the prior year was primarily due to a reduction in the accrual of incentive fees offset by increased Credit Facility amendment costs.</w:t>
      </w:r>
    </w:p>
    <w:p>
      <w:pPr>
        <w:spacing w:after="0" w:line="116"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Expenses for the fiscal year ended September 30, 2014 totaled $13.7 million. Base management fee for the same period totaled $3.7 million, incentive fee totaled $3.5 million (including $0.1 million on net unrealized gains accrued but not payable), Credit Facility expenses totaled $4.2 million (including $0.7 million of Credit Facility amendment expenses), general and administrative expenses totaled $1.8 million and excise taxes were $0.5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jc w:val="both"/>
        <w:ind w:right="20" w:firstLine="571"/>
        <w:spacing w:after="0" w:line="335" w:lineRule="auto"/>
        <w:rPr>
          <w:sz w:val="20"/>
          <w:szCs w:val="20"/>
          <w:color w:val="auto"/>
        </w:rPr>
      </w:pPr>
      <w:r>
        <w:rPr>
          <w:rFonts w:ascii="Arial" w:cs="Arial" w:eastAsia="Arial" w:hAnsi="Arial"/>
          <w:sz w:val="15"/>
          <w:szCs w:val="15"/>
          <w:color w:val="auto"/>
        </w:rPr>
        <w:t>Net investment income totaled $27.3 million or $1.02 per share, $17.7 million or $1.08 per share and $16.6 million or $1.12 per share, for the fiscal years ended September 30, 2016, 2015 and 2014, respectively. Although the net investment income increased, the net investment income per share for fiscal year ended September 30, 2016 decreased compared to the prior year primarily due to the issuance of new shares in connection with our acquisition of MCG in August 2015.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Sales and repayments of investments for the fiscal years ended September 30, 2016, 2015 and 2014 totaled $164.2 million, $195.0 million and $225.6 million, respectively. Net realized (losses) gains totaled $(1.4) million, $0.4 million and $2.9 million for the same periods, respectively. The decrease in realized gains for fiscal year ended September 30, 2016 compared to the prior year was driven by changes in market conditions for our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For the fiscal years ended September 30, 2016, 2015 and 2014, we reported unrealized appreciation (depreciation) on investments of $7.0 million, $(6.1) million and $1.6 million, respectively. As of September 30, 2016 and 2015, net unrealized appreciation (depreciation) on investments totaled $1.0 million and $(6.0) million, respectively. The net change in unrealized appreciation (depreciation) on our investments for fiscal year ended September 30, 2016 compared to the prior year was driven primarily by changes in the capital market conditions, financial performance of certain portfolio companies, and the reversal of unrealized depreciation (appreciation) of investments sold.</w:t>
      </w:r>
    </w:p>
    <w:p>
      <w:pPr>
        <w:spacing w:after="0" w:line="116" w:lineRule="exact"/>
        <w:rPr>
          <w:sz w:val="20"/>
          <w:szCs w:val="20"/>
          <w:color w:val="auto"/>
        </w:rPr>
      </w:pPr>
    </w:p>
    <w:p>
      <w:pPr>
        <w:jc w:val="both"/>
        <w:ind w:right="20" w:firstLine="571"/>
        <w:spacing w:after="0" w:line="306" w:lineRule="auto"/>
        <w:rPr>
          <w:sz w:val="20"/>
          <w:szCs w:val="20"/>
          <w:color w:val="auto"/>
        </w:rPr>
      </w:pPr>
      <w:r>
        <w:rPr>
          <w:rFonts w:ascii="Arial" w:cs="Arial" w:eastAsia="Arial" w:hAnsi="Arial"/>
          <w:sz w:val="16"/>
          <w:szCs w:val="16"/>
          <w:color w:val="auto"/>
        </w:rPr>
        <w:t>For the fiscal years ended September 30, 2016, 2015 and 2014, our Credit Facility had a change in unrealized depreciation (appreciation) of $0.5 million, $0.5 million and $(0.5) million, respectively. As of September 30, 2016 and 2015, net unrealized depreciation on our Credit Facility totaled $0.5 million and zero, respectively. The change for fiscal year ended September 30, 2016 compared to the prior year was due to changes in the capital markets.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90" w:lineRule="exact"/>
        <w:rPr>
          <w:sz w:val="20"/>
          <w:szCs w:val="20"/>
          <w:color w:val="auto"/>
        </w:rPr>
      </w:pPr>
    </w:p>
    <w:p>
      <w:pPr>
        <w:ind w:right="100" w:firstLine="571"/>
        <w:spacing w:after="0" w:line="306" w:lineRule="auto"/>
        <w:rPr>
          <w:sz w:val="20"/>
          <w:szCs w:val="20"/>
          <w:color w:val="auto"/>
        </w:rPr>
      </w:pPr>
      <w:r>
        <w:rPr>
          <w:rFonts w:ascii="Arial" w:cs="Arial" w:eastAsia="Arial" w:hAnsi="Arial"/>
          <w:sz w:val="16"/>
          <w:szCs w:val="16"/>
          <w:color w:val="auto"/>
        </w:rPr>
        <w:t>Net change in net assets resulting from operations totaled $33.5 million or $1.25 per share, $12.5 million or $0.77 per share and $20.5 million or $1.38 per share, for the fiscal years ended September 30, 2016, 2015 and 2014, respectively. The increase in the net change in net assets from operations for fiscal year ended September 30, 2016 compared to the prior year reflects the change in portfolio investment valuation during the reporting period.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16" w:lineRule="exact"/>
        <w:rPr>
          <w:sz w:val="20"/>
          <w:szCs w:val="20"/>
          <w:color w:val="auto"/>
        </w:rPr>
      </w:pPr>
    </w:p>
    <w:p>
      <w:pPr>
        <w:ind w:firstLine="571"/>
        <w:spacing w:after="0" w:line="302" w:lineRule="auto"/>
        <w:rPr>
          <w:sz w:val="20"/>
          <w:szCs w:val="20"/>
          <w:color w:val="auto"/>
        </w:rPr>
      </w:pPr>
      <w:r>
        <w:rPr>
          <w:rFonts w:ascii="Arial" w:cs="Arial" w:eastAsia="Arial" w:hAnsi="Arial"/>
          <w:sz w:val="15"/>
          <w:szCs w:val="15"/>
          <w:color w:val="auto"/>
        </w:rPr>
        <w:t>Funding I’s multi-currency Credit Facility with the Lenders was $350 million as of September 30, 2016, subject to satisfaction of certain conditions and the regulatory restrictions that the 1940 Act imposes on us as a BDC, has an interest rate spread above LIBOR of 200 basis points, a maturity date of August 2020 and a revolving period that ends in August 2018. As of September 30, 2016 and 2015, Funding I had $232.9 million and $29.6 million of outstanding borrowings under the Credit Facility, respectively. The Credit Facility had a weighted average interest rate of 2.57% and 2.20%, excluding the undrawn commitment fees of</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0.375% and 0.75% as of September 30, 2016 and 2015, respectively. The annualized weighted average cost of debt for the fiscal years ended September 30, 2016, 2015 and 2014, inclusive of the fee on the undrawn commitment on the Credit Facility but excluding amendment costs, was 3.51%, 2.62% and 2.35%, respectively. As of September 30, 2016 and 2015, we had $117.1 million and $260.4 million of unused borrowing capacity under our Credit Facility, respectively, subject to the regulatory restrictions.</w:t>
      </w:r>
    </w:p>
    <w:p>
      <w:pPr>
        <w:spacing w:after="0" w:line="11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2016, we were in compliance with the covenants relating to our Credit Facility.</w:t>
      </w:r>
    </w:p>
    <w:p>
      <w:pPr>
        <w:spacing w:after="0" w:line="89"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13"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93" w:lineRule="exact"/>
        <w:rPr>
          <w:sz w:val="20"/>
          <w:szCs w:val="20"/>
          <w:color w:val="auto"/>
        </w:rPr>
      </w:pPr>
    </w:p>
    <w:p>
      <w:pPr>
        <w:ind w:right="120" w:firstLine="571"/>
        <w:spacing w:after="0" w:line="254" w:lineRule="auto"/>
        <w:rPr>
          <w:sz w:val="20"/>
          <w:szCs w:val="20"/>
          <w:color w:val="auto"/>
        </w:rPr>
      </w:pPr>
      <w:r>
        <w:rPr>
          <w:rFonts w:ascii="Arial" w:cs="Arial" w:eastAsia="Arial" w:hAnsi="Arial"/>
          <w:sz w:val="18"/>
          <w:szCs w:val="18"/>
          <w:color w:val="auto"/>
        </w:rPr>
        <w:t>We may raise equity or debt capital through both registered offerings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years ended September 30, 2016, 2015 and 2014, we issued zero, 11.8 million and zero shares, respectively. As a result, we raised approximately zero, $164.7 million and zero dollars in gross proceeds from issuances of our equity capital.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On September 30, 2016 and 2015, we had cash equivalents of $28.9 million and $21.4 million, respectively, available for investing and general corporate purposes. We believe our liquidity and capital resources are sufficient to take advantage of market opportunities.</w:t>
      </w:r>
    </w:p>
    <w:p>
      <w:pPr>
        <w:spacing w:after="0" w:line="132"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Our operating activities used cash of $165.5 million for the year ended September 30, 2016, and our financing activities provided cash of $172.8 million for the same period. Our operating activities used cash primarily for our investment activities and our financing activities provided cash primarily from net borrowings under the Credit Facility.</w:t>
      </w:r>
    </w:p>
    <w:p>
      <w:pPr>
        <w:spacing w:after="0" w:line="140"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Our operating activities used cash of $2.2 million for the year ended September 30, 2015, and our financing activities provided cash of $10.5 million for the same period. Our operating activities used cash primarily for our investment activities and our financing activities provided cash primarily from the MCG merger.</w:t>
      </w:r>
    </w:p>
    <w:p>
      <w:pPr>
        <w:spacing w:after="0" w:line="14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Our operating activities used cash of $22.3 million for the year ended September 30, 2014, and our financing activities provided cash of $30.8 million for the same period. Our operating activities used cash primarily for our investment activities and our financing activities provided cash primarily from net draws under the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A summary of our significant contractual payment obligations as of September 30, 2016, including borrowings under our Credit Facility and other contractual obligations,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4"/>
              </w:rPr>
              <w:t>Payments due by period (millions)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jc w:val="right"/>
              <w:ind w:right="8"/>
              <w:spacing w:after="0" w:line="129"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500"/>
              <w:spacing w:after="0" w:line="129" w:lineRule="exact"/>
              <w:rPr>
                <w:sz w:val="20"/>
                <w:szCs w:val="20"/>
                <w:color w:val="auto"/>
              </w:rPr>
            </w:pPr>
            <w:r>
              <w:rPr>
                <w:rFonts w:ascii="Arial" w:cs="Arial" w:eastAsia="Arial" w:hAnsi="Arial"/>
                <w:sz w:val="14"/>
                <w:szCs w:val="14"/>
                <w:b w:val="1"/>
                <w:bCs w:val="1"/>
                <w:color w:val="auto"/>
              </w:rPr>
              <w:t>1-3</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320"/>
              <w:spacing w:after="0" w:line="129" w:lineRule="exact"/>
              <w:rPr>
                <w:sz w:val="20"/>
                <w:szCs w:val="20"/>
                <w:color w:val="auto"/>
              </w:rPr>
            </w:pPr>
            <w:r>
              <w:rPr>
                <w:rFonts w:ascii="Arial" w:cs="Arial" w:eastAsia="Arial" w:hAnsi="Arial"/>
                <w:sz w:val="14"/>
                <w:szCs w:val="14"/>
                <w:b w:val="1"/>
                <w:bCs w:val="1"/>
                <w:color w:val="auto"/>
              </w:rPr>
              <w:t>3-5</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ind w:right="280"/>
              <w:spacing w:after="0" w:line="129" w:lineRule="exact"/>
              <w:rPr>
                <w:sz w:val="20"/>
                <w:szCs w:val="20"/>
                <w:color w:val="auto"/>
              </w:rPr>
            </w:pPr>
            <w:r>
              <w:rPr>
                <w:rFonts w:ascii="Arial" w:cs="Arial" w:eastAsia="Arial" w:hAnsi="Arial"/>
                <w:sz w:val="14"/>
                <w:szCs w:val="14"/>
                <w:b w:val="1"/>
                <w:bCs w:val="1"/>
                <w:color w:val="auto"/>
              </w:rPr>
              <w:t>More than</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jc w:val="right"/>
              <w:ind w:right="108"/>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5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2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1"/>
                <w:szCs w:val="11"/>
                <w:color w:val="auto"/>
              </w:rPr>
              <w:t>(1)</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88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246.4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(1) Unfunded investments are disclosed in the Consolidated Schedule of Investments and Note 12 of our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2016,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86"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Under our Administration Agreement, which was reapproved by our board of directors, including a majority of our directors who are not interested persons of us, in February 2016,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7"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currently engage in no off-balance sheet arrangements other than our funding requirements for the unfunded investments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In order to be treated as a RIC for federal income tax purposes and to not be subject to corporate-level tax on undistributed income or gains, we are required, under Subchapter M of the Code, to annually distribute to stockholders out of the assets legally available for distribution of an amount generally at least equal to 90% of the sum of our ordinary income and realized net short-term capital gains in excess of realized net long-term capital losses, or investment company taxable income, determined without regard to any deduction for dividends paid.</w:t>
      </w:r>
    </w:p>
    <w:p>
      <w:pPr>
        <w:spacing w:after="0" w:line="86"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to our stockholders in respect of each calendar year an amount at least equal to the sum of (1) 98% of our net ordinary income for the calendar year, (2) 98.2%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retain such net capital gains or investment company taxable income in the future, subject to maintaining our ability to be treated as a RIC for federal income tax purposes, to provide us with additional liquidity.</w:t>
      </w:r>
    </w:p>
    <w:p>
      <w:pPr>
        <w:spacing w:after="0" w:line="91" w:lineRule="exact"/>
        <w:rPr>
          <w:sz w:val="20"/>
          <w:szCs w:val="20"/>
          <w:color w:val="auto"/>
        </w:rPr>
      </w:pPr>
    </w:p>
    <w:p>
      <w:pPr>
        <w:ind w:right="200" w:firstLine="571"/>
        <w:spacing w:after="0" w:line="294" w:lineRule="auto"/>
        <w:rPr>
          <w:sz w:val="20"/>
          <w:szCs w:val="20"/>
          <w:color w:val="auto"/>
        </w:rPr>
      </w:pPr>
      <w:r>
        <w:rPr>
          <w:rFonts w:ascii="Arial" w:cs="Arial" w:eastAsia="Arial" w:hAnsi="Arial"/>
          <w:sz w:val="16"/>
          <w:szCs w:val="16"/>
          <w:color w:val="auto"/>
        </w:rPr>
        <w:t>During the years ended September 30, 2016, 2015 and 2014, we declared distributions of $1.14, $1.12 and $1.08 per share, respectively, for total distributions of $30.5 million, $18.9 million and $16.1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89"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We intend to continue to make monthly distributions to our stockholders. Our monthly distributions, if any, are determined by our board of directors quarterly.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13"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tax status. We cannot assure stockholders that they will receive any distributions at a particular level.</w:t>
      </w:r>
    </w:p>
    <w:p>
      <w:pPr>
        <w:spacing w:after="0" w:line="86"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7"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We are subject to financial market risks, including changes in interest rates. As of September 30, 2016, our debt portfolio consisted of 99% variable-rate investments (including 94% with a LIBOR or prime floor) and 1%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93"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Assuming that the most recent Consolidated Statement of Assets and Liabilities was to remain constant, and no actions were taken to alter the existing interest rate sensitivity, the following table shows the annualized impact of hypothetical base rate changes in interest rates.</w:t>
      </w:r>
    </w:p>
    <w:p>
      <w:pPr>
        <w:spacing w:after="0" w:line="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4960" w:type="dxa"/>
            <w:vAlign w:val="bottom"/>
            <w:gridSpan w:val="3"/>
          </w:tcPr>
          <w:p>
            <w:pPr>
              <w:ind w:left="3860"/>
              <w:spacing w:after="0"/>
              <w:rPr>
                <w:sz w:val="20"/>
                <w:szCs w:val="20"/>
                <w:color w:val="auto"/>
              </w:rPr>
            </w:pPr>
            <w:r>
              <w:rPr>
                <w:rFonts w:ascii="Arial" w:cs="Arial" w:eastAsia="Arial" w:hAnsi="Arial"/>
                <w:sz w:val="14"/>
                <w:szCs w:val="14"/>
                <w:b w:val="1"/>
                <w:bCs w:val="1"/>
                <w:color w:val="auto"/>
                <w:w w:val="88"/>
              </w:rPr>
              <w:t>Change In Interest</w:t>
            </w:r>
          </w:p>
        </w:tc>
        <w:tc>
          <w:tcPr>
            <w:tcW w:w="2180" w:type="dxa"/>
            <w:vAlign w:val="bottom"/>
            <w:gridSpan w:val="4"/>
          </w:tcPr>
          <w:p>
            <w:pPr>
              <w:ind w:left="980"/>
              <w:spacing w:after="0"/>
              <w:rPr>
                <w:sz w:val="20"/>
                <w:szCs w:val="20"/>
                <w:color w:val="auto"/>
              </w:rPr>
            </w:pPr>
            <w:r>
              <w:rPr>
                <w:rFonts w:ascii="Arial" w:cs="Arial" w:eastAsia="Arial" w:hAnsi="Arial"/>
                <w:sz w:val="14"/>
                <w:szCs w:val="14"/>
                <w:b w:val="1"/>
                <w:bCs w:val="1"/>
                <w:color w:val="auto"/>
                <w:w w:val="96"/>
              </w:rPr>
              <w:t>Change In Interest</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Income, Net Of</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Income, Net Of</w:t>
            </w: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38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Interest Expense</w:t>
            </w:r>
          </w:p>
        </w:tc>
        <w:tc>
          <w:tcPr>
            <w:tcW w:w="980" w:type="dxa"/>
            <w:vAlign w:val="bottom"/>
          </w:tcPr>
          <w:p>
            <w:pPr>
              <w:spacing w:after="0"/>
              <w:rPr>
                <w:sz w:val="12"/>
                <w:szCs w:val="12"/>
                <w:color w:val="auto"/>
              </w:rPr>
            </w:pP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Interest Expense</w:t>
            </w: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vMerge w:val="continue"/>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9"/>
              <w:spacing w:after="0" w:line="148" w:lineRule="exact"/>
              <w:rPr>
                <w:sz w:val="20"/>
                <w:szCs w:val="20"/>
                <w:color w:val="auto"/>
              </w:rPr>
            </w:pPr>
            <w:r>
              <w:rPr>
                <w:rFonts w:ascii="Arial" w:cs="Arial" w:eastAsia="Arial" w:hAnsi="Arial"/>
                <w:sz w:val="14"/>
                <w:szCs w:val="14"/>
                <w:b w:val="1"/>
                <w:bCs w:val="1"/>
                <w:color w:val="auto"/>
                <w:w w:val="84"/>
              </w:rPr>
              <w:t>(in 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Up 1%</w:t>
            </w:r>
          </w:p>
        </w:tc>
        <w:tc>
          <w:tcPr>
            <w:tcW w:w="3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209</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Up 2%</w:t>
            </w:r>
          </w:p>
        </w:tc>
        <w:tc>
          <w:tcPr>
            <w:tcW w:w="3960" w:type="dxa"/>
            <w:vAlign w:val="bottom"/>
            <w:gridSpan w:val="2"/>
          </w:tcPr>
          <w:p>
            <w:pPr>
              <w:ind w:left="38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3,858</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3%</w:t>
            </w:r>
          </w:p>
        </w:tc>
        <w:tc>
          <w:tcPr>
            <w:tcW w:w="3960" w:type="dxa"/>
            <w:vAlign w:val="bottom"/>
            <w:gridSpan w:val="2"/>
            <w:shd w:val="clear" w:color="auto" w:fill="CCEEFF"/>
          </w:tcPr>
          <w:p>
            <w:pPr>
              <w:ind w:left="38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20"/>
                <w:szCs w:val="20"/>
                <w:color w:val="auto"/>
              </w:rPr>
            </w:pPr>
            <w:r>
              <w:rPr>
                <w:rFonts w:ascii="Arial" w:cs="Arial" w:eastAsia="Arial" w:hAnsi="Arial"/>
                <w:sz w:val="18"/>
                <w:szCs w:val="18"/>
                <w:color w:val="auto"/>
              </w:rPr>
              <w:t>Up 4%</w:t>
            </w:r>
          </w:p>
        </w:tc>
        <w:tc>
          <w:tcPr>
            <w:tcW w:w="3960" w:type="dxa"/>
            <w:vAlign w:val="bottom"/>
            <w:gridSpan w:val="2"/>
          </w:tcPr>
          <w:p>
            <w:pPr>
              <w:ind w:left="38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11,156</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3"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prospectus, we did not engage in interest rate hedging activities or foreign currency derivatives hedging activities.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Information about our senior securities shown in the following table as of September 30, 2016, 2015, 2014, 2013, 2012 and 2011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Asset</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34"/>
        </w:trPr>
        <w:tc>
          <w:tcPr>
            <w:tcW w:w="6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Total Amount</w:t>
            </w: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Coverage</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89"/>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Class and Year</w:t>
            </w:r>
          </w:p>
        </w:tc>
        <w:tc>
          <w:tcPr>
            <w:tcW w:w="1720" w:type="dxa"/>
            <w:vAlign w:val="bottom"/>
            <w:gridSpan w:val="2"/>
          </w:tcPr>
          <w:p>
            <w:pPr>
              <w:jc w:val="center"/>
              <w:ind w:right="160"/>
              <w:spacing w:after="0" w:line="189" w:lineRule="exact"/>
              <w:rPr>
                <w:sz w:val="20"/>
                <w:szCs w:val="20"/>
                <w:color w:val="auto"/>
              </w:rPr>
            </w:pPr>
            <w:r>
              <w:rPr>
                <w:rFonts w:ascii="Arial" w:cs="Arial" w:eastAsia="Arial" w:hAnsi="Arial"/>
                <w:sz w:val="13"/>
                <w:szCs w:val="13"/>
                <w:b w:val="1"/>
                <w:bCs w:val="1"/>
                <w:color w:val="auto"/>
                <w:w w:val="90"/>
              </w:rPr>
              <w:t xml:space="preserve">Outstanding </w:t>
            </w:r>
            <w:r>
              <w:rPr>
                <w:rFonts w:ascii="Arial" w:cs="Arial" w:eastAsia="Arial" w:hAnsi="Arial"/>
                <w:sz w:val="21"/>
                <w:szCs w:val="21"/>
                <w:b w:val="1"/>
                <w:bCs w:val="1"/>
                <w:color w:val="auto"/>
                <w:w w:val="90"/>
                <w:vertAlign w:val="superscript"/>
              </w:rPr>
              <w:t>(1)</w:t>
            </w:r>
          </w:p>
        </w:tc>
        <w:tc>
          <w:tcPr>
            <w:tcW w:w="1800" w:type="dxa"/>
            <w:vAlign w:val="bottom"/>
            <w:gridSpan w:val="2"/>
          </w:tcPr>
          <w:p>
            <w:pPr>
              <w:jc w:val="center"/>
              <w:ind w:right="120"/>
              <w:spacing w:after="0" w:line="189" w:lineRule="exact"/>
              <w:rPr>
                <w:sz w:val="20"/>
                <w:szCs w:val="20"/>
                <w:color w:val="auto"/>
              </w:rPr>
            </w:pPr>
            <w:r>
              <w:rPr>
                <w:rFonts w:ascii="Arial" w:cs="Arial" w:eastAsia="Arial" w:hAnsi="Arial"/>
                <w:sz w:val="13"/>
                <w:szCs w:val="13"/>
                <w:b w:val="1"/>
                <w:bCs w:val="1"/>
                <w:color w:val="auto"/>
                <w:w w:val="97"/>
              </w:rPr>
              <w:t xml:space="preserve">per Unit </w:t>
            </w:r>
            <w:r>
              <w:rPr>
                <w:rFonts w:ascii="Arial" w:cs="Arial" w:eastAsia="Arial" w:hAnsi="Arial"/>
                <w:sz w:val="21"/>
                <w:szCs w:val="21"/>
                <w:b w:val="1"/>
                <w:bCs w:val="1"/>
                <w:color w:val="auto"/>
                <w:w w:val="97"/>
                <w:vertAlign w:val="superscript"/>
              </w:rPr>
              <w:t>(2)</w:t>
            </w:r>
          </w:p>
        </w:tc>
        <w:tc>
          <w:tcPr>
            <w:tcW w:w="16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1"/>
              </w:rPr>
              <w:t xml:space="preserve">Unit </w:t>
            </w:r>
            <w:r>
              <w:rPr>
                <w:rFonts w:ascii="Arial" w:cs="Arial" w:eastAsia="Arial" w:hAnsi="Arial"/>
                <w:sz w:val="21"/>
                <w:szCs w:val="21"/>
                <w:b w:val="1"/>
                <w:bCs w:val="1"/>
                <w:color w:val="auto"/>
                <w:w w:val="91"/>
                <w:vertAlign w:val="superscript"/>
              </w:rPr>
              <w:t>(3)</w:t>
            </w:r>
          </w:p>
        </w:tc>
        <w:tc>
          <w:tcPr>
            <w:tcW w:w="0" w:type="dxa"/>
            <w:vAlign w:val="bottom"/>
          </w:tcPr>
          <w:p>
            <w:pPr>
              <w:spacing w:after="0"/>
              <w:rPr>
                <w:sz w:val="1"/>
                <w:szCs w:val="1"/>
                <w:color w:val="auto"/>
              </w:rPr>
            </w:pPr>
          </w:p>
        </w:tc>
      </w:tr>
      <w:tr>
        <w:trPr>
          <w:trHeight w:val="210"/>
        </w:trPr>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spacing w:after="0"/>
              <w:rPr>
                <w:sz w:val="20"/>
                <w:szCs w:val="20"/>
                <w:color w:val="auto"/>
              </w:rPr>
            </w:pPr>
            <w:r>
              <w:rPr>
                <w:rFonts w:ascii="Arial" w:cs="Arial" w:eastAsia="Arial" w:hAnsi="Arial"/>
                <w:sz w:val="18"/>
                <w:szCs w:val="18"/>
                <w:color w:val="auto"/>
              </w:rPr>
              <w:t>Fiscal 2016</w:t>
            </w:r>
          </w:p>
        </w:tc>
        <w:tc>
          <w:tcPr>
            <w:tcW w:w="1600" w:type="dxa"/>
            <w:vAlign w:val="bottom"/>
            <w:vMerge w:val="restart"/>
          </w:tcPr>
          <w:p>
            <w:pPr>
              <w:jc w:val="right"/>
              <w:ind w:right="378"/>
              <w:spacing w:after="0"/>
              <w:rPr>
                <w:sz w:val="20"/>
                <w:szCs w:val="20"/>
                <w:color w:val="auto"/>
              </w:rPr>
            </w:pPr>
            <w:r>
              <w:rPr>
                <w:rFonts w:ascii="Arial" w:cs="Arial" w:eastAsia="Arial" w:hAnsi="Arial"/>
                <w:sz w:val="18"/>
                <w:szCs w:val="18"/>
                <w:color w:val="auto"/>
              </w:rPr>
              <w:t>$232,908</w:t>
            </w:r>
          </w:p>
        </w:tc>
        <w:tc>
          <w:tcPr>
            <w:tcW w:w="120" w:type="dxa"/>
            <w:vAlign w:val="bottom"/>
          </w:tcPr>
          <w:p>
            <w:pPr>
              <w:spacing w:after="0"/>
              <w:rPr>
                <w:sz w:val="19"/>
                <w:szCs w:val="19"/>
                <w:color w:val="auto"/>
              </w:rPr>
            </w:pPr>
          </w:p>
        </w:tc>
        <w:tc>
          <w:tcPr>
            <w:tcW w:w="1700" w:type="dxa"/>
            <w:vAlign w:val="bottom"/>
            <w:vMerge w:val="restart"/>
          </w:tcPr>
          <w:p>
            <w:pPr>
              <w:jc w:val="right"/>
              <w:ind w:right="479"/>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59"/>
        </w:trPr>
        <w:tc>
          <w:tcPr>
            <w:tcW w:w="6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2015</w:t>
            </w:r>
          </w:p>
        </w:tc>
        <w:tc>
          <w:tcPr>
            <w:tcW w:w="1600" w:type="dxa"/>
            <w:vAlign w:val="bottom"/>
            <w:vMerge w:val="restart"/>
            <w:shd w:val="clear" w:color="auto" w:fill="CCEEFF"/>
          </w:tcPr>
          <w:p>
            <w:pPr>
              <w:jc w:val="right"/>
              <w:ind w:right="378"/>
              <w:spacing w:after="0"/>
              <w:rPr>
                <w:sz w:val="20"/>
                <w:szCs w:val="20"/>
                <w:color w:val="auto"/>
              </w:rPr>
            </w:pPr>
            <w:r>
              <w:rPr>
                <w:rFonts w:ascii="Arial" w:cs="Arial" w:eastAsia="Arial" w:hAnsi="Arial"/>
                <w:sz w:val="18"/>
                <w:szCs w:val="18"/>
                <w:color w:val="auto"/>
              </w:rPr>
              <w:t>$29,600</w:t>
            </w:r>
          </w:p>
        </w:tc>
        <w:tc>
          <w:tcPr>
            <w:tcW w:w="120" w:type="dxa"/>
            <w:vAlign w:val="bottom"/>
            <w:shd w:val="clear" w:color="auto" w:fill="CCEEFF"/>
          </w:tcPr>
          <w:p>
            <w:pPr>
              <w:spacing w:after="0"/>
              <w:rPr>
                <w:sz w:val="19"/>
                <w:szCs w:val="19"/>
                <w:color w:val="auto"/>
              </w:rPr>
            </w:pPr>
          </w:p>
        </w:tc>
        <w:tc>
          <w:tcPr>
            <w:tcW w:w="1700" w:type="dxa"/>
            <w:vAlign w:val="bottom"/>
            <w:vMerge w:val="restart"/>
            <w:shd w:val="clear" w:color="auto" w:fill="CCEEFF"/>
          </w:tcPr>
          <w:p>
            <w:pPr>
              <w:jc w:val="right"/>
              <w:ind w:right="479"/>
              <w:spacing w:after="0"/>
              <w:rPr>
                <w:sz w:val="20"/>
                <w:szCs w:val="20"/>
                <w:color w:val="auto"/>
              </w:rPr>
            </w:pPr>
            <w:r>
              <w:rPr>
                <w:rFonts w:ascii="Arial" w:cs="Arial" w:eastAsia="Arial" w:hAnsi="Arial"/>
                <w:sz w:val="18"/>
                <w:szCs w:val="18"/>
                <w:color w:val="auto"/>
              </w:rPr>
              <w:t>$13,598</w:t>
            </w:r>
          </w:p>
        </w:tc>
        <w:tc>
          <w:tcPr>
            <w:tcW w:w="100" w:type="dxa"/>
            <w:vAlign w:val="bottom"/>
            <w:shd w:val="clear" w:color="auto" w:fill="CCEEFF"/>
          </w:tcPr>
          <w:p>
            <w:pPr>
              <w:spacing w:after="0"/>
              <w:rPr>
                <w:sz w:val="19"/>
                <w:szCs w:val="19"/>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61"/>
        </w:trPr>
        <w:tc>
          <w:tcPr>
            <w:tcW w:w="6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1600" w:type="dxa"/>
            <w:vAlign w:val="bottom"/>
            <w:vMerge w:val="restart"/>
          </w:tcPr>
          <w:p>
            <w:pPr>
              <w:jc w:val="right"/>
              <w:ind w:right="378"/>
              <w:spacing w:after="0"/>
              <w:rPr>
                <w:sz w:val="20"/>
                <w:szCs w:val="20"/>
                <w:color w:val="auto"/>
              </w:rPr>
            </w:pPr>
            <w:r>
              <w:rPr>
                <w:rFonts w:ascii="Arial" w:cs="Arial" w:eastAsia="Arial" w:hAnsi="Arial"/>
                <w:sz w:val="18"/>
                <w:szCs w:val="18"/>
                <w:color w:val="auto"/>
              </w:rPr>
              <w:t>$146,400</w:t>
            </w:r>
          </w:p>
        </w:tc>
        <w:tc>
          <w:tcPr>
            <w:tcW w:w="120" w:type="dxa"/>
            <w:vAlign w:val="bottom"/>
          </w:tcPr>
          <w:p>
            <w:pPr>
              <w:spacing w:after="0"/>
              <w:rPr>
                <w:sz w:val="19"/>
                <w:szCs w:val="19"/>
                <w:color w:val="auto"/>
              </w:rPr>
            </w:pPr>
          </w:p>
        </w:tc>
        <w:tc>
          <w:tcPr>
            <w:tcW w:w="1700" w:type="dxa"/>
            <w:vAlign w:val="bottom"/>
            <w:vMerge w:val="restart"/>
          </w:tcPr>
          <w:p>
            <w:pPr>
              <w:jc w:val="right"/>
              <w:ind w:right="479"/>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59"/>
        </w:trPr>
        <w:tc>
          <w:tcPr>
            <w:tcW w:w="6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p>
        </w:tc>
        <w:tc>
          <w:tcPr>
            <w:tcW w:w="1600" w:type="dxa"/>
            <w:vAlign w:val="bottom"/>
            <w:vMerge w:val="restart"/>
            <w:shd w:val="clear" w:color="auto" w:fill="CCEEFF"/>
          </w:tcPr>
          <w:p>
            <w:pPr>
              <w:jc w:val="right"/>
              <w:ind w:right="378"/>
              <w:spacing w:after="0"/>
              <w:rPr>
                <w:sz w:val="20"/>
                <w:szCs w:val="20"/>
                <w:color w:val="auto"/>
              </w:rPr>
            </w:pPr>
            <w:r>
              <w:rPr>
                <w:rFonts w:ascii="Arial" w:cs="Arial" w:eastAsia="Arial" w:hAnsi="Arial"/>
                <w:sz w:val="18"/>
                <w:szCs w:val="18"/>
                <w:color w:val="auto"/>
              </w:rPr>
              <w:t>$99,600</w:t>
            </w:r>
          </w:p>
        </w:tc>
        <w:tc>
          <w:tcPr>
            <w:tcW w:w="120" w:type="dxa"/>
            <w:vAlign w:val="bottom"/>
            <w:shd w:val="clear" w:color="auto" w:fill="CCEEFF"/>
          </w:tcPr>
          <w:p>
            <w:pPr>
              <w:spacing w:after="0"/>
              <w:rPr>
                <w:sz w:val="19"/>
                <w:szCs w:val="19"/>
                <w:color w:val="auto"/>
              </w:rPr>
            </w:pPr>
          </w:p>
        </w:tc>
        <w:tc>
          <w:tcPr>
            <w:tcW w:w="1700" w:type="dxa"/>
            <w:vAlign w:val="bottom"/>
            <w:vMerge w:val="restart"/>
            <w:shd w:val="clear" w:color="auto" w:fill="CCEEFF"/>
          </w:tcPr>
          <w:p>
            <w:pPr>
              <w:jc w:val="right"/>
              <w:ind w:right="479"/>
              <w:spacing w:after="0"/>
              <w:rPr>
                <w:sz w:val="20"/>
                <w:szCs w:val="20"/>
                <w:color w:val="auto"/>
              </w:rPr>
            </w:pPr>
            <w:r>
              <w:rPr>
                <w:rFonts w:ascii="Arial" w:cs="Arial" w:eastAsia="Arial" w:hAnsi="Arial"/>
                <w:sz w:val="18"/>
                <w:szCs w:val="18"/>
                <w:color w:val="auto"/>
              </w:rPr>
              <w:t>$3,109</w:t>
            </w:r>
          </w:p>
        </w:tc>
        <w:tc>
          <w:tcPr>
            <w:tcW w:w="100" w:type="dxa"/>
            <w:vAlign w:val="bottom"/>
            <w:shd w:val="clear" w:color="auto" w:fill="CCEEFF"/>
          </w:tcPr>
          <w:p>
            <w:pPr>
              <w:spacing w:after="0"/>
              <w:rPr>
                <w:sz w:val="19"/>
                <w:szCs w:val="19"/>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61"/>
        </w:trPr>
        <w:tc>
          <w:tcPr>
            <w:tcW w:w="6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spacing w:after="0"/>
              <w:rPr>
                <w:sz w:val="20"/>
                <w:szCs w:val="20"/>
                <w:color w:val="auto"/>
              </w:rPr>
            </w:pPr>
            <w:r>
              <w:rPr>
                <w:rFonts w:ascii="Arial" w:cs="Arial" w:eastAsia="Arial" w:hAnsi="Arial"/>
                <w:sz w:val="18"/>
                <w:szCs w:val="18"/>
                <w:color w:val="auto"/>
              </w:rPr>
              <w:t>Fiscal 2012</w:t>
            </w:r>
          </w:p>
        </w:tc>
        <w:tc>
          <w:tcPr>
            <w:tcW w:w="1600" w:type="dxa"/>
            <w:vAlign w:val="bottom"/>
            <w:vMerge w:val="restart"/>
          </w:tcPr>
          <w:p>
            <w:pPr>
              <w:jc w:val="right"/>
              <w:ind w:right="378"/>
              <w:spacing w:after="0"/>
              <w:rPr>
                <w:sz w:val="20"/>
                <w:szCs w:val="20"/>
                <w:color w:val="auto"/>
              </w:rPr>
            </w:pPr>
            <w:r>
              <w:rPr>
                <w:rFonts w:ascii="Arial" w:cs="Arial" w:eastAsia="Arial" w:hAnsi="Arial"/>
                <w:sz w:val="18"/>
                <w:szCs w:val="18"/>
                <w:color w:val="auto"/>
              </w:rPr>
              <w:t>$75,500</w:t>
            </w:r>
          </w:p>
        </w:tc>
        <w:tc>
          <w:tcPr>
            <w:tcW w:w="120" w:type="dxa"/>
            <w:vAlign w:val="bottom"/>
          </w:tcPr>
          <w:p>
            <w:pPr>
              <w:spacing w:after="0"/>
              <w:rPr>
                <w:sz w:val="19"/>
                <w:szCs w:val="19"/>
                <w:color w:val="auto"/>
              </w:rPr>
            </w:pPr>
          </w:p>
        </w:tc>
        <w:tc>
          <w:tcPr>
            <w:tcW w:w="1700" w:type="dxa"/>
            <w:vAlign w:val="bottom"/>
            <w:vMerge w:val="restart"/>
          </w:tcPr>
          <w:p>
            <w:pPr>
              <w:jc w:val="right"/>
              <w:ind w:right="479"/>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59"/>
        </w:trPr>
        <w:tc>
          <w:tcPr>
            <w:tcW w:w="6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2011</w:t>
            </w:r>
          </w:p>
        </w:tc>
        <w:tc>
          <w:tcPr>
            <w:tcW w:w="1600" w:type="dxa"/>
            <w:vAlign w:val="bottom"/>
            <w:vMerge w:val="restart"/>
            <w:shd w:val="clear" w:color="auto" w:fill="CCEEFF"/>
          </w:tcPr>
          <w:p>
            <w:pPr>
              <w:jc w:val="right"/>
              <w:ind w:right="378"/>
              <w:spacing w:after="0"/>
              <w:rPr>
                <w:sz w:val="20"/>
                <w:szCs w:val="20"/>
                <w:color w:val="auto"/>
              </w:rPr>
            </w:pPr>
            <w:r>
              <w:rPr>
                <w:rFonts w:ascii="Arial" w:cs="Arial" w:eastAsia="Arial" w:hAnsi="Arial"/>
                <w:sz w:val="18"/>
                <w:szCs w:val="18"/>
                <w:color w:val="auto"/>
              </w:rPr>
              <w:t>$24,650</w:t>
            </w:r>
          </w:p>
        </w:tc>
        <w:tc>
          <w:tcPr>
            <w:tcW w:w="120" w:type="dxa"/>
            <w:vAlign w:val="bottom"/>
            <w:shd w:val="clear" w:color="auto" w:fill="CCEEFF"/>
          </w:tcPr>
          <w:p>
            <w:pPr>
              <w:spacing w:after="0"/>
              <w:rPr>
                <w:sz w:val="19"/>
                <w:szCs w:val="19"/>
                <w:color w:val="auto"/>
              </w:rPr>
            </w:pPr>
          </w:p>
        </w:tc>
        <w:tc>
          <w:tcPr>
            <w:tcW w:w="1700" w:type="dxa"/>
            <w:vAlign w:val="bottom"/>
            <w:vMerge w:val="restart"/>
            <w:shd w:val="clear" w:color="auto" w:fill="CCEEFF"/>
          </w:tcPr>
          <w:p>
            <w:pPr>
              <w:jc w:val="right"/>
              <w:ind w:right="479"/>
              <w:spacing w:after="0"/>
              <w:rPr>
                <w:sz w:val="20"/>
                <w:szCs w:val="20"/>
                <w:color w:val="auto"/>
              </w:rPr>
            </w:pPr>
            <w:r>
              <w:rPr>
                <w:rFonts w:ascii="Arial" w:cs="Arial" w:eastAsia="Arial" w:hAnsi="Arial"/>
                <w:sz w:val="18"/>
                <w:szCs w:val="18"/>
                <w:color w:val="auto"/>
              </w:rPr>
              <w:t>$4,735</w:t>
            </w:r>
          </w:p>
        </w:tc>
        <w:tc>
          <w:tcPr>
            <w:tcW w:w="100" w:type="dxa"/>
            <w:vAlign w:val="bottom"/>
            <w:shd w:val="clear" w:color="auto" w:fill="CCEEFF"/>
          </w:tcPr>
          <w:p>
            <w:pPr>
              <w:spacing w:after="0"/>
              <w:rPr>
                <w:sz w:val="19"/>
                <w:szCs w:val="19"/>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61"/>
        </w:trPr>
        <w:tc>
          <w:tcPr>
            <w:tcW w:w="6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5176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460" w:right="280" w:hanging="452"/>
        <w:spacing w:after="0" w:line="258" w:lineRule="auto"/>
        <w:tabs>
          <w:tab w:leader="none" w:pos="4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ind w:left="460" w:hanging="452"/>
        <w:spacing w:after="0"/>
        <w:tabs>
          <w:tab w:leader="none" w:pos="4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Not applicable, as senior securities are not registered for public trading.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320" w:firstLine="571"/>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“PFLT.” The following table lists the high and low closing sale prices for our common stock, the closing sale prices as a premium or (discount) to our NAV per share and distributions per share since October 1, 2014. On January 13, 2017, the last reported closing price of our common stock was $14.10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Premium /</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Premium /</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(Discount)</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(Discount)</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Closing Sales Price</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of High Sales</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of Low Sales</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5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1100" w:type="dxa"/>
            <w:vAlign w:val="bottom"/>
            <w:gridSpan w:val="2"/>
            <w:vMerge w:val="restart"/>
          </w:tcPr>
          <w:p>
            <w:pPr>
              <w:jc w:val="center"/>
              <w:ind w:right="340"/>
              <w:spacing w:after="0" w:line="135" w:lineRule="exact"/>
              <w:rPr>
                <w:sz w:val="20"/>
                <w:szCs w:val="20"/>
                <w:color w:val="auto"/>
              </w:rPr>
            </w:pPr>
            <w:r>
              <w:rPr>
                <w:rFonts w:ascii="Arial" w:cs="Arial" w:eastAsia="Arial" w:hAnsi="Arial"/>
                <w:sz w:val="14"/>
                <w:szCs w:val="14"/>
                <w:b w:val="1"/>
                <w:bCs w:val="1"/>
                <w:color w:val="auto"/>
                <w:w w:val="85"/>
              </w:rPr>
              <w:t>Price to</w:t>
            </w:r>
          </w:p>
        </w:tc>
        <w:tc>
          <w:tcPr>
            <w:tcW w:w="9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Price to</w:t>
            </w:r>
          </w:p>
        </w:tc>
        <w:tc>
          <w:tcPr>
            <w:tcW w:w="1080" w:type="dxa"/>
            <w:vAlign w:val="bottom"/>
            <w:gridSpan w:val="2"/>
            <w:vMerge w:val="restart"/>
          </w:tcPr>
          <w:p>
            <w:pPr>
              <w:jc w:val="right"/>
              <w:ind w:right="320"/>
              <w:spacing w:after="0" w:line="135" w:lineRule="exact"/>
              <w:rPr>
                <w:sz w:val="20"/>
                <w:szCs w:val="20"/>
                <w:color w:val="auto"/>
              </w:rPr>
            </w:pPr>
            <w:r>
              <w:rPr>
                <w:rFonts w:ascii="Arial" w:cs="Arial" w:eastAsia="Arial" w:hAnsi="Arial"/>
                <w:sz w:val="14"/>
                <w:szCs w:val="14"/>
                <w:b w:val="1"/>
                <w:bCs w:val="1"/>
                <w:color w:val="auto"/>
                <w:w w:val="85"/>
              </w:rPr>
              <w:t>Distributions</w:t>
            </w:r>
          </w:p>
        </w:tc>
        <w:tc>
          <w:tcPr>
            <w:tcW w:w="0" w:type="dxa"/>
            <w:vAlign w:val="bottom"/>
          </w:tcPr>
          <w:p>
            <w:pPr>
              <w:spacing w:after="0"/>
              <w:rPr>
                <w:sz w:val="1"/>
                <w:szCs w:val="1"/>
                <w:color w:val="auto"/>
              </w:rPr>
            </w:pPr>
          </w:p>
        </w:tc>
      </w:tr>
      <w:tr>
        <w:trPr>
          <w:trHeight w:val="35"/>
        </w:trPr>
        <w:tc>
          <w:tcPr>
            <w:tcW w:w="300" w:type="dxa"/>
            <w:vAlign w:val="bottom"/>
          </w:tcPr>
          <w:p>
            <w:pPr>
              <w:spacing w:after="0"/>
              <w:rPr>
                <w:sz w:val="3"/>
                <w:szCs w:val="3"/>
                <w:color w:val="auto"/>
              </w:rPr>
            </w:pPr>
          </w:p>
        </w:tc>
        <w:tc>
          <w:tcPr>
            <w:tcW w:w="5500" w:type="dxa"/>
            <w:vAlign w:val="bottom"/>
          </w:tcPr>
          <w:p>
            <w:pPr>
              <w:spacing w:after="0"/>
              <w:rPr>
                <w:sz w:val="3"/>
                <w:szCs w:val="3"/>
                <w:color w:val="auto"/>
              </w:rPr>
            </w:pPr>
          </w:p>
        </w:tc>
        <w:tc>
          <w:tcPr>
            <w:tcW w:w="660" w:type="dxa"/>
            <w:vAlign w:val="bottom"/>
            <w:gridSpan w:val="2"/>
            <w:vMerge w:val="restart"/>
          </w:tcPr>
          <w:p>
            <w:pPr>
              <w:jc w:val="right"/>
              <w:ind w:right="200"/>
              <w:spacing w:after="0" w:line="197" w:lineRule="exact"/>
              <w:rPr>
                <w:sz w:val="20"/>
                <w:szCs w:val="20"/>
                <w:color w:val="auto"/>
              </w:rPr>
            </w:pPr>
            <w:r>
              <w:rPr>
                <w:rFonts w:ascii="Arial" w:cs="Arial" w:eastAsia="Arial" w:hAnsi="Arial"/>
                <w:sz w:val="22"/>
                <w:szCs w:val="22"/>
                <w:b w:val="1"/>
                <w:bCs w:val="1"/>
                <w:color w:val="auto"/>
                <w:vertAlign w:val="subscript"/>
              </w:rPr>
              <w:t>NAV</w:t>
            </w:r>
            <w:r>
              <w:rPr>
                <w:rFonts w:ascii="Arial" w:cs="Arial" w:eastAsia="Arial" w:hAnsi="Arial"/>
                <w:sz w:val="10"/>
                <w:szCs w:val="10"/>
                <w:b w:val="1"/>
                <w:bCs w:val="1"/>
                <w:color w:val="auto"/>
              </w:rPr>
              <w:t>(1)</w:t>
            </w:r>
          </w:p>
        </w:tc>
        <w:tc>
          <w:tcPr>
            <w:tcW w:w="16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580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100" w:type="dxa"/>
            <w:vAlign w:val="bottom"/>
            <w:gridSpan w:val="2"/>
          </w:tcPr>
          <w:p>
            <w:pPr>
              <w:jc w:val="center"/>
              <w:ind w:right="34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 xml:space="preserve"> (2)</w:t>
            </w:r>
          </w:p>
        </w:tc>
        <w:tc>
          <w:tcPr>
            <w:tcW w:w="980" w:type="dxa"/>
            <w:vAlign w:val="bottom"/>
            <w:gridSpan w:val="2"/>
          </w:tcPr>
          <w:p>
            <w:pPr>
              <w:jc w:val="center"/>
              <w:ind w:right="26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 xml:space="preserve"> (2)</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2017</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Second quarter (through January 13, 2017)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 N/A</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$14.17</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$14.04</w:t>
            </w: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  0.0950</w:t>
            </w:r>
            <w:r>
              <w:rPr>
                <w:rFonts w:ascii="Arial" w:cs="Arial" w:eastAsia="Arial" w:hAnsi="Arial"/>
                <w:sz w:val="11"/>
                <w:szCs w:val="11"/>
                <w:color w:val="auto"/>
                <w:w w:val="99"/>
              </w:rPr>
              <w:t>(3)</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14.17</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12.44</w:t>
            </w: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13.26</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12.54</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13.75</w:t>
            </w: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12.51</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11.58</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11.70</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10.09</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13.73</w:t>
            </w: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12.42</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10.79</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13.95</w:t>
            </w: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14.30</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11.35</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14.48</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13.88</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14.30</w:t>
            </w: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14.16</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13.25</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0.2750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14.23</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12.98</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060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12" w:lineRule="exact"/>
        <w:rPr>
          <w:sz w:val="20"/>
          <w:szCs w:val="20"/>
          <w:color w:val="auto"/>
        </w:rPr>
      </w:pPr>
    </w:p>
    <w:p>
      <w:pPr>
        <w:ind w:left="220" w:right="80" w:hanging="212"/>
        <w:spacing w:after="0" w:line="230" w:lineRule="auto"/>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220" w:hanging="212"/>
        <w:spacing w:after="0" w:line="221" w:lineRule="auto"/>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Calculated as the respective high or low closing sales price less NAV per share, divided by the quarter-end NAV per share.</w:t>
      </w:r>
    </w:p>
    <w:p>
      <w:pPr>
        <w:ind w:left="220" w:hanging="212"/>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a dividend of $0.0950 per share payable on February 1, 2017 to stockholders of record as of January 20, 2017.</w:t>
      </w:r>
    </w:p>
    <w:p>
      <w:pPr>
        <w:spacing w:after="0" w:line="113"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$13.23 and $11.94 on September 30, 2016 and 2015, respectively. Our NAV per share was $14.06 and $13.95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January 13, 2017 we had 41 stockholders of record.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right="240" w:firstLine="571"/>
        <w:spacing w:after="0" w:line="306" w:lineRule="auto"/>
        <w:rPr>
          <w:sz w:val="20"/>
          <w:szCs w:val="20"/>
          <w:color w:val="auto"/>
        </w:rPr>
      </w:pPr>
      <w:r>
        <w:rPr>
          <w:rFonts w:ascii="Arial" w:cs="Arial" w:eastAsia="Arial" w:hAnsi="Arial"/>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26" w:lineRule="exact"/>
        <w:rPr>
          <w:sz w:val="20"/>
          <w:szCs w:val="20"/>
          <w:color w:val="auto"/>
        </w:rPr>
      </w:pPr>
    </w:p>
    <w:p>
      <w:pPr>
        <w:ind w:left="660" w:right="200" w:hanging="314"/>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amount per share by which the offering price per share and the net proceeds per share are less than the most recently determined NAV per share;</w:t>
      </w:r>
    </w:p>
    <w:p>
      <w:pPr>
        <w:spacing w:after="0" w:line="113" w:lineRule="exact"/>
        <w:rPr>
          <w:rFonts w:ascii="Arial" w:cs="Arial" w:eastAsia="Arial" w:hAnsi="Arial"/>
          <w:sz w:val="16"/>
          <w:szCs w:val="16"/>
          <w:color w:val="auto"/>
        </w:rPr>
      </w:pPr>
    </w:p>
    <w:p>
      <w:pPr>
        <w:ind w:left="660" w:right="40" w:hanging="314"/>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660" w:right="140" w:hanging="314"/>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ind w:right="220" w:firstLine="571"/>
        <w:spacing w:after="0" w:line="306" w:lineRule="auto"/>
        <w:rPr>
          <w:sz w:val="20"/>
          <w:szCs w:val="20"/>
          <w:color w:val="auto"/>
        </w:rPr>
      </w:pPr>
      <w:r>
        <w:rPr>
          <w:rFonts w:ascii="Arial" w:cs="Arial" w:eastAsia="Arial" w:hAnsi="Arial"/>
          <w:sz w:val="16"/>
          <w:szCs w:val="16"/>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0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will not seek to sell shares under a prospectus supplement to the registration statement, or a post-effective amendment to the registration statement,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65"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660" w:hanging="314"/>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18" w:lineRule="exact"/>
        <w:rPr>
          <w:sz w:val="20"/>
          <w:szCs w:val="20"/>
          <w:color w:val="auto"/>
        </w:rPr>
      </w:pPr>
    </w:p>
    <w:p>
      <w:pPr>
        <w:jc w:val="both"/>
        <w:ind w:right="22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100" w:firstLine="571"/>
        <w:spacing w:after="0" w:line="254"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w w:val="86"/>
              </w:rPr>
              <w:t>Example 1</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86"/>
              </w:rPr>
              <w:t>Example 2</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Example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1700" w:type="dxa"/>
            <w:vAlign w:val="bottom"/>
            <w:gridSpan w:val="4"/>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10% Offering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Prior to Sale</w:t>
            </w:r>
          </w:p>
        </w:tc>
        <w:tc>
          <w:tcPr>
            <w:tcW w:w="100" w:type="dxa"/>
            <w:vAlign w:val="bottom"/>
          </w:tcPr>
          <w:p>
            <w:pPr>
              <w:spacing w:after="0"/>
              <w:rPr>
                <w:sz w:val="14"/>
                <w:szCs w:val="14"/>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1700" w:type="dxa"/>
            <w:vAlign w:val="bottom"/>
            <w:gridSpan w:val="4"/>
          </w:tcPr>
          <w:p>
            <w:pPr>
              <w:jc w:val="center"/>
              <w:ind w:right="17"/>
              <w:spacing w:after="0"/>
              <w:rPr>
                <w:sz w:val="20"/>
                <w:szCs w:val="20"/>
                <w:color w:val="auto"/>
              </w:rPr>
            </w:pPr>
            <w:r>
              <w:rPr>
                <w:rFonts w:ascii="Arial" w:cs="Arial" w:eastAsia="Arial" w:hAnsi="Arial"/>
                <w:sz w:val="14"/>
                <w:szCs w:val="14"/>
                <w:b w:val="1"/>
                <w:bCs w:val="1"/>
                <w:color w:val="auto"/>
                <w:w w:val="88"/>
              </w:rPr>
              <w:t>at 10% Discount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Following</w:t>
            </w:r>
          </w:p>
        </w:tc>
        <w:tc>
          <w:tcPr>
            <w:tcW w:w="56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Following</w:t>
            </w:r>
          </w:p>
        </w:tc>
        <w:tc>
          <w:tcPr>
            <w:tcW w:w="60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Following</w:t>
            </w:r>
          </w:p>
        </w:tc>
        <w:tc>
          <w:tcPr>
            <w:tcW w:w="72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Below NAV</w:t>
            </w:r>
          </w:p>
        </w:tc>
        <w:tc>
          <w:tcPr>
            <w:tcW w:w="10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Sale</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3"/>
              </w:rPr>
              <w:t>Sale</w:t>
            </w:r>
          </w:p>
        </w:tc>
        <w:tc>
          <w:tcPr>
            <w:tcW w:w="60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ind w:right="6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7"/>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19"/>
                <w:szCs w:val="19"/>
                <w:color w:val="auto"/>
              </w:rPr>
            </w:pPr>
          </w:p>
        </w:tc>
        <w:tc>
          <w:tcPr>
            <w:tcW w:w="82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9"/>
                <w:szCs w:val="19"/>
                <w:color w:val="auto"/>
              </w:rPr>
            </w:pPr>
          </w:p>
        </w:tc>
        <w:tc>
          <w:tcPr>
            <w:tcW w:w="82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w w:val="84"/>
              </w:rPr>
              <w:t>1,000,000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84"/>
              </w:rPr>
              <w:t>1,050,000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6"/>
              </w:rPr>
              <w:t>5.00 %</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w w:val="87"/>
              </w:rPr>
              <w:t>1,100,000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10.00 %</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w w:val="87"/>
              </w:rPr>
              <w:t>1,250,000</w:t>
            </w:r>
          </w:p>
        </w:tc>
        <w:tc>
          <w:tcPr>
            <w:tcW w:w="20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ind w:right="60"/>
              <w:spacing w:after="0"/>
              <w:rPr>
                <w:sz w:val="20"/>
                <w:szCs w:val="20"/>
                <w:color w:val="auto"/>
              </w:rPr>
            </w:pPr>
            <w:r>
              <w:rPr>
                <w:rFonts w:ascii="Arial" w:cs="Arial" w:eastAsia="Arial" w:hAnsi="Arial"/>
                <w:sz w:val="18"/>
                <w:szCs w:val="18"/>
                <w:color w:val="auto"/>
              </w:rPr>
              <w:t>9.98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85"/>
              </w:rPr>
              <w:t>(0.20)%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1"/>
              </w:rPr>
              <w:t>(0.90)%</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tcPr>
          <w:p>
            <w:pPr>
              <w:spacing w:after="0"/>
              <w:rPr>
                <w:sz w:val="19"/>
                <w:szCs w:val="19"/>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restart"/>
          </w:tcPr>
          <w:p>
            <w:pPr>
              <w:jc w:val="right"/>
              <w:ind w:right="6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82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85"/>
              </w:rPr>
              <w:t>(5.00)%</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0.91%</w:t>
            </w: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(9.00)%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0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99,800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85"/>
              </w:rPr>
              <w:t>(0.20)%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99,100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(0.90)%</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95,000</w:t>
            </w:r>
          </w:p>
        </w:tc>
        <w:tc>
          <w:tcPr>
            <w:tcW w:w="20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580"/>
              <w:spacing w:after="0"/>
              <w:rPr>
                <w:sz w:val="20"/>
                <w:szCs w:val="20"/>
                <w:color w:val="auto"/>
              </w:rPr>
            </w:pPr>
            <w:r>
              <w:rPr>
                <w:rFonts w:ascii="Arial" w:cs="Arial" w:eastAsia="Arial" w:hAnsi="Arial"/>
                <w:sz w:val="18"/>
                <w:szCs w:val="18"/>
                <w:color w:val="auto"/>
                <w:w w:val="79"/>
              </w:rPr>
              <w:t>50</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color w:val="auto"/>
        </w:rPr>
        <w:t>Total investment by stockholder A (assumed to be $10.00 per share)</w:t>
      </w:r>
    </w:p>
    <w:p>
      <w:pPr>
        <w:spacing w:after="0" w:line="37" w:lineRule="exact"/>
        <w:rPr>
          <w:sz w:val="20"/>
          <w:szCs w:val="20"/>
          <w:color w:val="auto"/>
        </w:rPr>
      </w:pPr>
    </w:p>
    <w:p>
      <w:pPr>
        <w:ind w:left="440" w:right="420"/>
        <w:spacing w:after="0" w:line="268" w:lineRule="auto"/>
        <w:rPr>
          <w:sz w:val="20"/>
          <w:szCs w:val="20"/>
          <w:color w:val="auto"/>
        </w:rPr>
      </w:pPr>
      <w:r>
        <w:rPr>
          <w:rFonts w:ascii="Arial" w:cs="Arial" w:eastAsia="Arial" w:hAnsi="Arial"/>
          <w:sz w:val="18"/>
          <w:szCs w:val="18"/>
          <w:color w:val="auto"/>
        </w:rPr>
        <w:t>Total dilution to stockholder A (total NAV less total investment)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Amounts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left="367"/>
              <w:spacing w:after="0"/>
              <w:rPr>
                <w:sz w:val="20"/>
                <w:szCs w:val="20"/>
                <w:color w:val="auto"/>
              </w:rPr>
            </w:pPr>
            <w:r>
              <w:rPr>
                <w:rFonts w:ascii="Arial" w:cs="Arial" w:eastAsia="Arial" w:hAnsi="Arial"/>
                <w:sz w:val="14"/>
                <w:szCs w:val="14"/>
                <w:b w:val="1"/>
                <w:bCs w:val="1"/>
                <w:color w:val="auto"/>
                <w:w w:val="86"/>
              </w:rPr>
              <w:t>Example 1</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left="347"/>
              <w:spacing w:after="0"/>
              <w:rPr>
                <w:sz w:val="20"/>
                <w:szCs w:val="20"/>
                <w:color w:val="auto"/>
              </w:rPr>
            </w:pPr>
            <w:r>
              <w:rPr>
                <w:rFonts w:ascii="Arial" w:cs="Arial" w:eastAsia="Arial" w:hAnsi="Arial"/>
                <w:sz w:val="14"/>
                <w:szCs w:val="14"/>
                <w:b w:val="1"/>
                <w:bCs w:val="1"/>
                <w:color w:val="auto"/>
                <w:w w:val="89"/>
              </w:rPr>
              <w:t>Example 2</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left="347"/>
              <w:spacing w:after="0"/>
              <w:rPr>
                <w:sz w:val="20"/>
                <w:szCs w:val="20"/>
                <w:color w:val="auto"/>
              </w:rPr>
            </w:pPr>
            <w:r>
              <w:rPr>
                <w:rFonts w:ascii="Arial" w:cs="Arial" w:eastAsia="Arial" w:hAnsi="Arial"/>
                <w:sz w:val="14"/>
                <w:szCs w:val="14"/>
                <w:b w:val="1"/>
                <w:bCs w:val="1"/>
                <w:color w:val="auto"/>
                <w:w w:val="86"/>
              </w:rPr>
              <w:t>Example 3</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20" w:type="dxa"/>
            <w:vAlign w:val="bottom"/>
          </w:tcPr>
          <w:p>
            <w:pPr>
              <w:spacing w:after="0"/>
              <w:rPr>
                <w:sz w:val="12"/>
                <w:szCs w:val="12"/>
                <w:color w:val="auto"/>
              </w:rPr>
            </w:pPr>
          </w:p>
        </w:tc>
        <w:tc>
          <w:tcPr>
            <w:tcW w:w="1580" w:type="dxa"/>
            <w:vAlign w:val="bottom"/>
            <w:gridSpan w:val="4"/>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10% Offering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8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4"/>
              </w:rPr>
              <w:t>Prior to Sale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at 5% Discount</w:t>
            </w:r>
          </w:p>
        </w:tc>
        <w:tc>
          <w:tcPr>
            <w:tcW w:w="120" w:type="dxa"/>
            <w:vAlign w:val="bottom"/>
          </w:tcPr>
          <w:p>
            <w:pPr>
              <w:spacing w:after="0"/>
              <w:rPr>
                <w:sz w:val="14"/>
                <w:szCs w:val="14"/>
                <w:color w:val="auto"/>
              </w:rPr>
            </w:pPr>
          </w:p>
        </w:tc>
        <w:tc>
          <w:tcPr>
            <w:tcW w:w="1580" w:type="dxa"/>
            <w:vAlign w:val="bottom"/>
            <w:gridSpan w:val="4"/>
          </w:tcPr>
          <w:p>
            <w:pPr>
              <w:jc w:val="center"/>
              <w:ind w:right="22"/>
              <w:spacing w:after="0"/>
              <w:rPr>
                <w:sz w:val="20"/>
                <w:szCs w:val="20"/>
                <w:color w:val="auto"/>
              </w:rPr>
            </w:pPr>
            <w:r>
              <w:rPr>
                <w:rFonts w:ascii="Arial" w:cs="Arial" w:eastAsia="Arial" w:hAnsi="Arial"/>
                <w:sz w:val="14"/>
                <w:szCs w:val="14"/>
                <w:b w:val="1"/>
                <w:bCs w:val="1"/>
                <w:color w:val="auto"/>
                <w:w w:val="88"/>
              </w:rPr>
              <w:t>at 10% Discount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42"/>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Following</w:t>
            </w:r>
          </w:p>
        </w:tc>
        <w:tc>
          <w:tcPr>
            <w:tcW w:w="540" w:type="dxa"/>
            <w:vAlign w:val="bottom"/>
            <w:tcBorders>
              <w:top w:val="single" w:sz="8" w:color="auto"/>
            </w:tcBorders>
          </w:tcPr>
          <w:p>
            <w:pPr>
              <w:jc w:val="right"/>
              <w:ind w:right="182"/>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Below NAV</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Sale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Sale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3"/>
              </w:rPr>
              <w:t>Sale</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478"/>
        </w:trPr>
        <w:tc>
          <w:tcPr>
            <w:tcW w:w="880" w:type="dxa"/>
            <w:vAlign w:val="bottom"/>
          </w:tcPr>
          <w:p>
            <w:pPr>
              <w:jc w:val="right"/>
              <w:ind w:right="62"/>
              <w:spacing w:after="0"/>
              <w:rPr>
                <w:sz w:val="20"/>
                <w:szCs w:val="20"/>
                <w:color w:val="auto"/>
              </w:rPr>
            </w:pPr>
            <w:r>
              <w:rPr>
                <w:rFonts w:ascii="Arial" w:cs="Arial" w:eastAsia="Arial" w:hAnsi="Arial"/>
                <w:sz w:val="18"/>
                <w:szCs w:val="18"/>
                <w:color w:val="auto"/>
                <w:w w:val="89"/>
              </w:rPr>
              <w:t>$ 100,000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right="7"/>
              <w:spacing w:after="0"/>
              <w:rPr>
                <w:sz w:val="20"/>
                <w:szCs w:val="20"/>
                <w:color w:val="auto"/>
              </w:rPr>
            </w:pPr>
            <w:r>
              <w:rPr>
                <w:rFonts w:ascii="Arial" w:cs="Arial" w:eastAsia="Arial" w:hAnsi="Arial"/>
                <w:sz w:val="18"/>
                <w:szCs w:val="18"/>
                <w:color w:val="auto"/>
                <w:w w:val="89"/>
              </w:rPr>
              <w:t>100,000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center"/>
              <w:ind w:right="27"/>
              <w:spacing w:after="0"/>
              <w:rPr>
                <w:sz w:val="20"/>
                <w:szCs w:val="20"/>
                <w:color w:val="auto"/>
              </w:rPr>
            </w:pPr>
            <w:r>
              <w:rPr>
                <w:rFonts w:ascii="Arial" w:cs="Arial" w:eastAsia="Arial" w:hAnsi="Arial"/>
                <w:sz w:val="18"/>
                <w:szCs w:val="18"/>
                <w:color w:val="auto"/>
                <w:w w:val="86"/>
              </w:rPr>
              <w:t>100,000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right="27"/>
              <w:spacing w:after="0"/>
              <w:rPr>
                <w:sz w:val="20"/>
                <w:szCs w:val="20"/>
                <w:color w:val="auto"/>
              </w:rPr>
            </w:pPr>
            <w:r>
              <w:rPr>
                <w:rFonts w:ascii="Arial" w:cs="Arial" w:eastAsia="Arial" w:hAnsi="Arial"/>
                <w:sz w:val="18"/>
                <w:szCs w:val="18"/>
                <w:color w:val="auto"/>
                <w:w w:val="89"/>
              </w:rPr>
              <w:t>100,000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880" w:type="dxa"/>
            <w:vAlign w:val="bottom"/>
          </w:tcPr>
          <w:p>
            <w:pPr>
              <w:jc w:val="right"/>
              <w:ind w:right="6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7"/>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-632460</wp:posOffset>
            </wp:positionV>
            <wp:extent cx="7246620" cy="3175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1270</wp:posOffset>
            </wp:positionV>
            <wp:extent cx="7246620" cy="1803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4500" w:space="280"/>
            <w:col w:w="66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70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9.98</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3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132"/>
              <w:spacing w:after="0"/>
              <w:rPr>
                <w:sz w:val="20"/>
                <w:szCs w:val="20"/>
                <w:color w:val="auto"/>
              </w:rPr>
            </w:pPr>
            <w:r>
              <w:rPr>
                <w:rFonts w:ascii="Arial" w:cs="Arial" w:eastAsia="Arial" w:hAnsi="Arial"/>
                <w:sz w:val="18"/>
                <w:szCs w:val="18"/>
                <w:color w:val="auto"/>
              </w:rPr>
              <w:t>9.91</w:t>
            </w:r>
          </w:p>
        </w:tc>
        <w:tc>
          <w:tcPr>
            <w:tcW w:w="860" w:type="dxa"/>
            <w:vAlign w:val="bottom"/>
            <w:vMerge w:val="restart"/>
          </w:tcPr>
          <w:p>
            <w:pPr>
              <w:jc w:val="center"/>
              <w:ind w:left="32"/>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9.50</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69"/>
        </w:trPr>
        <w:tc>
          <w:tcPr>
            <w:tcW w:w="47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Investment per share held by stockholder A (assumed to be</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$10.00 per share on shares held prior to sale)</w:t>
            </w:r>
          </w:p>
        </w:tc>
        <w:tc>
          <w:tcPr>
            <w:tcW w:w="9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   10.00</w:t>
            </w:r>
          </w:p>
        </w:tc>
        <w:tc>
          <w:tcPr>
            <w:tcW w:w="3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84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3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86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99"/>
              </w:rPr>
              <w:t>—</w:t>
            </w:r>
          </w:p>
        </w:tc>
        <w:tc>
          <w:tcPr>
            <w:tcW w:w="3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84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70"/>
        </w:trPr>
        <w:tc>
          <w:tcPr>
            <w:tcW w:w="47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440"/>
              <w:spacing w:after="0"/>
              <w:rPr>
                <w:sz w:val="20"/>
                <w:szCs w:val="20"/>
                <w:color w:val="auto"/>
              </w:rPr>
            </w:pPr>
            <w:r>
              <w:rPr>
                <w:rFonts w:ascii="Arial" w:cs="Arial" w:eastAsia="Arial" w:hAnsi="Arial"/>
                <w:sz w:val="18"/>
                <w:szCs w:val="18"/>
                <w:color w:val="auto"/>
                <w:w w:val="94"/>
              </w:rPr>
              <w:t>Dilution per share held by stockholder A (NAV per share</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440"/>
              <w:spacing w:after="0"/>
              <w:rPr>
                <w:sz w:val="20"/>
                <w:szCs w:val="20"/>
                <w:color w:val="auto"/>
              </w:rPr>
            </w:pPr>
            <w:r>
              <w:rPr>
                <w:rFonts w:ascii="Arial" w:cs="Arial" w:eastAsia="Arial" w:hAnsi="Arial"/>
                <w:sz w:val="18"/>
                <w:szCs w:val="18"/>
                <w:color w:val="auto"/>
              </w:rPr>
              <w:t>less investment per share)</w:t>
            </w: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92"/>
              <w:spacing w:after="0"/>
              <w:rPr>
                <w:sz w:val="20"/>
                <w:szCs w:val="20"/>
                <w:color w:val="auto"/>
              </w:rPr>
            </w:pPr>
            <w:r>
              <w:rPr>
                <w:rFonts w:ascii="Arial" w:cs="Arial" w:eastAsia="Arial" w:hAnsi="Arial"/>
                <w:sz w:val="18"/>
                <w:szCs w:val="18"/>
                <w:color w:val="auto"/>
              </w:rPr>
              <w:t>(0.02)</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3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92"/>
              <w:spacing w:after="0"/>
              <w:rPr>
                <w:sz w:val="20"/>
                <w:szCs w:val="20"/>
                <w:color w:val="auto"/>
              </w:rPr>
            </w:pPr>
            <w:r>
              <w:rPr>
                <w:rFonts w:ascii="Arial" w:cs="Arial" w:eastAsia="Arial" w:hAnsi="Arial"/>
                <w:sz w:val="18"/>
                <w:szCs w:val="18"/>
                <w:color w:val="auto"/>
              </w:rPr>
              <w:t>(0.09)</w:t>
            </w:r>
          </w:p>
        </w:tc>
        <w:tc>
          <w:tcPr>
            <w:tcW w:w="860" w:type="dxa"/>
            <w:vAlign w:val="bottom"/>
            <w:vMerge w:val="restart"/>
          </w:tcPr>
          <w:p>
            <w:pPr>
              <w:jc w:val="center"/>
              <w:ind w:left="32"/>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92"/>
              <w:spacing w:after="0"/>
              <w:rPr>
                <w:sz w:val="20"/>
                <w:szCs w:val="20"/>
                <w:color w:val="auto"/>
              </w:rPr>
            </w:pPr>
            <w:r>
              <w:rPr>
                <w:rFonts w:ascii="Arial" w:cs="Arial" w:eastAsia="Arial" w:hAnsi="Arial"/>
                <w:sz w:val="18"/>
                <w:szCs w:val="18"/>
                <w:color w:val="auto"/>
              </w:rPr>
              <w:t>(0.50)</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69"/>
        </w:trPr>
        <w:tc>
          <w:tcPr>
            <w:tcW w:w="47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Percentage dilution to stockholder A (dilution per share</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divided by investment per share)</w:t>
            </w:r>
          </w:p>
        </w:tc>
        <w:tc>
          <w:tcPr>
            <w:tcW w:w="9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(0.20)%</w:t>
            </w:r>
          </w:p>
        </w:tc>
        <w:tc>
          <w:tcPr>
            <w:tcW w:w="32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(0.90)%</w:t>
            </w:r>
          </w:p>
        </w:tc>
        <w:tc>
          <w:tcPr>
            <w:tcW w:w="30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(5.00)%</w:t>
            </w:r>
          </w:p>
        </w:tc>
        <w:tc>
          <w:tcPr>
            <w:tcW w:w="0" w:type="dxa"/>
            <w:vAlign w:val="bottom"/>
          </w:tcPr>
          <w:p>
            <w:pPr>
              <w:spacing w:after="0"/>
              <w:rPr>
                <w:sz w:val="1"/>
                <w:szCs w:val="1"/>
                <w:color w:val="auto"/>
              </w:rPr>
            </w:pPr>
          </w:p>
        </w:tc>
      </w:tr>
      <w:tr>
        <w:trPr>
          <w:trHeight w:val="70"/>
        </w:trPr>
        <w:tc>
          <w:tcPr>
            <w:tcW w:w="47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100" w:firstLine="571"/>
        <w:spacing w:after="0" w:line="283"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w:t>
      </w:r>
    </w:p>
    <w:p>
      <w:pPr>
        <w:spacing w:after="0" w:line="3" w:lineRule="exact"/>
        <w:rPr>
          <w:sz w:val="20"/>
          <w:szCs w:val="20"/>
          <w:color w:val="auto"/>
        </w:rPr>
      </w:pPr>
    </w:p>
    <w:p>
      <w:pPr>
        <w:ind w:right="380" w:firstLine="8"/>
        <w:spacing w:after="0" w:line="261" w:lineRule="auto"/>
        <w:tabs>
          <w:tab w:leader="none" w:pos="249" w:val="left"/>
        </w:tabs>
        <w:numPr>
          <w:ilvl w:val="0"/>
          <w:numId w:val="52"/>
        </w:numPr>
        <w:rPr>
          <w:rFonts w:ascii="Arial" w:cs="Arial" w:eastAsia="Arial" w:hAnsi="Arial"/>
          <w:sz w:val="18"/>
          <w:szCs w:val="18"/>
          <w:color w:val="auto"/>
        </w:rPr>
      </w:pPr>
      <w:r>
        <w:rPr>
          <w:rFonts w:ascii="Arial" w:cs="Arial" w:eastAsia="Arial" w:hAnsi="Arial"/>
          <w:sz w:val="18"/>
          <w:szCs w:val="18"/>
          <w:color w:val="auto"/>
        </w:rPr>
        <w:t>150% of their proportionate share of the offering (i.e. 3,750 shares which is 1.50% of the offering of 250,000 shares rather than their 1.00% proportionate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Prior to Sale</w:t>
            </w:r>
          </w:p>
        </w:tc>
        <w:tc>
          <w:tcPr>
            <w:tcW w:w="120" w:type="dxa"/>
            <w:vAlign w:val="bottom"/>
          </w:tcPr>
          <w:p>
            <w:pPr>
              <w:spacing w:after="0"/>
              <w:rPr>
                <w:sz w:val="14"/>
                <w:szCs w:val="14"/>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50% Participation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Below NAV</w:t>
            </w: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Offering Price</w:t>
            </w:r>
          </w:p>
        </w:tc>
        <w:tc>
          <w:tcPr>
            <w:tcW w:w="2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200" w:type="dxa"/>
            <w:vAlign w:val="bottom"/>
          </w:tcPr>
          <w:p>
            <w:pPr>
              <w:spacing w:after="0"/>
              <w:rPr>
                <w:sz w:val="19"/>
                <w:szCs w:val="19"/>
                <w:color w:val="auto"/>
              </w:rPr>
            </w:pP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64"/>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9"/>
                <w:szCs w:val="19"/>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64"/>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20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3940" w:type="dxa"/>
            <w:vAlign w:val="bottom"/>
            <w:shd w:val="clear" w:color="auto" w:fill="CCEEFF"/>
          </w:tcPr>
          <w:p>
            <w:pPr>
              <w:spacing w:after="0"/>
              <w:rPr>
                <w:sz w:val="5"/>
                <w:szCs w:val="5"/>
                <w:color w:val="auto"/>
              </w:rPr>
            </w:pPr>
          </w:p>
        </w:tc>
        <w:tc>
          <w:tcPr>
            <w:tcW w:w="220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480" w:type="dxa"/>
            <w:vAlign w:val="bottom"/>
            <w:gridSpan w:val="2"/>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3940" w:type="dxa"/>
            <w:vAlign w:val="bottom"/>
          </w:tcPr>
          <w:p>
            <w:pPr>
              <w:spacing w:after="0"/>
              <w:rPr>
                <w:sz w:val="24"/>
                <w:szCs w:val="24"/>
                <w:color w:val="auto"/>
              </w:rPr>
            </w:pPr>
          </w:p>
        </w:tc>
        <w:tc>
          <w:tcPr>
            <w:tcW w:w="2200" w:type="dxa"/>
            <w:vAlign w:val="bottom"/>
          </w:tcPr>
          <w:p>
            <w:pPr>
              <w:jc w:val="right"/>
              <w:ind w:right="252"/>
              <w:spacing w:after="0"/>
              <w:rPr>
                <w:sz w:val="20"/>
                <w:szCs w:val="20"/>
                <w:color w:val="auto"/>
              </w:rPr>
            </w:pPr>
            <w:r>
              <w:rPr>
                <w:rFonts w:ascii="Arial" w:cs="Arial" w:eastAsia="Arial" w:hAnsi="Arial"/>
                <w:sz w:val="18"/>
                <w:szCs w:val="18"/>
                <w:color w:val="auto"/>
              </w:rPr>
              <w:t>51</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Prior to Sale</w:t>
            </w:r>
          </w:p>
        </w:tc>
        <w:tc>
          <w:tcPr>
            <w:tcW w:w="100" w:type="dxa"/>
            <w:vAlign w:val="bottom"/>
          </w:tcPr>
          <w:p>
            <w:pPr>
              <w:spacing w:after="0"/>
              <w:rPr>
                <w:sz w:val="14"/>
                <w:szCs w:val="14"/>
                <w:color w:val="auto"/>
              </w:rPr>
            </w:pPr>
          </w:p>
        </w:tc>
        <w:tc>
          <w:tcPr>
            <w:tcW w:w="19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7"/>
              </w:rPr>
              <w:t>Following</w:t>
            </w:r>
          </w:p>
        </w:tc>
        <w:tc>
          <w:tcPr>
            <w:tcW w:w="720" w:type="dxa"/>
            <w:vAlign w:val="bottom"/>
            <w:tcBorders>
              <w:top w:val="single" w:sz="8" w:color="auto"/>
            </w:tcBorders>
          </w:tcPr>
          <w:p>
            <w:pPr>
              <w:jc w:val="right"/>
              <w:ind w:right="21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Following</w:t>
            </w:r>
          </w:p>
        </w:tc>
        <w:tc>
          <w:tcPr>
            <w:tcW w:w="64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Below NAV</w:t>
            </w:r>
          </w:p>
        </w:tc>
        <w:tc>
          <w:tcPr>
            <w:tcW w:w="1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Increases in Shares and Decrease to NAV</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restart"/>
          </w:tcPr>
          <w:p>
            <w:pPr>
              <w:jc w:val="right"/>
              <w:ind w:right="35"/>
              <w:spacing w:after="0"/>
              <w:rPr>
                <w:sz w:val="20"/>
                <w:szCs w:val="20"/>
                <w:color w:val="auto"/>
              </w:rPr>
            </w:pPr>
            <w:r>
              <w:rPr>
                <w:rFonts w:ascii="Arial" w:cs="Arial" w:eastAsia="Arial" w:hAnsi="Arial"/>
                <w:sz w:val="18"/>
                <w:szCs w:val="18"/>
                <w:color w:val="auto"/>
                <w:w w:val="87"/>
              </w:rPr>
              <w:t>1,000,000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w w:val="87"/>
              </w:rPr>
              <w:t>1,250,000</w:t>
            </w:r>
          </w:p>
        </w:tc>
        <w:tc>
          <w:tcPr>
            <w:tcW w:w="200" w:type="dxa"/>
            <w:vAlign w:val="bottom"/>
          </w:tcPr>
          <w:p>
            <w:pPr>
              <w:spacing w:after="0"/>
              <w:rPr>
                <w:sz w:val="19"/>
                <w:szCs w:val="19"/>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25.00 %</w:t>
            </w:r>
          </w:p>
        </w:tc>
        <w:tc>
          <w:tcPr>
            <w:tcW w:w="100" w:type="dxa"/>
            <w:vAlign w:val="bottom"/>
          </w:tcPr>
          <w:p>
            <w:pPr>
              <w:spacing w:after="0"/>
              <w:rPr>
                <w:sz w:val="19"/>
                <w:szCs w:val="19"/>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w w:val="84"/>
              </w:rPr>
              <w:t>1,250,000</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25.00 %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NAV per share</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(5.00)%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40" w:type="dxa"/>
            <w:vAlign w:val="bottom"/>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(Dilution)/Accretion to Participating Stockholder A</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11,250</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12.50 %</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13,750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37.50 %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0.90%</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5"/>
              </w:rPr>
              <w:t>(10.00)%</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1.10%</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NAV held by stockholder A</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35"/>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rPr>
              <w:t>106,875</w:t>
            </w:r>
          </w:p>
        </w:tc>
        <w:tc>
          <w:tcPr>
            <w:tcW w:w="200" w:type="dxa"/>
            <w:vAlign w:val="bottom"/>
          </w:tcPr>
          <w:p>
            <w:pPr>
              <w:spacing w:after="0"/>
              <w:rPr>
                <w:sz w:val="19"/>
                <w:szCs w:val="19"/>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6.88 %</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130,625</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30.63 %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88"/>
              </w:rPr>
              <w:t>Total investment by stockholder A (assumed to be $10.00 per share on shares held prior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sale)</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109,863</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9.86 %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129,588</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29.59 %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(dilution)/accretion to stockholder A (total NAV less total investment)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(2,988)</w:t>
            </w:r>
          </w:p>
        </w:tc>
        <w:tc>
          <w:tcPr>
            <w:tcW w:w="200" w:type="dxa"/>
            <w:vAlign w:val="bottom"/>
          </w:tcPr>
          <w:p>
            <w:pPr>
              <w:spacing w:after="0"/>
              <w:rPr>
                <w:sz w:val="19"/>
                <w:szCs w:val="19"/>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NAV per share held by stockholder A</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Investment per share held by stockholder A (assumed to be $10.00 per share 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held prior to sale)</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9.77</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9.42</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(5.80)%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(Dilution)/accretion per share held by stockholder A (NAV per share less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640"/>
              <w:spacing w:after="0"/>
              <w:rPr>
                <w:sz w:val="20"/>
                <w:szCs w:val="20"/>
                <w:color w:val="auto"/>
              </w:rPr>
            </w:pPr>
            <w:r>
              <w:rPr>
                <w:rFonts w:ascii="Arial" w:cs="Arial" w:eastAsia="Arial" w:hAnsi="Arial"/>
                <w:sz w:val="18"/>
                <w:szCs w:val="18"/>
                <w:color w:val="auto"/>
              </w:rPr>
              <w:t>investment per share)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200" w:type="dxa"/>
            <w:vAlign w:val="bottom"/>
          </w:tcPr>
          <w:p>
            <w:pPr>
              <w:spacing w:after="0"/>
              <w:rPr>
                <w:sz w:val="19"/>
                <w:szCs w:val="19"/>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Percentage (dilution)/accretion to stockholder A ((dilution)/accretion per share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divided by investment per share)</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89"/>
              </w:rPr>
              <w:t>Example 1</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89"/>
              </w:rPr>
              <w:t>Example 2</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89"/>
              </w:rPr>
              <w:t>Example 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5% Offering</w:t>
            </w:r>
          </w:p>
        </w:tc>
        <w:tc>
          <w:tcPr>
            <w:tcW w:w="100" w:type="dxa"/>
            <w:vAlign w:val="bottom"/>
          </w:tcPr>
          <w:p>
            <w:pPr>
              <w:spacing w:after="0"/>
              <w:rPr>
                <w:sz w:val="12"/>
                <w:szCs w:val="12"/>
                <w:color w:val="auto"/>
              </w:rPr>
            </w:pPr>
          </w:p>
        </w:tc>
        <w:tc>
          <w:tcPr>
            <w:tcW w:w="192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00" w:type="dxa"/>
            <w:vAlign w:val="bottom"/>
          </w:tcPr>
          <w:p>
            <w:pPr>
              <w:spacing w:after="0"/>
              <w:rPr>
                <w:sz w:val="12"/>
                <w:szCs w:val="12"/>
                <w:color w:val="auto"/>
              </w:rPr>
            </w:pPr>
          </w:p>
        </w:tc>
        <w:tc>
          <w:tcPr>
            <w:tcW w:w="17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at 5% Discount</w:t>
            </w:r>
          </w:p>
        </w:tc>
        <w:tc>
          <w:tcPr>
            <w:tcW w:w="100" w:type="dxa"/>
            <w:vAlign w:val="bottom"/>
          </w:tcPr>
          <w:p>
            <w:pPr>
              <w:spacing w:after="0"/>
              <w:rPr>
                <w:sz w:val="14"/>
                <w:szCs w:val="14"/>
                <w:color w:val="auto"/>
              </w:rPr>
            </w:pPr>
          </w:p>
        </w:tc>
        <w:tc>
          <w:tcPr>
            <w:tcW w:w="19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8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Below NAV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Decrease to NAV</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84"/>
              </w:rPr>
              <w:t>1,050,000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84"/>
              </w:rPr>
              <w:t>1,250,000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25.00 %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NAV per share</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9.98</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(0.20)%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(0.90)%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9.50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Dilution to Stockholder A</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0.90%</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stockholder A</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4,990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23,750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400" w:type="dxa"/>
            <w:vAlign w:val="bottom"/>
          </w:tcPr>
          <w:p>
            <w:pPr>
              <w:ind w:left="440"/>
              <w:spacing w:after="0"/>
              <w:rPr>
                <w:sz w:val="20"/>
                <w:szCs w:val="20"/>
                <w:color w:val="auto"/>
              </w:rPr>
            </w:pPr>
            <w:r>
              <w:rPr>
                <w:rFonts w:ascii="Arial" w:cs="Arial" w:eastAsia="Arial" w:hAnsi="Arial"/>
                <w:sz w:val="18"/>
                <w:szCs w:val="18"/>
                <w:color w:val="auto"/>
              </w:rPr>
              <w:t>Total investment by</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660"/>
              <w:spacing w:after="0"/>
              <w:rPr>
                <w:sz w:val="20"/>
                <w:szCs w:val="20"/>
                <w:color w:val="auto"/>
              </w:rPr>
            </w:pPr>
            <w:r>
              <w:rPr>
                <w:rFonts w:ascii="Arial" w:cs="Arial" w:eastAsia="Arial" w:hAnsi="Arial"/>
                <w:sz w:val="18"/>
                <w:szCs w:val="18"/>
                <w:color w:val="auto"/>
              </w:rPr>
              <w:t>stockholder A</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9,470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19,725</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Total (dilution)/accretion to stockholder A (total NAV</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less total investment)</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4,025</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NAV per share held by stockholder A</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9.98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Investment per share held by stockholder A</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(Dilution)/accretion per share held by stockholder A</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(NAV per share less investment per share)</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400" w:type="dxa"/>
            <w:vAlign w:val="bottom"/>
          </w:tcPr>
          <w:p>
            <w:pPr>
              <w:ind w:left="440"/>
              <w:spacing w:after="0"/>
              <w:rPr>
                <w:sz w:val="20"/>
                <w:szCs w:val="20"/>
                <w:color w:val="auto"/>
              </w:rPr>
            </w:pPr>
            <w:r>
              <w:rPr>
                <w:rFonts w:ascii="Arial" w:cs="Arial" w:eastAsia="Arial" w:hAnsi="Arial"/>
                <w:sz w:val="18"/>
                <w:szCs w:val="18"/>
                <w:color w:val="auto"/>
              </w:rPr>
              <w:t>Percentage (dilution)/accretion to stockholder A</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660"/>
              <w:spacing w:after="0"/>
              <w:rPr>
                <w:sz w:val="20"/>
                <w:szCs w:val="20"/>
                <w:color w:val="auto"/>
              </w:rPr>
            </w:pPr>
            <w:r>
              <w:rPr>
                <w:rFonts w:ascii="Arial" w:cs="Arial" w:eastAsia="Arial" w:hAnsi="Arial"/>
                <w:sz w:val="18"/>
                <w:szCs w:val="18"/>
                <w:color w:val="auto"/>
              </w:rPr>
              <w:t>((dilution)/accretion per share divided by</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660"/>
              <w:spacing w:after="0"/>
              <w:rPr>
                <w:sz w:val="20"/>
                <w:szCs w:val="20"/>
                <w:color w:val="auto"/>
              </w:rPr>
            </w:pPr>
            <w:r>
              <w:rPr>
                <w:rFonts w:ascii="Arial" w:cs="Arial" w:eastAsia="Arial" w:hAnsi="Arial"/>
                <w:sz w:val="18"/>
                <w:szCs w:val="18"/>
                <w:color w:val="auto"/>
              </w:rPr>
              <w:t>investment per share)</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8"/>
              </w:rPr>
              <w:t>(0.20)%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9"/>
              </w:rPr>
              <w:t>4.65 %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518"/>
              <w:spacing w:after="0"/>
              <w:rPr>
                <w:sz w:val="20"/>
                <w:szCs w:val="20"/>
                <w:color w:val="auto"/>
              </w:rPr>
            </w:pPr>
            <w:r>
              <w:rPr>
                <w:rFonts w:ascii="Arial" w:cs="Arial" w:eastAsia="Arial" w:hAnsi="Arial"/>
                <w:sz w:val="18"/>
                <w:szCs w:val="18"/>
                <w:color w:val="auto"/>
                <w:w w:val="89"/>
              </w:rPr>
              <w:t>53</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per share that we have declared on our common stock since October 1, 2014.</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Record Dates</w:t>
            </w:r>
          </w:p>
        </w:tc>
        <w:tc>
          <w:tcPr>
            <w:tcW w:w="4400" w:type="dxa"/>
            <w:vAlign w:val="bottom"/>
            <w:vMerge w:val="restart"/>
          </w:tcPr>
          <w:p>
            <w:pPr>
              <w:spacing w:after="0"/>
              <w:rPr>
                <w:sz w:val="14"/>
                <w:szCs w:val="14"/>
                <w:color w:val="auto"/>
              </w:rPr>
            </w:pPr>
          </w:p>
        </w:tc>
        <w:tc>
          <w:tcPr>
            <w:tcW w:w="4160" w:type="dxa"/>
            <w:vAlign w:val="bottom"/>
            <w:gridSpan w:val="3"/>
            <w:vMerge w:val="restart"/>
          </w:tcPr>
          <w:p>
            <w:pPr>
              <w:jc w:val="right"/>
              <w:ind w:right="1000"/>
              <w:spacing w:after="0"/>
              <w:rPr>
                <w:sz w:val="20"/>
                <w:szCs w:val="20"/>
                <w:color w:val="auto"/>
              </w:rPr>
            </w:pPr>
            <w:r>
              <w:rPr>
                <w:rFonts w:ascii="Arial" w:cs="Arial" w:eastAsia="Arial" w:hAnsi="Arial"/>
                <w:sz w:val="14"/>
                <w:szCs w:val="14"/>
                <w:b w:val="1"/>
                <w:bCs w:val="1"/>
                <w:color w:val="auto"/>
              </w:rPr>
              <w:t>Payment Dates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9"/>
              </w:rPr>
              <w:t>Distributions</w:t>
            </w:r>
          </w:p>
        </w:tc>
        <w:tc>
          <w:tcPr>
            <w:tcW w:w="0" w:type="dxa"/>
            <w:vAlign w:val="bottom"/>
          </w:tcPr>
          <w:p>
            <w:pPr>
              <w:spacing w:after="0"/>
              <w:rPr>
                <w:sz w:val="1"/>
                <w:szCs w:val="1"/>
                <w:color w:val="auto"/>
              </w:rPr>
            </w:pPr>
          </w:p>
        </w:tc>
      </w:tr>
      <w:tr>
        <w:trPr>
          <w:trHeight w:val="148"/>
        </w:trPr>
        <w:tc>
          <w:tcPr>
            <w:tcW w:w="840" w:type="dxa"/>
            <w:vAlign w:val="bottom"/>
            <w:vMerge w:val="continue"/>
          </w:tcPr>
          <w:p>
            <w:pPr>
              <w:spacing w:after="0"/>
              <w:rPr>
                <w:sz w:val="12"/>
                <w:szCs w:val="12"/>
                <w:color w:val="auto"/>
              </w:rPr>
            </w:pPr>
          </w:p>
        </w:tc>
        <w:tc>
          <w:tcPr>
            <w:tcW w:w="4400" w:type="dxa"/>
            <w:vAlign w:val="bottom"/>
            <w:vMerge w:val="continue"/>
          </w:tcPr>
          <w:p>
            <w:pPr>
              <w:spacing w:after="0"/>
              <w:rPr>
                <w:sz w:val="12"/>
                <w:szCs w:val="12"/>
                <w:color w:val="auto"/>
              </w:rPr>
            </w:pPr>
          </w:p>
        </w:tc>
        <w:tc>
          <w:tcPr>
            <w:tcW w:w="4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2017</w:t>
            </w:r>
          </w:p>
        </w:tc>
        <w:tc>
          <w:tcPr>
            <w:tcW w:w="2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January 20, 2017</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February 1, 2017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22, 2016</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3, 2017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November 18, 2016</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December 1, 2016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20, 2016</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November 1, 2016</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2016</w:t>
            </w:r>
          </w:p>
        </w:tc>
        <w:tc>
          <w:tcPr>
            <w:tcW w:w="2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September 21, 2016</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3, 2016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August 19, 2016</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September 1, 2016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July 20, 2016</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August 1, 2016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20, 2016</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2016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May 20, 2016</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June 1, 2016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 20, 2016</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May 2, 2016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March 18, 2016</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2016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18, 2016</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March 1, 2016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January 20, 2016</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February 1, 2016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24, 2015</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4, 2016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November 19, 2015</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December 1, 2015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21, 2015</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November 2, 2015</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2015</w:t>
            </w:r>
          </w:p>
        </w:tc>
        <w:tc>
          <w:tcPr>
            <w:tcW w:w="2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September 21, 2015</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1, 2015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August 24, 2015</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September 1, 2015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July 22, 2015</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August 3, 2015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15, 2015</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May 20, 2015</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June 1, 2015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 20, 2015</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May 1, 2015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March 20, 2015</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2015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18, 2015</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March 2, 2015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January 21, 2015</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February 2, 2015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19, 2014</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2, 2015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November 19, 2014</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December 1, 2014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22, 2014</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November 3, 2014</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860" w:firstLine="571"/>
        <w:spacing w:after="0" w:line="268" w:lineRule="auto"/>
        <w:rPr>
          <w:sz w:val="20"/>
          <w:szCs w:val="20"/>
          <w:color w:val="auto"/>
        </w:rPr>
      </w:pPr>
      <w:r>
        <w:rPr>
          <w:rFonts w:ascii="Arial" w:cs="Arial" w:eastAsia="Arial" w:hAnsi="Arial"/>
          <w:sz w:val="18"/>
          <w:szCs w:val="18"/>
          <w:color w:val="auto"/>
        </w:rPr>
        <w:t>In January 2017, a Form 1099-DIV will be sent to stockholders subject to information reporting that will state the amount and composition of distributions and provide information with respect to appropriate tax treatment of our distributions.</w:t>
      </w:r>
    </w:p>
    <w:p>
      <w:pPr>
        <w:spacing w:after="0" w:line="105"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The tax characteristics of distributions declared, in accordance with Section 19(a) of the 1940 Act, during the fiscal years ended September 30, 2016 and 2015 from ordinary income (including short-term capital gains) totaled $30.5 million and $17.2 million, or $1.14 and $1.06 per share, respectively, based on the weighted average shares outstanding for the respective periods. Additionally, for the fiscal year ended September 30, 2015, we had long-term capital gain distributions of $1.7 million, or $0.10 per share, based on the weighted average shares outstanding.</w:t>
      </w:r>
    </w:p>
    <w:p>
      <w:pPr>
        <w:spacing w:after="0" w:line="86" w:lineRule="exact"/>
        <w:rPr>
          <w:sz w:val="20"/>
          <w:szCs w:val="20"/>
          <w:color w:val="auto"/>
        </w:rPr>
      </w:pPr>
    </w:p>
    <w:p>
      <w:pPr>
        <w:ind w:right="400" w:firstLine="571"/>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tax status. We cannot assure stockholders that they will receive any distributions or distributions at a particular level.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did not engage in any sales of unregistered securities during the fiscal year ended September 30, 2016.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 Park Floating Rate Capital Ltd.</w:t>
      </w:r>
    </w:p>
    <w:p>
      <w:pPr>
        <w:spacing w:after="0" w:line="96" w:lineRule="exact"/>
        <w:rPr>
          <w:sz w:val="20"/>
          <w:szCs w:val="20"/>
          <w:color w:val="auto"/>
        </w:rPr>
      </w:pPr>
    </w:p>
    <w:p>
      <w:pPr>
        <w:ind w:right="380" w:firstLine="571"/>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51"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7"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will be invested in Floating Rate Loans and other instruments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35" w:lineRule="exact"/>
        <w:rPr>
          <w:sz w:val="20"/>
          <w:szCs w:val="20"/>
          <w:color w:val="auto"/>
        </w:rPr>
      </w:pPr>
    </w:p>
    <w:p>
      <w:pPr>
        <w:ind w:right="220"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59"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51" w:lineRule="exact"/>
        <w:rPr>
          <w:sz w:val="20"/>
          <w:szCs w:val="20"/>
          <w:color w:val="auto"/>
        </w:rPr>
      </w:pPr>
    </w:p>
    <w:p>
      <w:pPr>
        <w:ind w:right="380" w:firstLine="571"/>
        <w:spacing w:after="0" w:line="259" w:lineRule="auto"/>
        <w:rPr>
          <w:sz w:val="20"/>
          <w:szCs w:val="20"/>
          <w:color w:val="auto"/>
        </w:rPr>
      </w:pPr>
      <w:r>
        <w:rPr>
          <w:rFonts w:ascii="Arial" w:cs="Arial" w:eastAsia="Arial" w:hAnsi="Arial"/>
          <w:sz w:val="18"/>
          <w:szCs w:val="18"/>
          <w:color w:val="auto"/>
        </w:rPr>
        <w:t>In August 2015, we completed the acquisition of MCG pursuant to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00" w:firstLine="571"/>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$3.0 billion in debt and equity capital and has invested $5.5 billion in more than 400 companies with over 160 different financial sponsors through its managed funds.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may provide,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45" w:lineRule="exact"/>
        <w:rPr>
          <w:sz w:val="20"/>
          <w:szCs w:val="20"/>
          <w:color w:val="auto"/>
        </w:rPr>
      </w:pPr>
    </w:p>
    <w:p>
      <w:pPr>
        <w:ind w:left="660" w:hanging="314"/>
        <w:spacing w:after="0" w:line="258"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 companies look to</w:t>
      </w:r>
      <w:r>
        <w:rPr>
          <w:rFonts w:ascii="Arial" w:cs="Arial" w:eastAsia="Arial" w:hAnsi="Arial"/>
          <w:sz w:val="18"/>
          <w:szCs w:val="18"/>
          <w:b w:val="1"/>
          <w:bCs w:val="1"/>
          <w:color w:val="auto"/>
        </w:rPr>
        <w:t xml:space="preserve"> </w:t>
      </w:r>
      <w:r>
        <w:rPr>
          <w:rFonts w:ascii="Arial" w:cs="Arial" w:eastAsia="Arial" w:hAnsi="Arial"/>
          <w:sz w:val="18"/>
          <w:szCs w:val="18"/>
          <w:color w:val="auto"/>
        </w:rPr>
        <w:t>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55" w:lineRule="exact"/>
        <w:rPr>
          <w:rFonts w:ascii="Arial" w:cs="Arial" w:eastAsia="Arial" w:hAnsi="Arial"/>
          <w:sz w:val="18"/>
          <w:szCs w:val="18"/>
          <w:color w:val="auto"/>
        </w:rPr>
      </w:pPr>
    </w:p>
    <w:p>
      <w:pPr>
        <w:ind w:left="660" w:right="260" w:hanging="314"/>
        <w:spacing w:after="0" w:line="262"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 companies, hedge</w:t>
      </w:r>
      <w:r>
        <w:rPr>
          <w:rFonts w:ascii="Arial" w:cs="Arial" w:eastAsia="Arial" w:hAnsi="Arial"/>
          <w:sz w:val="18"/>
          <w:szCs w:val="18"/>
          <w:b w:val="1"/>
          <w:bCs w:val="1"/>
          <w:color w:val="auto"/>
        </w:rPr>
        <w:t xml:space="preserve"> </w:t>
      </w:r>
      <w:r>
        <w:rPr>
          <w:rFonts w:ascii="Arial" w:cs="Arial" w:eastAsia="Arial" w:hAnsi="Arial"/>
          <w:sz w:val="18"/>
          <w:szCs w:val="18"/>
          <w:color w:val="auto"/>
        </w:rPr>
        <w:t>funds and CLO funds have withdrawn, and may again withdraw, capital from the middle-market, resulting in opportunities for alternative funding sources.</w:t>
      </w:r>
    </w:p>
    <w:p>
      <w:pPr>
        <w:spacing w:after="0" w:line="51" w:lineRule="exact"/>
        <w:rPr>
          <w:rFonts w:ascii="Arial" w:cs="Arial" w:eastAsia="Arial" w:hAnsi="Arial"/>
          <w:sz w:val="18"/>
          <w:szCs w:val="18"/>
          <w:color w:val="auto"/>
        </w:rPr>
      </w:pPr>
    </w:p>
    <w:p>
      <w:pPr>
        <w:jc w:val="both"/>
        <w:ind w:left="660" w:right="40" w:hanging="314"/>
        <w:spacing w:after="0" w:line="262"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credit market dislocation for middle-market companies improves the risk-reward on our investments. </w:t>
      </w:r>
      <w:r>
        <w:rPr>
          <w:rFonts w:ascii="Arial" w:cs="Arial" w:eastAsia="Arial" w:hAnsi="Arial"/>
          <w:sz w:val="18"/>
          <w:szCs w:val="18"/>
          <w:color w:val="auto"/>
        </w:rPr>
        <w:t>From time to time, market</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have reduced lending to middle-market and non-investment grade borrowers. As a result, we believe there is less competition in our market, more conservative capital structures, higher yields and stronger covenants.</w:t>
      </w:r>
    </w:p>
    <w:p>
      <w:pPr>
        <w:spacing w:after="0" w:line="51" w:lineRule="exact"/>
        <w:rPr>
          <w:rFonts w:ascii="Arial" w:cs="Arial" w:eastAsia="Arial" w:hAnsi="Arial"/>
          <w:sz w:val="18"/>
          <w:szCs w:val="18"/>
          <w:color w:val="auto"/>
        </w:rPr>
      </w:pPr>
    </w:p>
    <w:p>
      <w:pPr>
        <w:ind w:left="660" w:right="180" w:hanging="314"/>
        <w:spacing w:after="0" w:line="301"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debt and/or mezzanine debt provided by other sources, and we believe that our capital is well-positioned to partner with such equity investors.</w:t>
      </w:r>
    </w:p>
    <w:p>
      <w:pPr>
        <w:spacing w:after="0" w:line="22" w:lineRule="exact"/>
        <w:rPr>
          <w:rFonts w:ascii="Arial" w:cs="Arial" w:eastAsia="Arial" w:hAnsi="Arial"/>
          <w:sz w:val="16"/>
          <w:szCs w:val="16"/>
          <w:color w:val="auto"/>
        </w:rPr>
      </w:pPr>
    </w:p>
    <w:p>
      <w:pPr>
        <w:ind w:left="660" w:right="40" w:hanging="314"/>
        <w:spacing w:after="0" w:line="296"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substantial supply of opportunities resulting from maturing loans that seek refinancing. </w:t>
      </w:r>
      <w:r>
        <w:rPr>
          <w:rFonts w:ascii="Arial" w:cs="Arial" w:eastAsia="Arial" w:hAnsi="Arial"/>
          <w:sz w:val="16"/>
          <w:szCs w:val="16"/>
          <w:color w:val="auto"/>
        </w:rPr>
        <w:t>A high volume of financings will</w:t>
      </w:r>
      <w:r>
        <w:rPr>
          <w:rFonts w:ascii="Arial" w:cs="Arial" w:eastAsia="Arial" w:hAnsi="Arial"/>
          <w:sz w:val="16"/>
          <w:szCs w:val="16"/>
          <w:b w:val="1"/>
          <w:bCs w:val="1"/>
          <w:color w:val="auto"/>
        </w:rPr>
        <w:t xml:space="preserve"> </w:t>
      </w:r>
      <w:r>
        <w:rPr>
          <w:rFonts w:ascii="Arial" w:cs="Arial" w:eastAsia="Arial" w:hAnsi="Arial"/>
          <w:sz w:val="16"/>
          <w:szCs w:val="16"/>
          <w:color w:val="auto"/>
        </w:rPr>
        <w:t>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32"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jc w:val="both"/>
        <w:ind w:right="100" w:firstLine="571"/>
        <w:spacing w:after="0" w:line="323" w:lineRule="auto"/>
        <w:rPr>
          <w:sz w:val="20"/>
          <w:szCs w:val="20"/>
          <w:color w:val="auto"/>
        </w:rPr>
      </w:pPr>
      <w:r>
        <w:rPr>
          <w:rFonts w:ascii="Arial" w:cs="Arial" w:eastAsia="Arial" w:hAnsi="Arial"/>
          <w:sz w:val="15"/>
          <w:szCs w:val="15"/>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7"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900" w:hanging="325"/>
        <w:spacing w:after="0"/>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171" w:lineRule="exact"/>
        <w:rPr>
          <w:rFonts w:ascii="Arial" w:cs="Arial" w:eastAsia="Arial" w:hAnsi="Arial"/>
          <w:sz w:val="18"/>
          <w:szCs w:val="18"/>
          <w:color w:val="auto"/>
        </w:rPr>
      </w:pPr>
    </w:p>
    <w:p>
      <w:pPr>
        <w:ind w:left="420" w:hanging="184"/>
        <w:spacing w:after="0"/>
        <w:tabs>
          <w:tab w:leader="none" w:pos="420" w:val="left"/>
        </w:tabs>
        <w:numPr>
          <w:ilvl w:val="0"/>
          <w:numId w:val="5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Ability to Source and Evaluate Transactions through our Investment Adviser’s Proactive Research Capability and Established Network</w:t>
      </w:r>
    </w:p>
    <w:p>
      <w:pPr>
        <w:spacing w:after="0" w:line="113" w:lineRule="exact"/>
        <w:rPr>
          <w:sz w:val="20"/>
          <w:szCs w:val="20"/>
          <w:color w:val="auto"/>
        </w:rPr>
      </w:pPr>
    </w:p>
    <w:p>
      <w:pPr>
        <w:ind w:right="240" w:firstLine="571"/>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59"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51"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firstLine="571"/>
        <w:spacing w:after="0" w:line="28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However, we believe that from time to time there has been a reduction in the amount of debt capital available to middle-market companies, which we believe has resulted in a less competitive environment for making new investments.</w:t>
      </w:r>
    </w:p>
    <w:p>
      <w:pPr>
        <w:spacing w:after="0" w:line="57"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As of September 30, 2016, we maintained a $350 million Credit Facility, which matures in August 2020, with the Lenders. During the Credit Facility’s revolving period, which extends to August 2018, it bears interest at LIBOR plus 200 basis points, and after the revolving period, the rate sets to LIBOR plus 425 basis points for the remaining two years. The Credit Facility is secured by all of the assets held by Funding I, under which we had $232.9 million outstanding. The annualized weighted average cost of debt for the year ended September 30, 2016, inclusive of the fee on the undrawn commitment on the Credit Facility but excluding amendment costs, was 3.51%. As of September 30, 2016 and 2015, we had $117.1 million and $260.4 million of unused borrowing capacity under our Credit Facility, respectively, subject to regulatory restrictions. We believe that our capital resources provide us with the flexibility to take advantage of market opportunities when they arise. Our use of leverage, as calculated under the asset coverage ratio of the 1940 Act, may generally range between 70% and 90% of our net assets, or 40% to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for more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MCG was a party to certain legal proceedings, including the enforcement of its rights under contracts with its portfolio companies. We inherited this litigation upon the closing of our acquisition of MCG. While the outcome of these and any future legal proceedings cannot be predicted with certainty, we do not expect that these proceedings will have a material effect upon our financial condition or results of operations, although we cannot assure you that amounts received in settlement may not be requested to be returned or that we may not be found liable in any such litigation.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OBJECTIVES AND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We seek to create a diversified portfolio primarily of Floating Rate Loans by generally targeting an investment size of $3 million to $15 million in securities, on average, of middle-market companies. We expect this investment size to vary proportionately with the size of our capital base.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20" w:lineRule="exact"/>
        <w:rPr>
          <w:sz w:val="20"/>
          <w:szCs w:val="20"/>
          <w:color w:val="auto"/>
        </w:rPr>
      </w:pPr>
    </w:p>
    <w:p>
      <w:pPr>
        <w:ind w:right="200" w:firstLine="571"/>
        <w:spacing w:after="0" w:line="254" w:lineRule="auto"/>
        <w:rPr>
          <w:sz w:val="20"/>
          <w:szCs w:val="20"/>
          <w:color w:val="auto"/>
        </w:rPr>
      </w:pPr>
      <w:r>
        <w:rPr>
          <w:rFonts w:ascii="Arial" w:cs="Arial" w:eastAsia="Arial" w:hAnsi="Arial"/>
          <w:sz w:val="18"/>
          <w:szCs w:val="18"/>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 See “Regulation—Qualifying Assets” and “Investment Objectives and Policies—Investment Selection Criteria” for more information.</w:t>
      </w:r>
    </w:p>
    <w:p>
      <w:pPr>
        <w:spacing w:after="0" w:line="144"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Structurally, senior secured debt (which we define as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debt, mezzanine debt generally earns a higher return than senior secured debt.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184" w:lineRule="exact"/>
        <w:rPr>
          <w:sz w:val="20"/>
          <w:szCs w:val="20"/>
          <w:color w:val="auto"/>
        </w:rPr>
      </w:pPr>
    </w:p>
    <w:p>
      <w:pPr>
        <w:ind w:left="1140" w:hanging="335"/>
        <w:spacing w:after="0"/>
        <w:tabs>
          <w:tab w:leader="none" w:pos="114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Leading and defensible competitive market positions</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181" w:lineRule="exact"/>
        <w:rPr>
          <w:sz w:val="20"/>
          <w:szCs w:val="20"/>
          <w:color w:val="auto"/>
        </w:rPr>
      </w:pPr>
    </w:p>
    <w:p>
      <w:pPr>
        <w:ind w:left="1140" w:hanging="335"/>
        <w:spacing w:after="0"/>
        <w:tabs>
          <w:tab w:leader="none" w:pos="114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stable borrowers with positive cash flow</w:t>
      </w:r>
    </w:p>
    <w:p>
      <w:pPr>
        <w:spacing w:after="0" w:line="90"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56" w:lineRule="exact"/>
        <w:rPr>
          <w:sz w:val="20"/>
          <w:szCs w:val="20"/>
          <w:color w:val="auto"/>
        </w:rPr>
      </w:pPr>
    </w:p>
    <w:p>
      <w:pPr>
        <w:ind w:left="1140" w:hanging="335"/>
        <w:spacing w:after="0"/>
        <w:tabs>
          <w:tab w:leader="none" w:pos="114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81" w:lineRule="exact"/>
        <w:rPr>
          <w:sz w:val="20"/>
          <w:szCs w:val="20"/>
          <w:color w:val="auto"/>
        </w:rPr>
      </w:pPr>
    </w:p>
    <w:p>
      <w:pPr>
        <w:ind w:left="1140" w:hanging="335"/>
        <w:spacing w:after="0"/>
        <w:tabs>
          <w:tab w:leader="none" w:pos="114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sponsorship</w:t>
      </w:r>
    </w:p>
    <w:p>
      <w:pPr>
        <w:spacing w:after="0" w:line="9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153" w:lineRule="exact"/>
        <w:rPr>
          <w:sz w:val="20"/>
          <w:szCs w:val="20"/>
          <w:color w:val="auto"/>
        </w:rPr>
      </w:pPr>
    </w:p>
    <w:p>
      <w:pPr>
        <w:ind w:left="1140" w:hanging="335"/>
        <w:spacing w:after="0"/>
        <w:tabs>
          <w:tab w:leader="none" w:pos="114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in different borrowers, industries and geographies</w:t>
      </w:r>
    </w:p>
    <w:p>
      <w:pPr>
        <w:spacing w:after="0" w:line="90" w:lineRule="exact"/>
        <w:rPr>
          <w:sz w:val="20"/>
          <w:szCs w:val="20"/>
          <w:color w:val="auto"/>
        </w:rPr>
      </w:pPr>
    </w:p>
    <w:p>
      <w:pPr>
        <w:ind w:right="500" w:firstLine="571"/>
        <w:spacing w:after="0" w:line="306" w:lineRule="auto"/>
        <w:rPr>
          <w:sz w:val="20"/>
          <w:szCs w:val="20"/>
          <w:color w:val="auto"/>
        </w:rPr>
      </w:pPr>
      <w:r>
        <w:rPr>
          <w:rFonts w:ascii="Arial" w:cs="Arial" w:eastAsia="Arial" w:hAnsi="Arial"/>
          <w:sz w:val="16"/>
          <w:szCs w:val="16"/>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147" w:lineRule="exact"/>
        <w:rPr>
          <w:sz w:val="20"/>
          <w:szCs w:val="20"/>
          <w:color w:val="auto"/>
        </w:rPr>
      </w:pPr>
    </w:p>
    <w:p>
      <w:pPr>
        <w:ind w:left="1140" w:hanging="335"/>
        <w:spacing w:after="0"/>
        <w:tabs>
          <w:tab w:leader="none" w:pos="114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due diligence may include:</w:t>
      </w:r>
    </w:p>
    <w:p>
      <w:pPr>
        <w:spacing w:after="0" w:line="90"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research relating to the portfolio company’s management, industry, markets, products and services and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171"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Upon the completion of due diligence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jc w:val="both"/>
        <w:ind w:right="20" w:firstLine="571"/>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40"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85" w:lineRule="exact"/>
        <w:rPr>
          <w:sz w:val="20"/>
          <w:szCs w:val="20"/>
          <w:color w:val="auto"/>
        </w:rPr>
      </w:pPr>
    </w:p>
    <w:p>
      <w:pPr>
        <w:ind w:right="60" w:firstLine="571"/>
        <w:spacing w:after="0" w:line="323" w:lineRule="auto"/>
        <w:rPr>
          <w:sz w:val="20"/>
          <w:szCs w:val="20"/>
          <w:color w:val="auto"/>
        </w:rPr>
      </w:pPr>
      <w:r>
        <w:rPr>
          <w:rFonts w:ascii="Arial" w:cs="Arial" w:eastAsia="Arial" w:hAnsi="Arial"/>
          <w:sz w:val="15"/>
          <w:szCs w:val="15"/>
          <w:color w:val="auto"/>
        </w:rPr>
        <w:t>Typically, our mezzanine debt investments have maturities of three to ten years. Mezzanine debt may take the form of a second priority lien on the assets of a portfolio company and have interest-only payments in the early years with cash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mezzanine debt may be collateralized by a subordinated lien on some or all of the assets of the borrower.</w:t>
      </w:r>
    </w:p>
    <w:p>
      <w:pPr>
        <w:spacing w:after="0" w:line="9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7" w:lineRule="exact"/>
        <w:rPr>
          <w:sz w:val="20"/>
          <w:szCs w:val="20"/>
          <w:color w:val="auto"/>
        </w:rPr>
      </w:pPr>
    </w:p>
    <w:p>
      <w:pPr>
        <w:ind w:left="900" w:right="24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jc w:val="both"/>
        <w:ind w:left="900" w:right="320" w:hanging="325"/>
        <w:spacing w:after="0" w:line="306"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our focus on preserving capital. Such restrictions may include affirmative and negative covenants, default penalties, lien protection, change of control provisions and board rights, including either observation or participation rights.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120" w:firstLine="571"/>
        <w:spacing w:after="0" w:line="332" w:lineRule="auto"/>
        <w:rPr>
          <w:sz w:val="20"/>
          <w:szCs w:val="20"/>
          <w:color w:val="auto"/>
        </w:rPr>
      </w:pPr>
      <w:r>
        <w:rPr>
          <w:rFonts w:ascii="Arial" w:cs="Arial" w:eastAsia="Arial" w:hAnsi="Arial"/>
          <w:sz w:val="16"/>
          <w:szCs w:val="16"/>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560" w:firstLine="571"/>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85"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of periodic financial statements and financial projections for portfolio companies.</w:t>
      </w:r>
    </w:p>
    <w:p>
      <w:pPr>
        <w:spacing w:after="0" w:line="171" w:lineRule="exact"/>
        <w:rPr>
          <w:sz w:val="20"/>
          <w:szCs w:val="20"/>
          <w:color w:val="auto"/>
        </w:rPr>
      </w:pPr>
    </w:p>
    <w:p>
      <w:pPr>
        <w:ind w:right="160" w:firstLine="571"/>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2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Under normal market conditions, we expect that at least 80% of the value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140"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While our investment objectives are to seek high current income and capital appreciation through investments in Floating Rate Loans, we may invest up to 35% of the portfolio in opportunistic investments. These investments may include investments in second-lien, high yield, mezzanine and distressed debt securities and, to a lesser extent equity investments and securities of companies located outside of the United States. We expect that these public foreign companies generally will have debt securities that are non-investment grade.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90"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Staffing</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w:t>
      </w:r>
    </w:p>
    <w:p>
      <w:pPr>
        <w:spacing w:after="0" w:line="144"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8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 Aerospace and Defense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Energy/Utilities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 Auto Sector</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Environmental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Beverage, Food and Tobacco</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Financial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Broadcasting and Entertainment</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Grocery</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Buildings and Real Estate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Healthcare, Education and Childcare</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Building Materials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High Tech Industries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 Business Services</w:t>
            </w:r>
          </w:p>
        </w:tc>
        <w:tc>
          <w:tcPr>
            <w:tcW w:w="5860" w:type="dxa"/>
            <w:vAlign w:val="bottom"/>
            <w:gridSpan w:val="2"/>
          </w:tcPr>
          <w:p>
            <w:pPr>
              <w:ind w:left="580"/>
              <w:spacing w:after="0"/>
              <w:rPr>
                <w:sz w:val="20"/>
                <w:szCs w:val="20"/>
                <w:color w:val="auto"/>
              </w:rPr>
            </w:pPr>
            <w:r>
              <w:rPr>
                <w:rFonts w:ascii="Arial" w:cs="Arial" w:eastAsia="Arial" w:hAnsi="Arial"/>
                <w:sz w:val="18"/>
                <w:szCs w:val="18"/>
                <w:color w:val="auto"/>
                <w:w w:val="89"/>
              </w:rPr>
              <w:t>• Home &amp; Office Furnishings, Housewares &amp; Durable Consumer Products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Cable Television</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Hotels, Motels, Inns and Gaming</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Capital Equipment</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Insurance</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Cargo Transportation</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Leisure, Amusement, Motion Picture, Entertainment</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Chemicals, Plastics and Rubber</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Logistics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Manufacturing/Basic Industries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 Consumer Products</w:t>
            </w:r>
          </w:p>
        </w:tc>
        <w:tc>
          <w:tcPr>
            <w:tcW w:w="5860" w:type="dxa"/>
            <w:vAlign w:val="bottom"/>
            <w:gridSpan w:val="2"/>
          </w:tcPr>
          <w:p>
            <w:pPr>
              <w:ind w:left="580"/>
              <w:spacing w:after="0"/>
              <w:rPr>
                <w:sz w:val="20"/>
                <w:szCs w:val="20"/>
                <w:color w:val="auto"/>
              </w:rPr>
            </w:pPr>
            <w:r>
              <w:rPr>
                <w:rFonts w:ascii="Arial" w:cs="Arial" w:eastAsia="Arial" w:hAnsi="Arial"/>
                <w:sz w:val="18"/>
                <w:szCs w:val="18"/>
                <w:color w:val="auto"/>
              </w:rPr>
              <w:t>• Media</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Consumer Services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Mining, Steel, Iron and Non-Precious Metals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 Containers Packaging &amp; Glass</w:t>
            </w:r>
          </w:p>
        </w:tc>
        <w:tc>
          <w:tcPr>
            <w:tcW w:w="5860" w:type="dxa"/>
            <w:vAlign w:val="bottom"/>
            <w:gridSpan w:val="2"/>
          </w:tcPr>
          <w:p>
            <w:pPr>
              <w:ind w:left="580"/>
              <w:spacing w:after="0"/>
              <w:rPr>
                <w:sz w:val="20"/>
                <w:szCs w:val="20"/>
                <w:color w:val="auto"/>
              </w:rPr>
            </w:pPr>
            <w:r>
              <w:rPr>
                <w:rFonts w:ascii="Arial" w:cs="Arial" w:eastAsia="Arial" w:hAnsi="Arial"/>
                <w:sz w:val="18"/>
                <w:szCs w:val="18"/>
                <w:color w:val="auto"/>
              </w:rPr>
              <w:t>• Oil and Gas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Other Media</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Diversified/Conglomerate Manufacturing</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Personal, Food and Miscellaneous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Diversified/Conglomerate Services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Printing and Publishing</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Diversified Natural Resources, Precious Metals and Minerals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Retail</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Education</w:t>
            </w:r>
          </w:p>
        </w:tc>
        <w:tc>
          <w:tcPr>
            <w:tcW w:w="5860" w:type="dxa"/>
            <w:vAlign w:val="bottom"/>
            <w:gridSpan w:val="2"/>
          </w:tcPr>
          <w:p>
            <w:pPr>
              <w:ind w:left="580"/>
              <w:spacing w:after="0"/>
              <w:rPr>
                <w:sz w:val="20"/>
                <w:szCs w:val="20"/>
                <w:color w:val="auto"/>
              </w:rPr>
            </w:pPr>
            <w:r>
              <w:rPr>
                <w:rFonts w:ascii="Arial" w:cs="Arial" w:eastAsia="Arial" w:hAnsi="Arial"/>
                <w:sz w:val="18"/>
                <w:szCs w:val="18"/>
                <w:color w:val="auto"/>
              </w:rPr>
              <w:t>• Wholesale</w:t>
            </w:r>
          </w:p>
        </w:tc>
      </w:tr>
      <w:tr>
        <w:trPr>
          <w:trHeight w:val="222"/>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Electronics</w:t>
            </w:r>
          </w:p>
        </w:tc>
        <w:tc>
          <w:tcPr>
            <w:tcW w:w="680" w:type="dxa"/>
            <w:vAlign w:val="bottom"/>
          </w:tcPr>
          <w:p>
            <w:pPr>
              <w:spacing w:after="0"/>
              <w:rPr>
                <w:sz w:val="19"/>
                <w:szCs w:val="19"/>
                <w:color w:val="auto"/>
              </w:rPr>
            </w:pPr>
          </w:p>
        </w:tc>
        <w:tc>
          <w:tcPr>
            <w:tcW w:w="5180" w:type="dxa"/>
            <w:vAlign w:val="bottom"/>
          </w:tcPr>
          <w:p>
            <w:pPr>
              <w:spacing w:after="0"/>
              <w:rPr>
                <w:sz w:val="19"/>
                <w:szCs w:val="19"/>
                <w:color w:val="auto"/>
              </w:rPr>
            </w:pPr>
          </w:p>
        </w:tc>
      </w:tr>
    </w:tbl>
    <w:p>
      <w:pPr>
        <w:spacing w:after="0" w:line="88" w:lineRule="exact"/>
        <w:rPr>
          <w:sz w:val="20"/>
          <w:szCs w:val="20"/>
          <w:color w:val="auto"/>
        </w:rPr>
      </w:pPr>
    </w:p>
    <w:p>
      <w:pPr>
        <w:ind w:right="760" w:firstLine="571"/>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 September 30: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2016</w:t>
            </w:r>
          </w:p>
        </w:tc>
        <w:tc>
          <w:tcPr>
            <w:tcW w:w="260" w:type="dxa"/>
            <w:vAlign w:val="bottom"/>
          </w:tcPr>
          <w:p>
            <w:pPr>
              <w:spacing w:after="0"/>
              <w:rPr>
                <w:sz w:val="21"/>
                <w:szCs w:val="21"/>
                <w:color w:val="auto"/>
              </w:rPr>
            </w:pPr>
          </w:p>
        </w:tc>
        <w:tc>
          <w:tcPr>
            <w:tcW w:w="4840" w:type="dxa"/>
            <w:vAlign w:val="bottom"/>
            <w:gridSpan w:val="2"/>
          </w:tcPr>
          <w:p>
            <w:pPr>
              <w:ind w:left="140"/>
              <w:spacing w:after="0"/>
              <w:rPr>
                <w:sz w:val="20"/>
                <w:szCs w:val="20"/>
                <w:color w:val="auto"/>
              </w:rPr>
            </w:pPr>
            <w:r>
              <w:rPr>
                <w:rFonts w:ascii="Arial" w:cs="Arial" w:eastAsia="Arial" w:hAnsi="Arial"/>
                <w:sz w:val="18"/>
                <w:szCs w:val="18"/>
                <w:b w:val="1"/>
                <w:bCs w:val="1"/>
                <w:color w:val="auto"/>
              </w:rPr>
              <w:t>Portfolio Company</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2015</w:t>
            </w:r>
          </w:p>
        </w:tc>
      </w:tr>
      <w:tr>
        <w:trPr>
          <w:trHeight w:val="20"/>
        </w:trPr>
        <w:tc>
          <w:tcPr>
            <w:tcW w:w="5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1"/>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Marketplace Events LLC</w:t>
            </w:r>
          </w:p>
        </w:tc>
        <w:tc>
          <w:tcPr>
            <w:tcW w:w="2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AKA Diversified Holdings, Inc.</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1"/>
        </w:trPr>
        <w:tc>
          <w:tcPr>
            <w:tcW w:w="5260" w:type="dxa"/>
            <w:vAlign w:val="bottom"/>
            <w:gridSpan w:val="2"/>
          </w:tcPr>
          <w:p>
            <w:pPr>
              <w:spacing w:after="0"/>
              <w:rPr>
                <w:sz w:val="20"/>
                <w:szCs w:val="20"/>
                <w:color w:val="auto"/>
              </w:rPr>
            </w:pPr>
            <w:r>
              <w:rPr>
                <w:rFonts w:ascii="Arial" w:cs="Arial" w:eastAsia="Arial" w:hAnsi="Arial"/>
                <w:sz w:val="18"/>
                <w:szCs w:val="18"/>
                <w:color w:val="auto"/>
              </w:rPr>
              <w:t>Advanced Cable Communications, LLC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Bowlmor AMF Corp.</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r>
      <w:tr>
        <w:trPr>
          <w:trHeight w:val="232"/>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ALG USA Holdings, LLC</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CRGT Inc.</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AMF Bowling Centers, Inc.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Howard Berger Co. LLC</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CD&amp;R TZ Purchaser, Inc.</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Instant Web, LLC</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CRGT Inc.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Language Line, LLC</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Efficient Collaborative Retail Marketing Company, LLC</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Novitex Acquisition, LLC</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KHC Holdings, Inc.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Polyconcept Finance B.V.</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Novitex Acquisition, LLC</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Surgical Specialties Corporation (US), Inc.</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55"/>
        </w:trPr>
        <w:tc>
          <w:tcPr>
            <w:tcW w:w="5260" w:type="dxa"/>
            <w:vAlign w:val="bottom"/>
            <w:gridSpan w:val="2"/>
          </w:tcPr>
          <w:p>
            <w:pPr>
              <w:spacing w:after="0"/>
              <w:rPr>
                <w:sz w:val="20"/>
                <w:szCs w:val="20"/>
                <w:color w:val="auto"/>
              </w:rPr>
            </w:pPr>
            <w:r>
              <w:rPr>
                <w:rFonts w:ascii="Arial" w:cs="Arial" w:eastAsia="Arial" w:hAnsi="Arial"/>
                <w:sz w:val="18"/>
                <w:szCs w:val="18"/>
                <w:color w:val="auto"/>
              </w:rPr>
              <w:t>Triad Manufacturing, Inc.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iEnergizer Limited and Aptara, Inc.</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Pr>
          <w:p>
            <w:pPr>
              <w:spacing w:after="0"/>
              <w:rPr>
                <w:sz w:val="20"/>
                <w:szCs w:val="20"/>
                <w:color w:val="auto"/>
              </w:rPr>
            </w:pPr>
            <w:r>
              <w:rPr>
                <w:rFonts w:ascii="Arial" w:cs="Arial" w:eastAsia="Arial" w:hAnsi="Arial"/>
                <w:sz w:val="18"/>
                <w:szCs w:val="18"/>
                <w:b w:val="1"/>
                <w:bCs w:val="1"/>
                <w:color w:val="auto"/>
              </w:rPr>
              <w:t>Industry</w:t>
            </w: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2016</w:t>
            </w:r>
          </w:p>
        </w:tc>
        <w:tc>
          <w:tcPr>
            <w:tcW w:w="260" w:type="dxa"/>
            <w:vAlign w:val="bottom"/>
          </w:tcPr>
          <w:p>
            <w:pPr>
              <w:spacing w:after="0"/>
              <w:rPr>
                <w:sz w:val="21"/>
                <w:szCs w:val="21"/>
                <w:color w:val="auto"/>
              </w:rPr>
            </w:pPr>
          </w:p>
        </w:tc>
        <w:tc>
          <w:tcPr>
            <w:tcW w:w="4840" w:type="dxa"/>
            <w:vAlign w:val="bottom"/>
            <w:gridSpan w:val="2"/>
          </w:tcPr>
          <w:p>
            <w:pPr>
              <w:ind w:left="140"/>
              <w:spacing w:after="0"/>
              <w:rPr>
                <w:sz w:val="20"/>
                <w:szCs w:val="20"/>
                <w:color w:val="auto"/>
              </w:rPr>
            </w:pPr>
            <w:r>
              <w:rPr>
                <w:rFonts w:ascii="Arial" w:cs="Arial" w:eastAsia="Arial" w:hAnsi="Arial"/>
                <w:sz w:val="18"/>
                <w:szCs w:val="18"/>
                <w:b w:val="1"/>
                <w:bCs w:val="1"/>
                <w:color w:val="auto"/>
              </w:rPr>
              <w:t>Industry</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2015</w:t>
            </w:r>
          </w:p>
        </w:tc>
      </w:tr>
      <w:tr>
        <w:trPr>
          <w:trHeight w:val="20"/>
        </w:trPr>
        <w:tc>
          <w:tcPr>
            <w:tcW w:w="5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1"/>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High Tech Industries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Healthcare and Pharmaceuticals</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12</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Business Services</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Consumer Goods: Durable</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Retail</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Construction and Building</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Consumer Services</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Media: Diversified and Production</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Hotel, Gaming and Leisure</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Consumer Goods: Non-Durable</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r>
        <w:trPr>
          <w:trHeight w:val="255"/>
        </w:trPr>
        <w:tc>
          <w:tcPr>
            <w:tcW w:w="5260" w:type="dxa"/>
            <w:vAlign w:val="bottom"/>
            <w:gridSpan w:val="2"/>
          </w:tcPr>
          <w:p>
            <w:pPr>
              <w:spacing w:after="0"/>
              <w:rPr>
                <w:sz w:val="20"/>
                <w:szCs w:val="20"/>
                <w:color w:val="auto"/>
              </w:rPr>
            </w:pPr>
            <w:r>
              <w:rPr>
                <w:rFonts w:ascii="Arial" w:cs="Arial" w:eastAsia="Arial" w:hAnsi="Arial"/>
                <w:sz w:val="18"/>
                <w:szCs w:val="18"/>
                <w:color w:val="auto"/>
              </w:rPr>
              <w:t>Wholesale</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Media: Advertising, Printing and Publishing</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459" w:right="2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7"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00"/>
          </w:cols>
          <w:pgMar w:left="240" w:top="459" w:right="3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96" w:lineRule="exact"/>
        <w:rPr>
          <w:sz w:val="20"/>
          <w:szCs w:val="20"/>
          <w:color w:val="auto"/>
        </w:rPr>
      </w:pPr>
    </w:p>
    <w:p>
      <w:pPr>
        <w:ind w:right="260" w:firstLine="571"/>
        <w:spacing w:after="0" w:line="323" w:lineRule="auto"/>
        <w:rPr>
          <w:sz w:val="20"/>
          <w:szCs w:val="20"/>
          <w:color w:val="auto"/>
        </w:rPr>
      </w:pPr>
      <w:r>
        <w:rPr>
          <w:rFonts w:ascii="Arial" w:cs="Arial" w:eastAsia="Arial" w:hAnsi="Arial"/>
          <w:sz w:val="15"/>
          <w:szCs w:val="15"/>
          <w:color w:val="auto"/>
        </w:rPr>
        <w:t>The following is a listing of each portfolio company or its affiliate, together referred to as portfolio companies, in which we had an investment as of September 30, 2016.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elsewhere in this prospectus.</w:t>
      </w:r>
    </w:p>
    <w:p>
      <w:pPr>
        <w:spacing w:after="0" w:line="17"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Certain assets are pledged as collateral under our Credit Facility as disclosed in our Consolidated Schedule of Investments. Unless otherwise noted, we held no voting board membership on any of our portfolio companies.</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September 30, 2016, there was no portfolio company in which we have made an investment that represents greater than 5% of our total assets.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ind w:left="500"/>
              <w:spacing w:after="0"/>
              <w:rPr>
                <w:sz w:val="20"/>
                <w:szCs w:val="20"/>
                <w:color w:val="auto"/>
              </w:rPr>
            </w:pPr>
            <w:r>
              <w:rPr>
                <w:rFonts w:ascii="Arial" w:cs="Arial" w:eastAsia="Arial" w:hAnsi="Arial"/>
                <w:sz w:val="14"/>
                <w:szCs w:val="14"/>
                <w:b w:val="1"/>
                <w:bCs w:val="1"/>
                <w:color w:val="auto"/>
              </w:rPr>
              <w:t>Type of Investment,</w:t>
            </w:r>
          </w:p>
        </w:tc>
        <w:tc>
          <w:tcPr>
            <w:tcW w:w="1820" w:type="dxa"/>
            <w:vAlign w:val="bottom"/>
            <w:gridSpan w:val="2"/>
          </w:tcPr>
          <w:p>
            <w:pPr>
              <w:ind w:left="340"/>
              <w:spacing w:after="0"/>
              <w:rPr>
                <w:sz w:val="20"/>
                <w:szCs w:val="20"/>
                <w:color w:val="auto"/>
              </w:rPr>
            </w:pPr>
            <w:r>
              <w:rPr>
                <w:rFonts w:ascii="Arial" w:cs="Arial" w:eastAsia="Arial" w:hAnsi="Arial"/>
                <w:sz w:val="14"/>
                <w:szCs w:val="14"/>
                <w:b w:val="1"/>
                <w:bCs w:val="1"/>
                <w:color w:val="auto"/>
              </w:rPr>
              <w:t>Voting Percentage</w:t>
            </w:r>
          </w:p>
        </w:tc>
        <w:tc>
          <w:tcPr>
            <w:tcW w:w="1700" w:type="dxa"/>
            <w:vAlign w:val="bottom"/>
          </w:tcPr>
          <w:p>
            <w:pPr>
              <w:jc w:val="right"/>
              <w:ind w:right="45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3"/>
              </w:rPr>
              <w:t>Nature of Business</w:t>
            </w:r>
          </w:p>
        </w:tc>
        <w:tc>
          <w:tcPr>
            <w:tcW w:w="120" w:type="dxa"/>
            <w:vAlign w:val="bottom"/>
          </w:tcPr>
          <w:p>
            <w:pPr>
              <w:spacing w:after="0"/>
              <w:rPr>
                <w:sz w:val="17"/>
                <w:szCs w:val="17"/>
                <w:color w:val="auto"/>
              </w:rPr>
            </w:pP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ind w:left="460"/>
              <w:spacing w:after="0" w:line="176" w:lineRule="exact"/>
              <w:rPr>
                <w:sz w:val="20"/>
                <w:szCs w:val="20"/>
                <w:color w:val="auto"/>
              </w:rPr>
            </w:pPr>
            <w:r>
              <w:rPr>
                <w:rFonts w:ascii="Arial" w:cs="Arial" w:eastAsia="Arial" w:hAnsi="Arial"/>
                <w:sz w:val="13"/>
                <w:szCs w:val="13"/>
                <w:b w:val="1"/>
                <w:bCs w:val="1"/>
                <w:color w:val="auto"/>
              </w:rPr>
              <w:t xml:space="preserve">Ownership </w:t>
            </w:r>
            <w:r>
              <w:rPr>
                <w:rFonts w:ascii="Arial" w:cs="Arial" w:eastAsia="Arial" w:hAnsi="Arial"/>
                <w:sz w:val="20"/>
                <w:szCs w:val="20"/>
                <w:b w:val="1"/>
                <w:bCs w:val="1"/>
                <w:color w:val="auto"/>
                <w:vertAlign w:val="superscript"/>
              </w:rPr>
              <w:t>(2)</w:t>
            </w:r>
          </w:p>
        </w:tc>
        <w:tc>
          <w:tcPr>
            <w:tcW w:w="1700" w:type="dxa"/>
            <w:vAlign w:val="bottom"/>
          </w:tcPr>
          <w:p>
            <w:pPr>
              <w:jc w:val="right"/>
              <w:ind w:right="356"/>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88"/>
              </w:rPr>
              <w:t>Companies Less than 5% Owned</w:t>
            </w:r>
          </w:p>
        </w:tc>
        <w:tc>
          <w:tcPr>
            <w:tcW w:w="68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Advanced Cable Communications,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Telecommunications</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8"/>
                <w:szCs w:val="18"/>
                <w:color w:val="auto"/>
              </w:rPr>
            </w:pPr>
          </w:p>
        </w:tc>
        <w:tc>
          <w:tcPr>
            <w:tcW w:w="1700" w:type="dxa"/>
            <w:vAlign w:val="bottom"/>
          </w:tcPr>
          <w:p>
            <w:pPr>
              <w:jc w:val="right"/>
              <w:ind w:right="436"/>
              <w:spacing w:after="0"/>
              <w:rPr>
                <w:sz w:val="20"/>
                <w:szCs w:val="20"/>
                <w:color w:val="auto"/>
              </w:rPr>
            </w:pPr>
            <w:r>
              <w:rPr>
                <w:rFonts w:ascii="Arial" w:cs="Arial" w:eastAsia="Arial" w:hAnsi="Arial"/>
                <w:sz w:val="18"/>
                <w:szCs w:val="18"/>
                <w:color w:val="auto"/>
              </w:rPr>
              <w:t>$ 12,601</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(TPC Broadband Investors, LP)</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L+575, 08/09/2021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12409 NW 35 Street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Coral Springs, FL 33065</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Group Holdings, Inc.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Consumer Goods: Durable</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5,635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Group, Inc.)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L+700, 10/31/2018</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(Affinion International Holdings Limited)</w:t>
            </w:r>
            <w:r>
              <w:rPr>
                <w:rFonts w:ascii="Arial" w:cs="Arial" w:eastAsia="Arial" w:hAnsi="Arial"/>
                <w:sz w:val="11"/>
                <w:szCs w:val="11"/>
                <w:color w:val="auto"/>
                <w:w w:val="97"/>
              </w:rPr>
              <w:t>(3)</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Subordinated Debt, 7.50%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Connecticut Avenue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(PIK4.00%) fixed, 07/30/2018</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Norwalk, CT 06850</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220" w:type="dxa"/>
            <w:vAlign w:val="bottom"/>
            <w:gridSpan w:val="3"/>
          </w:tcPr>
          <w:p>
            <w:pPr>
              <w:spacing w:after="0"/>
              <w:rPr>
                <w:sz w:val="20"/>
                <w:szCs w:val="20"/>
                <w:color w:val="auto"/>
              </w:rPr>
            </w:pPr>
            <w:r>
              <w:rPr>
                <w:rFonts w:ascii="Arial" w:cs="Arial" w:eastAsia="Arial" w:hAnsi="Arial"/>
                <w:sz w:val="18"/>
                <w:szCs w:val="18"/>
                <w:color w:val="auto"/>
              </w:rPr>
              <w:t>ALG USA Holdings,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Hotel, Gaming and Leisure</w:t>
            </w:r>
          </w:p>
        </w:tc>
        <w:tc>
          <w:tcPr>
            <w:tcW w:w="120" w:type="dxa"/>
            <w:vAlign w:val="bottom"/>
          </w:tcPr>
          <w:p>
            <w:pPr>
              <w:spacing w:after="0"/>
              <w:rPr>
                <w:sz w:val="23"/>
                <w:szCs w:val="23"/>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6"/>
              <w:spacing w:after="0"/>
              <w:rPr>
                <w:sz w:val="20"/>
                <w:szCs w:val="20"/>
                <w:color w:val="auto"/>
              </w:rPr>
            </w:pPr>
            <w:r>
              <w:rPr>
                <w:rFonts w:ascii="Arial" w:cs="Arial" w:eastAsia="Arial" w:hAnsi="Arial"/>
                <w:sz w:val="18"/>
                <w:szCs w:val="18"/>
                <w:color w:val="auto"/>
              </w:rPr>
              <w:t>12,064</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7 Campus Boulevard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L+575, 02/28/2019</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Newtown Square, PA 19073</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Alvogen Pharma US, Inc.</w:t>
            </w:r>
            <w:r>
              <w:rPr>
                <w:rFonts w:ascii="Arial" w:cs="Arial" w:eastAsia="Arial" w:hAnsi="Arial"/>
                <w:sz w:val="11"/>
                <w:szCs w:val="11"/>
                <w:color w:val="auto"/>
              </w:rPr>
              <w:t>(3)</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Healthcare and Pharmaceuticals</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Bloomfield Avenue, Building B</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L+500, 04/04/2022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Pine Brook, NJ 07058</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220" w:type="dxa"/>
            <w:vAlign w:val="bottom"/>
            <w:gridSpan w:val="3"/>
          </w:tcPr>
          <w:p>
            <w:pPr>
              <w:spacing w:after="0"/>
              <w:rPr>
                <w:sz w:val="20"/>
                <w:szCs w:val="20"/>
                <w:color w:val="auto"/>
              </w:rPr>
            </w:pPr>
            <w:r>
              <w:rPr>
                <w:rFonts w:ascii="Arial" w:cs="Arial" w:eastAsia="Arial" w:hAnsi="Arial"/>
                <w:sz w:val="18"/>
                <w:szCs w:val="18"/>
                <w:color w:val="auto"/>
              </w:rPr>
              <w:t>American Bath Group,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Consumer Goods: Durable</w:t>
            </w:r>
          </w:p>
        </w:tc>
        <w:tc>
          <w:tcPr>
            <w:tcW w:w="120" w:type="dxa"/>
            <w:vAlign w:val="bottom"/>
          </w:tcPr>
          <w:p>
            <w:pPr>
              <w:spacing w:after="0"/>
              <w:rPr>
                <w:sz w:val="23"/>
                <w:szCs w:val="23"/>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6"/>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435 Industrial Road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L+575, 10/02/2023</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Savannah, TN 38372</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Gilsonite Company</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Metals and Mining</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1717 St. James Place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 , 09/01/2017</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77056</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220" w:type="dxa"/>
            <w:vAlign w:val="bottom"/>
            <w:gridSpan w:val="3"/>
          </w:tcPr>
          <w:p>
            <w:pPr>
              <w:spacing w:after="0"/>
              <w:rPr>
                <w:sz w:val="20"/>
                <w:szCs w:val="20"/>
                <w:color w:val="auto"/>
              </w:rPr>
            </w:pPr>
            <w:r>
              <w:rPr>
                <w:rFonts w:ascii="Arial" w:cs="Arial" w:eastAsia="Arial" w:hAnsi="Arial"/>
                <w:sz w:val="18"/>
                <w:szCs w:val="18"/>
                <w:color w:val="auto"/>
              </w:rPr>
              <w:t>American Scaffold</w:t>
            </w:r>
          </w:p>
        </w:tc>
        <w:tc>
          <w:tcPr>
            <w:tcW w:w="2300" w:type="dxa"/>
            <w:vAlign w:val="bottom"/>
          </w:tcPr>
          <w:p>
            <w:pPr>
              <w:jc w:val="center"/>
              <w:spacing w:after="0"/>
              <w:rPr>
                <w:sz w:val="20"/>
                <w:szCs w:val="20"/>
                <w:color w:val="auto"/>
              </w:rPr>
            </w:pPr>
            <w:r>
              <w:rPr>
                <w:rFonts w:ascii="Arial" w:cs="Arial" w:eastAsia="Arial" w:hAnsi="Arial"/>
                <w:sz w:val="18"/>
                <w:szCs w:val="18"/>
                <w:color w:val="auto"/>
                <w:w w:val="85"/>
              </w:rPr>
              <w:t>Aerospace and Defense</w:t>
            </w:r>
          </w:p>
        </w:tc>
        <w:tc>
          <w:tcPr>
            <w:tcW w:w="120" w:type="dxa"/>
            <w:vAlign w:val="bottom"/>
          </w:tcPr>
          <w:p>
            <w:pPr>
              <w:spacing w:after="0"/>
              <w:rPr>
                <w:sz w:val="23"/>
                <w:szCs w:val="23"/>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6"/>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3210 Commercial Street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L+650, 03/31/2022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San Diego, CA 92113</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AMF Bowling Centers, Inc.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Retail</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14,931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222 W. 44</w:t>
            </w:r>
            <w:r>
              <w:rPr>
                <w:rFonts w:ascii="Arial" w:cs="Arial" w:eastAsia="Arial" w:hAnsi="Arial"/>
                <w:sz w:val="11"/>
                <w:szCs w:val="11"/>
                <w:color w:val="auto"/>
              </w:rPr>
              <w:t>th</w:t>
            </w:r>
            <w:r>
              <w:rPr>
                <w:rFonts w:ascii="Arial" w:cs="Arial" w:eastAsia="Arial" w:hAnsi="Arial"/>
                <w:sz w:val="18"/>
                <w:szCs w:val="18"/>
                <w:color w:val="auto"/>
              </w:rPr>
              <w:t xml:space="preserve"> St.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L+500, 09/19/2023</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10036</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220" w:type="dxa"/>
            <w:vAlign w:val="bottom"/>
            <w:gridSpan w:val="3"/>
          </w:tcPr>
          <w:p>
            <w:pPr>
              <w:spacing w:after="0"/>
              <w:rPr>
                <w:sz w:val="20"/>
                <w:szCs w:val="20"/>
                <w:color w:val="auto"/>
              </w:rPr>
            </w:pPr>
            <w:r>
              <w:rPr>
                <w:rFonts w:ascii="Arial" w:cs="Arial" w:eastAsia="Arial" w:hAnsi="Arial"/>
                <w:sz w:val="18"/>
                <w:szCs w:val="18"/>
                <w:color w:val="auto"/>
              </w:rPr>
              <w:t>AP Gaming I,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Hotel, Gaming and Leisure</w:t>
            </w:r>
          </w:p>
        </w:tc>
        <w:tc>
          <w:tcPr>
            <w:tcW w:w="120" w:type="dxa"/>
            <w:vAlign w:val="bottom"/>
          </w:tcPr>
          <w:p>
            <w:pPr>
              <w:spacing w:after="0"/>
              <w:rPr>
                <w:sz w:val="23"/>
                <w:szCs w:val="23"/>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1700" w:type="dxa"/>
            <w:vAlign w:val="bottom"/>
          </w:tcPr>
          <w:p>
            <w:pPr>
              <w:jc w:val="right"/>
              <w:ind w:right="436"/>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6680 Amelia Earhart Court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L+825, 12/21/2020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Las Vegas, NV 89119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API Technologies Corp.</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Aerospace and Defense</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4705 S. Apopka Vineland Rd., Suite 210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L+650, 04/22/2022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Orlando, FL 32819</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80" w:type="dxa"/>
            <w:vAlign w:val="bottom"/>
            <w:gridSpan w:val="2"/>
          </w:tcPr>
          <w:p>
            <w:pPr>
              <w:jc w:val="right"/>
              <w:ind w:right="191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Type of Investment,</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(2)</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2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23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Azure Midstream Energy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Energy: Oil and Gas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1250 Wood Bridge Branch Park Dr., Ste.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L+650, 11/15/2018</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jc w:val="right"/>
              <w:ind w:right="1972"/>
              <w:spacing w:after="0"/>
              <w:rPr>
                <w:sz w:val="20"/>
                <w:szCs w:val="20"/>
                <w:color w:val="auto"/>
              </w:rPr>
            </w:pPr>
            <w:r>
              <w:rPr>
                <w:rFonts w:ascii="Arial" w:cs="Arial" w:eastAsia="Arial" w:hAnsi="Arial"/>
                <w:sz w:val="18"/>
                <w:szCs w:val="18"/>
                <w:color w:val="auto"/>
              </w:rPr>
              <w:t>100</w:t>
            </w:r>
          </w:p>
        </w:tc>
        <w:tc>
          <w:tcPr>
            <w:tcW w:w="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77079</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Blue Bird Body Company</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Automotive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402 Blue Bird Boulevard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L+550, 06/29/2020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Fort Valley, GA 31030</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54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Broder Bros., Co.</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Consumer Goods: Non-Durable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Neshaminy Interplex, 6</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Tranche A (L+575,</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Trevose, PA 19053</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06/03/2021), Tranche B</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(L+1,225, 06/03/2021)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Camin Cargo Control,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Transportation: Cargo</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230 Marion Avenue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L+475, 06/30/2021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Linden, NJ 07036</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CareCentrix,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 Church Street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L+500, 07/08/2021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Hartford, CT 06103</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CBAC Borrower,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Hotel, Gaming and Leisure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One Caesars Palace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L+700, 07/02/2020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Las Vegas, NV 89109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CD&amp;R TZ Purchaser,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Consumer Goods: 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2200 Fletcher Avenue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L+600, 07/21/2023</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Lee, NJ 07024</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Charming Charlie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Retail</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5999 Savoy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L+800, 12/24/2019</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Houston, TX 77036</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Chicken Soup for the Soul Publishing,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Media: Advertising, Printing</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 Hedgerow Lane</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and Publishing</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L+625, 01/08/2019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Greenwich, CT 06831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Corfin Industries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Aerospace and Defense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2.7%</w:t>
            </w:r>
          </w:p>
        </w:tc>
        <w:tc>
          <w:tcPr>
            <w:tcW w:w="100" w:type="dxa"/>
            <w:vAlign w:val="bottom"/>
          </w:tcPr>
          <w:p>
            <w:pPr>
              <w:spacing w:after="0"/>
              <w:rPr>
                <w:sz w:val="18"/>
                <w:szCs w:val="18"/>
                <w:color w:val="auto"/>
              </w:rPr>
            </w:pP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(Corfin InvestCo, L.P.)</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L+975, 11/25/2020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7B Raymond Avenue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Salem, NH 03079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Infonet,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Subordinated Debt, 13.00%</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4540 Honeywell Court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(PIK 1.75%) fixed,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Dayton, OH 45424</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10/26/2018</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CRGT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10,505</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11921 Freedom Drive, Ste. 1000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L+650, 12/21/2020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Reston, VA 20190</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Curo Health Services Holdings,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491 Williamson Road, Suite 204</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L+550, 02/07/2022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Mooresville, NC 28117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DBI Holding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100 North Conahan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L+525, 08/02/2021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Hazleton, PA 18201</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DCS Business Services,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333 North Canyon Parkway, Ste. 100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L+725, 03/19/2018</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Livermore, CA 94551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59" w:right="23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Type of Investment,</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3"/>
              </w:rPr>
              <w:t>Nature of Business</w:t>
            </w:r>
          </w:p>
        </w:tc>
        <w:tc>
          <w:tcPr>
            <w:tcW w:w="120" w:type="dxa"/>
            <w:vAlign w:val="bottom"/>
          </w:tcPr>
          <w:p>
            <w:pPr>
              <w:spacing w:after="0"/>
              <w:rPr>
                <w:sz w:val="17"/>
                <w:szCs w:val="17"/>
                <w:color w:val="auto"/>
              </w:rPr>
            </w:pP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(2)</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DISA Global Solutions, Inc.</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5"/>
              </w:rPr>
              <w:t>Business Services</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35"/>
              <w:spacing w:after="0" w:line="182" w:lineRule="exact"/>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12600 Northborough Drive, Ste. 300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L+450, 12/09/2020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77067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w w:val="91"/>
              </w:rPr>
              <w:t>Douglas Products and Packaging Company</w:t>
            </w:r>
          </w:p>
        </w:tc>
        <w:tc>
          <w:tcPr>
            <w:tcW w:w="2300" w:type="dxa"/>
            <w:vAlign w:val="bottom"/>
          </w:tcPr>
          <w:p>
            <w:pPr>
              <w:jc w:val="center"/>
              <w:spacing w:after="0"/>
              <w:rPr>
                <w:sz w:val="20"/>
                <w:szCs w:val="20"/>
                <w:color w:val="auto"/>
              </w:rPr>
            </w:pPr>
            <w:r>
              <w:rPr>
                <w:rFonts w:ascii="Arial" w:cs="Arial" w:eastAsia="Arial" w:hAnsi="Arial"/>
                <w:sz w:val="18"/>
                <w:szCs w:val="18"/>
                <w:color w:val="auto"/>
                <w:w w:val="87"/>
              </w:rPr>
              <w:t>Chemicals, Plastics and Rubber</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LLC</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L+475, 06/30/2020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1550 East Old 210 Highway</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Liberty, MO 64068</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L+1,050</w:t>
            </w:r>
            <w:r>
              <w:rPr>
                <w:rFonts w:ascii="Arial" w:cs="Arial" w:eastAsia="Arial" w:hAnsi="Arial"/>
                <w:sz w:val="11"/>
                <w:szCs w:val="11"/>
                <w:color w:val="auto"/>
                <w:w w:val="90"/>
              </w:rPr>
              <w:t>(5)</w:t>
            </w:r>
            <w:r>
              <w:rPr>
                <w:rFonts w:ascii="Arial" w:cs="Arial" w:eastAsia="Arial" w:hAnsi="Arial"/>
                <w:sz w:val="18"/>
                <w:szCs w:val="18"/>
                <w:color w:val="auto"/>
                <w:w w:val="90"/>
              </w:rPr>
              <w:t>, 12/31/2020</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Driven Performance Brands, Inc.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Consumer Goods: Durable</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Stony Point Rd, Suite 125</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L+475, 09/10/2020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 Rosa, CA 95401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Education Networks of America, Inc.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Telecommunications</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618 Grassmere Park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L+700, 05/06/2021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Suite 12</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Nashville, TN 37211</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Efficient Collaborative Retail Marketing</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Media: Diversified and</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 ,</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10,972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Company, LLC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Production</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L+675, 06/15/2022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27070 Miles Road, Suite A</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Solon, OH 44139</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e.l.f. Beauty, Inc.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Consumer Goods: Durable</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8"/>
                <w:szCs w:val="18"/>
                <w:color w:val="auto"/>
              </w:rPr>
            </w:pP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(f/k/a J. A. Cosmetics US, Inc.)</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345 California Street, Ste. 3300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San Francisco, CA 94104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Emerging Markets Communications, LLC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Telecommunications</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777 Brickell Avenue Suite 1150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L+575, 07/01/2021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Miami, FL 33131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FHC Health Systems, Inc.</w:t>
            </w:r>
          </w:p>
        </w:tc>
        <w:tc>
          <w:tcPr>
            <w:tcW w:w="2300" w:type="dxa"/>
            <w:vAlign w:val="bottom"/>
          </w:tcPr>
          <w:p>
            <w:pPr>
              <w:jc w:val="center"/>
              <w:spacing w:after="0"/>
              <w:rPr>
                <w:sz w:val="20"/>
                <w:szCs w:val="20"/>
                <w:color w:val="auto"/>
              </w:rPr>
            </w:pPr>
            <w:r>
              <w:rPr>
                <w:rFonts w:ascii="Arial" w:cs="Arial" w:eastAsia="Arial" w:hAnsi="Arial"/>
                <w:sz w:val="18"/>
                <w:szCs w:val="18"/>
                <w:color w:val="auto"/>
                <w:w w:val="86"/>
              </w:rPr>
              <w:t>Healthcare and Pharmaceuticals</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240 Corporate Boulevard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L+400, 12/23/2021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Norfolk, VA 23502</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GlobalLogic Holdings, Inc.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High Tech Industries</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1741 Technology Drive, 4th Floor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L+525, 05/31/2019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Jose, CA 95110</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Greenway Health,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High Tech Industries</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6,620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100 Greenway Blvd.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L+500 , 11/04/2020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Carrollton, GA 30117</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GTCR Valor Companies, Inc.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Media: Broadcasting and</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7,117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130 E Randolph St.</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Subscription</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L+600 , 06/16/2023</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IL 60601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Harbortouch Payments,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Banking, Finance, Insurance</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7,026</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2202 N. Irving Street</w:t>
            </w:r>
          </w:p>
        </w:tc>
        <w:tc>
          <w:tcPr>
            <w:tcW w:w="2300" w:type="dxa"/>
            <w:vAlign w:val="bottom"/>
          </w:tcPr>
          <w:p>
            <w:pPr>
              <w:jc w:val="center"/>
              <w:spacing w:after="0"/>
              <w:rPr>
                <w:sz w:val="20"/>
                <w:szCs w:val="20"/>
                <w:color w:val="auto"/>
              </w:rPr>
            </w:pPr>
            <w:r>
              <w:rPr>
                <w:rFonts w:ascii="Arial" w:cs="Arial" w:eastAsia="Arial" w:hAnsi="Arial"/>
                <w:sz w:val="18"/>
                <w:szCs w:val="18"/>
                <w:color w:val="auto"/>
                <w:w w:val="85"/>
              </w:rPr>
              <w:t>and Real Estate</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L+600 , 05/31/2022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Allentown, PA 18109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Highline Aftermarket Acquisition, LLC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Wholesale</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7,276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(f/k/a DYK Prime Acquisition, LLC)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L+475 , 04/01/2022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4635 Willow Drive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Medina, MN 55340</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80" w:type="dxa"/>
            <w:vAlign w:val="bottom"/>
            <w:gridSpan w:val="2"/>
          </w:tcPr>
          <w:p>
            <w:pPr>
              <w:jc w:val="right"/>
              <w:ind w:right="191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Type of Investment,</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(2)</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Hollander Sleep Products, LLC</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Consumer Goods: Non-Durable</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35"/>
              <w:spacing w:after="0" w:line="182" w:lineRule="exact"/>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6501 Congress Avenue, Ste. 300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L+800, 10/21/2020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Boca Raton, FL 33487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Hostway Corporation</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100 N Riverside, Ste. 800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L+475, 12/13/2019</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Chicago, IL 60606</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Berger Co.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Wholesale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324 Half Acre Road #A</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L+1,000, 09/30/2020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Cranbury, NJ 08512</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Hunter Defense Technologies,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Aerospace and Defense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5,506</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30500 Aurora Road, Ste. 100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L+600, 08/05/2019</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Solon, OH 44139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Icynene U.S. Acquisition Corp.</w:t>
            </w:r>
            <w:r>
              <w:rPr>
                <w:rFonts w:ascii="Arial" w:cs="Arial" w:eastAsia="Arial" w:hAnsi="Arial"/>
                <w:sz w:val="11"/>
                <w:szCs w:val="11"/>
                <w:color w:val="auto"/>
              </w:rPr>
              <w:t>(3)</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Construction and Building</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6,226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6747 Campobello Road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L+625, 11/04/2020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Mississauga ON</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L5N2L7 Canada</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Idera,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7,684</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The America Tower Heliport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L+550, 04/09/2021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w w:val="95"/>
              </w:rPr>
              <w:t>2950 North Loop Freeway West Suite 700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Houston, TX 77092</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iEnergizer Limited and Aptara, Inc.</w:t>
            </w:r>
            <w:r>
              <w:rPr>
                <w:rFonts w:ascii="Arial" w:cs="Arial" w:eastAsia="Arial" w:hAnsi="Arial"/>
                <w:sz w:val="11"/>
                <w:szCs w:val="11"/>
                <w:color w:val="auto"/>
              </w:rPr>
              <w:t>(3)</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 Crevelt House, Bulwer Avenue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L+600, 05/01/2019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Sampson, Guernsey GY2 4LH</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Imagine! Print Solutions,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Media: Advertising, Printing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6,027</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1000 Valley Park Drive</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and Publishing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L+600, 03/30/2022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Minneapolis, MN 55379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Instant Web,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Media: Advertising, Printing</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First Lien Secured Debt, Term</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9,778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7951 Powers Boulevard</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and Publishing</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Loan A (L+450, 03/28/2019),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Chanhassen, MN 55317</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Term Loan B (L+1,100,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03/28/2019)</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Interior Specialists,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Construction and Building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18"/>
                <w:szCs w:val="18"/>
                <w:color w:val="auto"/>
              </w:rPr>
            </w:pP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6,757</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(Faraday Holdings, LLC)</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L+800, 06/30/2020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1630 Faraday Avenue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Carlsbad, CA 92008</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Inventus Power,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Consumer Goods: 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(f/k/a ICC-Nexergy, Inc.)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L+550, 04/30/2020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1200 Internationale Parkway</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Woodridge, IL 60517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Jackson Hewitt Inc.</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Consumer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3 Sylvan Way</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L+700, 07/30/2020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Parsippany, NJ 07054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K2 Pure Solutions NoCal, L.P.</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Chemicals, Plastics and Rubber</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3515 Massillion Road Ste. 290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L+900, 02/19/2021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Uniontown, OH 44685</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Kendra Scott,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Retail</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w w:val="92"/>
              </w:rPr>
              <w:t>1400 South Congress Avenue, Suite A-170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L+600, 07/17/2020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Austin, TX 78704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59" w:right="239" w:bottom="1440" w:gutter="0" w:footer="0" w:header="0"/>
          <w:type w:val="continuous"/>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Type of Investment,</w:t>
            </w:r>
          </w:p>
        </w:tc>
        <w:tc>
          <w:tcPr>
            <w:tcW w:w="1820" w:type="dxa"/>
            <w:vAlign w:val="bottom"/>
            <w:gridSpan w:val="2"/>
          </w:tcPr>
          <w:p>
            <w:pPr>
              <w:ind w:left="340"/>
              <w:spacing w:after="0"/>
              <w:rPr>
                <w:sz w:val="20"/>
                <w:szCs w:val="20"/>
                <w:color w:val="auto"/>
              </w:rPr>
            </w:pPr>
            <w:r>
              <w:rPr>
                <w:rFonts w:ascii="Arial" w:cs="Arial" w:eastAsia="Arial" w:hAnsi="Arial"/>
                <w:sz w:val="14"/>
                <w:szCs w:val="14"/>
                <w:b w:val="1"/>
                <w:bCs w:val="1"/>
                <w:color w:val="auto"/>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ind w:left="460"/>
              <w:spacing w:after="0" w:line="176" w:lineRule="exact"/>
              <w:rPr>
                <w:sz w:val="20"/>
                <w:szCs w:val="20"/>
                <w:color w:val="auto"/>
              </w:rPr>
            </w:pPr>
            <w:r>
              <w:rPr>
                <w:rFonts w:ascii="Arial" w:cs="Arial" w:eastAsia="Arial" w:hAnsi="Arial"/>
                <w:sz w:val="13"/>
                <w:szCs w:val="13"/>
                <w:b w:val="1"/>
                <w:bCs w:val="1"/>
                <w:color w:val="auto"/>
              </w:rPr>
              <w:t xml:space="preserve">Ownership </w:t>
            </w:r>
            <w:r>
              <w:rPr>
                <w:rFonts w:ascii="Arial" w:cs="Arial" w:eastAsia="Arial" w:hAnsi="Arial"/>
                <w:sz w:val="20"/>
                <w:szCs w:val="20"/>
                <w:b w:val="1"/>
                <w:bCs w:val="1"/>
                <w:color w:val="auto"/>
                <w:vertAlign w:val="superscript"/>
              </w:rPr>
              <w:t>(2)</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KHC Holdings, Inc.</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Wholesale</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35"/>
              <w:spacing w:after="0" w:line="182" w:lineRule="exact"/>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3300 Brother Boulevard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L+600, 10/31/2022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Memphis, TN 38133</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Lago Resort &amp; Casino,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Hotel, Gaming and Leisure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9,971</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1133 Ridge Road (Rt 414)</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L+950, 03/07/2022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Waterloo, NY 13165</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Lanyon Solutions,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10182 Telesis Court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L+450, 11/13/2020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Diego, CA 92121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LifeCare Holdings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5340 Legacy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L+525, 11/30/2018</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Ste. 150, Building 4</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Plano, TX 75024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Linblad Expeditions, Inc.</w:t>
            </w:r>
            <w:r>
              <w:rPr>
                <w:rFonts w:ascii="Arial" w:cs="Arial" w:eastAsia="Arial" w:hAnsi="Arial"/>
                <w:sz w:val="11"/>
                <w:szCs w:val="11"/>
                <w:color w:val="auto"/>
              </w:rPr>
              <w:t>(3)</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Hotel, Gaming and Leisure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Linblad Maritime Enterprises, Ltd.</w:t>
            </w:r>
            <w:r>
              <w:rPr>
                <w:rFonts w:ascii="Arial" w:cs="Arial" w:eastAsia="Arial" w:hAnsi="Arial"/>
                <w:sz w:val="11"/>
                <w:szCs w:val="11"/>
                <w:color w:val="auto"/>
              </w:rPr>
              <w:t>(3)</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L+450, 05/10/2021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96 Morton Street, 9th Floor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10014</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Lombart Brothers,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Capital Equipment</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5358 Robin Hood Road,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L+675, 04/13/2022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Norfolk, VA 23513</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Long’s Drugs Incorporated</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111 Executive Center Drive, Suite 228</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L+525, 08/19/2021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Columbia, SC 29210</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LSF9 Atlantis Holdings,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Retail</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9,542</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775 Prairie Center Drive, Suite 420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L+900, 01/15/2021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Eden Prairie, MN 55344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LTI Holdings,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Chemicals, Plastics and Rubber</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600 So McClure Road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L+425, 04/18/2022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Modesto, CA 95357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MailSouth,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Media: Advertising, Printing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5901 Highway 52 East</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and Publishing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L+1,050, 10/22/2021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Helena, AL 35080</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Marketplace Events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Media: Diversified and</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15,510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31105 Bainbridge Road Suite 3</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Production</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USD (L+525, 01/27/2021),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Solon, OH 44139</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CAD (P+275, 01/27/2021),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Revolver (P+275, 01/27/2021)</w:t>
            </w: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Mission Critical Electronics,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Capital Equipment</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2911 W. Garry Ave.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L+500, 09/28/2022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Santa Ana, CA 92704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Trident HoldCorp,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8,289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930 Ridgebrook Road, 3rd Floor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L+525, 07/31/2019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Sparks, MD 21152</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Novitex Acquisition,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 Elmcroft Road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L+1,100, 07/07/2021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Stamford, CT 06926</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Pathway Partners Vet Management</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Company LLC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L+500, 08/19/2022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3930 Bee Cave Rd. #9</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Austin, TX 78746</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459" w:right="23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Type of Investment,</w:t>
            </w:r>
          </w:p>
        </w:tc>
        <w:tc>
          <w:tcPr>
            <w:tcW w:w="1820" w:type="dxa"/>
            <w:vAlign w:val="bottom"/>
            <w:gridSpan w:val="2"/>
          </w:tcPr>
          <w:p>
            <w:pPr>
              <w:ind w:left="340"/>
              <w:spacing w:after="0"/>
              <w:rPr>
                <w:sz w:val="20"/>
                <w:szCs w:val="20"/>
                <w:color w:val="auto"/>
              </w:rPr>
            </w:pPr>
            <w:r>
              <w:rPr>
                <w:rFonts w:ascii="Arial" w:cs="Arial" w:eastAsia="Arial" w:hAnsi="Arial"/>
                <w:sz w:val="14"/>
                <w:szCs w:val="14"/>
                <w:b w:val="1"/>
                <w:bCs w:val="1"/>
                <w:color w:val="auto"/>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ind w:left="460"/>
              <w:spacing w:after="0" w:line="176" w:lineRule="exact"/>
              <w:rPr>
                <w:sz w:val="20"/>
                <w:szCs w:val="20"/>
                <w:color w:val="auto"/>
              </w:rPr>
            </w:pPr>
            <w:r>
              <w:rPr>
                <w:rFonts w:ascii="Arial" w:cs="Arial" w:eastAsia="Arial" w:hAnsi="Arial"/>
                <w:sz w:val="13"/>
                <w:szCs w:val="13"/>
                <w:b w:val="1"/>
                <w:bCs w:val="1"/>
                <w:color w:val="auto"/>
              </w:rPr>
              <w:t xml:space="preserve">Ownership </w:t>
            </w:r>
            <w:r>
              <w:rPr>
                <w:rFonts w:ascii="Arial" w:cs="Arial" w:eastAsia="Arial" w:hAnsi="Arial"/>
                <w:sz w:val="20"/>
                <w:szCs w:val="20"/>
                <w:b w:val="1"/>
                <w:bCs w:val="1"/>
                <w:color w:val="auto"/>
                <w:vertAlign w:val="superscript"/>
              </w:rPr>
              <w:t>(2)</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Patriot National, Inc.</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Banking, Finance, Insurance</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Common Equity</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35"/>
              <w:spacing w:after="0" w:line="18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401 E. Las Olas Blvd., Ste. 1650</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and Real Estate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Lauderdale, FL 33301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Penton Media,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Media: Diversified and</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249 W. 17th Street, 4th Floor</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Production</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L+775, 10/02/2020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New York, NY 10011</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Polycom,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Telecommunications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6001 America Center Dr,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L+650, 09/27/2023</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Jose, CA 95002</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Precyse Acquisition Corp.</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200 North Point Center East, Suite 600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L+550, 10/20/2022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Alpharetta, GA 30022</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Premier Dental Services, Inc.</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Consumer Services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7,491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530 S Main Street, 6th Floor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L+650, 11/01/2018</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Orange, CA 92868</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Profile Products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Environmental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7,282</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750 Lake Cook Road, Suite 440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L+475, 05/20/2021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Buffalo Grove, IL 60089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Quick Weight Loss Centers,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Beverage, Food and Tobacco</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3161 Mcnab Road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L+475, 08/23/2021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Pompano Beach, FL 33069</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Research Now Group,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5800 Tennyson Parkway, Ste. 600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L+450, 03/18/2021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Plano, TX 75024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Robertshaw US Holding Corp.</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Consumer Goods: 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191 East North Avenue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L+700, 06/18/2019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Stream, IL 60188</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Ryan,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Three Galleria Tower</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L+575, 08/07/2020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13155 Noel Road, Suite 100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Dallas, TX 75240</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Sensus USA,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Utilities: Water</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8601 Six Forks Road, Suite 700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L+550, 04/05/2023</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Raleigh, NC 27615</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Snak Club,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Beverage, Food and Tobacco</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5560 E Slauson Ave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L+500, 07/19/2021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Commerce, CA 90040</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Software Paradigms International Group,</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9,826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LLC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L+550, 05/21/2021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Concourse Pkwy., Ste. 500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Atlanta, GA 30328</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Sotera Defense Solutions,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Aerospace and Defense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2121 Cooperative Way, Ste. 400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L+750, 04/21/2017</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Herndon, VA 20171</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Sundial Group Holdings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Consumer Goods: Non-Durable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7,313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 Ranick Drive South</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L+625, 10/19/2021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Amityville, NY 11701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459" w:right="23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ind w:left="500"/>
              <w:spacing w:after="0"/>
              <w:rPr>
                <w:sz w:val="20"/>
                <w:szCs w:val="20"/>
                <w:color w:val="auto"/>
              </w:rPr>
            </w:pPr>
            <w:r>
              <w:rPr>
                <w:rFonts w:ascii="Arial" w:cs="Arial" w:eastAsia="Arial" w:hAnsi="Arial"/>
                <w:sz w:val="14"/>
                <w:szCs w:val="14"/>
                <w:b w:val="1"/>
                <w:bCs w:val="1"/>
                <w:color w:val="auto"/>
              </w:rPr>
              <w:t>Type of Investment,</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(2)</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Sunshine Oilsands Ltd.</w:t>
            </w:r>
            <w:r>
              <w:rPr>
                <w:rFonts w:ascii="Arial" w:cs="Arial" w:eastAsia="Arial" w:hAnsi="Arial"/>
                <w:sz w:val="11"/>
                <w:szCs w:val="11"/>
                <w:color w:val="auto"/>
              </w:rPr>
              <w:t>(3)</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Energy: Oil and Gas</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Second Lien Secured Debt,</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35"/>
              <w:spacing w:after="0" w:line="182" w:lineRule="exact"/>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1020, 903 - 8 Avenue S.W.</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12.50% fixed, 08/01/2017</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Calgary, Alberta, Canada T2P 0P7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Survey Sampling International,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6 Research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L+500, 12/16/2020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Shelton, CT 06484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Systems Maintenance Services Holding,</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5,733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L+400, 10/18/2019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10420 Harris Oaks Blvd, Ste. 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Charlotte, NC 28269</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Tensar Corporation</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Construction and Buildings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2500 Northwinds Parkway, Ste. 500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L+475, 07/09/2021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Alpharetta, GA 30009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54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The Original Cakerie, Co. </w:t>
            </w:r>
            <w:r>
              <w:rPr>
                <w:rFonts w:ascii="Arial" w:cs="Arial" w:eastAsia="Arial" w:hAnsi="Arial"/>
                <w:sz w:val="11"/>
                <w:szCs w:val="11"/>
                <w:color w:val="auto"/>
              </w:rPr>
              <w:t>(3)</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Consumer Goods: Non-Durable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8,980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The Original Cakerie Ltd. </w:t>
            </w:r>
            <w:r>
              <w:rPr>
                <w:rFonts w:ascii="Arial" w:cs="Arial" w:eastAsia="Arial" w:hAnsi="Arial"/>
                <w:sz w:val="11"/>
                <w:szCs w:val="11"/>
                <w:color w:val="auto"/>
              </w:rPr>
              <w:t>(3)</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The Original Cakerie, Co.</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1345 Cliveden Ave</w:t>
            </w:r>
          </w:p>
        </w:tc>
        <w:tc>
          <w:tcPr>
            <w:tcW w:w="2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0"/>
              </w:rPr>
              <w:t>(L+550, 07/20/2021),</w:t>
            </w: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0" w:type="dxa"/>
            <w:vAlign w:val="bottom"/>
            <w:gridSpan w:val="2"/>
            <w:vMerge w:val="continue"/>
            <w:shd w:val="clear" w:color="auto" w:fill="CCEEFF"/>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1"/>
              </w:rPr>
              <w:t>The Original Cakerie, Ltd.</w:t>
            </w:r>
          </w:p>
        </w:tc>
        <w:tc>
          <w:tcPr>
            <w:tcW w:w="1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Delta, BC V3M 6C7, Canada</w:t>
            </w:r>
          </w:p>
        </w:tc>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60" w:type="dxa"/>
            <w:vAlign w:val="bottom"/>
            <w:gridSpan w:val="2"/>
            <w:vMerge w:val="continue"/>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200" w:type="dxa"/>
            <w:vAlign w:val="bottom"/>
            <w:gridSpan w:val="2"/>
            <w:vMerge w:val="continue"/>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0"/>
              </w:rPr>
              <w:t>(L+500, 07/20/2021)</w:t>
            </w:r>
          </w:p>
        </w:tc>
        <w:tc>
          <w:tcPr>
            <w:tcW w:w="1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60" w:type="dxa"/>
            <w:vAlign w:val="bottom"/>
            <w:gridSpan w:val="2"/>
            <w:vMerge w:val="continue"/>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TOMS Shoes,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Consumer Goods: Non-</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5404 Jandy Place</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Durable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L+550, 11/02/2020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Los Angeles, CA 90066</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Triad Manufacturing,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Capital Equipment</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10,307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4321 Semple Avenue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L+1,075</w:t>
            </w:r>
            <w:r>
              <w:rPr>
                <w:rFonts w:ascii="Arial" w:cs="Arial" w:eastAsia="Arial" w:hAnsi="Arial"/>
                <w:sz w:val="11"/>
                <w:szCs w:val="11"/>
                <w:color w:val="auto"/>
                <w:w w:val="90"/>
              </w:rPr>
              <w:t>(5)</w:t>
            </w:r>
            <w:r>
              <w:rPr>
                <w:rFonts w:ascii="Arial" w:cs="Arial" w:eastAsia="Arial" w:hAnsi="Arial"/>
                <w:sz w:val="18"/>
                <w:szCs w:val="18"/>
                <w:color w:val="auto"/>
                <w:w w:val="90"/>
              </w:rPr>
              <w:t>, 12/28/2020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Louis, MO 63120</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UniTek Global Services,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Telecommunications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100" w:type="dxa"/>
            <w:vAlign w:val="bottom"/>
          </w:tcPr>
          <w:p>
            <w:pPr>
              <w:spacing w:after="0"/>
              <w:rPr>
                <w:sz w:val="18"/>
                <w:szCs w:val="18"/>
                <w:color w:val="auto"/>
              </w:rPr>
            </w:pP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1777 Sentry Parkway West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(L+850 (PIK 100),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Gwynedd Hall, Ste. 202</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01/14/2019), (L+750,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Blue Bell, PA 19422</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01/14/2019)</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Subordinated Debt,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15.00% (PIK 15.00%) fixed,</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07/15/2019</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Preferred Equity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Universal Fiber Systems,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Chemicals, Plastics and Rubber</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14401 Industrial Park Road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L+550, 10/04/2021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Bristol, VA 24202</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U.S. Anesthesia Partners,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2475 Eagle Run</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L+500,12/31/2019</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Weston, FL 33327</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Med Acquisition,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8260 NW 27th Street, Suite 401</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L+900, 08/13/2021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Doral, FL 33122</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Vestcom Parent Holdings,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Media: Advertising, Printing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8"/>
                <w:szCs w:val="18"/>
                <w:color w:val="auto"/>
              </w:rPr>
            </w:pP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7302 Kanis Road</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and Publishing</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Little Rock, AR 72204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Vistage Worldwide,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Media: Broadcasting and</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11452 El Camino Real, Suite 400</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Subscription</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L+550, 08/19/2021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Diego, CA 92130</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VT Buyer Acquisition Corp.</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w w:val="99"/>
              </w:rPr>
              <w:t>290 West Mount Pleasant Avenue, Suite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L+975, 01/30/2023</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220"/>
              <w:spacing w:after="0"/>
              <w:rPr>
                <w:sz w:val="20"/>
                <w:szCs w:val="20"/>
                <w:color w:val="auto"/>
              </w:rPr>
            </w:pPr>
            <w:r>
              <w:rPr>
                <w:rFonts w:ascii="Arial" w:cs="Arial" w:eastAsia="Arial" w:hAnsi="Arial"/>
                <w:sz w:val="18"/>
                <w:szCs w:val="18"/>
                <w:color w:val="auto"/>
              </w:rPr>
              <w:t>3200</w:t>
            </w:r>
          </w:p>
        </w:tc>
        <w:tc>
          <w:tcPr>
            <w:tcW w:w="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Livingston, NJ 07039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59" w:right="23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Type of Investment,</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Voting Percentage</w:t>
            </w:r>
          </w:p>
        </w:tc>
        <w:tc>
          <w:tcPr>
            <w:tcW w:w="1700" w:type="dxa"/>
            <w:vAlign w:val="bottom"/>
          </w:tcPr>
          <w:p>
            <w:pPr>
              <w:jc w:val="right"/>
              <w:ind w:right="4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540" w:type="dxa"/>
            <w:vAlign w:val="bottom"/>
            <w:gridSpan w:val="3"/>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680" w:type="dxa"/>
            <w:vAlign w:val="bottom"/>
          </w:tcPr>
          <w:p>
            <w:pPr>
              <w:spacing w:after="0"/>
              <w:rPr>
                <w:sz w:val="17"/>
                <w:szCs w:val="17"/>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6"/>
              </w:rPr>
              <w:t xml:space="preserve">Interest </w:t>
            </w:r>
            <w:r>
              <w:rPr>
                <w:rFonts w:ascii="Arial" w:cs="Arial" w:eastAsia="Arial" w:hAnsi="Arial"/>
                <w:sz w:val="20"/>
                <w:szCs w:val="20"/>
                <w:b w:val="1"/>
                <w:bCs w:val="1"/>
                <w:color w:val="auto"/>
                <w:w w:val="96"/>
                <w:vertAlign w:val="superscript"/>
              </w:rPr>
              <w:t>(1)</w:t>
            </w:r>
            <w:r>
              <w:rPr>
                <w:rFonts w:ascii="Arial" w:cs="Arial" w:eastAsia="Arial" w:hAnsi="Arial"/>
                <w:sz w:val="13"/>
                <w:szCs w:val="13"/>
                <w:b w:val="1"/>
                <w:bCs w:val="1"/>
                <w:color w:val="auto"/>
                <w:w w:val="96"/>
              </w:rPr>
              <w:t>, Maturity</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(2)</w:t>
            </w:r>
          </w:p>
        </w:tc>
        <w:tc>
          <w:tcPr>
            <w:tcW w:w="1700" w:type="dxa"/>
            <w:vAlign w:val="bottom"/>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88"/>
              </w:rPr>
              <w:t>Winchester Electronics Corporation</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Capital Equipment</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40"/>
              <w:spacing w:after="0" w:line="182" w:lineRule="exact"/>
              <w:rPr>
                <w:sz w:val="20"/>
                <w:szCs w:val="20"/>
                <w:color w:val="auto"/>
              </w:rPr>
            </w:pPr>
            <w:r>
              <w:rPr>
                <w:rFonts w:ascii="Arial" w:cs="Arial" w:eastAsia="Arial" w:hAnsi="Arial"/>
                <w:sz w:val="18"/>
                <w:szCs w:val="18"/>
                <w:color w:val="auto"/>
              </w:rPr>
              <w:t>7,659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 Water Street</w:t>
            </w:r>
          </w:p>
        </w:tc>
        <w:tc>
          <w:tcPr>
            <w:tcW w:w="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L+650, 06/30/2022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Norwalk, CT 06854</w:t>
            </w:r>
          </w:p>
        </w:tc>
        <w:tc>
          <w:tcPr>
            <w:tcW w:w="6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Worley Claims Services, LLC</w:t>
            </w:r>
          </w:p>
        </w:tc>
        <w:tc>
          <w:tcPr>
            <w:tcW w:w="68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Banking, Finance, Insurance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40"/>
              <w:spacing w:after="0"/>
              <w:rPr>
                <w:sz w:val="20"/>
                <w:szCs w:val="20"/>
                <w:color w:val="auto"/>
              </w:rPr>
            </w:pPr>
            <w:r>
              <w:rPr>
                <w:rFonts w:ascii="Arial" w:cs="Arial" w:eastAsia="Arial" w:hAnsi="Arial"/>
                <w:sz w:val="18"/>
                <w:szCs w:val="18"/>
                <w:color w:val="auto"/>
              </w:rPr>
              <w:t>7,316</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303 Timber Creek</w:t>
            </w:r>
          </w:p>
        </w:tc>
        <w:tc>
          <w:tcPr>
            <w:tcW w:w="68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and Real Estate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L+800, 10/30/2020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gridSpan w:val="3"/>
          </w:tcPr>
          <w:p>
            <w:pPr>
              <w:spacing w:after="0"/>
              <w:rPr>
                <w:sz w:val="20"/>
                <w:szCs w:val="20"/>
                <w:color w:val="auto"/>
              </w:rPr>
            </w:pPr>
            <w:r>
              <w:rPr>
                <w:rFonts w:ascii="Arial" w:cs="Arial" w:eastAsia="Arial" w:hAnsi="Arial"/>
                <w:sz w:val="18"/>
                <w:szCs w:val="18"/>
                <w:color w:val="auto"/>
              </w:rPr>
              <w:t>Hammond, LA 70403</w:t>
            </w:r>
          </w:p>
        </w:tc>
        <w:tc>
          <w:tcPr>
            <w:tcW w:w="6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8"/>
                <w:szCs w:val="18"/>
                <w:color w:val="auto"/>
              </w:rPr>
              <w:t>$598,888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jc w:val="both"/>
        <w:ind w:left="220" w:right="180" w:hanging="212"/>
        <w:spacing w:after="0" w:line="227" w:lineRule="auto"/>
        <w:tabs>
          <w:tab w:leader="none" w:pos="2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basis point spread above index for floating rate instruments, or fixed rate for instruments if no index is indicated,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ind w:left="220" w:hanging="212"/>
        <w:spacing w:after="0" w:line="221" w:lineRule="auto"/>
        <w:tabs>
          <w:tab w:leader="none" w:pos="2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220" w:right="540" w:hanging="212"/>
        <w:spacing w:after="0" w:line="221" w:lineRule="auto"/>
        <w:tabs>
          <w:tab w:leader="none" w:pos="2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220" w:hanging="212"/>
        <w:spacing w:after="0"/>
        <w:tabs>
          <w:tab w:leader="none" w:pos="2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Includes the purchase of a security with delayed settlement or a revolving line of credit that is currently an unfunded investment, that does not earn a basis point spread above an index while it is unfunded.</w:t>
      </w:r>
    </w:p>
    <w:p>
      <w:pPr>
        <w:spacing w:after="0" w:line="10" w:lineRule="exact"/>
        <w:rPr>
          <w:rFonts w:ascii="Arial" w:cs="Arial" w:eastAsia="Arial" w:hAnsi="Arial"/>
          <w:sz w:val="12"/>
          <w:szCs w:val="12"/>
          <w:color w:val="auto"/>
        </w:rPr>
      </w:pPr>
    </w:p>
    <w:p>
      <w:pPr>
        <w:ind w:left="220" w:hanging="212"/>
        <w:spacing w:after="0"/>
        <w:tabs>
          <w:tab w:leader="none" w:pos="2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40"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4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4380" w:type="dxa"/>
            <w:vAlign w:val="bottom"/>
            <w:tcBorders>
              <w:bottom w:val="single" w:sz="8" w:color="auto"/>
            </w:tcBorders>
            <w:vMerge w:val="continue"/>
          </w:tcPr>
          <w:p>
            <w:pPr>
              <w:spacing w:after="0"/>
              <w:rPr>
                <w:sz w:val="12"/>
                <w:szCs w:val="12"/>
                <w:color w:val="auto"/>
              </w:rPr>
            </w:pPr>
          </w:p>
        </w:tc>
        <w:tc>
          <w:tcPr>
            <w:tcW w:w="4680" w:type="dxa"/>
            <w:vAlign w:val="bottom"/>
            <w:tcBorders>
              <w:bottom w:val="single" w:sz="8" w:color="auto"/>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4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High Tech Industries</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10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Consumer Goods: Durable</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Telecommunications</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6</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Capital Equipment</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Retail</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4</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4</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3</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Banking, Finance, Insurance and Real Estate</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Consumer Services</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Automotive</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520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vMerge w:val="continue"/>
          </w:tcPr>
          <w:p>
            <w:pPr>
              <w:spacing w:after="0"/>
              <w:rPr>
                <w:sz w:val="19"/>
                <w:szCs w:val="19"/>
                <w:color w:val="auto"/>
              </w:rPr>
            </w:pPr>
          </w:p>
        </w:tc>
        <w:tc>
          <w:tcPr>
            <w:tcW w:w="5200" w:type="dxa"/>
            <w:vAlign w:val="bottom"/>
            <w:gridSpan w:val="2"/>
          </w:tcPr>
          <w:p>
            <w:pPr>
              <w:spacing w:after="0"/>
              <w:rPr>
                <w:sz w:val="19"/>
                <w:szCs w:val="19"/>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100%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680" w:type="dxa"/>
            <w:vAlign w:val="bottom"/>
            <w:vMerge w:val="restart"/>
          </w:tcPr>
          <w:p>
            <w:pPr>
              <w:jc w:val="right"/>
              <w:ind w:right="3172"/>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or directors,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Under our charter, our directors are divided into three classes and are elected for staggered terms of three years each, with a term of office of one of the three classes of directors expiring each year. Each director holds office for the term to which he or she is elected and until his or her successor is duly elected and qualifies.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Director</w:t>
            </w:r>
          </w:p>
        </w:tc>
        <w:tc>
          <w:tcPr>
            <w:tcW w:w="840" w:type="dxa"/>
            <w:vAlign w:val="bottom"/>
          </w:tcPr>
          <w:p>
            <w:pPr>
              <w:jc w:val="right"/>
              <w:ind w:right="118"/>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4"/>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44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0"/>
              </w:rPr>
              <w:t>Since</w:t>
            </w:r>
          </w:p>
        </w:tc>
        <w:tc>
          <w:tcPr>
            <w:tcW w:w="840" w:type="dxa"/>
            <w:vAlign w:val="bottom"/>
          </w:tcPr>
          <w:p>
            <w:pPr>
              <w:jc w:val="right"/>
              <w:ind w:right="218"/>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840" w:type="dxa"/>
            <w:vAlign w:val="bottom"/>
          </w:tcPr>
          <w:p>
            <w:pPr>
              <w:jc w:val="right"/>
              <w:ind w:right="158"/>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840" w:type="dxa"/>
            <w:vAlign w:val="bottom"/>
          </w:tcPr>
          <w:p>
            <w:pPr>
              <w:jc w:val="right"/>
              <w:ind w:right="158"/>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Chairman of the Board and Chief Executive Officer</w:t>
            </w:r>
          </w:p>
        </w:tc>
        <w:tc>
          <w:tcPr>
            <w:tcW w:w="11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Floating Rate Capital Ltd.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53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r>
      <w:tr>
        <w:trPr>
          <w:trHeight w:val="156"/>
        </w:trPr>
        <w:tc>
          <w:tcPr>
            <w:tcW w:w="5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60" w:type="dxa"/>
            <w:vAlign w:val="bottom"/>
            <w:shd w:val="clear" w:color="auto" w:fill="CCEEFF"/>
          </w:tcPr>
          <w:p>
            <w:pPr>
              <w:spacing w:after="0"/>
              <w:rPr>
                <w:sz w:val="13"/>
                <w:szCs w:val="13"/>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officer who is not a director of PennantPark Floating Rate Capital Ltd.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2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shd w:val="clear" w:color="auto" w:fill="CCEEFF"/>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Compliance Officer</w:t>
            </w:r>
          </w:p>
        </w:tc>
      </w:tr>
      <w:tr>
        <w:trPr>
          <w:trHeight w:val="156"/>
        </w:trPr>
        <w:tc>
          <w:tcPr>
            <w:tcW w:w="5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60" w:type="dxa"/>
            <w:vAlign w:val="bottom"/>
            <w:shd w:val="clear" w:color="auto" w:fill="CCEEFF"/>
          </w:tcPr>
          <w:p>
            <w:pPr>
              <w:spacing w:after="0"/>
              <w:rPr>
                <w:sz w:val="13"/>
                <w:szCs w:val="13"/>
                <w:color w:val="auto"/>
              </w:rPr>
            </w:pPr>
          </w:p>
        </w:tc>
      </w:tr>
    </w:tbl>
    <w:p>
      <w:pPr>
        <w:spacing w:after="0" w:line="1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address for each director and executive officer is c/o PennantPark Floating Rate Capital Ltd., 590 Madison Avenue, 15th Floor, New York, New York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10022.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greater efficiencies in managing us by eliminating the need to transfer substantial information quickly 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board of directors and are comprised solely of Independent Directors and (2) monitoring by our Chief Compliance Officer in accordance with our compliance policies and procedures.</w:t>
      </w:r>
    </w:p>
    <w:p>
      <w:pPr>
        <w:spacing w:after="0" w:line="59"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The Compensation Committee’s risk oversight responsibilities include determining, or recommending to the board of directors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46"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37"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it is already subject as a BDC. Specifically, as a BDC, we must comply with certain regulatory requirements that controls the levels of risk in our business and operations. For example, our ability to incur indebtedness is limited by the asset coverage ratio set forth in the 1940 Act (including any relief thereto provided by the SEC),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35"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 Audit Committee, the Nominating and Corporate Governance Committee and the Compensation Committee are able to exercise their oversight responsibilities without any conflict of interest that might discourage critical questioning and review. Through regular executive session meetings with our independent public accounting firm,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63"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specific experiences, qualifications, attributes and/or skills that each director possesses and, which the board of directors considered to be an effective director. Our directors have been divided into two groups-interested directors and Independent Directors. Interested directors are “interested persons” as defined in the 1940 Act.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Adam K. Bernstein (53), Director. Mr. Bernstein became a Director of PennantPark Floating Rate Capital Ltd. and PennantPark Investment Corporation in October 2010 and February 2007, respectively.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35"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Marshall Brozost (49), Director. Mr. Brozost became a Director of PennantPark Floating Rate Capital Ltd. and PennantPark Investment Corporation in October 2010 and February 2007, respectively. Since July 2016, Mr. Brozost has been a Partner at Orrick, Herrington &amp; Sutcliffe LLP, where he practices in the real estate and private equity groups. Prior to Orrick, Herrington &amp; Sutcliffe LLP, Mr. Brozost practiced law at O’Melveny &amp; Myers LLP from 2001 to 2004; Solomon &amp; Weinberg LLP from 2004 to 2005; Dewey &amp; LeBoeuf LLP from 2005 to 2012; Schulte Roth &amp; Zabel, LLP from 2012 to 2016. Mr. Brozost also served as a Vice President of Nomura Asset Capital Corporation from 1997 through 2000.</w:t>
      </w:r>
    </w:p>
    <w:p>
      <w:pPr>
        <w:spacing w:after="0" w:line="35"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Jeffrey Flug (54), Director. Mr. Flug became a Director of PennantPark Floating Rate Capital Ltd. and PennantPark Investment Corporation in October 2010 and February 2007, respectively.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37" w:lineRule="exact"/>
        <w:rPr>
          <w:sz w:val="20"/>
          <w:szCs w:val="20"/>
          <w:color w:val="auto"/>
        </w:rPr>
      </w:pPr>
    </w:p>
    <w:p>
      <w:pPr>
        <w:ind w:right="120" w:firstLine="571"/>
        <w:spacing w:after="0" w:line="289" w:lineRule="auto"/>
        <w:rPr>
          <w:sz w:val="20"/>
          <w:szCs w:val="20"/>
          <w:color w:val="auto"/>
        </w:rPr>
      </w:pPr>
      <w:r>
        <w:rPr>
          <w:rFonts w:ascii="Arial" w:cs="Arial" w:eastAsia="Arial" w:hAnsi="Arial"/>
          <w:sz w:val="16"/>
          <w:szCs w:val="16"/>
          <w:color w:val="auto"/>
        </w:rPr>
        <w:t>Samuel L. Katz (51), Director. Mr. Katz became a Director of PennantPark Floating Rate Capital Ltd. and PennantPark Investment Corporation in October 2010 and February 2007, respectively. Mr. Katz is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Arthur H. Penn (53), Founder, Chief Executive Officer and Chairman of the board of directors. Mr. Penn became the Chief Executive Officer and a Director of PennantPark Floating Rate Capital Ltd. and PennantPark Investment Corporation at their inception in 2010 and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Aviv Efrat (52),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63"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Guy F. Talarico (61), Chief Compliance Officer. Mr. Talarico became the Chief Compliance Officer of PennantPark Floating Rate Capital Ltd. and PennantPark Investment Corporation in March 2011 and May 2008, respectively. Mr. Talarico has held the position of Chief Compliance Officer for a number of investment advisers, private funds and investment companies from 2004 when he founded Alaric Compliance Services, LLC.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200" w:firstLine="439"/>
        <w:spacing w:after="0" w:line="255" w:lineRule="auto"/>
        <w:rPr>
          <w:sz w:val="20"/>
          <w:szCs w:val="20"/>
          <w:color w:val="auto"/>
        </w:rPr>
      </w:pPr>
      <w:r>
        <w:rPr>
          <w:rFonts w:ascii="Arial" w:cs="Arial" w:eastAsia="Arial" w:hAnsi="Arial"/>
          <w:sz w:val="18"/>
          <w:szCs w:val="18"/>
          <w:color w:val="auto"/>
        </w:rPr>
        <w:t>For the fiscal year ended September 30, 2016, we held five board of directors’ meetings, four Audit Committee meetings, one Nominating and Corporate Governance Committee Meeting and one Compensation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stockholders’ meeting. For the fiscal year ended September 30, 2016, four of the directors attended the annual stockholders’ meeting.</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our board of directors in fair valuing our portfolio securities that are not publicly traded or for which current market values are not readily available.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p>
    <w:p>
      <w:pPr>
        <w:spacing w:after="0" w:line="147"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Floating Rate Capital Ltd.,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right="80" w:firstLine="571"/>
        <w:spacing w:after="0" w:line="288"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of the Company,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Nominating and Corporate Governance Committee will consider such factors as it may deem are in the best interests of us and our stockholders. Those factors may include a person’s differences of viewpoint, professional experience, education and skills, as well as his or her race, gender and national origin. In addition, as part of the board of directors’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annual-self assessment, the members of the Nominating and Corporate Governance Committee evaluate the membership of the board of directors and whether the board of directors maintains satisfactory policies regarding membership selection.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independent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2016. No compensation is paid directly by us to any interested director or executive officer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92"/>
              </w:rPr>
              <w:t>PennantPark Floating Rate Capital Ltd.</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w w:val="91"/>
              </w:rPr>
              <w:t>PennantPark Investment Corporation</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Pension or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5"/>
              </w:rPr>
              <w:t>Pension or</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Aggregate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retirement</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retirement</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benefits</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benefits</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9"/>
              </w:rPr>
              <w:t>from the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500" w:type="dxa"/>
            <w:vAlign w:val="bottom"/>
          </w:tcPr>
          <w:p>
            <w:pPr>
              <w:spacing w:after="0"/>
              <w:rPr>
                <w:sz w:val="11"/>
                <w:szCs w:val="11"/>
                <w:color w:val="auto"/>
              </w:rPr>
            </w:pPr>
          </w:p>
        </w:tc>
        <w:tc>
          <w:tcPr>
            <w:tcW w:w="1140" w:type="dxa"/>
            <w:vAlign w:val="bottom"/>
            <w:gridSpan w:val="3"/>
          </w:tcPr>
          <w:p>
            <w:pPr>
              <w:jc w:val="right"/>
              <w:ind w:right="320"/>
              <w:spacing w:after="0" w:line="135" w:lineRule="exact"/>
              <w:rPr>
                <w:sz w:val="20"/>
                <w:szCs w:val="20"/>
                <w:color w:val="auto"/>
              </w:rPr>
            </w:pPr>
            <w:r>
              <w:rPr>
                <w:rFonts w:ascii="Arial" w:cs="Arial" w:eastAsia="Arial" w:hAnsi="Arial"/>
                <w:sz w:val="14"/>
                <w:szCs w:val="14"/>
                <w:b w:val="1"/>
                <w:bCs w:val="1"/>
                <w:color w:val="auto"/>
                <w:w w:val="96"/>
              </w:rPr>
              <w:t>Total paid to</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9"/>
              </w:rPr>
              <w:t>from the</w:t>
            </w:r>
          </w:p>
        </w:tc>
        <w:tc>
          <w:tcPr>
            <w:tcW w:w="150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98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76"/>
        </w:trPr>
        <w:tc>
          <w:tcPr>
            <w:tcW w:w="30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Company</w:t>
            </w:r>
          </w:p>
        </w:tc>
        <w:tc>
          <w:tcPr>
            <w:tcW w:w="98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86"/>
              </w:rPr>
              <w:t>of our expense</w:t>
            </w:r>
            <w:r>
              <w:rPr>
                <w:rFonts w:ascii="Arial" w:cs="Arial" w:eastAsia="Arial" w:hAnsi="Arial"/>
                <w:sz w:val="20"/>
                <w:szCs w:val="20"/>
                <w:b w:val="1"/>
                <w:bCs w:val="1"/>
                <w:color w:val="auto"/>
                <w:w w:val="86"/>
                <w:vertAlign w:val="superscript"/>
              </w:rPr>
              <w:t>(1)</w:t>
            </w:r>
          </w:p>
        </w:tc>
        <w:tc>
          <w:tcPr>
            <w:tcW w:w="50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Company</w:t>
            </w:r>
          </w:p>
        </w:tc>
        <w:tc>
          <w:tcPr>
            <w:tcW w:w="1500" w:type="dxa"/>
            <w:vAlign w:val="bottom"/>
            <w:gridSpan w:val="2"/>
          </w:tcPr>
          <w:p>
            <w:pPr>
              <w:jc w:val="right"/>
              <w:ind w:right="520"/>
              <w:spacing w:after="0" w:line="176" w:lineRule="exact"/>
              <w:rPr>
                <w:sz w:val="20"/>
                <w:szCs w:val="20"/>
                <w:color w:val="auto"/>
              </w:rPr>
            </w:pPr>
            <w:r>
              <w:rPr>
                <w:rFonts w:ascii="Arial" w:cs="Arial" w:eastAsia="Arial" w:hAnsi="Arial"/>
                <w:sz w:val="13"/>
                <w:szCs w:val="13"/>
                <w:b w:val="1"/>
                <w:bCs w:val="1"/>
                <w:color w:val="auto"/>
                <w:w w:val="88"/>
              </w:rPr>
              <w:t>of our expense</w:t>
            </w:r>
            <w:r>
              <w:rPr>
                <w:rFonts w:ascii="Arial" w:cs="Arial" w:eastAsia="Arial" w:hAnsi="Arial"/>
                <w:sz w:val="20"/>
                <w:szCs w:val="20"/>
                <w:b w:val="1"/>
                <w:bCs w:val="1"/>
                <w:color w:val="auto"/>
                <w:w w:val="88"/>
                <w:vertAlign w:val="superscript"/>
              </w:rPr>
              <w:t>(1)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director/officer</w:t>
            </w: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Adam K. Bernstein</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61,250</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61,250</w:t>
            </w:r>
          </w:p>
        </w:tc>
        <w:tc>
          <w:tcPr>
            <w:tcW w:w="2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122,500</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122,500</w:t>
            </w: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122,500</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122,500</w:t>
            </w: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Jeffrey Flug</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63,750</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63,750</w:t>
            </w:r>
          </w:p>
        </w:tc>
        <w:tc>
          <w:tcPr>
            <w:tcW w:w="2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132,500</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132,500</w:t>
            </w: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132,500</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132,500</w:t>
            </w: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Interested director</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Arthur H. Penn</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None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None</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Executive officer</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None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None</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7527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17" w:lineRule="exact"/>
        <w:rPr>
          <w:sz w:val="20"/>
          <w:szCs w:val="20"/>
          <w:color w:val="auto"/>
        </w:rPr>
      </w:pPr>
    </w:p>
    <w:p>
      <w:pPr>
        <w:ind w:left="220" w:hanging="212"/>
        <w:spacing w:after="0"/>
        <w:tabs>
          <w:tab w:leader="none" w:pos="2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220" w:hanging="212"/>
        <w:spacing w:after="0"/>
        <w:tabs>
          <w:tab w:leader="none" w:pos="2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Mr. Efrat is an employee of the Administrator.</w:t>
      </w:r>
    </w:p>
    <w:p>
      <w:pPr>
        <w:spacing w:after="0" w:line="14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Each Independent Director receives an annual payment of $50,000 for services performed on behalf of us as a director. The Independent Directors also receive $2,500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and indemnify such persons against certain losses. Independent Directors have the option to receive their directors’ fees paid in shares of our common stock issued at a price per share equal to the greater of NAV or the market price at the time of payment. No compensation is expected to be paid to directors who are “interested persons” (as defined in the 1940 Act).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Our Investment Adviser has three experienced senior investment professionals in addition to Mr. Penn.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98" w:lineRule="auto"/>
        <w:rPr>
          <w:sz w:val="20"/>
          <w:szCs w:val="20"/>
          <w:color w:val="auto"/>
        </w:rPr>
      </w:pPr>
      <w:r>
        <w:rPr>
          <w:rFonts w:ascii="Arial" w:cs="Arial" w:eastAsia="Arial" w:hAnsi="Arial"/>
          <w:sz w:val="16"/>
          <w:szCs w:val="16"/>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jc w:val="both"/>
        <w:ind w:right="200" w:firstLine="571"/>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September 30, 2016 our portfolio managers also managed investments on behalf of the following entities:</w:t>
      </w:r>
    </w:p>
    <w:p>
      <w:pPr>
        <w:sectPr>
          <w:pgSz w:w="11900" w:h="16838" w:orient="portrait"/>
          <w:cols w:equalWidth="0" w:num="1">
            <w:col w:w="11380"/>
          </w:cols>
          <w:pgMar w:left="240" w:top="459" w:right="279" w:bottom="1440" w:gutter="0" w:footer="0" w:header="0"/>
        </w:sect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6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620" w:type="dxa"/>
            <w:vAlign w:val="bottom"/>
          </w:tcPr>
          <w:p>
            <w:pPr>
              <w:ind w:left="40"/>
              <w:spacing w:after="0"/>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5"/>
                <w:szCs w:val="15"/>
                <w:color w:val="auto"/>
              </w:rPr>
            </w:pPr>
          </w:p>
        </w:tc>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Investment Focus</w:t>
            </w:r>
          </w:p>
        </w:tc>
      </w:tr>
      <w:tr>
        <w:trPr>
          <w:trHeight w:val="28"/>
        </w:trPr>
        <w:tc>
          <w:tcPr>
            <w:tcW w:w="2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01"/>
        </w:trPr>
        <w:tc>
          <w:tcPr>
            <w:tcW w:w="2960" w:type="dxa"/>
            <w:vAlign w:val="bottom"/>
          </w:tcPr>
          <w:p>
            <w:pPr>
              <w:ind w:left="60"/>
              <w:spacing w:after="0" w:line="201" w:lineRule="exact"/>
              <w:rPr>
                <w:sz w:val="20"/>
                <w:szCs w:val="20"/>
                <w:color w:val="auto"/>
              </w:rPr>
            </w:pPr>
            <w:r>
              <w:rPr>
                <w:rFonts w:ascii="Arial" w:cs="Arial" w:eastAsia="Arial" w:hAnsi="Arial"/>
                <w:sz w:val="18"/>
                <w:szCs w:val="18"/>
                <w:color w:val="auto"/>
                <w:w w:val="97"/>
              </w:rPr>
              <w:t>PennantPark Investment Corporation</w:t>
            </w:r>
          </w:p>
        </w:tc>
        <w:tc>
          <w:tcPr>
            <w:tcW w:w="100" w:type="dxa"/>
            <w:vAlign w:val="bottom"/>
          </w:tcPr>
          <w:p>
            <w:pPr>
              <w:spacing w:after="0"/>
              <w:rPr>
                <w:sz w:val="17"/>
                <w:szCs w:val="17"/>
                <w:color w:val="auto"/>
              </w:rPr>
            </w:pPr>
          </w:p>
        </w:tc>
        <w:tc>
          <w:tcPr>
            <w:tcW w:w="1620" w:type="dxa"/>
            <w:vAlign w:val="bottom"/>
          </w:tcPr>
          <w:p>
            <w:pPr>
              <w:ind w:left="40"/>
              <w:spacing w:after="0" w:line="201" w:lineRule="exact"/>
              <w:rPr>
                <w:sz w:val="20"/>
                <w:szCs w:val="20"/>
                <w:color w:val="auto"/>
              </w:rPr>
            </w:pPr>
            <w:r>
              <w:rPr>
                <w:rFonts w:ascii="Arial" w:cs="Arial" w:eastAsia="Arial" w:hAnsi="Arial"/>
                <w:sz w:val="18"/>
                <w:szCs w:val="18"/>
                <w:color w:val="auto"/>
                <w:w w:val="86"/>
              </w:rPr>
              <w:t>Business development</w:t>
            </w:r>
          </w:p>
        </w:tc>
        <w:tc>
          <w:tcPr>
            <w:tcW w:w="100" w:type="dxa"/>
            <w:vAlign w:val="bottom"/>
          </w:tcPr>
          <w:p>
            <w:pPr>
              <w:spacing w:after="0"/>
              <w:rPr>
                <w:sz w:val="17"/>
                <w:szCs w:val="17"/>
                <w:color w:val="auto"/>
              </w:rPr>
            </w:pPr>
          </w:p>
        </w:tc>
        <w:tc>
          <w:tcPr>
            <w:tcW w:w="5600" w:type="dxa"/>
            <w:vAlign w:val="bottom"/>
          </w:tcPr>
          <w:p>
            <w:pPr>
              <w:ind w:left="60"/>
              <w:spacing w:after="0" w:line="201" w:lineRule="exact"/>
              <w:rPr>
                <w:sz w:val="20"/>
                <w:szCs w:val="20"/>
                <w:color w:val="auto"/>
              </w:rPr>
            </w:pPr>
            <w:r>
              <w:rPr>
                <w:rFonts w:ascii="Arial" w:cs="Arial" w:eastAsia="Arial" w:hAnsi="Arial"/>
                <w:sz w:val="18"/>
                <w:szCs w:val="18"/>
                <w:color w:val="auto"/>
                <w:w w:val="96"/>
              </w:rPr>
              <w:t>Primarily in U.S. middle-market companies in the form of senior secured</w:t>
            </w:r>
          </w:p>
        </w:tc>
      </w:t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ind w:left="40"/>
              <w:spacing w:after="0"/>
              <w:rPr>
                <w:sz w:val="20"/>
                <w:szCs w:val="20"/>
                <w:color w:val="auto"/>
              </w:rPr>
            </w:pPr>
            <w:r>
              <w:rPr>
                <w:rFonts w:ascii="Arial" w:cs="Arial" w:eastAsia="Arial" w:hAnsi="Arial"/>
                <w:sz w:val="18"/>
                <w:szCs w:val="18"/>
                <w:color w:val="auto"/>
              </w:rPr>
              <w:t>company</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loans, mezzanine debt and equity investments</w:t>
            </w:r>
          </w:p>
        </w:tc>
      </w:tr>
      <w:tr>
        <w:trPr>
          <w:trHeight w:val="236"/>
        </w:trPr>
        <w:tc>
          <w:tcPr>
            <w:tcW w:w="3060" w:type="dxa"/>
            <w:vAlign w:val="bottom"/>
            <w:gridSpan w:val="2"/>
          </w:tcPr>
          <w:p>
            <w:pPr>
              <w:ind w:left="60"/>
              <w:spacing w:after="0"/>
              <w:rPr>
                <w:sz w:val="20"/>
                <w:szCs w:val="20"/>
                <w:color w:val="auto"/>
              </w:rPr>
            </w:pPr>
            <w:r>
              <w:rPr>
                <w:rFonts w:ascii="Arial" w:cs="Arial" w:eastAsia="Arial" w:hAnsi="Arial"/>
                <w:sz w:val="18"/>
                <w:szCs w:val="18"/>
                <w:color w:val="auto"/>
              </w:rPr>
              <w:t>Other Managed Fund</w:t>
            </w:r>
          </w:p>
        </w:tc>
        <w:tc>
          <w:tcPr>
            <w:tcW w:w="1620" w:type="dxa"/>
            <w:vAlign w:val="bottom"/>
          </w:tcPr>
          <w:p>
            <w:pPr>
              <w:ind w:left="40"/>
              <w:spacing w:after="0"/>
              <w:rPr>
                <w:sz w:val="20"/>
                <w:szCs w:val="20"/>
                <w:color w:val="auto"/>
              </w:rPr>
            </w:pPr>
            <w:r>
              <w:rPr>
                <w:rFonts w:ascii="Arial" w:cs="Arial" w:eastAsia="Arial" w:hAnsi="Arial"/>
                <w:sz w:val="18"/>
                <w:szCs w:val="18"/>
                <w:color w:val="auto"/>
                <w:w w:val="96"/>
              </w:rPr>
              <w:t>Direct Lending Fund</w:t>
            </w:r>
          </w:p>
        </w:tc>
        <w:tc>
          <w:tcPr>
            <w:tcW w:w="100" w:type="dxa"/>
            <w:vAlign w:val="bottom"/>
          </w:tcPr>
          <w:p>
            <w:pPr>
              <w:spacing w:after="0"/>
              <w:rPr>
                <w:sz w:val="20"/>
                <w:szCs w:val="20"/>
                <w:color w:val="auto"/>
              </w:rPr>
            </w:pPr>
          </w:p>
        </w:tc>
        <w:tc>
          <w:tcPr>
            <w:tcW w:w="5600" w:type="dxa"/>
            <w:vAlign w:val="bottom"/>
          </w:tcPr>
          <w:p>
            <w:pPr>
              <w:ind w:left="60"/>
              <w:spacing w:after="0"/>
              <w:rPr>
                <w:sz w:val="20"/>
                <w:szCs w:val="20"/>
                <w:color w:val="auto"/>
              </w:rPr>
            </w:pPr>
            <w:r>
              <w:rPr>
                <w:rFonts w:ascii="Arial" w:cs="Arial" w:eastAsia="Arial" w:hAnsi="Arial"/>
                <w:sz w:val="18"/>
                <w:szCs w:val="18"/>
                <w:color w:val="auto"/>
              </w:rPr>
              <w:t>Other credit opportunities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2832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both"/>
        <w:ind w:left="32" w:right="60" w:firstLine="37"/>
        <w:spacing w:after="0" w:line="372" w:lineRule="auto"/>
        <w:rPr>
          <w:sz w:val="20"/>
          <w:szCs w:val="20"/>
          <w:color w:val="auto"/>
        </w:rPr>
      </w:pPr>
      <w:r>
        <w:rPr>
          <w:rFonts w:ascii="Arial" w:cs="Arial" w:eastAsia="Arial" w:hAnsi="Arial"/>
          <w:sz w:val="11"/>
          <w:szCs w:val="11"/>
          <w:b w:val="1"/>
          <w:bCs w:val="1"/>
          <w:color w:val="auto"/>
        </w:rPr>
        <w:t>Gross Assets ($ in millions)</w:t>
      </w:r>
    </w:p>
    <w:p>
      <w:pPr>
        <w:spacing w:after="0" w:line="139" w:lineRule="exact"/>
        <w:rPr>
          <w:sz w:val="20"/>
          <w:szCs w:val="20"/>
          <w:color w:val="auto"/>
        </w:rPr>
      </w:pPr>
    </w:p>
    <w:p>
      <w:pPr>
        <w:ind w:left="452" w:hanging="452"/>
        <w:spacing w:after="0"/>
        <w:tabs>
          <w:tab w:leader="none" w:pos="452" w:val="left"/>
        </w:tabs>
        <w:numPr>
          <w:ilvl w:val="0"/>
          <w:numId w:val="66"/>
        </w:numPr>
        <w:rPr>
          <w:rFonts w:ascii="Arial" w:cs="Arial" w:eastAsia="Arial" w:hAnsi="Arial"/>
          <w:sz w:val="15"/>
          <w:szCs w:val="15"/>
          <w:color w:val="auto"/>
        </w:rPr>
      </w:pPr>
      <w:r>
        <w:rPr>
          <w:rFonts w:ascii="Arial" w:cs="Arial" w:eastAsia="Arial" w:hAnsi="Arial"/>
          <w:sz w:val="15"/>
          <w:szCs w:val="15"/>
          <w:color w:val="auto"/>
        </w:rPr>
        <w:t>1,239</w:t>
      </w:r>
    </w:p>
    <w:p>
      <w:pPr>
        <w:spacing w:after="0" w:line="49" w:lineRule="exact"/>
        <w:rPr>
          <w:rFonts w:ascii="Arial" w:cs="Arial" w:eastAsia="Arial" w:hAnsi="Arial"/>
          <w:sz w:val="15"/>
          <w:szCs w:val="15"/>
          <w:color w:val="auto"/>
        </w:rPr>
      </w:pPr>
    </w:p>
    <w:p>
      <w:pPr>
        <w:ind w:left="652" w:hanging="652"/>
        <w:spacing w:after="0"/>
        <w:tabs>
          <w:tab w:leader="none" w:pos="652" w:val="left"/>
        </w:tabs>
        <w:numPr>
          <w:ilvl w:val="0"/>
          <w:numId w:val="66"/>
        </w:numPr>
        <w:rPr>
          <w:rFonts w:ascii="Arial" w:cs="Arial" w:eastAsia="Arial" w:hAnsi="Arial"/>
          <w:sz w:val="16"/>
          <w:szCs w:val="16"/>
          <w:color w:val="auto"/>
        </w:rPr>
      </w:pPr>
      <w:r>
        <w:rPr>
          <w:rFonts w:ascii="Arial" w:cs="Arial" w:eastAsia="Arial" w:hAnsi="Arial"/>
          <w:sz w:val="16"/>
          <w:szCs w:val="16"/>
          <w:color w:val="auto"/>
        </w:rPr>
        <w:t>70</w:t>
      </w:r>
    </w:p>
    <w:p>
      <w:pPr>
        <w:spacing w:after="0" w:line="201" w:lineRule="exact"/>
        <w:rPr>
          <w:sz w:val="20"/>
          <w:szCs w:val="20"/>
          <w:color w:val="auto"/>
        </w:rPr>
      </w:pPr>
    </w:p>
    <w:p>
      <w:pPr>
        <w:sectPr>
          <w:pgSz w:w="11900" w:h="16838" w:orient="portrait"/>
          <w:cols w:equalWidth="0" w:num="2">
            <w:col w:w="10380" w:space="108"/>
            <w:col w:w="892"/>
          </w:cols>
          <w:pgMar w:left="240" w:top="459" w:right="279" w:bottom="1440" w:gutter="0" w:footer="0" w:header="0"/>
          <w:type w:val="continuous"/>
        </w:sectPr>
      </w:pPr>
    </w:p>
    <w:p>
      <w:pPr>
        <w:ind w:right="420" w:firstLine="571"/>
        <w:spacing w:after="0" w:line="268" w:lineRule="auto"/>
        <w:rPr>
          <w:sz w:val="20"/>
          <w:szCs w:val="20"/>
          <w:color w:val="auto"/>
        </w:rPr>
      </w:pPr>
      <w:r>
        <w:rPr>
          <w:rFonts w:ascii="Arial" w:cs="Arial" w:eastAsia="Arial" w:hAnsi="Arial"/>
          <w:sz w:val="18"/>
          <w:szCs w:val="18"/>
          <w:color w:val="auto"/>
        </w:rPr>
        <w:t>The management and incentive fees payable by PennantPark Investment Corporation are based on the gross assets and performance of PennantPark Investment Corporation,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As of January 13, 2017, to our knowledge, no person would be deemed to “control” us, as such term is defined in the 1940 Act. Our board of directors consist of an interested director and Independent Directors.</w:t>
      </w:r>
    </w:p>
    <w:p>
      <w:pPr>
        <w:spacing w:after="0" w:line="132"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The following table sets forth, as of January 13, 2017,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5"/>
              </w:rPr>
              <w:t>Percentage of</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7"/>
              </w:rPr>
              <w:t>Common</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right"/>
              <w:ind w:right="812"/>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r>
      <w:tr>
        <w:trPr>
          <w:trHeight w:val="237"/>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Name and address</w:t>
            </w:r>
            <w:r>
              <w:rPr>
                <w:rFonts w:ascii="Arial" w:cs="Arial" w:eastAsia="Arial" w:hAnsi="Arial"/>
                <w:sz w:val="11"/>
                <w:szCs w:val="11"/>
                <w:b w:val="1"/>
                <w:bCs w:val="1"/>
                <w:color w:val="auto"/>
              </w:rPr>
              <w:t>(1)</w:t>
            </w:r>
          </w:p>
        </w:tc>
        <w:tc>
          <w:tcPr>
            <w:tcW w:w="2500" w:type="dxa"/>
            <w:vAlign w:val="bottom"/>
            <w:gridSpan w:val="2"/>
          </w:tcPr>
          <w:p>
            <w:pPr>
              <w:ind w:left="440"/>
              <w:spacing w:after="0"/>
              <w:rPr>
                <w:sz w:val="20"/>
                <w:szCs w:val="20"/>
                <w:color w:val="auto"/>
              </w:rPr>
            </w:pPr>
            <w:r>
              <w:rPr>
                <w:rFonts w:ascii="Arial" w:cs="Arial" w:eastAsia="Arial" w:hAnsi="Arial"/>
                <w:sz w:val="18"/>
                <w:szCs w:val="18"/>
                <w:b w:val="1"/>
                <w:bCs w:val="1"/>
                <w:color w:val="auto"/>
              </w:rPr>
              <w:t>Type of ownership</w:t>
            </w:r>
            <w:r>
              <w:rPr>
                <w:rFonts w:ascii="Arial" w:cs="Arial" w:eastAsia="Arial" w:hAnsi="Arial"/>
                <w:sz w:val="11"/>
                <w:szCs w:val="11"/>
                <w:b w:val="1"/>
                <w:bCs w:val="1"/>
                <w:color w:val="auto"/>
              </w:rPr>
              <w:t>(2)</w:t>
            </w:r>
          </w:p>
        </w:tc>
        <w:tc>
          <w:tcPr>
            <w:tcW w:w="2280" w:type="dxa"/>
            <w:vAlign w:val="bottom"/>
          </w:tcPr>
          <w:p>
            <w:pPr>
              <w:jc w:val="right"/>
              <w:ind w:right="792"/>
              <w:spacing w:after="0"/>
              <w:rPr>
                <w:sz w:val="20"/>
                <w:szCs w:val="20"/>
                <w:color w:val="auto"/>
              </w:rPr>
            </w:pPr>
            <w:r>
              <w:rPr>
                <w:rFonts w:ascii="Arial" w:cs="Arial" w:eastAsia="Arial" w:hAnsi="Arial"/>
                <w:sz w:val="18"/>
                <w:szCs w:val="18"/>
                <w:b w:val="1"/>
                <w:bCs w:val="1"/>
                <w:color w:val="auto"/>
              </w:rPr>
              <w:t>owned</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6"/>
              </w:rPr>
              <w:t>Outstanding</w:t>
            </w:r>
          </w:p>
        </w:tc>
      </w:tr>
      <w:tr>
        <w:trPr>
          <w:trHeight w:val="23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spacing w:after="0"/>
              <w:rPr>
                <w:sz w:val="19"/>
                <w:szCs w:val="19"/>
                <w:color w:val="auto"/>
              </w:rPr>
            </w:pPr>
          </w:p>
        </w:tc>
      </w:tr>
      <w:tr>
        <w:trPr>
          <w:trHeight w:val="229"/>
        </w:trPr>
        <w:tc>
          <w:tcPr>
            <w:tcW w:w="424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p>
        </w:tc>
        <w:tc>
          <w:tcPr>
            <w:tcW w:w="2500" w:type="dxa"/>
            <w:vAlign w:val="bottom"/>
            <w:gridSpan w:val="2"/>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Pr>
          <w:p>
            <w:pPr>
              <w:jc w:val="right"/>
              <w:spacing w:after="0"/>
              <w:rPr>
                <w:sz w:val="20"/>
                <w:szCs w:val="20"/>
                <w:color w:val="auto"/>
              </w:rPr>
            </w:pPr>
            <w:r>
              <w:rPr>
                <w:rFonts w:ascii="Arial" w:cs="Arial" w:eastAsia="Arial" w:hAnsi="Arial"/>
                <w:sz w:val="18"/>
                <w:szCs w:val="18"/>
                <w:color w:val="auto"/>
              </w:rPr>
              <w:t>5,000</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2500" w:type="dxa"/>
            <w:vAlign w:val="bottom"/>
            <w:gridSpan w:val="2"/>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Pr>
          <w:p>
            <w:pPr>
              <w:jc w:val="right"/>
              <w:spacing w:after="0"/>
              <w:rPr>
                <w:sz w:val="20"/>
                <w:szCs w:val="20"/>
                <w:color w:val="auto"/>
              </w:rPr>
            </w:pPr>
            <w:r>
              <w:rPr>
                <w:rFonts w:ascii="Arial" w:cs="Arial" w:eastAsia="Arial" w:hAnsi="Arial"/>
                <w:sz w:val="18"/>
                <w:szCs w:val="18"/>
                <w:color w:val="auto"/>
              </w:rPr>
              <w:t>15,500</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120,100</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149,209</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120" w:type="dxa"/>
            <w:vAlign w:val="bottom"/>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240" w:type="dxa"/>
            <w:vAlign w:val="bottom"/>
            <w:gridSpan w:val="2"/>
          </w:tcPr>
          <w:p>
            <w:pPr>
              <w:spacing w:after="0"/>
              <w:rPr>
                <w:sz w:val="20"/>
                <w:szCs w:val="20"/>
                <w:color w:val="auto"/>
              </w:rPr>
            </w:pPr>
            <w:r>
              <w:rPr>
                <w:rFonts w:ascii="Arial" w:cs="Arial" w:eastAsia="Arial" w:hAnsi="Arial"/>
                <w:sz w:val="18"/>
                <w:szCs w:val="18"/>
                <w:color w:val="auto"/>
                <w:w w:val="93"/>
              </w:rPr>
              <w:t>All directors and executive officer as a group (6 persons)</w:t>
            </w:r>
          </w:p>
        </w:tc>
        <w:tc>
          <w:tcPr>
            <w:tcW w:w="2500" w:type="dxa"/>
            <w:vAlign w:val="bottom"/>
            <w:gridSpan w:val="2"/>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Pr>
          <w:p>
            <w:pPr>
              <w:jc w:val="right"/>
              <w:spacing w:after="0"/>
              <w:rPr>
                <w:sz w:val="20"/>
                <w:szCs w:val="20"/>
                <w:color w:val="auto"/>
              </w:rPr>
            </w:pPr>
            <w:r>
              <w:rPr>
                <w:rFonts w:ascii="Arial" w:cs="Arial" w:eastAsia="Arial" w:hAnsi="Arial"/>
                <w:sz w:val="18"/>
                <w:szCs w:val="18"/>
                <w:color w:val="auto"/>
              </w:rPr>
              <w:t>318,559</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5176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address for each officer and director is c/o PennantPark Floating Rate Capital Ltd., 590 Madison Avenue, 15th Floor, New York, New York 10022.</w:t>
      </w:r>
    </w:p>
    <w:p>
      <w:pPr>
        <w:ind w:left="420" w:hanging="412"/>
        <w:spacing w:after="0" w:line="221" w:lineRule="auto"/>
        <w:tabs>
          <w:tab w:leader="none" w:pos="4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Sole voting power.</w:t>
      </w:r>
    </w:p>
    <w:p>
      <w:pPr>
        <w:ind w:left="420" w:hanging="412"/>
        <w:spacing w:after="0"/>
        <w:tabs>
          <w:tab w:leader="none" w:pos="4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Mr. Penn is the Managing Member of PennantPark Investment Advisers, LLC and may therefore be deemed to own beneficially the 149,209 shares held by PennantPark Investment Advisers, LLC.</w:t>
      </w:r>
    </w:p>
    <w:p>
      <w:pPr>
        <w:spacing w:after="0" w:line="66" w:lineRule="exact"/>
        <w:rPr>
          <w:sz w:val="20"/>
          <w:szCs w:val="20"/>
          <w:color w:val="auto"/>
        </w:rPr>
      </w:pPr>
    </w:p>
    <w:p>
      <w:pPr>
        <w:ind w:left="260" w:hanging="252"/>
        <w:spacing w:after="0"/>
        <w:tabs>
          <w:tab w:leader="none" w:pos="2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7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and senior investment professionals as of December 31, 2016. Information as to the beneficial ownerships is based on information furnished to us by such persons. We are not part of a “family of investment companies,” as that term is defined in the 1940 Act.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70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Dollar Range of the Common Stock of the Companies</w:t>
            </w:r>
            <w:r>
              <w:rPr>
                <w:rFonts w:ascii="Arial" w:cs="Arial" w:eastAsia="Arial" w:hAnsi="Arial"/>
                <w:sz w:val="11"/>
                <w:szCs w:val="11"/>
                <w:b w:val="1"/>
                <w:bCs w:val="1"/>
                <w:color w:val="auto"/>
                <w:w w:val="87"/>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640" w:type="dxa"/>
            <w:vAlign w:val="bottom"/>
          </w:tcPr>
          <w:p>
            <w:pPr>
              <w:spacing w:after="0"/>
              <w:rPr>
                <w:sz w:val="17"/>
                <w:szCs w:val="17"/>
                <w:color w:val="auto"/>
              </w:rPr>
            </w:pPr>
          </w:p>
        </w:tc>
        <w:tc>
          <w:tcPr>
            <w:tcW w:w="2380" w:type="dxa"/>
            <w:vAlign w:val="bottom"/>
            <w:tcBorders>
              <w:top w:val="single" w:sz="8" w:color="auto"/>
            </w:tcBorders>
            <w:gridSpan w:val="2"/>
          </w:tcPr>
          <w:p>
            <w:pPr>
              <w:jc w:val="center"/>
              <w:ind w:right="120"/>
              <w:spacing w:after="0" w:line="201" w:lineRule="exact"/>
              <w:rPr>
                <w:sz w:val="20"/>
                <w:szCs w:val="20"/>
                <w:color w:val="auto"/>
              </w:rPr>
            </w:pPr>
            <w:r>
              <w:rPr>
                <w:rFonts w:ascii="Arial" w:cs="Arial" w:eastAsia="Arial" w:hAnsi="Arial"/>
                <w:sz w:val="18"/>
                <w:szCs w:val="18"/>
                <w:b w:val="1"/>
                <w:bCs w:val="1"/>
                <w:color w:val="auto"/>
                <w:w w:val="89"/>
              </w:rPr>
              <w:t>PennantPark Floating</w:t>
            </w:r>
          </w:p>
        </w:tc>
        <w:tc>
          <w:tcPr>
            <w:tcW w:w="2400" w:type="dxa"/>
            <w:vAlign w:val="bottom"/>
            <w:tcBorders>
              <w:top w:val="single" w:sz="8" w:color="auto"/>
            </w:tcBorders>
            <w:gridSpan w:val="2"/>
          </w:tcPr>
          <w:p>
            <w:pPr>
              <w:jc w:val="center"/>
              <w:ind w:right="120"/>
              <w:spacing w:after="0" w:line="201" w:lineRule="exact"/>
              <w:rPr>
                <w:sz w:val="20"/>
                <w:szCs w:val="20"/>
                <w:color w:val="auto"/>
              </w:rPr>
            </w:pPr>
            <w:r>
              <w:rPr>
                <w:rFonts w:ascii="Arial" w:cs="Arial" w:eastAsia="Arial" w:hAnsi="Arial"/>
                <w:sz w:val="18"/>
                <w:szCs w:val="18"/>
                <w:b w:val="1"/>
                <w:bCs w:val="1"/>
                <w:color w:val="auto"/>
                <w:w w:val="89"/>
              </w:rPr>
              <w:t>PennantPark Investment</w:t>
            </w:r>
          </w:p>
        </w:tc>
        <w:tc>
          <w:tcPr>
            <w:tcW w:w="2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Rate Capital Ltd.</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Corporation</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Borders>
              <w:top w:val="single" w:sz="8" w:color="CCEEFF"/>
            </w:tcBorders>
            <w:gridSpan w:val="2"/>
            <w:shd w:val="clear" w:color="auto" w:fill="CCEEFF"/>
          </w:tcPr>
          <w:p>
            <w:pPr>
              <w:ind w:left="420"/>
              <w:spacing w:after="0" w:line="203" w:lineRule="exact"/>
              <w:rPr>
                <w:sz w:val="20"/>
                <w:szCs w:val="20"/>
                <w:color w:val="auto"/>
              </w:rPr>
            </w:pPr>
            <w:r>
              <w:rPr>
                <w:rFonts w:ascii="Arial" w:cs="Arial" w:eastAsia="Arial" w:hAnsi="Arial"/>
                <w:sz w:val="18"/>
                <w:szCs w:val="18"/>
                <w:color w:val="auto"/>
              </w:rPr>
              <w:t>Adam K. Bernstein</w:t>
            </w: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$ 50,001 - $100,000</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$100,001 - $500,000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None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$100,001 - $  500,000</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Over $1,000,000</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(2)</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Over $1,000,000</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Investment Professionals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Jose A. Briones</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Over $1,000,000</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$500,001 - $1,000,000</w:t>
            </w:r>
          </w:p>
        </w:tc>
        <w:tc>
          <w:tcPr>
            <w:tcW w:w="12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Salvatore Giannetti III</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Over $1,000,000</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P. Whitridge Williams, Jr.</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Over $1,000,000</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$500,001 - $1,000,000</w:t>
            </w:r>
          </w:p>
        </w:tc>
        <w:tc>
          <w:tcPr>
            <w:tcW w:w="12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31521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33" w:lineRule="exact"/>
        <w:rPr>
          <w:sz w:val="20"/>
          <w:szCs w:val="20"/>
          <w:color w:val="auto"/>
        </w:rPr>
      </w:pPr>
    </w:p>
    <w:p>
      <w:pPr>
        <w:ind w:left="220" w:hanging="212"/>
        <w:spacing w:after="0"/>
        <w:tabs>
          <w:tab w:leader="none" w:pos="2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tabs>
          <w:tab w:leader="none" w:pos="2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60" w:firstLine="571"/>
        <w:spacing w:after="0" w:line="305" w:lineRule="auto"/>
        <w:rPr>
          <w:sz w:val="20"/>
          <w:szCs w:val="20"/>
          <w:color w:val="auto"/>
        </w:rPr>
      </w:pPr>
      <w:r>
        <w:rPr>
          <w:rFonts w:ascii="Arial" w:cs="Arial" w:eastAsia="Arial" w:hAnsi="Arial"/>
          <w:sz w:val="15"/>
          <w:szCs w:val="15"/>
          <w:color w:val="auto"/>
        </w:rPr>
        <w:t>PennantPark Floating Rate Capital Ltd. has entered into an Investment Management Agreement with the Investment Adviser under which the Investment Adviser, subject to the overall supervision of our board of directors, manages the day-to-day operations of, and provides investment advisory services to, us.</w:t>
      </w:r>
    </w:p>
    <w:p>
      <w:pPr>
        <w:spacing w:after="0" w:line="295" w:lineRule="auto"/>
        <w:rPr>
          <w:sz w:val="20"/>
          <w:szCs w:val="20"/>
          <w:color w:val="auto"/>
        </w:rPr>
      </w:pPr>
      <w:r>
        <w:rPr>
          <w:rFonts w:ascii="Arial" w:cs="Arial" w:eastAsia="Arial" w:hAnsi="Arial"/>
          <w:sz w:val="16"/>
          <w:szCs w:val="16"/>
          <w:color w:val="auto"/>
        </w:rPr>
        <w:t>Mr. Penn, our Chairman and Chief Executive Officer, is the managing member and a senior investment professional of, and has a financial and controlling interest in PennantPark Investment Advisers. The Company, through the Investment Adviser, provides similar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34"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99"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171" w:lineRule="exact"/>
        <w:rPr>
          <w:sz w:val="20"/>
          <w:szCs w:val="20"/>
          <w:color w:val="auto"/>
        </w:rPr>
      </w:pPr>
    </w:p>
    <w:p>
      <w:pPr>
        <w:ind w:right="360" w:firstLine="571"/>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120" w:firstLine="571"/>
        <w:spacing w:after="0" w:line="310" w:lineRule="auto"/>
        <w:rPr>
          <w:sz w:val="20"/>
          <w:szCs w:val="20"/>
          <w:color w:val="auto"/>
        </w:rPr>
      </w:pPr>
      <w:r>
        <w:rPr>
          <w:rFonts w:ascii="Arial" w:cs="Arial" w:eastAsia="Arial" w:hAnsi="Arial"/>
          <w:sz w:val="15"/>
          <w:szCs w:val="15"/>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2016, 2015 and 2014, the Investment Adviser earned a base management fee of $5.0 million, $3.6 million and $3.7 million, respectively, from us.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Gross assets as of December 31, 20XX = $160 million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Gross assets as of March 31, 20XX = $200 million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 Treasury bills and temporary draws on credit facilities as of March 31, 20XX = $20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Adjusted gross assets as of March 31, 20XX = $180 million</w:t>
      </w:r>
    </w:p>
    <w:p>
      <w:pPr>
        <w:spacing w:after="0" w:line="165"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Average value of adjusted gross assets of March 31, 20XX and December 31, 20XX, which are the two most recently completed calendar quarters, and appropriately adjusted for any share issuances or repurchases during the current calendar quarter = ($150 million + $180 million) / 2 = $165 million.</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2016, 2015 and 2014, the Investment Adviser earned $3.7 million, $2.2 million and $2.6 million, respectively, in incentive fees on net investment income from 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graphical representation of the calculation of quarterly incentive fee based on Pre-Incentive Fee Net Investment Income: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3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120015</wp:posOffset>
            </wp:positionV>
            <wp:extent cx="2186940" cy="3860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869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3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40" w:lineRule="exact"/>
        <w:rPr>
          <w:sz w:val="20"/>
          <w:szCs w:val="20"/>
          <w:color w:val="auto"/>
        </w:rPr>
      </w:pPr>
    </w:p>
    <w:p>
      <w:pPr>
        <w:ind w:right="100" w:firstLine="571"/>
        <w:spacing w:after="0" w:line="254"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2016, 2015 and 2014 the Investment Adviser accrued an incentive fee on capital gains of approximately zero, $(0.4) million and $0.8 million, respectively, as calculated under the Investment Management Agreement (as described above).</w:t>
      </w:r>
    </w:p>
    <w:p>
      <w:pPr>
        <w:spacing w:after="0" w:line="144"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or accrued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2016, 2015 and 2014 was $1.1 million, $(0.7) million and $0.1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right="3720"/>
        <w:spacing w:after="0" w:line="331" w:lineRule="auto"/>
        <w:rPr>
          <w:sz w:val="20"/>
          <w:szCs w:val="20"/>
          <w:color w:val="auto"/>
        </w:rPr>
      </w:pPr>
      <w:r>
        <w:rPr>
          <w:rFonts w:ascii="Arial" w:cs="Arial" w:eastAsia="Arial" w:hAnsi="Arial"/>
          <w:sz w:val="18"/>
          <w:szCs w:val="18"/>
          <w:color w:val="auto"/>
        </w:rPr>
        <w:t>(investment income—(base management fee + other expenses)) = 0.80% Pre-Incentive Fee Net Investment Income does not exceed hurdle; therefore there is no incentive fee.</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2.25%</w:t>
      </w:r>
    </w:p>
    <w:p>
      <w:pPr>
        <w:spacing w:after="0" w:line="212" w:lineRule="exact"/>
        <w:rPr>
          <w:sz w:val="20"/>
          <w:szCs w:val="20"/>
          <w:color w:val="auto"/>
        </w:rPr>
      </w:pPr>
    </w:p>
    <w:p>
      <w:pPr>
        <w:jc w:val="right"/>
        <w:ind w:right="3480"/>
        <w:spacing w:after="0"/>
        <w:tabs>
          <w:tab w:leader="none" w:pos="5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50% x Pre-Incentive Fee Net Investment Income, subject to “catch-up”</w:t>
      </w:r>
    </w:p>
    <w:p>
      <w:pPr>
        <w:spacing w:after="0" w:line="36" w:lineRule="exact"/>
        <w:rPr>
          <w:sz w:val="20"/>
          <w:szCs w:val="20"/>
          <w:color w:val="auto"/>
        </w:rPr>
      </w:pPr>
    </w:p>
    <w:p>
      <w:pPr>
        <w:ind w:left="2880" w:hanging="151"/>
        <w:spacing w:after="0"/>
        <w:tabs>
          <w:tab w:leader="none" w:pos="2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50% x (2.25% - 1.75%)</w:t>
      </w:r>
    </w:p>
    <w:p>
      <w:pPr>
        <w:spacing w:after="0" w:line="49" w:lineRule="exact"/>
        <w:rPr>
          <w:rFonts w:ascii="Arial" w:cs="Arial" w:eastAsia="Arial" w:hAnsi="Arial"/>
          <w:sz w:val="18"/>
          <w:szCs w:val="18"/>
          <w:color w:val="auto"/>
        </w:rPr>
      </w:pPr>
    </w:p>
    <w:p>
      <w:pPr>
        <w:ind w:left="2880" w:hanging="151"/>
        <w:spacing w:after="0"/>
        <w:tabs>
          <w:tab w:leader="none" w:pos="2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4.00%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3.55%</w:t>
      </w:r>
    </w:p>
    <w:p>
      <w:pPr>
        <w:sectPr>
          <w:pgSz w:w="11900" w:h="16838" w:orient="portrait"/>
          <w:cols w:equalWidth="0" w:num="1">
            <w:col w:w="11360"/>
          </w:cols>
          <w:pgMar w:left="240" w:top="459" w:right="299" w:bottom="1440" w:gutter="0" w:footer="0" w:header="0"/>
        </w:sectPr>
      </w:pPr>
    </w:p>
    <w:p>
      <w:pPr>
        <w:spacing w:after="0" w:line="2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1049020</wp:posOffset>
            </wp:positionV>
            <wp:extent cx="2914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160" w:hanging="151"/>
        <w:spacing w:after="0"/>
        <w:tabs>
          <w:tab w:leader="none" w:pos="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20% x Pre-Incentive Fee Net Investment Income, subject to “catch-up”</w:t>
      </w:r>
      <w:r>
        <w:rPr>
          <w:rFonts w:ascii="Arial" w:cs="Arial" w:eastAsia="Arial" w:hAnsi="Arial"/>
          <w:sz w:val="11"/>
          <w:szCs w:val="11"/>
          <w:color w:val="auto"/>
        </w:rPr>
        <w:t>(3)</w:t>
      </w:r>
    </w:p>
    <w:p>
      <w:pPr>
        <w:spacing w:after="0" w:line="36" w:lineRule="exact"/>
        <w:rPr>
          <w:rFonts w:ascii="Arial" w:cs="Arial" w:eastAsia="Arial" w:hAnsi="Arial"/>
          <w:sz w:val="18"/>
          <w:szCs w:val="18"/>
          <w:color w:val="auto"/>
        </w:rPr>
      </w:pPr>
    </w:p>
    <w:p>
      <w:pPr>
        <w:ind w:right="2600" w:firstLine="9"/>
        <w:spacing w:after="0" w:line="328" w:lineRule="auto"/>
        <w:tabs>
          <w:tab w:leader="none" w:pos="143" w:val="left"/>
        </w:tabs>
        <w:numPr>
          <w:ilvl w:val="0"/>
          <w:numId w:val="72"/>
        </w:numPr>
        <w:rPr>
          <w:rFonts w:ascii="Arial" w:cs="Arial" w:eastAsia="Arial" w:hAnsi="Arial"/>
          <w:sz w:val="18"/>
          <w:szCs w:val="18"/>
          <w:color w:val="auto"/>
        </w:rPr>
      </w:pPr>
      <w:r>
        <w:rPr>
          <w:rFonts w:ascii="Arial" w:cs="Arial" w:eastAsia="Arial" w:hAnsi="Arial"/>
          <w:sz w:val="18"/>
          <w:szCs w:val="18"/>
          <w:color w:val="auto"/>
        </w:rPr>
        <w:t>50% x “catch-up” + (20% x (Pre-Incentive Fee Net Investment Income - 2.9167%)) =2.9167%-1.75% =1.1667%</w:t>
      </w:r>
    </w:p>
    <w:p>
      <w:pPr>
        <w:spacing w:after="0" w:line="204" w:lineRule="exact"/>
        <w:rPr>
          <w:rFonts w:ascii="Arial" w:cs="Arial" w:eastAsia="Arial" w:hAnsi="Arial"/>
          <w:sz w:val="18"/>
          <w:szCs w:val="18"/>
          <w:color w:val="auto"/>
        </w:rPr>
      </w:pPr>
    </w:p>
    <w:p>
      <w:pPr>
        <w:ind w:right="5180"/>
        <w:spacing w:after="0" w:line="297" w:lineRule="auto"/>
        <w:rPr>
          <w:rFonts w:ascii="Arial" w:cs="Arial" w:eastAsia="Arial" w:hAnsi="Arial"/>
          <w:sz w:val="18"/>
          <w:szCs w:val="18"/>
          <w:color w:val="auto"/>
        </w:rPr>
      </w:pPr>
      <w:r>
        <w:rPr>
          <w:rFonts w:ascii="Arial" w:cs="Arial" w:eastAsia="Arial" w:hAnsi="Arial"/>
          <w:sz w:val="18"/>
          <w:szCs w:val="18"/>
          <w:color w:val="auto"/>
        </w:rPr>
        <w:t>=(50% x 1.1667%) + (20% x (3.55% -2.9167%)) =0.5833% + (20% x 0.6333%)</w:t>
      </w:r>
    </w:p>
    <w:p>
      <w:pPr>
        <w:ind w:right="7080"/>
        <w:spacing w:after="0" w:line="315" w:lineRule="auto"/>
        <w:rPr>
          <w:rFonts w:ascii="Arial" w:cs="Arial" w:eastAsia="Arial" w:hAnsi="Arial"/>
          <w:sz w:val="18"/>
          <w:szCs w:val="18"/>
          <w:color w:val="auto"/>
        </w:rPr>
      </w:pPr>
      <w:r>
        <w:rPr>
          <w:rFonts w:ascii="Arial" w:cs="Arial" w:eastAsia="Arial" w:hAnsi="Arial"/>
          <w:sz w:val="18"/>
          <w:szCs w:val="18"/>
          <w:color w:val="auto"/>
        </w:rPr>
        <w:t>=0.5833% + 0.1267% =0.71%</w:t>
      </w:r>
    </w:p>
    <w:p>
      <w:pPr>
        <w:spacing w:after="0" w:line="200" w:lineRule="exact"/>
        <w:rPr>
          <w:sz w:val="20"/>
          <w:szCs w:val="20"/>
          <w:color w:val="auto"/>
        </w:rPr>
      </w:pPr>
    </w:p>
    <w:p>
      <w:pPr>
        <w:sectPr>
          <w:pgSz w:w="11900" w:h="16838" w:orient="portrait"/>
          <w:cols w:equalWidth="0" w:num="2">
            <w:col w:w="2000" w:space="720"/>
            <w:col w:w="8640"/>
          </w:cols>
          <w:pgMar w:left="240" w:top="459" w:right="299" w:bottom="1440" w:gutter="0" w:footer="0" w:header="0"/>
          <w:type w:val="continuous"/>
        </w:sectPr>
      </w:pPr>
    </w:p>
    <w:p>
      <w:pPr>
        <w:spacing w:after="0" w:line="92" w:lineRule="exact"/>
        <w:rPr>
          <w:sz w:val="20"/>
          <w:szCs w:val="20"/>
          <w:color w:val="auto"/>
        </w:rPr>
      </w:pPr>
    </w:p>
    <w:p>
      <w:pPr>
        <w:ind w:left="380" w:hanging="325"/>
        <w:spacing w:after="0"/>
        <w:tabs>
          <w:tab w:leader="none" w:pos="3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95" w:lineRule="exact"/>
        <w:rPr>
          <w:sz w:val="20"/>
          <w:szCs w:val="20"/>
          <w:color w:val="auto"/>
        </w:rPr>
      </w:pPr>
    </w:p>
    <w:p>
      <w:pPr>
        <w:ind w:left="380" w:hanging="372"/>
        <w:spacing w:after="0"/>
        <w:tabs>
          <w:tab w:leader="none" w:pos="3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1.0% annualized base management fee.</w:t>
      </w:r>
    </w:p>
    <w:p>
      <w:pPr>
        <w:ind w:left="380" w:hanging="372"/>
        <w:spacing w:after="0" w:line="230" w:lineRule="auto"/>
        <w:tabs>
          <w:tab w:leader="none" w:pos="3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$20 million investment made in Company A (“Investment A”), and $30 million investment made in Company B (“Investment B”)</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3: FMV of Investment B determined to be $25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4: Investment B sold for $31 million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459" w:right="29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2: $6 million capital gains incentive fee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$30 million realized capital gains on sale of Investment A multiplied by 20%</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3: None</w:t>
      </w:r>
    </w:p>
    <w:p>
      <w:pPr>
        <w:spacing w:after="0" w:line="90"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$5 million cumulative fee (20% multiplied by $25 million ($30 million cumulative capital gains less $5 million cumulative capital depreciation)) less $6 million (previous capital gains fee paid in Year 2)</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4: $200,000 capital gains incentive fee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$6.2 million cumulative fee ($31 million cumulative realized capital gains multiplied by 20%) less $6 million (previous capital gains fee paid in Year 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580" w:right="160"/>
        <w:spacing w:after="0" w:line="268" w:lineRule="auto"/>
        <w:rPr>
          <w:sz w:val="20"/>
          <w:szCs w:val="20"/>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Year 2: Investment A sold for $50 million, FMV of Investment B determined to be $25 million and FMV of Investment C determined to be $25 million</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3: FMV of Investment B determined to be $27 million and Investment C sold for $30 million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4: FMV of Investment B determined to be $35 million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5: Investment B sold for $20 million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2: $5 million capital gains incentive fee</w:t>
      </w:r>
    </w:p>
    <w:p>
      <w:pPr>
        <w:spacing w:after="0" w:line="90" w:lineRule="exact"/>
        <w:rPr>
          <w:sz w:val="20"/>
          <w:szCs w:val="20"/>
          <w:color w:val="auto"/>
        </w:rPr>
      </w:pPr>
    </w:p>
    <w:p>
      <w:pPr>
        <w:ind w:left="580" w:right="80"/>
        <w:spacing w:after="0" w:line="268" w:lineRule="auto"/>
        <w:rPr>
          <w:sz w:val="20"/>
          <w:szCs w:val="20"/>
          <w:color w:val="auto"/>
        </w:rPr>
      </w:pPr>
      <w:r>
        <w:rPr>
          <w:rFonts w:ascii="Arial" w:cs="Arial" w:eastAsia="Arial" w:hAnsi="Arial"/>
          <w:sz w:val="18"/>
          <w:szCs w:val="18"/>
          <w:color w:val="auto"/>
        </w:rPr>
        <w:t>20% multiplied by $25 million ($30 million realized capital gains on sale of Investment A less $5 million unrealized capital depreciation on Investment B)</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3: $1.4 million capital gains incentive fee</w:t>
      </w:r>
      <w:r>
        <w:rPr>
          <w:rFonts w:ascii="Arial" w:cs="Arial" w:eastAsia="Arial" w:hAnsi="Arial"/>
          <w:sz w:val="11"/>
          <w:szCs w:val="11"/>
          <w:color w:val="auto"/>
        </w:rPr>
        <w:t>(1)</w:t>
      </w:r>
    </w:p>
    <w:p>
      <w:pPr>
        <w:spacing w:after="0" w:line="90" w:lineRule="exact"/>
        <w:rPr>
          <w:sz w:val="20"/>
          <w:szCs w:val="20"/>
          <w:color w:val="auto"/>
        </w:rPr>
      </w:pPr>
    </w:p>
    <w:p>
      <w:pPr>
        <w:ind w:left="580" w:right="880"/>
        <w:spacing w:after="0" w:line="268" w:lineRule="auto"/>
        <w:rPr>
          <w:sz w:val="20"/>
          <w:szCs w:val="20"/>
          <w:color w:val="auto"/>
        </w:rPr>
      </w:pPr>
      <w:r>
        <w:rPr>
          <w:rFonts w:ascii="Arial" w:cs="Arial" w:eastAsia="Arial" w:hAnsi="Arial"/>
          <w:sz w:val="18"/>
          <w:szCs w:val="18"/>
          <w:color w:val="auto"/>
        </w:rPr>
        <w:t>$6.4 million cumulative fee (20% multiplied by $32 million ($35 million cumulative realized capital gains less $3 million unrealized capital depreciation)) less $5 million (previous capital gains fee paid in Year 2)</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4: $0.6 million capital gains incentive fee</w:t>
      </w:r>
    </w:p>
    <w:p>
      <w:pPr>
        <w:spacing w:after="0" w:line="90" w:lineRule="exact"/>
        <w:rPr>
          <w:sz w:val="20"/>
          <w:szCs w:val="20"/>
          <w:color w:val="auto"/>
        </w:rPr>
      </w:pPr>
    </w:p>
    <w:p>
      <w:pPr>
        <w:ind w:left="580" w:right="380"/>
        <w:spacing w:after="0" w:line="332" w:lineRule="auto"/>
        <w:rPr>
          <w:sz w:val="20"/>
          <w:szCs w:val="20"/>
          <w:color w:val="auto"/>
        </w:rPr>
      </w:pPr>
      <w:r>
        <w:rPr>
          <w:rFonts w:ascii="Arial" w:cs="Arial" w:eastAsia="Arial" w:hAnsi="Arial"/>
          <w:sz w:val="16"/>
          <w:szCs w:val="16"/>
          <w:color w:val="auto"/>
        </w:rPr>
        <w:t>$7 million cumulative fee (20% multiplied by $35 million ($35 million cumulative realized capital gains without regard to $5 million of unrealized appreciation)) less $6.4 million (previous cumulative capital gains fee paid in Year 2 of $5.0 million and Year 3 of $1.4 million)</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5: None</w:t>
      </w:r>
    </w:p>
    <w:p>
      <w:pPr>
        <w:spacing w:after="0" w:line="90" w:lineRule="exact"/>
        <w:rPr>
          <w:sz w:val="20"/>
          <w:szCs w:val="20"/>
          <w:color w:val="auto"/>
        </w:rPr>
      </w:pPr>
    </w:p>
    <w:p>
      <w:pPr>
        <w:ind w:left="580" w:right="160"/>
        <w:spacing w:after="0" w:line="268" w:lineRule="auto"/>
        <w:rPr>
          <w:sz w:val="20"/>
          <w:szCs w:val="20"/>
          <w:color w:val="auto"/>
        </w:rPr>
      </w:pPr>
      <w:r>
        <w:rPr>
          <w:rFonts w:ascii="Arial" w:cs="Arial" w:eastAsia="Arial" w:hAnsi="Arial"/>
          <w:sz w:val="18"/>
          <w:szCs w:val="18"/>
          <w:color w:val="auto"/>
        </w:rPr>
        <w:t>$7 million cumulative fee (20% multiplied by $35 million ($35 million cumulative realized capital gains without regard to $10 million realized capital losses in subsequent year)) less $7 million (previous cumulative capital gains fee paid in Years 2, 3 and Year 4)</w:t>
      </w:r>
    </w:p>
    <w:p>
      <w:pPr>
        <w:spacing w:after="0" w:line="197" w:lineRule="exact"/>
        <w:rPr>
          <w:sz w:val="20"/>
          <w:szCs w:val="20"/>
          <w:color w:val="auto"/>
        </w:rPr>
      </w:pPr>
    </w:p>
    <w:p>
      <w:pPr>
        <w:ind w:left="580" w:right="80" w:hanging="572"/>
        <w:spacing w:after="0" w:line="195" w:lineRule="auto"/>
        <w:tabs>
          <w:tab w:leader="none" w:pos="58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As illustrated in Year 3 of Alternative 2 above, if PennantPark Floating Rate Capital Ltd. were to be wound up on a date other than December 31 of any year after year 3,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86614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00"/>
          </w:cols>
          <w:pgMar w:left="240" w:top="459" w:right="3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540" w:firstLine="571"/>
        <w:spacing w:after="0" w:line="332" w:lineRule="auto"/>
        <w:rPr>
          <w:sz w:val="20"/>
          <w:szCs w:val="20"/>
          <w:color w:val="auto"/>
        </w:rPr>
      </w:pPr>
      <w:r>
        <w:rPr>
          <w:rFonts w:ascii="Arial" w:cs="Arial" w:eastAsia="Arial" w:hAnsi="Arial"/>
          <w:sz w:val="16"/>
          <w:szCs w:val="16"/>
          <w:color w:val="auto"/>
        </w:rPr>
        <w:t>PennantPark Investment Advisers is a registered investment adviser under the Investment Advisers Act of 1940, as amended, or Advisers Act. The principal executive office of PennantPark Investment Advisers is located at 590 Madison Avenue, 15th Floor, New York, NY 10022.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us or the Investment Adviser, in February 2016. Unless terminated earlier as described below, the Investment Management Agreement will continue in effect for a period of one year through February 2017.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27"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years ended September 30, 2016, 2015 and 2014, the Investment Adviser was reimbursed approximately $0.8 million, $0.5 million and $0.5 million, respectively, from us, including expenses the Investment Adviser incurred on behalf of the Administrator, for services described above.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90" w:lineRule="exact"/>
        <w:rPr>
          <w:sz w:val="20"/>
          <w:szCs w:val="20"/>
          <w:color w:val="auto"/>
        </w:rPr>
      </w:pPr>
    </w:p>
    <w:p>
      <w:pPr>
        <w:ind w:right="160" w:firstLine="571"/>
        <w:spacing w:after="0" w:line="254"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us, in February 2016. Unless terminated earlier as described below, our Administration Agreement will continue in effect for a period of one year through February 2017.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60" w:firstLine="571"/>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9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90" w:lineRule="exact"/>
        <w:rPr>
          <w:sz w:val="20"/>
          <w:szCs w:val="20"/>
          <w:color w:val="auto"/>
        </w:rPr>
      </w:pPr>
    </w:p>
    <w:p>
      <w:pPr>
        <w:ind w:firstLine="571"/>
        <w:spacing w:after="0" w:line="285"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47"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800" w:right="560" w:hanging="346"/>
        <w:spacing w:after="0" w:line="268"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800" w:hanging="346"/>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800" w:right="40" w:hanging="346"/>
        <w:spacing w:after="0" w:line="256"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800" w:right="140" w:hanging="346"/>
        <w:spacing w:after="0" w:line="306" w:lineRule="auto"/>
        <w:tabs>
          <w:tab w:leader="none" w:pos="8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25" w:lineRule="exact"/>
        <w:rPr>
          <w:rFonts w:ascii="Arial" w:cs="Arial" w:eastAsia="Arial" w:hAnsi="Arial"/>
          <w:sz w:val="16"/>
          <w:szCs w:val="16"/>
          <w:color w:val="auto"/>
        </w:rPr>
      </w:pPr>
    </w:p>
    <w:p>
      <w:pPr>
        <w:ind w:left="800" w:right="120" w:hanging="346"/>
        <w:spacing w:after="0" w:line="268"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 the extent we invest in derivative instruments in the future, such instruments would be valued at fair value in accordance with our valuation policy.</w:t>
      </w:r>
    </w:p>
    <w:p>
      <w:pPr>
        <w:spacing w:after="0" w:line="194"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360" w:right="60" w:hanging="769"/>
        <w:spacing w:after="0" w:line="259" w:lineRule="auto"/>
        <w:tabs>
          <w:tab w:leader="none" w:pos="134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6" w:lineRule="exact"/>
        <w:rPr>
          <w:sz w:val="20"/>
          <w:szCs w:val="20"/>
          <w:color w:val="auto"/>
        </w:rPr>
      </w:pPr>
    </w:p>
    <w:p>
      <w:pPr>
        <w:ind w:left="1360" w:right="380" w:hanging="769"/>
        <w:spacing w:after="0" w:line="268" w:lineRule="auto"/>
        <w:tabs>
          <w:tab w:leader="none" w:pos="134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62"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76" w:lineRule="exact"/>
        <w:rPr>
          <w:rFonts w:ascii="Arial" w:cs="Arial" w:eastAsia="Arial" w:hAnsi="Arial"/>
          <w:sz w:val="18"/>
          <w:szCs w:val="18"/>
          <w:color w:val="auto"/>
        </w:rPr>
      </w:pPr>
    </w:p>
    <w:p>
      <w:pPr>
        <w:jc w:val="both"/>
        <w:ind w:left="900" w:right="200" w:hanging="325"/>
        <w:spacing w:after="0" w:line="306"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12"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90"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90"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43"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To the extent that the above procedures result in even a remote possibility that we may (i) in the absence of stockholder approval issue shares of our common stock at a price below the then current NAV of our common stock at the time at which the sale is made or (ii) trigger our undertaking to suspend the offering of shares of our common stock pursuant to this prospectus if the NAV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NAV within two days prior to any such sale to ensure that such sale will not be below our then current NAV, and, in the case of clause (ii) above, to comply with such undertaking or to undertake to determine NAV to ensure that such undertaking has not been triggered.</w:t>
      </w:r>
    </w:p>
    <w:p>
      <w:pPr>
        <w:spacing w:after="0" w:line="14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43"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right="420" w:firstLine="571"/>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Generally, we intend to issue new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distribution cannot be established until the value per share at which additional new shares will be issued has been determined and elections of our stockholders have been tabulated.</w:t>
      </w:r>
    </w:p>
    <w:p>
      <w:pPr>
        <w:spacing w:after="0" w:line="118"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0"/>
          <w:szCs w:val="10"/>
          <w:color w:val="auto"/>
        </w:rPr>
        <w:t>th</w:t>
      </w:r>
      <w:r>
        <w:rPr>
          <w:rFonts w:ascii="Arial" w:cs="Arial" w:eastAsia="Arial" w:hAnsi="Arial"/>
          <w:sz w:val="16"/>
          <w:szCs w:val="16"/>
          <w:color w:val="auto"/>
        </w:rPr>
        <w:t xml:space="preserve"> Avenue, 3</w:t>
      </w:r>
      <w:r>
        <w:rPr>
          <w:rFonts w:ascii="Arial" w:cs="Arial" w:eastAsia="Arial" w:hAnsi="Arial"/>
          <w:sz w:val="10"/>
          <w:szCs w:val="10"/>
          <w:color w:val="auto"/>
        </w:rPr>
        <w:t>rd</w:t>
      </w:r>
      <w:r>
        <w:rPr>
          <w:rFonts w:ascii="Arial" w:cs="Arial" w:eastAsia="Arial" w:hAnsi="Arial"/>
          <w:sz w:val="16"/>
          <w:szCs w:val="16"/>
          <w:color w:val="auto"/>
        </w:rPr>
        <w:t xml:space="preserve"> Floor, Brooklyn, New York 11219, or by the plan administrator’s Interactive Voice Response System at 1-800-278-4353.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As of September 30, 2016,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The last reported closing market price of our common stock on January 13, 2017 was $14.10 per share. As of January 13, 2017, we had 41 stockholders of record.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are our outstanding classes of securities as of December 31,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14"/>
                <w:szCs w:val="1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16"/>
        </w:trPr>
        <w:tc>
          <w:tcPr>
            <w:tcW w:w="5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Common Stock, par value $0.001 per share</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100,000,000</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26,730,074</w:t>
            </w:r>
          </w:p>
        </w:tc>
      </w:tr>
      <w:tr>
        <w:trPr>
          <w:trHeight w:val="61"/>
        </w:trPr>
        <w:tc>
          <w:tcPr>
            <w:tcW w:w="5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r>
    </w:tbl>
    <w:p>
      <w:pPr>
        <w:spacing w:after="0" w:line="154" w:lineRule="exact"/>
        <w:rPr>
          <w:sz w:val="20"/>
          <w:szCs w:val="20"/>
          <w:color w:val="auto"/>
        </w:rPr>
      </w:pPr>
    </w:p>
    <w:p>
      <w:pPr>
        <w:ind w:right="240" w:firstLine="571"/>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180" w:firstLine="571"/>
        <w:spacing w:after="0" w:line="286" w:lineRule="auto"/>
        <w:rPr>
          <w:sz w:val="20"/>
          <w:szCs w:val="20"/>
          <w:color w:val="auto"/>
        </w:rPr>
      </w:pPr>
      <w:r>
        <w:rPr>
          <w:rFonts w:ascii="Arial" w:cs="Arial" w:eastAsia="Arial" w:hAnsi="Arial"/>
          <w:sz w:val="16"/>
          <w:szCs w:val="16"/>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w:t>
      </w:r>
    </w:p>
    <w:p>
      <w:pPr>
        <w:ind w:right="700" w:firstLine="8"/>
        <w:spacing w:after="0" w:line="323" w:lineRule="auto"/>
        <w:tabs>
          <w:tab w:leader="none" w:pos="249" w:val="left"/>
        </w:tabs>
        <w:numPr>
          <w:ilvl w:val="0"/>
          <w:numId w:val="79"/>
        </w:numPr>
        <w:rPr>
          <w:rFonts w:ascii="Arial" w:cs="Arial" w:eastAsia="Arial" w:hAnsi="Arial"/>
          <w:sz w:val="16"/>
          <w:szCs w:val="16"/>
          <w:color w:val="auto"/>
        </w:rPr>
      </w:pPr>
      <w:r>
        <w:rPr>
          <w:rFonts w:ascii="Arial" w:cs="Arial" w:eastAsia="Arial" w:hAnsi="Arial"/>
          <w:sz w:val="16"/>
          <w:szCs w:val="16"/>
          <w:color w:val="auto"/>
        </w:rPr>
        <w:t>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63" w:lineRule="exact"/>
        <w:rPr>
          <w:sz w:val="20"/>
          <w:szCs w:val="20"/>
          <w:color w:val="auto"/>
        </w:rPr>
      </w:pPr>
    </w:p>
    <w:p>
      <w:pPr>
        <w:ind w:firstLine="571"/>
        <w:spacing w:after="0" w:line="309" w:lineRule="auto"/>
        <w:rPr>
          <w:sz w:val="20"/>
          <w:szCs w:val="20"/>
          <w:color w:val="auto"/>
        </w:rPr>
      </w:pPr>
      <w:r>
        <w:rPr>
          <w:rFonts w:ascii="Arial" w:cs="Arial" w:eastAsia="Arial" w:hAnsi="Arial"/>
          <w:sz w:val="15"/>
          <w:szCs w:val="15"/>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27" w:lineRule="exact"/>
        <w:rPr>
          <w:sz w:val="20"/>
          <w:szCs w:val="20"/>
          <w:color w:val="auto"/>
        </w:rPr>
      </w:pPr>
    </w:p>
    <w:p>
      <w:pPr>
        <w:ind w:right="460" w:firstLine="571"/>
        <w:spacing w:after="0" w:line="33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4"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80" w:firstLine="571"/>
        <w:spacing w:after="0" w:line="253"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2018, 2019 and 2017,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Our charter and bylaws provide that the affirmative vote of the holders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occured and until a successor is elected and qualifies, subject to any applicable requirements of the 1940 Act.</w:t>
      </w:r>
    </w:p>
    <w:p>
      <w:pPr>
        <w:spacing w:after="0" w:line="39"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360" w:firstLine="571"/>
        <w:spacing w:after="0" w:line="306"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40" w:firstLine="571"/>
        <w:spacing w:after="0" w:line="289"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37"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20" w:firstLine="571"/>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500" w:firstLine="571"/>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160" w:firstLine="571"/>
        <w:spacing w:after="0" w:line="254" w:lineRule="auto"/>
        <w:rPr>
          <w:sz w:val="20"/>
          <w:szCs w:val="20"/>
          <w:color w:val="auto"/>
        </w:rPr>
      </w:pPr>
      <w:r>
        <w:rPr>
          <w:rFonts w:ascii="Arial" w:cs="Arial" w:eastAsia="Arial" w:hAnsi="Arial"/>
          <w:sz w:val="18"/>
          <w:szCs w:val="18"/>
          <w:color w:val="auto"/>
        </w:rPr>
        <w:t>The Maryland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3"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90" w:lineRule="exact"/>
        <w:rPr>
          <w:sz w:val="20"/>
          <w:szCs w:val="20"/>
          <w:color w:val="auto"/>
        </w:rPr>
      </w:pPr>
    </w:p>
    <w:p>
      <w:pPr>
        <w:jc w:val="both"/>
        <w:ind w:right="140" w:firstLine="571"/>
        <w:spacing w:after="0" w:line="306"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26"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62"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37" w:lineRule="exact"/>
        <w:rPr>
          <w:sz w:val="20"/>
          <w:szCs w:val="20"/>
          <w:color w:val="auto"/>
        </w:rPr>
      </w:pPr>
    </w:p>
    <w:p>
      <w:pPr>
        <w:ind w:right="320" w:firstLine="571"/>
        <w:spacing w:after="0" w:line="268" w:lineRule="auto"/>
        <w:rPr>
          <w:sz w:val="20"/>
          <w:szCs w:val="20"/>
          <w:color w:val="auto"/>
        </w:rPr>
      </w:pPr>
      <w:r>
        <w:rPr>
          <w:rFonts w:ascii="Arial" w:cs="Arial" w:eastAsia="Arial" w:hAnsi="Arial"/>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1" w:lineRule="exact"/>
        <w:rPr>
          <w:sz w:val="20"/>
          <w:szCs w:val="20"/>
          <w:color w:val="auto"/>
        </w:rPr>
      </w:pPr>
    </w:p>
    <w:p>
      <w:pPr>
        <w:ind w:right="440" w:firstLine="571"/>
        <w:spacing w:after="0" w:line="332" w:lineRule="auto"/>
        <w:rPr>
          <w:sz w:val="20"/>
          <w:szCs w:val="20"/>
          <w:color w:val="auto"/>
        </w:rPr>
      </w:pPr>
      <w:r>
        <w:rPr>
          <w:rFonts w:ascii="Arial" w:cs="Arial" w:eastAsia="Arial" w:hAnsi="Arial"/>
          <w:sz w:val="16"/>
          <w:szCs w:val="16"/>
          <w:color w:val="auto"/>
        </w:rPr>
        <w:t>Our bylaws contain a provision exempting from the Maryland Control Share Acquisition Act any and all acquisitions by any person of shares of our stock. There can be no assurance that such provision will not be amended or eliminated at any time in the future to the extent permitted by the 1940 Act.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76"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51"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76"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4"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4"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If and to the extent that any provision of the Maryland General Corporation Law, including the Maryland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76"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76"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76"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7"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5"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5"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99" w:lineRule="exact"/>
        <w:rPr>
          <w:rFonts w:ascii="Arial" w:cs="Arial" w:eastAsia="Arial" w:hAnsi="Arial"/>
          <w:sz w:val="16"/>
          <w:szCs w:val="16"/>
          <w:color w:val="auto"/>
        </w:rPr>
      </w:pPr>
    </w:p>
    <w:p>
      <w:pPr>
        <w:ind w:left="900" w:right="480" w:hanging="325"/>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76"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7"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00"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36" w:lineRule="exact"/>
        <w:rPr>
          <w:rFonts w:ascii="Arial" w:cs="Arial" w:eastAsia="Arial" w:hAnsi="Arial"/>
          <w:sz w:val="18"/>
          <w:szCs w:val="18"/>
          <w:color w:val="auto"/>
        </w:rPr>
      </w:pPr>
    </w:p>
    <w:p>
      <w:pPr>
        <w:ind w:left="900" w:right="160" w:hanging="325"/>
        <w:spacing w:after="0" w:line="266"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36" w:lineRule="exact"/>
        <w:rPr>
          <w:rFonts w:ascii="Arial" w:cs="Arial" w:eastAsia="Arial" w:hAnsi="Arial"/>
          <w:sz w:val="18"/>
          <w:szCs w:val="18"/>
          <w:color w:val="auto"/>
        </w:rPr>
      </w:pPr>
    </w:p>
    <w:p>
      <w:pPr>
        <w:ind w:left="900" w:hanging="325"/>
        <w:spacing w:after="0" w:line="266"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36"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99"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right="620" w:firstLine="571"/>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00"/>
          </w:cols>
          <w:pgMar w:left="240" w:top="459" w:right="3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13"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4"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59"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85"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571"/>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16" w:lineRule="exact"/>
        <w:rPr>
          <w:sz w:val="20"/>
          <w:szCs w:val="20"/>
          <w:color w:val="auto"/>
        </w:rPr>
      </w:pPr>
    </w:p>
    <w:p>
      <w:pPr>
        <w:ind w:right="360" w:firstLine="571"/>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76"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37"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620" w:hanging="325"/>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7"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5"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7"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37"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12"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7" w:lineRule="exact"/>
        <w:rPr>
          <w:rFonts w:ascii="Arial" w:cs="Arial" w:eastAsia="Arial" w:hAnsi="Arial"/>
          <w:sz w:val="18"/>
          <w:szCs w:val="18"/>
          <w:color w:val="auto"/>
        </w:rPr>
      </w:pPr>
    </w:p>
    <w:p>
      <w:pPr>
        <w:ind w:left="900" w:right="380" w:hanging="325"/>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5" w:lineRule="exact"/>
        <w:rPr>
          <w:rFonts w:ascii="Arial" w:cs="Arial" w:eastAsia="Arial" w:hAnsi="Arial"/>
          <w:sz w:val="18"/>
          <w:szCs w:val="18"/>
          <w:color w:val="auto"/>
        </w:rPr>
      </w:pPr>
    </w:p>
    <w:p>
      <w:pPr>
        <w:ind w:left="900" w:right="20" w:hanging="325"/>
        <w:spacing w:after="0" w:line="325"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76"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13" w:lineRule="exact"/>
        <w:rPr>
          <w:sz w:val="20"/>
          <w:szCs w:val="20"/>
          <w:color w:val="auto"/>
        </w:rPr>
      </w:pPr>
    </w:p>
    <w:p>
      <w:pPr>
        <w:jc w:val="both"/>
        <w:ind w:firstLine="571"/>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jc w:val="center"/>
        <w:ind w:left="500" w:right="320"/>
        <w:spacing w:after="0" w:line="440"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 104</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76" w:lineRule="exact"/>
        <w:rPr>
          <w:rFonts w:ascii="Arial" w:cs="Arial" w:eastAsia="Arial" w:hAnsi="Arial"/>
          <w:sz w:val="18"/>
          <w:szCs w:val="18"/>
          <w:color w:val="auto"/>
        </w:rPr>
      </w:pPr>
    </w:p>
    <w:p>
      <w:pPr>
        <w:ind w:left="900" w:right="120" w:hanging="325"/>
        <w:spacing w:after="0" w:line="325"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1" w:lineRule="exact"/>
        <w:rPr>
          <w:rFonts w:ascii="Arial" w:cs="Arial" w:eastAsia="Arial" w:hAnsi="Arial"/>
          <w:sz w:val="16"/>
          <w:szCs w:val="16"/>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7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76" w:lineRule="exact"/>
        <w:rPr>
          <w:rFonts w:ascii="Arial" w:cs="Arial" w:eastAsia="Arial" w:hAnsi="Arial"/>
          <w:sz w:val="18"/>
          <w:szCs w:val="18"/>
          <w:color w:val="auto"/>
        </w:rPr>
      </w:pPr>
    </w:p>
    <w:p>
      <w:pPr>
        <w:ind w:left="900" w:right="240" w:hanging="325"/>
        <w:spacing w:after="0" w:line="347" w:lineRule="auto"/>
        <w:tabs>
          <w:tab w:leader="none" w:pos="9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76"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36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jc w:val="both"/>
        <w:ind w:right="140" w:firstLine="571"/>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459" w:right="2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4" w:lineRule="exact"/>
        <w:rPr>
          <w:sz w:val="20"/>
          <w:szCs w:val="20"/>
          <w:color w:val="auto"/>
        </w:rPr>
      </w:pPr>
    </w:p>
    <w:p>
      <w:pPr>
        <w:ind w:left="900" w:right="620" w:hanging="325"/>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00"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76"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37"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77"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99" w:lineRule="exact"/>
        <w:rPr>
          <w:rFonts w:ascii="Arial" w:cs="Arial" w:eastAsia="Arial" w:hAnsi="Arial"/>
          <w:sz w:val="16"/>
          <w:szCs w:val="16"/>
          <w:color w:val="auto"/>
        </w:rPr>
      </w:pPr>
    </w:p>
    <w:p>
      <w:pPr>
        <w:ind w:left="900" w:right="400" w:hanging="325"/>
        <w:spacing w:after="0" w:line="33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right="80" w:hanging="325"/>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37"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14" w:lineRule="exact"/>
        <w:rPr>
          <w:sz w:val="20"/>
          <w:szCs w:val="20"/>
          <w:color w:val="auto"/>
        </w:rPr>
      </w:pPr>
    </w:p>
    <w:p>
      <w:pPr>
        <w:ind w:right="22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325"/>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45"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400" w:firstLine="571"/>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right="260" w:firstLine="571"/>
        <w:spacing w:after="0" w:line="335" w:lineRule="auto"/>
        <w:rPr>
          <w:sz w:val="20"/>
          <w:szCs w:val="20"/>
          <w:color w:val="auto"/>
        </w:rPr>
      </w:pPr>
      <w:r>
        <w:rPr>
          <w:rFonts w:ascii="Arial" w:cs="Arial" w:eastAsia="Arial" w:hAnsi="Arial"/>
          <w:sz w:val="15"/>
          <w:szCs w:val="15"/>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540" w:firstLine="571"/>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40" w:hanging="325"/>
        <w:spacing w:after="0" w:line="259"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45" w:lineRule="exact"/>
        <w:rPr>
          <w:rFonts w:ascii="Arial" w:cs="Arial" w:eastAsia="Arial" w:hAnsi="Arial"/>
          <w:sz w:val="18"/>
          <w:szCs w:val="18"/>
          <w:color w:val="auto"/>
        </w:rPr>
      </w:pPr>
    </w:p>
    <w:p>
      <w:pPr>
        <w:ind w:left="900" w:right="40" w:hanging="325"/>
        <w:spacing w:after="0" w:line="318" w:lineRule="auto"/>
        <w:tabs>
          <w:tab w:leader="none" w:pos="9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5" w:lineRule="exact"/>
        <w:rPr>
          <w:rFonts w:ascii="Arial" w:cs="Arial" w:eastAsia="Arial" w:hAnsi="Arial"/>
          <w:sz w:val="15"/>
          <w:szCs w:val="15"/>
          <w:color w:val="auto"/>
        </w:rPr>
      </w:pPr>
    </w:p>
    <w:p>
      <w:pPr>
        <w:ind w:left="900" w:right="160" w:hanging="325"/>
        <w:spacing w:after="0" w:line="370" w:lineRule="auto"/>
        <w:tabs>
          <w:tab w:leader="none" w:pos="9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62"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77" w:lineRule="exact"/>
        <w:rPr>
          <w:sz w:val="20"/>
          <w:szCs w:val="20"/>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20" w:firstLine="571"/>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40" w:firstLine="571"/>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jc w:val="both"/>
        <w:ind w:right="440" w:firstLine="571"/>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60" w:firstLine="571"/>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325"/>
        <w:spacing w:after="0" w:line="256"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8"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300" w:firstLine="571"/>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use American Stock Transfer &amp; Trust Company, LLC to serve as the trustee under the indenture.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jc w:val="both"/>
        <w:ind w:right="100" w:firstLine="571"/>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1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540" w:firstLine="571"/>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59" w:lineRule="exact"/>
        <w:rPr>
          <w:sz w:val="20"/>
          <w:szCs w:val="20"/>
          <w:color w:val="auto"/>
        </w:rPr>
      </w:pPr>
    </w:p>
    <w:p>
      <w:pPr>
        <w:ind w:left="800" w:right="40" w:hanging="346"/>
        <w:spacing w:after="0" w:line="256" w:lineRule="auto"/>
        <w:tabs>
          <w:tab w:leader="none" w:pos="8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8" w:lineRule="exact"/>
        <w:rPr>
          <w:rFonts w:ascii="Arial" w:cs="Arial" w:eastAsia="Arial" w:hAnsi="Arial"/>
          <w:sz w:val="18"/>
          <w:szCs w:val="18"/>
          <w:color w:val="auto"/>
        </w:rPr>
      </w:pPr>
    </w:p>
    <w:p>
      <w:pPr>
        <w:ind w:left="1700" w:hanging="328"/>
        <w:spacing w:after="0"/>
        <w:tabs>
          <w:tab w:leader="none" w:pos="17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76" w:lineRule="exact"/>
        <w:rPr>
          <w:rFonts w:ascii="Arial" w:cs="Arial" w:eastAsia="Arial" w:hAnsi="Arial"/>
          <w:sz w:val="18"/>
          <w:szCs w:val="18"/>
          <w:color w:val="auto"/>
        </w:rPr>
      </w:pPr>
    </w:p>
    <w:p>
      <w:pPr>
        <w:ind w:left="1700" w:right="120" w:hanging="328"/>
        <w:spacing w:after="0" w:line="325" w:lineRule="auto"/>
        <w:tabs>
          <w:tab w:leader="none" w:pos="17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 w:lineRule="exact"/>
        <w:rPr>
          <w:rFonts w:ascii="Arial" w:cs="Arial" w:eastAsia="Arial" w:hAnsi="Arial"/>
          <w:sz w:val="16"/>
          <w:szCs w:val="16"/>
          <w:color w:val="auto"/>
        </w:rPr>
      </w:pPr>
    </w:p>
    <w:p>
      <w:pPr>
        <w:ind w:left="1700" w:hanging="328"/>
        <w:spacing w:after="0"/>
        <w:tabs>
          <w:tab w:leader="none" w:pos="17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76" w:lineRule="exact"/>
        <w:rPr>
          <w:rFonts w:ascii="Arial" w:cs="Arial" w:eastAsia="Arial" w:hAnsi="Arial"/>
          <w:sz w:val="18"/>
          <w:szCs w:val="18"/>
          <w:color w:val="auto"/>
        </w:rPr>
      </w:pPr>
    </w:p>
    <w:p>
      <w:pPr>
        <w:ind w:left="2620" w:hanging="559"/>
        <w:spacing w:after="0"/>
        <w:tabs>
          <w:tab w:leader="none" w:pos="262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76" w:lineRule="exact"/>
        <w:rPr>
          <w:rFonts w:ascii="Arial" w:cs="Arial" w:eastAsia="Arial" w:hAnsi="Arial"/>
          <w:sz w:val="18"/>
          <w:szCs w:val="18"/>
          <w:color w:val="auto"/>
        </w:rPr>
      </w:pPr>
    </w:p>
    <w:p>
      <w:pPr>
        <w:ind w:left="2620" w:right="360" w:hanging="559"/>
        <w:spacing w:after="0" w:line="268" w:lineRule="auto"/>
        <w:tabs>
          <w:tab w:leader="none" w:pos="262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has any class of securities listed on a national securities exchange subject to a maximum market capitalization of $250.0 million; or</w:t>
      </w:r>
    </w:p>
    <w:p>
      <w:pPr>
        <w:spacing w:after="0" w:line="37" w:lineRule="exact"/>
        <w:rPr>
          <w:rFonts w:ascii="Arial" w:cs="Arial" w:eastAsia="Arial" w:hAnsi="Arial"/>
          <w:sz w:val="18"/>
          <w:szCs w:val="18"/>
          <w:color w:val="auto"/>
        </w:rPr>
      </w:pPr>
    </w:p>
    <w:p>
      <w:pPr>
        <w:ind w:left="2620" w:right="500" w:hanging="559"/>
        <w:spacing w:after="0" w:line="306" w:lineRule="auto"/>
        <w:tabs>
          <w:tab w:leader="none" w:pos="2620" w:val="left"/>
        </w:tabs>
        <w:numPr>
          <w:ilvl w:val="2"/>
          <w:numId w:val="101"/>
        </w:numPr>
        <w:rPr>
          <w:rFonts w:ascii="Arial" w:cs="Arial" w:eastAsia="Arial" w:hAnsi="Arial"/>
          <w:sz w:val="16"/>
          <w:szCs w:val="16"/>
          <w:color w:val="auto"/>
        </w:rPr>
      </w:pPr>
      <w:r>
        <w:rPr>
          <w:rFonts w:ascii="Arial" w:cs="Arial" w:eastAsia="Arial" w:hAnsi="Arial"/>
          <w:sz w:val="16"/>
          <w:szCs w:val="16"/>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2" w:lineRule="exact"/>
        <w:rPr>
          <w:rFonts w:ascii="Arial" w:cs="Arial" w:eastAsia="Arial" w:hAnsi="Arial"/>
          <w:sz w:val="16"/>
          <w:szCs w:val="16"/>
          <w:color w:val="auto"/>
        </w:rPr>
      </w:pPr>
    </w:p>
    <w:p>
      <w:pPr>
        <w:ind w:left="800" w:hanging="346"/>
        <w:spacing w:after="0"/>
        <w:tabs>
          <w:tab w:leader="none" w:pos="8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76" w:lineRule="exact"/>
        <w:rPr>
          <w:rFonts w:ascii="Arial" w:cs="Arial" w:eastAsia="Arial" w:hAnsi="Arial"/>
          <w:sz w:val="18"/>
          <w:szCs w:val="18"/>
          <w:color w:val="auto"/>
        </w:rPr>
      </w:pPr>
    </w:p>
    <w:p>
      <w:pPr>
        <w:ind w:left="800" w:right="260" w:hanging="346"/>
        <w:spacing w:after="0" w:line="306" w:lineRule="auto"/>
        <w:tabs>
          <w:tab w:leader="none" w:pos="8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2" w:lineRule="exact"/>
        <w:rPr>
          <w:rFonts w:ascii="Arial" w:cs="Arial" w:eastAsia="Arial" w:hAnsi="Arial"/>
          <w:sz w:val="16"/>
          <w:szCs w:val="16"/>
          <w:color w:val="auto"/>
        </w:rPr>
      </w:pPr>
    </w:p>
    <w:p>
      <w:pPr>
        <w:ind w:left="800" w:right="260" w:hanging="346"/>
        <w:spacing w:after="0" w:line="268" w:lineRule="auto"/>
        <w:tabs>
          <w:tab w:leader="none" w:pos="8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37" w:lineRule="exact"/>
        <w:rPr>
          <w:rFonts w:ascii="Arial" w:cs="Arial" w:eastAsia="Arial" w:hAnsi="Arial"/>
          <w:sz w:val="18"/>
          <w:szCs w:val="18"/>
          <w:color w:val="auto"/>
        </w:rPr>
      </w:pPr>
    </w:p>
    <w:p>
      <w:pPr>
        <w:ind w:left="800" w:right="400" w:hanging="346"/>
        <w:spacing w:after="0" w:line="268" w:lineRule="auto"/>
        <w:tabs>
          <w:tab w:leader="none" w:pos="8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asset coverage ratio.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You may also obtain a copy of our joint code of ethics,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571"/>
        <w:spacing w:after="0" w:line="303" w:lineRule="auto"/>
        <w:rPr>
          <w:sz w:val="20"/>
          <w:szCs w:val="20"/>
          <w:color w:val="auto"/>
        </w:rPr>
      </w:pPr>
      <w:r>
        <w:rPr>
          <w:rFonts w:ascii="Arial" w:cs="Arial" w:eastAsia="Arial" w:hAnsi="Arial"/>
          <w:sz w:val="15"/>
          <w:szCs w:val="15"/>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w:t>
      </w:r>
    </w:p>
    <w:p>
      <w:pPr>
        <w:spacing w:after="0" w:line="1" w:lineRule="exact"/>
        <w:rPr>
          <w:sz w:val="20"/>
          <w:szCs w:val="20"/>
          <w:color w:val="auto"/>
        </w:rPr>
      </w:pPr>
    </w:p>
    <w:p>
      <w:pPr>
        <w:ind w:right="440" w:firstLine="8"/>
        <w:spacing w:after="0" w:line="261" w:lineRule="auto"/>
        <w:tabs>
          <w:tab w:leader="none" w:pos="24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employees involved in the decision making process or vote administration are prohibited from revealing how we intend to vote on a proposal in order to reduce any attempted influence from interested parties.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filed as an exhibit to our annual report on Form 10-K (File No. 814-00891 filed on November 17, 2011). You may also obtain copies of our privacy policy,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00" w:firstLine="571"/>
        <w:spacing w:after="0" w:line="332"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jc w:val="both"/>
        <w:ind w:right="40" w:firstLine="571"/>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900" w:right="360" w:hanging="325"/>
        <w:spacing w:after="0" w:line="268"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37"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37"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37"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88"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60" w:right="2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or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77"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76"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37" w:lineRule="exact"/>
        <w:rPr>
          <w:rFonts w:ascii="Arial" w:cs="Arial" w:eastAsia="Arial" w:hAnsi="Arial"/>
          <w:sz w:val="18"/>
          <w:szCs w:val="18"/>
          <w:color w:val="auto"/>
        </w:rPr>
      </w:pPr>
    </w:p>
    <w:p>
      <w:pPr>
        <w:ind w:left="900" w:right="20" w:hanging="325"/>
        <w:spacing w:after="0" w:line="347" w:lineRule="auto"/>
        <w:tabs>
          <w:tab w:leader="none" w:pos="9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171"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Treated as a RIC</w:t>
      </w:r>
    </w:p>
    <w:p>
      <w:pPr>
        <w:spacing w:after="0" w:line="9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income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77"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76"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45"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76" w:lineRule="exact"/>
        <w:rPr>
          <w:rFonts w:ascii="Arial" w:cs="Arial" w:eastAsia="Arial" w:hAnsi="Arial"/>
          <w:sz w:val="18"/>
          <w:szCs w:val="18"/>
          <w:color w:val="auto"/>
        </w:rPr>
      </w:pPr>
    </w:p>
    <w:p>
      <w:pPr>
        <w:ind w:left="1700" w:right="120" w:hanging="328"/>
        <w:spacing w:after="0" w:line="259" w:lineRule="auto"/>
        <w:tabs>
          <w:tab w:leader="none" w:pos="17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45" w:lineRule="exact"/>
        <w:rPr>
          <w:rFonts w:ascii="Arial" w:cs="Arial" w:eastAsia="Arial" w:hAnsi="Arial"/>
          <w:sz w:val="18"/>
          <w:szCs w:val="18"/>
          <w:color w:val="auto"/>
        </w:rPr>
      </w:pPr>
    </w:p>
    <w:p>
      <w:pPr>
        <w:ind w:left="1700" w:right="160" w:hanging="328"/>
        <w:spacing w:after="0" w:line="306" w:lineRule="auto"/>
        <w:tabs>
          <w:tab w:leader="none" w:pos="17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07"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and on which we paid no federal income tax,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may retain and be subject to excise tax on such net capital gains or investment company taxable income, subject to maintaining our ability to be treated as a RIC for federal income tax purposes, in order to provide us with additional liquidity.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If we qualify as a RIC, and satisfy the Annual Distribution Requirement, then we will not be subject to federal income tax on the portion of our investment company taxable income and net capital gains,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16"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44"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treated as a RIC for federal income tax purposes.</w:t>
      </w:r>
    </w:p>
    <w:p>
      <w:pPr>
        <w:spacing w:after="0" w:line="116"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303" w:lineRule="auto"/>
        <w:rPr>
          <w:sz w:val="20"/>
          <w:szCs w:val="20"/>
          <w:color w:val="auto"/>
        </w:rPr>
      </w:pPr>
      <w:r>
        <w:rPr>
          <w:rFonts w:ascii="Arial" w:cs="Arial" w:eastAsia="Arial" w:hAnsi="Arial"/>
          <w:sz w:val="15"/>
          <w:szCs w:val="15"/>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w:t>
      </w:r>
    </w:p>
    <w:p>
      <w:pPr>
        <w:spacing w:after="0" w:line="1" w:lineRule="exact"/>
        <w:rPr>
          <w:sz w:val="20"/>
          <w:szCs w:val="20"/>
          <w:color w:val="auto"/>
        </w:rPr>
      </w:pPr>
    </w:p>
    <w:p>
      <w:pPr>
        <w:jc w:val="both"/>
        <w:ind w:right="120" w:firstLine="8"/>
        <w:spacing w:after="0" w:line="255" w:lineRule="auto"/>
        <w:tabs>
          <w:tab w:leader="none" w:pos="24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43"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27" w:lineRule="exact"/>
        <w:rPr>
          <w:sz w:val="20"/>
          <w:szCs w:val="20"/>
          <w:color w:val="auto"/>
        </w:rPr>
      </w:pPr>
    </w:p>
    <w:p>
      <w:pPr>
        <w:ind w:right="2140" w:firstLine="571"/>
        <w:spacing w:after="0" w:line="391" w:lineRule="auto"/>
        <w:rPr>
          <w:sz w:val="20"/>
          <w:szCs w:val="20"/>
          <w:color w:val="auto"/>
        </w:rPr>
      </w:pPr>
      <w:r>
        <w:rPr>
          <w:rFonts w:ascii="Arial" w:cs="Arial" w:eastAsia="Arial" w:hAnsi="Arial"/>
          <w:sz w:val="18"/>
          <w:szCs w:val="18"/>
          <w:color w:val="auto"/>
        </w:rPr>
        <w:t xml:space="preserve">The remainder of this discussion assumes that we qualify as a RIC and have satisfied the Annual Distribution Requirement. </w:t>
      </w:r>
      <w:r>
        <w:rPr>
          <w:rFonts w:ascii="Arial" w:cs="Arial" w:eastAsia="Arial" w:hAnsi="Arial"/>
          <w:sz w:val="18"/>
          <w:szCs w:val="18"/>
          <w:b w:val="1"/>
          <w:bCs w:val="1"/>
          <w:color w:val="auto"/>
        </w:rPr>
        <w:t>Taxation of U.S. Stockholders</w:t>
      </w:r>
    </w:p>
    <w:p>
      <w:pPr>
        <w:spacing w:after="0" w:line="1"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dividends”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86" w:lineRule="auto"/>
        <w:rPr>
          <w:sz w:val="20"/>
          <w:szCs w:val="20"/>
          <w:color w:val="auto"/>
        </w:rPr>
      </w:pPr>
      <w:r>
        <w:rPr>
          <w:rFonts w:ascii="Arial" w:cs="Arial" w:eastAsia="Arial" w:hAnsi="Arial"/>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 and since that rate is generally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1"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20"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18"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18"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43"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20"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571"/>
        <w:spacing w:after="0" w:line="286"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a rate of 28% from all taxable distributions to any U.S. stockholder</w:t>
      </w:r>
    </w:p>
    <w:p>
      <w:pPr>
        <w:ind w:right="40" w:firstLine="8"/>
        <w:spacing w:after="0" w:line="292" w:lineRule="auto"/>
        <w:tabs>
          <w:tab w:leader="none" w:pos="24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18"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20"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44"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We are required to withhold U.S. tax (at a 30% rate) on payments of taxable dividends and (effective January 1, 2019) redemption proceeds and certain capital gain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20"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171"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325"/>
        <w:spacing w:after="0"/>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11" w:lineRule="exact"/>
        <w:rPr>
          <w:rFonts w:ascii="Arial" w:cs="Arial" w:eastAsia="Arial" w:hAnsi="Arial"/>
          <w:sz w:val="15"/>
          <w:szCs w:val="15"/>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40"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40"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18"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225 Liberty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11"/>
          <w:szCs w:val="11"/>
          <w:color w:val="auto"/>
        </w:rPr>
        <w:t>th</w:t>
      </w:r>
      <w:r>
        <w:rPr>
          <w:rFonts w:ascii="Arial" w:cs="Arial" w:eastAsia="Arial" w:hAnsi="Arial"/>
          <w:sz w:val="18"/>
          <w:szCs w:val="18"/>
          <w:color w:val="auto"/>
        </w:rPr>
        <w:t xml:space="preserve"> Avenue, 3</w:t>
      </w:r>
      <w:r>
        <w:rPr>
          <w:rFonts w:ascii="Arial" w:cs="Arial" w:eastAsia="Arial" w:hAnsi="Arial"/>
          <w:sz w:val="11"/>
          <w:szCs w:val="11"/>
          <w:color w:val="auto"/>
        </w:rPr>
        <w:t>rd</w:t>
      </w:r>
      <w:r>
        <w:rPr>
          <w:rFonts w:ascii="Arial" w:cs="Arial" w:eastAsia="Arial" w:hAnsi="Arial"/>
          <w:sz w:val="18"/>
          <w:szCs w:val="18"/>
          <w:color w:val="auto"/>
        </w:rPr>
        <w:t xml:space="preserve"> floor, Brooklyn, NY 11219, telephone number: (800) 937-5449. American Stock Transfer &amp; Trust Company, LLC may also serve as trustee for offerings of our debt securities.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current independent registered public accounting firm, RSM US LLP, located at 1185 Avenue of the Americas, New York, NY 10036, has audited our financial statements as of September 30, 2016 and 2015.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96"/>
        </w:trPr>
        <w:tc>
          <w:tcPr>
            <w:tcW w:w="49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81">
              <w:r>
                <w:rPr>
                  <w:rFonts w:ascii="Arial" w:cs="Arial" w:eastAsia="Arial" w:hAnsi="Arial"/>
                  <w:sz w:val="18"/>
                  <w:szCs w:val="18"/>
                  <w:color w:val="0000EE"/>
                  <w:w w:val="91"/>
                </w:rPr>
                <w:t>Management’s Report on Internal Control Over Financial Reporting</w:t>
              </w:r>
            </w:hyperlink>
          </w:p>
        </w:tc>
        <w:tc>
          <w:tcPr>
            <w:tcW w:w="4440" w:type="dxa"/>
            <w:vAlign w:val="bottom"/>
            <w:gridSpan w:val="7"/>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F-2</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Report of Independent Registered Public Accounting Firm</w:t>
              </w:r>
            </w:hyperlink>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F-3</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F-4</w:t>
            </w:r>
          </w:p>
        </w:tc>
        <w:tc>
          <w:tcPr>
            <w:tcW w:w="0" w:type="dxa"/>
            <w:vAlign w:val="bottom"/>
          </w:tcPr>
          <w:p>
            <w:pPr>
              <w:spacing w:after="0" w:line="20" w:lineRule="exact"/>
              <w:rPr>
                <w:sz w:val="1"/>
                <w:szCs w:val="1"/>
                <w:color w:val="auto"/>
              </w:rPr>
            </w:pPr>
          </w:p>
        </w:tc>
      </w:tr>
      <w:tr>
        <w:trPr>
          <w:trHeight w:val="264"/>
        </w:trPr>
        <w:tc>
          <w:tcPr>
            <w:tcW w:w="76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183">
              <w:r>
                <w:rPr>
                  <w:rFonts w:ascii="Arial" w:cs="Arial" w:eastAsia="Arial" w:hAnsi="Arial"/>
                  <w:sz w:val="18"/>
                  <w:szCs w:val="18"/>
                  <w:color w:val="0000EE"/>
                  <w:w w:val="92"/>
                </w:rPr>
                <w:t>Report of Independent Registered Public Accounting Firm On Internal Control Over Financial Reportincg</w:t>
              </w:r>
            </w:hyperlink>
          </w:p>
        </w:tc>
        <w:tc>
          <w:tcPr>
            <w:tcW w:w="1700" w:type="dxa"/>
            <w:vAlign w:val="bottom"/>
            <w:gridSpan w:val="2"/>
          </w:tcPr>
          <w:p>
            <w:pPr>
              <w:spacing w:after="0"/>
              <w:rPr>
                <w:sz w:val="22"/>
                <w:szCs w:val="22"/>
                <w:color w:val="auto"/>
              </w:rPr>
            </w:pPr>
          </w:p>
        </w:tc>
        <w:tc>
          <w:tcPr>
            <w:tcW w:w="1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2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84">
              <w:r>
                <w:rPr>
                  <w:rFonts w:ascii="Arial" w:cs="Arial" w:eastAsia="Arial" w:hAnsi="Arial"/>
                  <w:sz w:val="18"/>
                  <w:szCs w:val="18"/>
                  <w:color w:val="0000EE"/>
                  <w:w w:val="90"/>
                </w:rPr>
                <w:t>Consolidated Statements of Assets and Liabilities as of September 30, 2016 and 2015</w:t>
              </w:r>
            </w:hyperlink>
          </w:p>
        </w:tc>
        <w:tc>
          <w:tcPr>
            <w:tcW w:w="3140" w:type="dxa"/>
            <w:vAlign w:val="bottom"/>
            <w:gridSpan w:val="5"/>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F-5</w:t>
            </w:r>
          </w:p>
        </w:tc>
        <w:tc>
          <w:tcPr>
            <w:tcW w:w="0" w:type="dxa"/>
            <w:vAlign w:val="bottom"/>
          </w:tcPr>
          <w:p>
            <w:pPr>
              <w:spacing w:after="0"/>
              <w:rPr>
                <w:sz w:val="1"/>
                <w:szCs w:val="1"/>
                <w:color w:val="auto"/>
              </w:rPr>
            </w:pPr>
          </w:p>
        </w:tc>
      </w:tr>
      <w:tr>
        <w:trPr>
          <w:trHeight w:val="264"/>
        </w:trPr>
        <w:tc>
          <w:tcPr>
            <w:tcW w:w="69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85">
              <w:r>
                <w:rPr>
                  <w:rFonts w:ascii="Arial" w:cs="Arial" w:eastAsia="Arial" w:hAnsi="Arial"/>
                  <w:sz w:val="18"/>
                  <w:szCs w:val="18"/>
                  <w:color w:val="0000EE"/>
                  <w:w w:val="89"/>
                </w:rPr>
                <w:t>Consolidated Statements of Operations for the years ended September 30, 2016, 2015 and 2014</w:t>
              </w:r>
            </w:hyperlink>
          </w:p>
        </w:tc>
        <w:tc>
          <w:tcPr>
            <w:tcW w:w="2420" w:type="dxa"/>
            <w:vAlign w:val="bottom"/>
            <w:gridSpan w:val="4"/>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F-6</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Consolidated Statements of Changes in Net Assets for the years ended September 30, 2016, 2015 and 2014</w:t>
              </w:r>
            </w:hyperlink>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F-7</w:t>
            </w:r>
          </w:p>
        </w:tc>
        <w:tc>
          <w:tcPr>
            <w:tcW w:w="0" w:type="dxa"/>
            <w:vAlign w:val="bottom"/>
          </w:tcPr>
          <w:p>
            <w:pPr>
              <w:spacing w:after="0"/>
              <w:rPr>
                <w:sz w:val="1"/>
                <w:szCs w:val="1"/>
                <w:color w:val="auto"/>
              </w:rPr>
            </w:pPr>
          </w:p>
        </w:tc>
      </w:tr>
      <w:tr>
        <w:trPr>
          <w:trHeight w:val="264"/>
        </w:trPr>
        <w:tc>
          <w:tcPr>
            <w:tcW w:w="70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87">
              <w:r>
                <w:rPr>
                  <w:rFonts w:ascii="Arial" w:cs="Arial" w:eastAsia="Arial" w:hAnsi="Arial"/>
                  <w:sz w:val="18"/>
                  <w:szCs w:val="18"/>
                  <w:color w:val="0000EE"/>
                  <w:w w:val="89"/>
                </w:rPr>
                <w:t>Consolidated Statements of Cash Flows for the years ended September 30, 2016, 2015 and 2014</w:t>
              </w:r>
            </w:hyperlink>
          </w:p>
        </w:tc>
        <w:tc>
          <w:tcPr>
            <w:tcW w:w="720" w:type="dxa"/>
            <w:vAlign w:val="bottom"/>
            <w:tcBorders>
              <w:top w:val="single" w:sz="8" w:color="0000EE"/>
            </w:tcBorders>
            <w:gridSpan w:val="2"/>
          </w:tcPr>
          <w:p>
            <w:pPr>
              <w:spacing w:after="0"/>
              <w:rPr>
                <w:sz w:val="22"/>
                <w:szCs w:val="22"/>
                <w:color w:val="auto"/>
              </w:rPr>
            </w:pPr>
          </w:p>
        </w:tc>
        <w:tc>
          <w:tcPr>
            <w:tcW w:w="164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F-8</w:t>
            </w:r>
          </w:p>
        </w:tc>
        <w:tc>
          <w:tcPr>
            <w:tcW w:w="0" w:type="dxa"/>
            <w:vAlign w:val="bottom"/>
          </w:tcPr>
          <w:p>
            <w:pPr>
              <w:spacing w:after="0"/>
              <w:rPr>
                <w:sz w:val="1"/>
                <w:szCs w:val="1"/>
                <w:color w:val="auto"/>
              </w:rPr>
            </w:pPr>
          </w:p>
        </w:tc>
      </w:tr>
      <w:tr>
        <w:trPr>
          <w:trHeight w:val="264"/>
        </w:trPr>
        <w:tc>
          <w:tcPr>
            <w:tcW w:w="54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88">
              <w:r>
                <w:rPr>
                  <w:rFonts w:ascii="Arial" w:cs="Arial" w:eastAsia="Arial" w:hAnsi="Arial"/>
                  <w:sz w:val="18"/>
                  <w:szCs w:val="18"/>
                  <w:color w:val="0000EE"/>
                  <w:w w:val="89"/>
                </w:rPr>
                <w:t>Consolidated Schedules of Investments as of September 30, 2016 and 2015</w:t>
              </w:r>
            </w:hyperlink>
          </w:p>
        </w:tc>
        <w:tc>
          <w:tcPr>
            <w:tcW w:w="3880" w:type="dxa"/>
            <w:vAlign w:val="bottom"/>
            <w:gridSpan w:val="6"/>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F-9</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Notes to the Consolidated Financial Statements</w:t>
              </w:r>
            </w:hyperlink>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F-15</w:t>
            </w:r>
          </w:p>
        </w:tc>
        <w:tc>
          <w:tcPr>
            <w:tcW w:w="0" w:type="dxa"/>
            <w:vAlign w:val="bottom"/>
          </w:tcPr>
          <w:p>
            <w:pPr>
              <w:spacing w:after="0"/>
              <w:rPr>
                <w:sz w:val="1"/>
                <w:szCs w:val="1"/>
                <w:color w:val="auto"/>
              </w:rPr>
            </w:pPr>
          </w:p>
        </w:tc>
      </w:tr>
      <w:tr>
        <w:trPr>
          <w:trHeight w:val="385"/>
        </w:trPr>
        <w:tc>
          <w:tcPr>
            <w:tcW w:w="34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gridSpan w:val="6"/>
          </w:tcPr>
          <w:p>
            <w:pPr>
              <w:ind w:left="100"/>
              <w:spacing w:after="0"/>
              <w:rPr>
                <w:sz w:val="20"/>
                <w:szCs w:val="20"/>
                <w:color w:val="auto"/>
              </w:rPr>
            </w:pPr>
            <w:r>
              <w:rPr>
                <w:rFonts w:ascii="Arial" w:cs="Arial" w:eastAsia="Arial" w:hAnsi="Arial"/>
                <w:sz w:val="18"/>
                <w:szCs w:val="18"/>
                <w:color w:val="auto"/>
              </w:rPr>
              <w:t>F-1</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10" w:lineRule="exact"/>
        <w:rPr>
          <w:sz w:val="20"/>
          <w:szCs w:val="20"/>
          <w:color w:val="auto"/>
        </w:rPr>
      </w:pPr>
    </w:p>
    <w:p>
      <w:pPr>
        <w:ind w:right="180" w:firstLine="685"/>
        <w:spacing w:after="0" w:line="302" w:lineRule="auto"/>
        <w:rPr>
          <w:sz w:val="20"/>
          <w:szCs w:val="20"/>
          <w:color w:val="auto"/>
        </w:rPr>
      </w:pPr>
      <w:r>
        <w:rPr>
          <w:rFonts w:ascii="Arial" w:cs="Arial" w:eastAsia="Arial" w:hAnsi="Arial"/>
          <w:sz w:val="16"/>
          <w:szCs w:val="16"/>
          <w:color w:val="auto"/>
        </w:rPr>
        <w:t>The management of PennantPark Floating Rate Capital Ltd., or “we,” “us,” “our” and “Company,” is responsible for establishing and maintaining adequate internal control over financial reporting, as such term is defined in Exchange Act Rule 13a-15(f), and for performing an assessment of the effectiveness of internal control over financial reporting as of September 30, 2016. Our internal control system is a process designed to provide reasonable assurance to our management and board of directors regarding the preparation and fair presentation of published financial statements.</w:t>
      </w:r>
    </w:p>
    <w:p>
      <w:pPr>
        <w:spacing w:after="0" w:line="114"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153"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0" w:lineRule="exact"/>
        <w:rPr>
          <w:sz w:val="20"/>
          <w:szCs w:val="20"/>
          <w:color w:val="auto"/>
        </w:rPr>
      </w:pPr>
    </w:p>
    <w:p>
      <w:pPr>
        <w:ind w:right="80" w:firstLine="685"/>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September 30, 2016. In making this assessment, we used the criteria set forth by the Committee of Sponsoring Organizations of the Treadway Commission in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2016,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6" w:lineRule="exact"/>
        <w:rPr>
          <w:sz w:val="20"/>
          <w:szCs w:val="20"/>
          <w:color w:val="auto"/>
        </w:rPr>
      </w:pPr>
    </w:p>
    <w:p>
      <w:pPr>
        <w:ind w:right="160" w:firstLine="685"/>
        <w:spacing w:after="0" w:line="277" w:lineRule="auto"/>
        <w:rPr>
          <w:sz w:val="20"/>
          <w:szCs w:val="20"/>
          <w:color w:val="auto"/>
        </w:rPr>
      </w:pPr>
      <w:r>
        <w:rPr>
          <w:rFonts w:ascii="Arial" w:cs="Arial" w:eastAsia="Arial" w:hAnsi="Arial"/>
          <w:sz w:val="18"/>
          <w:szCs w:val="18"/>
          <w:color w:val="auto"/>
        </w:rPr>
        <w:t>The Company’s independent registered public accounting firm has issued an audit report on the effectiveness of our internal control over financial reporting as of September 30, 2016. This report appears on page 45.</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278" w:lineRule="exact"/>
        <w:rPr>
          <w:sz w:val="20"/>
          <w:szCs w:val="20"/>
          <w:color w:val="auto"/>
        </w:rPr>
      </w:pPr>
    </w:p>
    <w:p>
      <w:pPr>
        <w:ind w:right="100" w:firstLine="685"/>
        <w:spacing w:after="0" w:line="257" w:lineRule="auto"/>
        <w:rPr>
          <w:sz w:val="20"/>
          <w:szCs w:val="20"/>
          <w:color w:val="auto"/>
        </w:rPr>
      </w:pPr>
      <w:r>
        <w:rPr>
          <w:rFonts w:ascii="Arial" w:cs="Arial" w:eastAsia="Arial" w:hAnsi="Arial"/>
          <w:sz w:val="18"/>
          <w:szCs w:val="18"/>
          <w:color w:val="auto"/>
        </w:rPr>
        <w:t>We have audited the accompanying consolidated statements of assets and liabilities of PennantPark Floating Rate Capital Ltd. and its Subsidiaries (collectively referred to as the “Company”), including the consolidated schedules of investments as of September 30, 2016 and 2015, and the related consolidated statements of operations, changes in net assets, and cash flows for each of the three years in the period ended September 30, 2016. These consolidated financial statements are the responsibility of the Company’s management. Our responsibility is to express an opinion on these consolidated financial statements based on our audits.</w:t>
      </w:r>
    </w:p>
    <w:p>
      <w:pPr>
        <w:spacing w:after="0" w:line="148"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2016, by correspondence with the custodians and/or portfolio companies.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100" w:firstLine="685"/>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Floating Rate Capital Ltd. and its Subsidiaries as of September 30, 2016 and 2015, and the results of their operations, changes in net assets and their cash flows for the three years in the period then ended September 30, 2016, in conformity with U.S. generally accepted accounting principles.</w:t>
      </w:r>
    </w:p>
    <w:p>
      <w:pPr>
        <w:spacing w:after="0" w:line="106" w:lineRule="exact"/>
        <w:rPr>
          <w:sz w:val="20"/>
          <w:szCs w:val="20"/>
          <w:color w:val="auto"/>
        </w:rPr>
      </w:pPr>
    </w:p>
    <w:p>
      <w:pPr>
        <w:ind w:right="20" w:firstLine="685"/>
        <w:spacing w:after="0" w:line="279"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PennantPark Floating Rate Capital Ltd. and its Subsidiaries’ internal control over financial reporting as of September 30, 2016, based on criteria established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(COSO) in 2013, and our report dated</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22, 2016 expressed an unqualified opinion on the effectiveness of the Company’s internal control over financial reporting.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2016</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00"/>
          </w:cols>
          <w:pgMar w:left="240" w:top="460" w:right="3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143" w:lineRule="exact"/>
        <w:rPr>
          <w:sz w:val="20"/>
          <w:szCs w:val="20"/>
          <w:color w:val="auto"/>
        </w:rPr>
      </w:pPr>
    </w:p>
    <w:p>
      <w:pPr>
        <w:ind w:right="400" w:firstLine="685"/>
        <w:spacing w:after="0" w:line="255" w:lineRule="auto"/>
        <w:rPr>
          <w:sz w:val="20"/>
          <w:szCs w:val="20"/>
          <w:color w:val="auto"/>
        </w:rPr>
      </w:pPr>
      <w:r>
        <w:rPr>
          <w:rFonts w:ascii="Arial" w:cs="Arial" w:eastAsia="Arial" w:hAnsi="Arial"/>
          <w:sz w:val="18"/>
          <w:szCs w:val="18"/>
          <w:color w:val="auto"/>
        </w:rPr>
        <w:t xml:space="preserve">We have audited PennantPark Floating Rate Capital Ltd. and its Subsidiaries’ (collectively referred to as the “Company”) internal control over financial reporting as of September 30, 2016,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2013.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53" w:lineRule="exact"/>
        <w:rPr>
          <w:sz w:val="20"/>
          <w:szCs w:val="20"/>
          <w:color w:val="auto"/>
        </w:rPr>
      </w:pPr>
    </w:p>
    <w:p>
      <w:pPr>
        <w:ind w:right="80" w:firstLine="685"/>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ind w:firstLine="68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w:t>
      </w:r>
      <w:r>
        <w:rPr>
          <w:rFonts w:ascii="Arial" w:cs="Arial" w:eastAsia="Arial" w:hAnsi="Arial"/>
          <w:sz w:val="16"/>
          <w:szCs w:val="16"/>
          <w:i w:val="1"/>
          <w:iCs w:val="1"/>
          <w:color w:val="auto"/>
        </w:rPr>
        <w:t>a</w:t>
      </w:r>
      <w:r>
        <w:rPr>
          <w:rFonts w:ascii="Arial" w:cs="Arial" w:eastAsia="Arial" w:hAnsi="Arial"/>
          <w:sz w:val="16"/>
          <w:szCs w:val="16"/>
          <w:color w:val="auto"/>
        </w:rPr>
        <w:t>) pertain to the maintenance of records that, in reasonable detail, accurately and fairly reflect the transactions and dispositions of the assets of the company; (</w:t>
      </w:r>
      <w:r>
        <w:rPr>
          <w:rFonts w:ascii="Arial" w:cs="Arial" w:eastAsia="Arial" w:hAnsi="Arial"/>
          <w:sz w:val="16"/>
          <w:szCs w:val="16"/>
          <w:i w:val="1"/>
          <w:iCs w:val="1"/>
          <w:color w:val="auto"/>
        </w:rPr>
        <w:t>b</w:t>
      </w:r>
      <w:r>
        <w:rPr>
          <w:rFonts w:ascii="Arial" w:cs="Arial" w:eastAsia="Arial" w:hAnsi="Arial"/>
          <w:sz w:val="16"/>
          <w:szCs w:val="16"/>
          <w:color w:val="auto"/>
        </w:rPr>
        <w:t>)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w:t>
      </w:r>
      <w:r>
        <w:rPr>
          <w:rFonts w:ascii="Arial" w:cs="Arial" w:eastAsia="Arial" w:hAnsi="Arial"/>
          <w:sz w:val="16"/>
          <w:szCs w:val="16"/>
          <w:i w:val="1"/>
          <w:iCs w:val="1"/>
          <w:color w:val="auto"/>
        </w:rPr>
        <w:t>c</w:t>
      </w:r>
      <w:r>
        <w:rPr>
          <w:rFonts w:ascii="Arial" w:cs="Arial" w:eastAsia="Arial" w:hAnsi="Arial"/>
          <w:sz w:val="16"/>
          <w:szCs w:val="16"/>
          <w:color w:val="auto"/>
        </w:rPr>
        <w:t>)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ind w:right="120" w:firstLine="68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ind w:right="480" w:firstLine="685"/>
        <w:spacing w:after="0" w:line="342" w:lineRule="auto"/>
        <w:rPr>
          <w:sz w:val="20"/>
          <w:szCs w:val="20"/>
          <w:color w:val="auto"/>
        </w:rPr>
      </w:pPr>
      <w:r>
        <w:rPr>
          <w:rFonts w:ascii="Arial" w:cs="Arial" w:eastAsia="Arial" w:hAnsi="Arial"/>
          <w:sz w:val="16"/>
          <w:szCs w:val="16"/>
          <w:color w:val="auto"/>
        </w:rPr>
        <w:t xml:space="preserve">In our opinion, PennantPark Floating Rate Capital Ltd. and its Subsidiaries maintained, in all material respects, effective internal control over financial reporting as of September 30, 2016,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 in 2013.</w:t>
      </w:r>
    </w:p>
    <w:p>
      <w:pPr>
        <w:spacing w:after="0" w:line="83" w:lineRule="exact"/>
        <w:rPr>
          <w:sz w:val="20"/>
          <w:szCs w:val="20"/>
          <w:color w:val="auto"/>
        </w:rPr>
      </w:pPr>
    </w:p>
    <w:p>
      <w:pPr>
        <w:ind w:right="40" w:firstLine="685"/>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statements of assets and liabilities of PennantPark Floating Rate Capital Ltd. and its Subsidiaries, including the schedules of investments as of September 30, 2016 and 2015, and the related consolidated statements of operations, changes in net assets, and cash flows for each of the three years in the period ended September 30, 2016 and our report dated November 22, 2016 expressed an unqualified opinion on those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2016</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60"/>
          </w:cols>
          <w:pgMar w:left="240" w:top="460" w:right="2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September 30, 2016</w:t>
            </w:r>
          </w:p>
        </w:tc>
        <w:tc>
          <w:tcPr>
            <w:tcW w:w="220" w:type="dxa"/>
            <w:vAlign w:val="bottom"/>
          </w:tcPr>
          <w:p>
            <w:pPr>
              <w:spacing w:after="0"/>
              <w:rPr>
                <w:sz w:val="14"/>
                <w:szCs w:val="14"/>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September 30, 2015</w:t>
            </w:r>
          </w:p>
        </w:tc>
      </w:tr>
      <w:tr>
        <w:trPr>
          <w:trHeight w:val="196"/>
        </w:trPr>
        <w:tc>
          <w:tcPr>
            <w:tcW w:w="20" w:type="dxa"/>
            <w:vAlign w:val="bottom"/>
          </w:tcPr>
          <w:p>
            <w:pPr>
              <w:spacing w:after="0"/>
              <w:rPr>
                <w:sz w:val="17"/>
                <w:szCs w:val="17"/>
                <w:color w:val="auto"/>
              </w:rPr>
            </w:pPr>
          </w:p>
        </w:tc>
        <w:tc>
          <w:tcPr>
            <w:tcW w:w="7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Non-controlled, non-affiliated investments (cost—$597,910,267 and $394,561,175, respectively)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598,887,525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388,535,383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Controlled, affiliated investments (cost—$0 and $2,777,132, respectively)</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2,776,507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of investments (cost—$597,910,267 and $397,338,307, respectively)</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598,887,525</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391,311,890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and cash equivalents (cost—$28,903,359 and $21,428,514, respectively)</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28,910,973</w:t>
            </w:r>
          </w:p>
        </w:tc>
        <w:tc>
          <w:tcPr>
            <w:tcW w:w="2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21,428,514</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2,480,406</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1,959,404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1,141,191</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1,420,529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631,420,095</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416,120,337</w:t>
            </w:r>
          </w:p>
        </w:tc>
        <w:tc>
          <w:tcPr>
            <w:tcW w:w="120" w:type="dxa"/>
            <w:vAlign w:val="bottom"/>
            <w:shd w:val="clear" w:color="auto" w:fill="CCEEFF"/>
          </w:tcPr>
          <w:p>
            <w:pPr>
              <w:spacing w:after="0"/>
              <w:rPr>
                <w:sz w:val="18"/>
                <w:szCs w:val="18"/>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2,539,357</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2,539,357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14,935,970</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9,367,500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w w:val="94"/>
              </w:rPr>
              <w:t>Credit Facility payable (cost—$232,907,500 and $29,600,000, respectively) (See Notes 5 and 11)</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232,389,498</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29,600,000</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531,926</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224,633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1,458,625</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956,115</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3,454,914</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202,977</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539,347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64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255,513,267</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43,229,888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12)</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26,730,074 shares issued and outstanding.</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 value $0.001 per share and 100,000,000 shares authorized.</w:t>
            </w:r>
          </w:p>
        </w:tc>
        <w:tc>
          <w:tcPr>
            <w:tcW w:w="20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26,730</w:t>
            </w:r>
          </w:p>
        </w:tc>
        <w:tc>
          <w:tcPr>
            <w:tcW w:w="2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26,730</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371,194,366</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371,502,801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4,559,646</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6,991,473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Accumulated net realized (loss) gain on investments</w:t>
            </w:r>
          </w:p>
        </w:tc>
        <w:tc>
          <w:tcPr>
            <w:tcW w:w="20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(1,376,788)</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395,862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984,872</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(6,026,417)</w:t>
            </w: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518,002</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net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375,906,828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372,890,449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640"/>
              <w:spacing w:after="0"/>
              <w:rPr>
                <w:sz w:val="20"/>
                <w:szCs w:val="20"/>
                <w:color w:val="auto"/>
              </w:rPr>
            </w:pPr>
            <w:r>
              <w:rPr>
                <w:rFonts w:ascii="Arial" w:cs="Arial" w:eastAsia="Arial" w:hAnsi="Arial"/>
                <w:sz w:val="18"/>
                <w:szCs w:val="18"/>
                <w:b w:val="1"/>
                <w:bCs w:val="1"/>
                <w:color w:val="auto"/>
              </w:rPr>
              <w:t>Total liabilities and net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631,420,095</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416,120,337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2"/>
              </w:rPr>
              <w:t>Years Ended September 30,</w:t>
            </w: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40,561,694</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29,203,963</w:t>
            </w:r>
          </w:p>
        </w:tc>
        <w:tc>
          <w:tcPr>
            <w:tcW w:w="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29,256,441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2,334,330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1,151,336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1,100,391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Settlement proceeds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3,299,764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105,502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400"/>
              <w:spacing w:after="0"/>
              <w:rPr>
                <w:sz w:val="20"/>
                <w:szCs w:val="20"/>
                <w:color w:val="auto"/>
              </w:rPr>
            </w:pPr>
            <w:r>
              <w:rPr>
                <w:rFonts w:ascii="Arial" w:cs="Arial" w:eastAsia="Arial" w:hAnsi="Arial"/>
                <w:sz w:val="18"/>
                <w:szCs w:val="18"/>
                <w:b w:val="1"/>
                <w:bCs w:val="1"/>
                <w:color w:val="auto"/>
              </w:rPr>
              <w:t>Total investment income</w:t>
            </w:r>
          </w:p>
        </w:tc>
        <w:tc>
          <w:tcPr>
            <w:tcW w:w="1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46,301,290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30,355,299</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30,356,832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Base management fee (See Note 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5,015,077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3,572,614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3,702,826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Performance-based incentive fee (See Note 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4,791,574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1,114,972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3,464,344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Interest and expenses on the Credit Facility (See Note 11)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4,923,219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3,251,761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3,471,347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Administrative services expenses (See Note 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1,148,281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837,708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Other general and administrative expenses</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2,179,257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1,176,769</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Expenses before provision for taxes and amendment costs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18,057,408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9,953,824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12,528,802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Provision for taxes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440,000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Credit Facility amendment costs (See Notes 5 and 11)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907,722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2,301,478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40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18,965,130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12,695,302</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13,721,157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investment income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27,336,160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17,659,997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16,635,675</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(loss) gain on investments and Credit Facility:</w:t>
            </w: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gain on non-controlled, non-affiliated investments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(1,376,788)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395,862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Non-controlled, non-affiliated investments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7,011,289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(6,100,614)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1,553,771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Credit Facility depreciation (appreciation) (See Note 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518,002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549,000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(549,000)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6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w w:val="91"/>
              </w:rPr>
              <w:t>Net change in unrealized appreciation (depreciation) on investments and Credit</w:t>
            </w:r>
          </w:p>
        </w:tc>
        <w:tc>
          <w:tcPr>
            <w:tcW w:w="1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Facility</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7,529,291</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(5,551,614)</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1,004,771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1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6,152,503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(5,155,752)</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3,878,296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33,488,663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12,504,245</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20,513,971</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Years Ended September 30,</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27,336,160</w:t>
            </w:r>
          </w:p>
        </w:tc>
        <w:tc>
          <w:tcPr>
            <w:tcW w:w="100" w:type="dxa"/>
            <w:vAlign w:val="bottom"/>
          </w:tcPr>
          <w:p>
            <w:pPr>
              <w:spacing w:after="0"/>
              <w:rPr>
                <w:sz w:val="18"/>
                <w:szCs w:val="18"/>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17,659,997</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16,635,675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realized (loss) gain on investments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(1,376,788)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395,862</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7,011,289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(6,100,614)</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1,553,771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Net change in unrealized depreciation (appreciation) on Credit Facility</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518,002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549,000</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20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33,488,663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12,504,245</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20,513,971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Distribution of net investment income</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(30,076,422)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(15,976,507)</w:t>
            </w:r>
          </w:p>
        </w:tc>
        <w:tc>
          <w:tcPr>
            <w:tcW w:w="3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(12,477,719)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 of realized gains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(395,862)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(2,882,909)</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(3,574,936)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200"/>
              <w:spacing w:after="0"/>
              <w:rPr>
                <w:sz w:val="20"/>
                <w:szCs w:val="20"/>
                <w:color w:val="auto"/>
              </w:rPr>
            </w:pPr>
            <w:r>
              <w:rPr>
                <w:rFonts w:ascii="Arial" w:cs="Arial" w:eastAsia="Arial" w:hAnsi="Arial"/>
                <w:sz w:val="18"/>
                <w:szCs w:val="18"/>
                <w:b w:val="1"/>
                <w:bCs w:val="1"/>
                <w:color w:val="auto"/>
              </w:rPr>
              <w:t>Total distributions to stockholders</w:t>
            </w:r>
          </w:p>
        </w:tc>
        <w:tc>
          <w:tcPr>
            <w:tcW w:w="3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(30,472,284)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(18,859,416)</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(16,052,655)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Acquisition of MCG assets (See Note 13)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164,717,910</w:t>
            </w:r>
          </w:p>
        </w:tc>
        <w:tc>
          <w:tcPr>
            <w:tcW w:w="3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increase in net assets resulting from capital transactions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164,717,910</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w:t>
            </w:r>
          </w:p>
        </w:tc>
        <w:tc>
          <w:tcPr>
            <w:tcW w:w="3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3,016,379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158,362,739</w:t>
            </w: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4,461,316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372,890,449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214,527,710</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210,066,394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375,906,828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372,890,449</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214,527,710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tcPr>
          <w:p>
            <w:pPr>
              <w:ind w:left="200"/>
              <w:spacing w:after="0"/>
              <w:rPr>
                <w:sz w:val="20"/>
                <w:szCs w:val="20"/>
                <w:color w:val="auto"/>
              </w:rPr>
            </w:pPr>
            <w:r>
              <w:rPr>
                <w:rFonts w:ascii="Arial" w:cs="Arial" w:eastAsia="Arial" w:hAnsi="Arial"/>
                <w:sz w:val="18"/>
                <w:szCs w:val="18"/>
                <w:color w:val="auto"/>
              </w:rPr>
              <w:t>Undistributed net investment income, end of year</w:t>
            </w: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4,559,646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6,991,473</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Shares issued</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11,832,018</w:t>
            </w:r>
          </w:p>
        </w:tc>
        <w:tc>
          <w:tcPr>
            <w:tcW w:w="3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Years Ended September 30,</w:t>
            </w: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Net increase in net assets resulting from operations</w:t>
            </w: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33,488,663</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12,504,245</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20,513,971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Adjustments to reconcile net increase in net assets resulting from</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operations to net cash used in operating activities:</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w w:val="94"/>
              </w:rPr>
              <w:t>Net change in unrealized (appreciation) depreciation on investments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(7,011,289)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6,100,614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(1,553,771)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Net change in unrealized (depreciation) appreciation on Credit</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Facility</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(518,002)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(549,000)</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Net realized loss (gain) on investments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1,376,788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(395,862)</w:t>
            </w: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(2,873,525)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accretion of discount and amortization of premium</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(1,679,006)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(1,240,781)</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(1,253,776)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Purchases of investments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(364,442,810)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(224,170,119)</w:t>
            </w: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(248,124,673)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Payment-in-kind interest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(108,066)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(655,580)</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Proceeds from dispositions of investments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164,178,802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195,049,580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225,614,700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interest receivable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(521,002)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(185,534)</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Decrease (increase) in receivable for investments sold</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9,001,938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(5,342,753)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Decrease (increase) in prepaid expenses and other assets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(315,139)</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Increase (decrease) in payable for investments purchased</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5,568,470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6,205,500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(10,859,588)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interest payable on Credit Facility</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(60,273)</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Increase in management fee payable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502,510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41,137</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performance-based incentive fee payable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3,451,978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(2,177,668)</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(Decrease) increase in accrued other expenses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(336,370)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(1,358,635)</w:t>
            </w:r>
          </w:p>
        </w:tc>
        <w:tc>
          <w:tcPr>
            <w:tcW w:w="4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18,480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(165,462,703)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(2,205,577)</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(22,249,022)</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Acquisition of MCG assets (See Note 13)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144,981,158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Distributions paid to stockholders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(30,472,284)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(17,660,884)</w:t>
            </w: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(16,015,410)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Borrowings under Credit Facility (See Notes 5 and 11)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260,707,500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130,700,000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Repayments under Credit Facility (See Notes 5 and 11)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(57,400,000)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(247,500,000)</w:t>
            </w:r>
          </w:p>
        </w:tc>
        <w:tc>
          <w:tcPr>
            <w:tcW w:w="4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(101,400,000)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172,835,216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10,520,274</w:t>
            </w: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30,784,590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equivalents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7,372,513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8,314,697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8,535,568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21,428,514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13,113,817</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4,578,249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28,910,973</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21,428,514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13,113,817</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4,615,926</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3,313,701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200"/>
              <w:spacing w:after="0"/>
              <w:rPr>
                <w:sz w:val="20"/>
                <w:szCs w:val="20"/>
                <w:color w:val="auto"/>
              </w:rPr>
            </w:pPr>
            <w:r>
              <w:rPr>
                <w:rFonts w:ascii="Arial" w:cs="Arial" w:eastAsia="Arial" w:hAnsi="Arial"/>
                <w:sz w:val="18"/>
                <w:szCs w:val="18"/>
                <w:color w:val="auto"/>
              </w:rPr>
              <w:t>Taxes paid</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430,242</w:t>
            </w: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exchanges and conversions</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4,843,385</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670,283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200"/>
              <w:spacing w:after="0"/>
              <w:rPr>
                <w:sz w:val="20"/>
                <w:szCs w:val="20"/>
                <w:color w:val="auto"/>
              </w:rPr>
            </w:pPr>
            <w:r>
              <w:rPr>
                <w:rFonts w:ascii="Arial" w:cs="Arial" w:eastAsia="Arial" w:hAnsi="Arial"/>
                <w:sz w:val="18"/>
                <w:szCs w:val="18"/>
                <w:color w:val="auto"/>
                <w:w w:val="92"/>
              </w:rPr>
              <w:t>Investments acquired from MCG in exchange for shares issued (See Note</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ind w:left="400"/>
              <w:spacing w:after="0"/>
              <w:rPr>
                <w:sz w:val="20"/>
                <w:szCs w:val="20"/>
                <w:color w:val="auto"/>
              </w:rPr>
            </w:pPr>
            <w:r>
              <w:rPr>
                <w:rFonts w:ascii="Arial" w:cs="Arial" w:eastAsia="Arial" w:hAnsi="Arial"/>
                <w:sz w:val="18"/>
                <w:szCs w:val="18"/>
                <w:color w:val="auto"/>
              </w:rPr>
              <w:t>13)</w:t>
            </w: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20,277,132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other assets from MCG (See Note 13)</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549,031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200"/>
              <w:spacing w:after="0"/>
              <w:rPr>
                <w:sz w:val="20"/>
                <w:szCs w:val="20"/>
                <w:color w:val="auto"/>
              </w:rPr>
            </w:pPr>
            <w:r>
              <w:rPr>
                <w:rFonts w:ascii="Arial" w:cs="Arial" w:eastAsia="Arial" w:hAnsi="Arial"/>
                <w:sz w:val="18"/>
                <w:szCs w:val="18"/>
                <w:color w:val="auto"/>
              </w:rPr>
              <w:t>Acquisition of other liabilities from MCG (See Note 13)</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1,089,411</w:t>
            </w: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0" w:type="dxa"/>
            <w:vAlign w:val="bottom"/>
          </w:tcPr>
          <w:p>
            <w:pPr>
              <w:spacing w:after="0"/>
              <w:rPr>
                <w:sz w:val="11"/>
                <w:szCs w:val="11"/>
                <w:color w:val="auto"/>
              </w:rPr>
            </w:pPr>
          </w:p>
        </w:tc>
        <w:tc>
          <w:tcPr>
            <w:tcW w:w="20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70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72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Par /</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540" w:type="dxa"/>
            <w:vAlign w:val="bottom"/>
            <w:vMerge w:val="continue"/>
          </w:tcPr>
          <w:p>
            <w:pPr>
              <w:spacing w:after="0"/>
              <w:rPr>
                <w:sz w:val="12"/>
                <w:szCs w:val="12"/>
                <w:color w:val="auto"/>
              </w:rPr>
            </w:pPr>
          </w:p>
        </w:tc>
        <w:tc>
          <w:tcPr>
            <w:tcW w:w="1000" w:type="dxa"/>
            <w:vAlign w:val="bottom"/>
          </w:tcPr>
          <w:p>
            <w:pPr>
              <w:jc w:val="center"/>
              <w:ind w:left="122"/>
              <w:spacing w:after="0"/>
              <w:rPr>
                <w:sz w:val="20"/>
                <w:szCs w:val="20"/>
                <w:color w:val="auto"/>
              </w:rPr>
            </w:pPr>
            <w:r>
              <w:rPr>
                <w:rFonts w:ascii="Arial" w:cs="Arial" w:eastAsia="Arial" w:hAnsi="Arial"/>
                <w:sz w:val="12"/>
                <w:szCs w:val="12"/>
                <w:b w:val="1"/>
                <w:bCs w:val="1"/>
                <w:color w:val="auto"/>
                <w:w w:val="98"/>
              </w:rPr>
              <w:t>Maturity</w:t>
            </w:r>
          </w:p>
        </w:tc>
        <w:tc>
          <w:tcPr>
            <w:tcW w:w="2060" w:type="dxa"/>
            <w:vAlign w:val="bottom"/>
            <w:vMerge w:val="continue"/>
          </w:tcPr>
          <w:p>
            <w:pPr>
              <w:spacing w:after="0"/>
              <w:rPr>
                <w:sz w:val="12"/>
                <w:szCs w:val="12"/>
                <w:color w:val="auto"/>
              </w:rPr>
            </w:pPr>
          </w:p>
        </w:tc>
        <w:tc>
          <w:tcPr>
            <w:tcW w:w="700" w:type="dxa"/>
            <w:vAlign w:val="bottom"/>
          </w:tcPr>
          <w:p>
            <w:pPr>
              <w:jc w:val="right"/>
              <w:ind w:right="122"/>
              <w:spacing w:after="0"/>
              <w:rPr>
                <w:sz w:val="20"/>
                <w:szCs w:val="20"/>
                <w:color w:val="auto"/>
              </w:rPr>
            </w:pPr>
            <w:r>
              <w:rPr>
                <w:rFonts w:ascii="Arial" w:cs="Arial" w:eastAsia="Arial" w:hAnsi="Arial"/>
                <w:sz w:val="12"/>
                <w:szCs w:val="12"/>
                <w:b w:val="1"/>
                <w:bCs w:val="1"/>
                <w:color w:val="auto"/>
              </w:rPr>
              <w:t>Coupon</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720" w:type="dxa"/>
            <w:vAlign w:val="bottom"/>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34"/>
        </w:trPr>
        <w:tc>
          <w:tcPr>
            <w:tcW w:w="454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w w:val="97"/>
              </w:rPr>
              <w:t xml:space="preserve">Investments in Non-Controlled, Non-Affiliated Portfolio Companies—159.3% </w:t>
            </w:r>
            <w:r>
              <w:rPr>
                <w:rFonts w:ascii="Arial" w:cs="Arial" w:eastAsia="Arial" w:hAnsi="Arial"/>
                <w:sz w:val="9"/>
                <w:szCs w:val="9"/>
                <w:b w:val="1"/>
                <w:bCs w:val="1"/>
                <w:color w:val="auto"/>
                <w:w w:val="97"/>
              </w:rPr>
              <w:t>(3), (4)</w:t>
            </w:r>
          </w:p>
        </w:tc>
        <w:tc>
          <w:tcPr>
            <w:tcW w:w="1000" w:type="dxa"/>
            <w:vAlign w:val="bottom"/>
            <w:tcBorders>
              <w:top w:val="single" w:sz="8" w:color="auto"/>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Debt—145.9%</w:t>
            </w:r>
          </w:p>
        </w:tc>
        <w:tc>
          <w:tcPr>
            <w:tcW w:w="10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Advanced Cable Communications,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08/09/2021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12,500,000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w w:val="98"/>
              </w:rPr>
              <w:t>$12,255,990</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  12,250,000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(10)</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08/09/2021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4,000,000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(80,000)</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ALG USA Holdings,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02/28/2019</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12,064,454</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12,037,105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12,064,454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(6), (11)</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04/04/2022</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3,943,925</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3,925,777</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3,946,410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American Bath Group,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10/02/2023</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3,000,000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2,970,000</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2,992,500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Scaffold</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03/31/2022</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4,866,801</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4,888,125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AMF Bowling Centers,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09/19/2023</w:t>
            </w:r>
          </w:p>
        </w:tc>
        <w:tc>
          <w:tcPr>
            <w:tcW w:w="2060" w:type="dxa"/>
            <w:vAlign w:val="bottom"/>
          </w:tcPr>
          <w:p>
            <w:pPr>
              <w:jc w:val="center"/>
              <w:ind w:left="2"/>
              <w:spacing w:after="0" w:line="135" w:lineRule="exact"/>
              <w:rPr>
                <w:sz w:val="20"/>
                <w:szCs w:val="20"/>
                <w:color w:val="auto"/>
              </w:rPr>
            </w:pPr>
            <w:r>
              <w:rPr>
                <w:rFonts w:ascii="Arial" w:cs="Arial" w:eastAsia="Arial" w:hAnsi="Arial"/>
                <w:sz w:val="12"/>
                <w:szCs w:val="12"/>
                <w:color w:val="auto"/>
                <w:w w:val="91"/>
              </w:rPr>
              <w:t>Retail</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15,000,000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14,850,608</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14,931,300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 Gaming I,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12/21/2020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L+825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6,534,878</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6,462,308</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6,220,419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API Technologies Corp.</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04/22/2022</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9,975,000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9,787,810</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9,825,375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Azure Midstream Energy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11/15/2018</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Energy: Oil and Gas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5,125,684</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5,042,414</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4,228,689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Blue Bird Body Company</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06/29/2020</w:t>
            </w:r>
          </w:p>
        </w:tc>
        <w:tc>
          <w:tcPr>
            <w:tcW w:w="2060" w:type="dxa"/>
            <w:vAlign w:val="bottom"/>
          </w:tcPr>
          <w:p>
            <w:pPr>
              <w:jc w:val="center"/>
              <w:ind w:left="2"/>
              <w:spacing w:after="0" w:line="135" w:lineRule="exact"/>
              <w:rPr>
                <w:sz w:val="20"/>
                <w:szCs w:val="20"/>
                <w:color w:val="auto"/>
              </w:rPr>
            </w:pPr>
            <w:r>
              <w:rPr>
                <w:rFonts w:ascii="Arial" w:cs="Arial" w:eastAsia="Arial" w:hAnsi="Arial"/>
                <w:sz w:val="12"/>
                <w:szCs w:val="12"/>
                <w:color w:val="auto"/>
                <w:w w:val="93"/>
              </w:rPr>
              <w:t>Automotive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3,498,670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3,462,806</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3,498,670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 Tranche A</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06/03/2021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2,440,000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2,397,229</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2,422,820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Broder Bros., Co., Tranche B</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06/03/2021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13.50%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L+1,225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2,460,000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2,415,653</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2,442,679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Camin Cargo Control,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06/30/2021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Transportation: Cargo</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2,468,750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2,448,157</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2,370,000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CareCentrix,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07/08/2021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4,950,000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4,847,215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4,863,375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07/02/2020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4,962,500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4,930,912</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4,850,844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CD&amp;R TZ Purchaser,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07/21/2023</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12,500,000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12,179,928</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12,343,750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Charming Charlie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12/24/2019</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91"/>
              </w:rPr>
              <w:t>Retail</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L+800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4,098,750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4,061,551</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3,750,357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line="129" w:lineRule="exact"/>
              <w:rPr>
                <w:sz w:val="20"/>
                <w:szCs w:val="20"/>
                <w:color w:val="auto"/>
              </w:rPr>
            </w:pPr>
            <w:r>
              <w:rPr>
                <w:rFonts w:ascii="Arial" w:cs="Arial" w:eastAsia="Arial" w:hAnsi="Arial"/>
                <w:sz w:val="12"/>
                <w:szCs w:val="12"/>
                <w:color w:val="auto"/>
              </w:rPr>
              <w:t>Chicken Soup for the Soul Publishing, LLC</w:t>
            </w:r>
          </w:p>
        </w:tc>
        <w:tc>
          <w:tcPr>
            <w:tcW w:w="1000" w:type="dxa"/>
            <w:vAlign w:val="bottom"/>
          </w:tcPr>
          <w:p>
            <w:pPr>
              <w:jc w:val="center"/>
              <w:ind w:left="122"/>
              <w:spacing w:after="0" w:line="129" w:lineRule="exact"/>
              <w:rPr>
                <w:sz w:val="20"/>
                <w:szCs w:val="20"/>
                <w:color w:val="auto"/>
              </w:rPr>
            </w:pPr>
            <w:r>
              <w:rPr>
                <w:rFonts w:ascii="Arial" w:cs="Arial" w:eastAsia="Arial" w:hAnsi="Arial"/>
                <w:sz w:val="12"/>
                <w:szCs w:val="12"/>
                <w:color w:val="auto"/>
                <w:w w:val="89"/>
              </w:rPr>
              <w:t>01/08/2019</w:t>
            </w:r>
          </w:p>
        </w:tc>
        <w:tc>
          <w:tcPr>
            <w:tcW w:w="206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7.50%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L+625</w:t>
            </w:r>
          </w:p>
        </w:tc>
        <w:tc>
          <w:tcPr>
            <w:tcW w:w="72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4,828,571</w:t>
            </w:r>
          </w:p>
        </w:tc>
        <w:tc>
          <w:tcPr>
            <w:tcW w:w="780" w:type="dxa"/>
            <w:vAlign w:val="bottom"/>
          </w:tcPr>
          <w:p>
            <w:pPr>
              <w:jc w:val="right"/>
              <w:ind w:right="42"/>
              <w:spacing w:after="0" w:line="129" w:lineRule="exact"/>
              <w:rPr>
                <w:sz w:val="20"/>
                <w:szCs w:val="20"/>
                <w:color w:val="auto"/>
              </w:rPr>
            </w:pPr>
            <w:r>
              <w:rPr>
                <w:rFonts w:ascii="Arial" w:cs="Arial" w:eastAsia="Arial" w:hAnsi="Arial"/>
                <w:sz w:val="12"/>
                <w:szCs w:val="12"/>
                <w:color w:val="auto"/>
              </w:rPr>
              <w:t>4,801,254</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4,732,000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Corfin Industries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11/25/2020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L+975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6,272,600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6,163,749</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6,272,600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(10)</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11/25/2020</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0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518,033</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CRGT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12/21/2020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10,531,671</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10,451,145</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10,505,342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Curo Health Services Holdings,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02/07/2022</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1,970,000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1,953,997</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1,970,000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DBI Holding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08/02/2021</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85"/>
              </w:rPr>
              <w:t>Business Services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10,000,000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9,900,163</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9,900,000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DCS Business Services,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03/19/2018</w:t>
            </w:r>
          </w:p>
        </w:tc>
        <w:tc>
          <w:tcPr>
            <w:tcW w:w="2060" w:type="dxa"/>
            <w:vAlign w:val="bottom"/>
          </w:tcPr>
          <w:p>
            <w:pPr>
              <w:jc w:val="center"/>
              <w:ind w:left="2"/>
              <w:spacing w:after="0" w:line="135" w:lineRule="exact"/>
              <w:rPr>
                <w:sz w:val="20"/>
                <w:szCs w:val="20"/>
                <w:color w:val="auto"/>
              </w:rPr>
            </w:pPr>
            <w:r>
              <w:rPr>
                <w:rFonts w:ascii="Arial" w:cs="Arial" w:eastAsia="Arial" w:hAnsi="Arial"/>
                <w:sz w:val="12"/>
                <w:szCs w:val="12"/>
                <w:color w:val="auto"/>
                <w:w w:val="85"/>
              </w:rPr>
              <w:t>Business Services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L+725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2,237,139</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2,225,615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2,237,139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DISA Global Solutions,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12/09/2020</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85"/>
              </w:rPr>
              <w:t>Business Services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4,925,000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4,889,096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4,875,750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06/30/2020</w:t>
            </w:r>
          </w:p>
        </w:tc>
        <w:tc>
          <w:tcPr>
            <w:tcW w:w="2060" w:type="dxa"/>
            <w:vAlign w:val="bottom"/>
          </w:tcPr>
          <w:p>
            <w:pPr>
              <w:jc w:val="center"/>
              <w:ind w:left="2"/>
              <w:spacing w:after="0" w:line="135" w:lineRule="exact"/>
              <w:rPr>
                <w:sz w:val="20"/>
                <w:szCs w:val="20"/>
                <w:color w:val="auto"/>
              </w:rPr>
            </w:pPr>
            <w:r>
              <w:rPr>
                <w:rFonts w:ascii="Arial" w:cs="Arial" w:eastAsia="Arial" w:hAnsi="Arial"/>
                <w:sz w:val="12"/>
                <w:szCs w:val="12"/>
                <w:color w:val="auto"/>
                <w:w w:val="87"/>
              </w:rPr>
              <w:t>Chemicals, Plastics and Rubber</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4,687,500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4,659,016</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4,687,500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Driven Performance Brands, Inc. </w:t>
            </w:r>
            <w:r>
              <w:rPr>
                <w:rFonts w:ascii="Arial" w:cs="Arial" w:eastAsia="Arial" w:hAnsi="Arial"/>
                <w:sz w:val="9"/>
                <w:szCs w:val="9"/>
                <w:color w:val="auto"/>
              </w:rPr>
              <w:t>(8)</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09/10/2020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8,550,000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8,513,835</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8,507,250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(10)</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09/10/2020</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0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Education Networks of America,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05/06/2021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8,641,304</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8,599,431</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8,598,098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Education Networks of America, Inc. (Revolver)</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05/06/2021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434,783</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434,783</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434,783</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(10)</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05/06/2021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869,565</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Efficient Collaborative Retail Marketing Company,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06/15/2022</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10,972,500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10,864,398</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10,972,500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Emerging Markets Communications,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07/01/2021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4,875,844</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4,702,969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FHC Health Systems,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12/23/2021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L+400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4,925,000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4,884,041</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4,798,821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GlobalLogic Holdings,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05/31/2019</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3,890,000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3,867,640</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3,880,275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Greenway Health,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11/04/2020</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6,807,500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6,765,938</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6,620,294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GTCR Valor Companies,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06/16/2023</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Media: Broadcasting and Subscription</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7,481,250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7,191,975</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7,116,539</w:t>
            </w:r>
          </w:p>
        </w:tc>
        <w:tc>
          <w:tcPr>
            <w:tcW w:w="0" w:type="dxa"/>
            <w:vAlign w:val="bottom"/>
          </w:tcPr>
          <w:p>
            <w:pPr>
              <w:spacing w:after="0"/>
              <w:rPr>
                <w:sz w:val="1"/>
                <w:szCs w:val="1"/>
                <w:color w:val="auto"/>
              </w:rPr>
            </w:pPr>
          </w:p>
        </w:tc>
      </w:tr>
      <w:tr>
        <w:trPr>
          <w:trHeight w:val="129"/>
        </w:trPr>
        <w:tc>
          <w:tcPr>
            <w:tcW w:w="4540" w:type="dxa"/>
            <w:vAlign w:val="bottom"/>
          </w:tcPr>
          <w:p>
            <w:pPr>
              <w:spacing w:after="0" w:line="129" w:lineRule="exact"/>
              <w:rPr>
                <w:sz w:val="20"/>
                <w:szCs w:val="20"/>
                <w:color w:val="auto"/>
              </w:rPr>
            </w:pPr>
            <w:r>
              <w:rPr>
                <w:rFonts w:ascii="Arial" w:cs="Arial" w:eastAsia="Arial" w:hAnsi="Arial"/>
                <w:sz w:val="12"/>
                <w:szCs w:val="12"/>
                <w:color w:val="auto"/>
              </w:rPr>
              <w:t>Harbortouch Payments, LLC</w:t>
            </w:r>
          </w:p>
        </w:tc>
        <w:tc>
          <w:tcPr>
            <w:tcW w:w="1000" w:type="dxa"/>
            <w:vAlign w:val="bottom"/>
          </w:tcPr>
          <w:p>
            <w:pPr>
              <w:jc w:val="center"/>
              <w:ind w:left="122"/>
              <w:spacing w:after="0" w:line="129" w:lineRule="exact"/>
              <w:rPr>
                <w:sz w:val="20"/>
                <w:szCs w:val="20"/>
                <w:color w:val="auto"/>
              </w:rPr>
            </w:pPr>
            <w:r>
              <w:rPr>
                <w:rFonts w:ascii="Arial" w:cs="Arial" w:eastAsia="Arial" w:hAnsi="Arial"/>
                <w:sz w:val="12"/>
                <w:szCs w:val="12"/>
                <w:color w:val="auto"/>
                <w:w w:val="89"/>
              </w:rPr>
              <w:t>05/31/2022</w:t>
            </w:r>
          </w:p>
        </w:tc>
        <w:tc>
          <w:tcPr>
            <w:tcW w:w="2060" w:type="dxa"/>
            <w:vAlign w:val="bottom"/>
          </w:tcPr>
          <w:p>
            <w:pPr>
              <w:jc w:val="center"/>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29" w:lineRule="exact"/>
              <w:rPr>
                <w:sz w:val="20"/>
                <w:szCs w:val="20"/>
                <w:color w:val="auto"/>
              </w:rPr>
            </w:pPr>
            <w:r>
              <w:rPr>
                <w:rFonts w:ascii="Arial" w:cs="Arial" w:eastAsia="Arial" w:hAnsi="Arial"/>
                <w:sz w:val="12"/>
                <w:szCs w:val="12"/>
                <w:color w:val="auto"/>
              </w:rPr>
              <w:t>6,956,250</w:t>
            </w:r>
          </w:p>
        </w:tc>
        <w:tc>
          <w:tcPr>
            <w:tcW w:w="780" w:type="dxa"/>
            <w:vAlign w:val="bottom"/>
          </w:tcPr>
          <w:p>
            <w:pPr>
              <w:jc w:val="right"/>
              <w:ind w:right="42"/>
              <w:spacing w:after="0" w:line="129" w:lineRule="exact"/>
              <w:rPr>
                <w:sz w:val="20"/>
                <w:szCs w:val="20"/>
                <w:color w:val="auto"/>
              </w:rPr>
            </w:pPr>
            <w:r>
              <w:rPr>
                <w:rFonts w:ascii="Arial" w:cs="Arial" w:eastAsia="Arial" w:hAnsi="Arial"/>
                <w:sz w:val="12"/>
                <w:szCs w:val="12"/>
                <w:color w:val="auto"/>
              </w:rPr>
              <w:t>6,889,369</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7,025,812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88"/>
              </w:rPr>
              <w:t>Estate</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Highline Aftermarket Acquisition, LLC (f/k/a DYK Prime Acquisition,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04/01/2022</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7,312,500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7,244,146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7,275,937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10/21/2020</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L+800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1,165,886</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1,153,016</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1,142,569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Hostway Corporation</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12/13/2019</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2,624,730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2,610,592</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2,183,890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08/05/2019</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6,256,250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6,218,559</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5,505,500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(11)</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11/04/2020</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90"/>
              </w:rPr>
              <w:t>Construction and Building</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6,225,820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6,133,990</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6,225,820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Idera,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04/09/2021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7,942,494</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7,293,179</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7,684,363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(11)</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05/01/2019</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85"/>
              </w:rPr>
              <w:t>Business Services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8,676,097</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8,614,521</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8,242,292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line="129" w:lineRule="exact"/>
              <w:rPr>
                <w:sz w:val="20"/>
                <w:szCs w:val="20"/>
                <w:color w:val="auto"/>
              </w:rPr>
            </w:pPr>
            <w:r>
              <w:rPr>
                <w:rFonts w:ascii="Arial" w:cs="Arial" w:eastAsia="Arial" w:hAnsi="Arial"/>
                <w:sz w:val="12"/>
                <w:szCs w:val="12"/>
                <w:color w:val="auto"/>
              </w:rPr>
              <w:t>Imagine! Print Solutions, LLC</w:t>
            </w:r>
          </w:p>
        </w:tc>
        <w:tc>
          <w:tcPr>
            <w:tcW w:w="1000" w:type="dxa"/>
            <w:vAlign w:val="bottom"/>
          </w:tcPr>
          <w:p>
            <w:pPr>
              <w:jc w:val="center"/>
              <w:ind w:left="122"/>
              <w:spacing w:after="0" w:line="129" w:lineRule="exact"/>
              <w:rPr>
                <w:sz w:val="20"/>
                <w:szCs w:val="20"/>
                <w:color w:val="auto"/>
              </w:rPr>
            </w:pPr>
            <w:r>
              <w:rPr>
                <w:rFonts w:ascii="Arial" w:cs="Arial" w:eastAsia="Arial" w:hAnsi="Arial"/>
                <w:sz w:val="12"/>
                <w:szCs w:val="12"/>
                <w:color w:val="auto"/>
                <w:w w:val="89"/>
              </w:rPr>
              <w:t>03/30/2022</w:t>
            </w:r>
          </w:p>
        </w:tc>
        <w:tc>
          <w:tcPr>
            <w:tcW w:w="206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5,974,987</w:t>
            </w:r>
          </w:p>
        </w:tc>
        <w:tc>
          <w:tcPr>
            <w:tcW w:w="780" w:type="dxa"/>
            <w:vAlign w:val="bottom"/>
          </w:tcPr>
          <w:p>
            <w:pPr>
              <w:jc w:val="right"/>
              <w:ind w:right="42"/>
              <w:spacing w:after="0" w:line="129" w:lineRule="exact"/>
              <w:rPr>
                <w:sz w:val="20"/>
                <w:szCs w:val="20"/>
                <w:color w:val="auto"/>
              </w:rPr>
            </w:pPr>
            <w:r>
              <w:rPr>
                <w:rFonts w:ascii="Arial" w:cs="Arial" w:eastAsia="Arial" w:hAnsi="Arial"/>
                <w:sz w:val="12"/>
                <w:szCs w:val="12"/>
                <w:color w:val="auto"/>
              </w:rPr>
              <w:t>5,914,562</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6,027,269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5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Instant Web, LLC, Term Loan A</w:t>
            </w:r>
          </w:p>
        </w:tc>
        <w:tc>
          <w:tcPr>
            <w:tcW w:w="1000" w:type="dxa"/>
            <w:vAlign w:val="bottom"/>
            <w:shd w:val="clear" w:color="auto" w:fill="CCEEFF"/>
          </w:tcPr>
          <w:p>
            <w:pPr>
              <w:jc w:val="center"/>
              <w:ind w:left="122"/>
              <w:spacing w:after="0" w:line="129" w:lineRule="exact"/>
              <w:rPr>
                <w:sz w:val="20"/>
                <w:szCs w:val="20"/>
                <w:color w:val="auto"/>
              </w:rPr>
            </w:pPr>
            <w:r>
              <w:rPr>
                <w:rFonts w:ascii="Arial" w:cs="Arial" w:eastAsia="Arial" w:hAnsi="Arial"/>
                <w:sz w:val="12"/>
                <w:szCs w:val="12"/>
                <w:color w:val="auto"/>
                <w:w w:val="89"/>
              </w:rPr>
              <w:t>03/28/2019</w:t>
            </w:r>
          </w:p>
        </w:tc>
        <w:tc>
          <w:tcPr>
            <w:tcW w:w="206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L+450</w:t>
            </w:r>
          </w:p>
        </w:tc>
        <w:tc>
          <w:tcPr>
            <w:tcW w:w="72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5,277,938</w:t>
            </w:r>
          </w:p>
        </w:tc>
        <w:tc>
          <w:tcPr>
            <w:tcW w:w="78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5,235,239</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5,277,938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Publishing</w:t>
            </w: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line="129" w:lineRule="exact"/>
              <w:rPr>
                <w:sz w:val="20"/>
                <w:szCs w:val="20"/>
                <w:color w:val="auto"/>
              </w:rPr>
            </w:pPr>
            <w:r>
              <w:rPr>
                <w:rFonts w:ascii="Arial" w:cs="Arial" w:eastAsia="Arial" w:hAnsi="Arial"/>
                <w:sz w:val="12"/>
                <w:szCs w:val="12"/>
                <w:color w:val="auto"/>
              </w:rPr>
              <w:t>Instant Web, LLC, Term Loan B</w:t>
            </w:r>
          </w:p>
        </w:tc>
        <w:tc>
          <w:tcPr>
            <w:tcW w:w="1000" w:type="dxa"/>
            <w:vAlign w:val="bottom"/>
          </w:tcPr>
          <w:p>
            <w:pPr>
              <w:jc w:val="center"/>
              <w:ind w:left="122"/>
              <w:spacing w:after="0" w:line="129" w:lineRule="exact"/>
              <w:rPr>
                <w:sz w:val="20"/>
                <w:szCs w:val="20"/>
                <w:color w:val="auto"/>
              </w:rPr>
            </w:pPr>
            <w:r>
              <w:rPr>
                <w:rFonts w:ascii="Arial" w:cs="Arial" w:eastAsia="Arial" w:hAnsi="Arial"/>
                <w:sz w:val="12"/>
                <w:szCs w:val="12"/>
                <w:color w:val="auto"/>
                <w:w w:val="89"/>
              </w:rPr>
              <w:t>03/28/2019</w:t>
            </w:r>
          </w:p>
        </w:tc>
        <w:tc>
          <w:tcPr>
            <w:tcW w:w="206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12.00%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L+1,100</w:t>
            </w:r>
          </w:p>
        </w:tc>
        <w:tc>
          <w:tcPr>
            <w:tcW w:w="72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4,500,000</w:t>
            </w:r>
          </w:p>
        </w:tc>
        <w:tc>
          <w:tcPr>
            <w:tcW w:w="780" w:type="dxa"/>
            <w:vAlign w:val="bottom"/>
          </w:tcPr>
          <w:p>
            <w:pPr>
              <w:jc w:val="right"/>
              <w:ind w:right="42"/>
              <w:spacing w:after="0" w:line="129" w:lineRule="exact"/>
              <w:rPr>
                <w:sz w:val="20"/>
                <w:szCs w:val="20"/>
                <w:color w:val="auto"/>
              </w:rPr>
            </w:pPr>
            <w:r>
              <w:rPr>
                <w:rFonts w:ascii="Arial" w:cs="Arial" w:eastAsia="Arial" w:hAnsi="Arial"/>
                <w:sz w:val="12"/>
                <w:szCs w:val="12"/>
                <w:color w:val="auto"/>
              </w:rPr>
              <w:t>4,460,571</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4,500,000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Interior Specialists,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06/30/2020</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90"/>
              </w:rPr>
              <w:t>Construction and Building</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L+800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6,662,719</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6,609,864</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6,662,719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Inventus Power, Inc. (f/k/a ICC-Nexergy,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04/30/2020</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4,882,266</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4,846,935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4,686,976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Jackson Hewitt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07/30/2020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Consumer Services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4,820,995</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4,753,000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02/19/2021</w:t>
            </w:r>
          </w:p>
        </w:tc>
        <w:tc>
          <w:tcPr>
            <w:tcW w:w="2060" w:type="dxa"/>
            <w:vAlign w:val="bottom"/>
          </w:tcPr>
          <w:p>
            <w:pPr>
              <w:jc w:val="center"/>
              <w:ind w:left="2"/>
              <w:spacing w:after="0" w:line="135" w:lineRule="exact"/>
              <w:rPr>
                <w:sz w:val="20"/>
                <w:szCs w:val="20"/>
                <w:color w:val="auto"/>
              </w:rPr>
            </w:pPr>
            <w:r>
              <w:rPr>
                <w:rFonts w:ascii="Arial" w:cs="Arial" w:eastAsia="Arial" w:hAnsi="Arial"/>
                <w:sz w:val="12"/>
                <w:szCs w:val="12"/>
                <w:color w:val="auto"/>
                <w:w w:val="87"/>
              </w:rPr>
              <w:t>Chemicals, Plastics and Rubber</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L+900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4,002,471</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3,932,760</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3,925,841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Kendra Scott,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07/17/2020</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91"/>
              </w:rPr>
              <w:t>Retail</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2,850,000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2,827,307</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2,821,500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KHC Holdings,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10/31/2022</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12,406,250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12,210,683</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12,344,219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(10)</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10/30/2020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7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1,209,677</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Lago Resort &amp; Casino,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03/07/2022</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L+950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10,174,500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9,984,965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9,971,010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Lanyon Solutions,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11/13/2020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1,945,020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1,940,066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1,930,432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11/30/2018</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L+525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5,407,864</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5,371,524</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5,272,668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Lindblad Expeditions, Inc. </w:t>
            </w:r>
            <w:r>
              <w:rPr>
                <w:rFonts w:ascii="Arial" w:cs="Arial" w:eastAsia="Arial" w:hAnsi="Arial"/>
                <w:sz w:val="9"/>
                <w:szCs w:val="9"/>
                <w:color w:val="auto"/>
              </w:rPr>
              <w:t>(6), (11)</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05/10/2021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2,186,607</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2,177,539</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2,186,607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Lindblad Maritime Enterprises, Ltd. </w:t>
            </w:r>
            <w:r>
              <w:rPr>
                <w:rFonts w:ascii="Arial" w:cs="Arial" w:eastAsia="Arial" w:hAnsi="Arial"/>
                <w:sz w:val="9"/>
                <w:szCs w:val="9"/>
                <w:color w:val="auto"/>
              </w:rPr>
              <w:t>(6), (11)</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05/10/2021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L+450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282,143</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280,973</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282,143</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Lombart Brothers,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04/13/2022</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89"/>
              </w:rPr>
              <w:t>Capital Equipment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5,985,000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5,901,046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6,014,925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w:t>
            </w:r>
          </w:p>
        </w:tc>
        <w:tc>
          <w:tcPr>
            <w:tcW w:w="1000" w:type="dxa"/>
            <w:vAlign w:val="bottom"/>
          </w:tcPr>
          <w:p>
            <w:pPr>
              <w:jc w:val="center"/>
              <w:ind w:left="122"/>
              <w:spacing w:after="0"/>
              <w:rPr>
                <w:sz w:val="20"/>
                <w:szCs w:val="20"/>
                <w:color w:val="auto"/>
              </w:rPr>
            </w:pPr>
            <w:r>
              <w:rPr>
                <w:rFonts w:ascii="Arial" w:cs="Arial" w:eastAsia="Arial" w:hAnsi="Arial"/>
                <w:sz w:val="12"/>
                <w:szCs w:val="12"/>
                <w:color w:val="auto"/>
                <w:w w:val="89"/>
              </w:rPr>
              <w:t>04/13/2022</w:t>
            </w:r>
          </w:p>
        </w:tc>
        <w:tc>
          <w:tcPr>
            <w:tcW w:w="2060" w:type="dxa"/>
            <w:vAlign w:val="bottom"/>
          </w:tcPr>
          <w:p>
            <w:pPr>
              <w:jc w:val="center"/>
              <w:ind w:left="2"/>
              <w:spacing w:after="0"/>
              <w:rPr>
                <w:sz w:val="20"/>
                <w:szCs w:val="20"/>
                <w:color w:val="auto"/>
              </w:rPr>
            </w:pPr>
            <w:r>
              <w:rPr>
                <w:rFonts w:ascii="Arial" w:cs="Arial" w:eastAsia="Arial" w:hAnsi="Arial"/>
                <w:sz w:val="12"/>
                <w:szCs w:val="12"/>
                <w:color w:val="auto"/>
                <w:w w:val="89"/>
              </w:rPr>
              <w:t>Capital Equipment</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7.75%</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L+675</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176,991</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176,991</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176,991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Basis Point</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8"/>
              </w:rPr>
              <w:t>Industry</w:t>
            </w:r>
          </w:p>
        </w:tc>
        <w:tc>
          <w:tcPr>
            <w:tcW w:w="920" w:type="dxa"/>
            <w:vAlign w:val="bottom"/>
            <w:gridSpan w:val="2"/>
          </w:tcPr>
          <w:p>
            <w:pPr>
              <w:jc w:val="right"/>
              <w:ind w:right="440"/>
              <w:spacing w:after="0" w:line="135" w:lineRule="exact"/>
              <w:rPr>
                <w:sz w:val="20"/>
                <w:szCs w:val="20"/>
                <w:color w:val="auto"/>
              </w:rPr>
            </w:pPr>
            <w:r>
              <w:rPr>
                <w:rFonts w:ascii="Arial" w:cs="Arial" w:eastAsia="Arial" w:hAnsi="Arial"/>
                <w:sz w:val="12"/>
                <w:szCs w:val="12"/>
                <w:b w:val="1"/>
                <w:bCs w:val="1"/>
                <w:color w:val="auto"/>
              </w:rPr>
              <w:t>Current</w:t>
            </w:r>
          </w:p>
        </w:tc>
        <w:tc>
          <w:tcPr>
            <w:tcW w:w="88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87"/>
              </w:rPr>
              <w:t>Above</w:t>
            </w: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9"/>
              </w:rPr>
              <w:t>Par /</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80" w:type="dxa"/>
            <w:vAlign w:val="bottom"/>
            <w:gridSpan w:val="3"/>
            <w:vMerge w:val="continue"/>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Maturity</w:t>
            </w:r>
          </w:p>
        </w:tc>
        <w:tc>
          <w:tcPr>
            <w:tcW w:w="2160" w:type="dxa"/>
            <w:vAlign w:val="bottom"/>
            <w:gridSpan w:val="2"/>
            <w:vMerge w:val="continue"/>
          </w:tcPr>
          <w:p>
            <w:pPr>
              <w:spacing w:after="0"/>
              <w:rPr>
                <w:sz w:val="12"/>
                <w:szCs w:val="12"/>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Coupon</w:t>
            </w:r>
          </w:p>
        </w:tc>
        <w:tc>
          <w:tcPr>
            <w:tcW w:w="8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Cost</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(10)</w:t>
            </w: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04/13/2022</w:t>
            </w:r>
          </w:p>
        </w:tc>
        <w:tc>
          <w:tcPr>
            <w:tcW w:w="160" w:type="dxa"/>
            <w:vAlign w:val="bottom"/>
            <w:tcBorders>
              <w:top w:val="single" w:sz="8" w:color="CCEEFF"/>
            </w:tcBorders>
            <w:shd w:val="clear" w:color="auto" w:fill="CCEEFF"/>
          </w:tcPr>
          <w:p>
            <w:pPr>
              <w:spacing w:after="0"/>
              <w:rPr>
                <w:sz w:val="11"/>
                <w:szCs w:val="11"/>
                <w:color w:val="auto"/>
              </w:rPr>
            </w:pPr>
          </w:p>
        </w:tc>
        <w:tc>
          <w:tcPr>
            <w:tcW w:w="19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Capital Equipment</w:t>
            </w:r>
          </w:p>
        </w:tc>
        <w:tc>
          <w:tcPr>
            <w:tcW w:w="1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400"/>
              <w:spacing w:after="0" w:line="129" w:lineRule="exact"/>
              <w:rPr>
                <w:sz w:val="20"/>
                <w:szCs w:val="20"/>
                <w:color w:val="auto"/>
              </w:rPr>
            </w:pPr>
            <w:r>
              <w:rPr>
                <w:rFonts w:ascii="Arial" w:cs="Arial" w:eastAsia="Arial" w:hAnsi="Arial"/>
                <w:sz w:val="12"/>
                <w:szCs w:val="12"/>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380"/>
              <w:spacing w:after="0" w:line="129" w:lineRule="exact"/>
              <w:rPr>
                <w:sz w:val="20"/>
                <w:szCs w:val="20"/>
                <w:color w:val="auto"/>
              </w:rPr>
            </w:pPr>
            <w:r>
              <w:rPr>
                <w:rFonts w:ascii="Arial" w:cs="Arial" w:eastAsia="Arial" w:hAnsi="Arial"/>
                <w:sz w:val="12"/>
                <w:szCs w:val="12"/>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1,061,947</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Long’s Drugs Incorporated</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08/19/2021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6.25%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4,951,874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4,950,000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LSF9 Atlantis Holdings,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01/15/2021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4"/>
              </w:rPr>
              <w:t>Retail</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10.00%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L+900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9,542,392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9,417,467</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9,542,392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LTI Holdings,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04/18/2022</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Chemicals, Plastics and Rubber</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5.25%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L+425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5,431,250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4,973,326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5,254,734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Marketplace Events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6.25%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1,362,530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1,342,162</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1,342,092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(12)</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6.25%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P+275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17,244,188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12,065,652</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13,078,215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6.25%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P+275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1,090,024</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1,090,024</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1,090,024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(10)</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613,139</w:t>
            </w:r>
          </w:p>
        </w:tc>
        <w:tc>
          <w:tcPr>
            <w:tcW w:w="8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Mission Critical Electronics, Inc.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09/28/2022</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4,116,608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4,075,499</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4,075,442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(10)</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09/28/2021</w:t>
            </w:r>
          </w:p>
        </w:tc>
        <w:tc>
          <w:tcPr>
            <w:tcW w:w="160" w:type="dxa"/>
            <w:vAlign w:val="bottom"/>
          </w:tcPr>
          <w:p>
            <w:pPr>
              <w:spacing w:after="0"/>
              <w:rPr>
                <w:sz w:val="11"/>
                <w:szCs w:val="11"/>
                <w:color w:val="auto"/>
              </w:rPr>
            </w:pPr>
          </w:p>
        </w:tc>
        <w:tc>
          <w:tcPr>
            <w:tcW w:w="216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883,392</w:t>
            </w:r>
          </w:p>
        </w:tc>
        <w:tc>
          <w:tcPr>
            <w:tcW w:w="8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New Trident HoldCorp,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07/31/2019</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8,817,647</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8,767,669</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8,288,588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08/19/2022</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6,268,657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6,205,970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6,205,970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 (10)</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08/19/2022</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3,731,343</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Polycom,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09/27/2023</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7.50%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L+650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5,760,000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5,775,000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Precyse Acquisition Corp.</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10/20/2022</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3,990,000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3,932,956</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4,014,938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Premier Dental Services,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11/01/2018</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5"/>
              </w:rPr>
              <w:t>Consumer Services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7.50%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L+650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7,528,230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7,473,587</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7,490,588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Profile Products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05/20/2021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Environmental Industries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5.75%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L+475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7,281,762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7,222,561</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7,281,762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(10)</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05/20/2020</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Environmental Industries</w:t>
            </w:r>
          </w:p>
        </w:tc>
        <w:tc>
          <w:tcPr>
            <w:tcW w:w="9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2,459,016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Quick Weight Loss Centers,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08/23/2021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Beverage, Food and Tobacco</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5.75%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L+475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10,000,000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9,852,456</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9,900,000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Research Now Group,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03/18/2021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5.50%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L+450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6,895,000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6,867,800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6,688,150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Robertshaw US Holding Corp.</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06/18/2019</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8.50%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4,252,830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4,233,671</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4,258,699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Ryan,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08/07/2020</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7"/>
              </w:rPr>
              <w:t>Business Services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6.75%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L+575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4,218,750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4,166,413</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4,163,400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Sensus USA,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04/05/2023</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0"/>
              </w:rPr>
              <w:t>Utilities: Water</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9,975,000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9,692,511</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9,999,938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Snak Club,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07/19/2021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7"/>
              </w:rPr>
              <w:t>Beverage, Food and Tobacco</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4,968,748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4,896,623</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4,919,060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(10)</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07/19/2021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Beverage, Food and Tobacco</w:t>
            </w:r>
          </w:p>
        </w:tc>
        <w:tc>
          <w:tcPr>
            <w:tcW w:w="9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Software Paradigms International Group,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05/21/2021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9,875,000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9,781,596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9,825,625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Sotera Defense Solutions,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04/21/2017</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9.00%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L+750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5,668,843</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5,614,696</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5,640,499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Sundial Group Holdings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10/19/2021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7.25%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L+625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7,312,500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7,200,786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7,312,500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Survey Sampling International,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12/16/2020</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Business Services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7,446,562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7,395,200</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7,409,329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Systems Maintenance Services Holding,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10/18/2019</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5.00%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L+400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5,850,000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5,834,217</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5,733,000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Tensar Corporation</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07/09/2021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2"/>
              </w:rPr>
              <w:t>Construction and Building</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5.75%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L+475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4,822,723</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4,786,985</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4,071,198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(11)</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07/20/2021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3,092,295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3,062,366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3,061,372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(11)</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07/20/2021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5,986,002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5,928,120</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5,926,142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(10), (11)</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07/20/2021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1,418,484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(7,092)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TOMS Shoes,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11/02/2020</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1,970,000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1,825,559</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1,576,000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Triad Manufacturing,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12/28/2020</w:t>
            </w:r>
          </w:p>
        </w:tc>
        <w:tc>
          <w:tcPr>
            <w:tcW w:w="160" w:type="dxa"/>
            <w:vAlign w:val="bottom"/>
          </w:tcPr>
          <w:p>
            <w:pPr>
              <w:spacing w:after="0"/>
              <w:rPr>
                <w:sz w:val="11"/>
                <w:szCs w:val="11"/>
                <w:color w:val="auto"/>
              </w:rPr>
            </w:pPr>
          </w:p>
        </w:tc>
        <w:tc>
          <w:tcPr>
            <w:tcW w:w="216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11.27%</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L+1,075</w:t>
            </w:r>
            <w:r>
              <w:rPr>
                <w:rFonts w:ascii="Arial" w:cs="Arial" w:eastAsia="Arial" w:hAnsi="Arial"/>
                <w:sz w:val="9"/>
                <w:szCs w:val="9"/>
                <w:color w:val="auto"/>
              </w:rPr>
              <w:t>(9)</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10,306,936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10,124,477</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10,306,936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01/14/2019</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29"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9.50%</w:t>
            </w:r>
          </w:p>
        </w:tc>
        <w:tc>
          <w:tcPr>
            <w:tcW w:w="88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L+850</w:t>
            </w:r>
          </w:p>
        </w:tc>
        <w:tc>
          <w:tcPr>
            <w:tcW w:w="8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256,971</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256,971</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256,971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(PIK 1.00%)</w:t>
            </w: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01/14/2019</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8.50%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L+750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599,702</w:t>
            </w:r>
          </w:p>
        </w:tc>
        <w:tc>
          <w:tcPr>
            <w:tcW w:w="8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562,432</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590,706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(10)</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01/14/2019</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151,090</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Universal Fiber Systems,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10/04/2021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Chemicals, Plastics and Rubber</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4,962,500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4,919,423</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4,937,688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U.S. Anesthesia Partners,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12/31/2019</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9,900,000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9,818,407</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9,850,500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08/13/2021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10.00%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L+900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3,089,844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3,089,844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3,089,844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Vistage Worldwide,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08/19/2021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Media: Broadcasting and Subscription</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4,792,831</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4,752,002</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4,792,831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Winchester Electronics Corporation</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06/30/2022</w:t>
            </w:r>
          </w:p>
        </w:tc>
        <w:tc>
          <w:tcPr>
            <w:tcW w:w="160" w:type="dxa"/>
            <w:vAlign w:val="bottom"/>
          </w:tcPr>
          <w:p>
            <w:pPr>
              <w:spacing w:after="0"/>
              <w:rPr>
                <w:sz w:val="11"/>
                <w:szCs w:val="11"/>
                <w:color w:val="auto"/>
              </w:rPr>
            </w:pPr>
          </w:p>
        </w:tc>
        <w:tc>
          <w:tcPr>
            <w:tcW w:w="216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7.50%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L+650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7,773,579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7,703,094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7,668,171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(10)</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06/30/2022</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708,333</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(9,605)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tcPr>
          <w:p>
            <w:pPr>
              <w:spacing w:after="0" w:line="129" w:lineRule="exact"/>
              <w:rPr>
                <w:sz w:val="20"/>
                <w:szCs w:val="20"/>
                <w:color w:val="auto"/>
              </w:rPr>
            </w:pPr>
            <w:r>
              <w:rPr>
                <w:rFonts w:ascii="Arial" w:cs="Arial" w:eastAsia="Arial" w:hAnsi="Arial"/>
                <w:sz w:val="12"/>
                <w:szCs w:val="12"/>
                <w:color w:val="auto"/>
              </w:rPr>
              <w:t>Worley Claims Services, LLC</w:t>
            </w: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89"/>
              </w:rPr>
              <w:t>10/30/2020</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92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9.00%</w:t>
            </w:r>
          </w:p>
        </w:tc>
        <w:tc>
          <w:tcPr>
            <w:tcW w:w="88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L+800</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7,316,440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rPr>
              <w:t>7,259,010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7,316,440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Estate</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w w:val="86"/>
              </w:rPr>
              <w:t>549,736,982</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6"/>
              </w:rPr>
              <w:t>548,410,095</w:t>
            </w:r>
          </w:p>
        </w:tc>
        <w:tc>
          <w:tcPr>
            <w:tcW w:w="0" w:type="dxa"/>
            <w:vAlign w:val="bottom"/>
          </w:tcPr>
          <w:p>
            <w:pPr>
              <w:spacing w:after="0"/>
              <w:rPr>
                <w:sz w:val="1"/>
                <w:szCs w:val="1"/>
                <w:color w:val="auto"/>
              </w:rPr>
            </w:pPr>
          </w:p>
        </w:tc>
      </w:tr>
      <w:tr>
        <w:trPr>
          <w:trHeight w:val="142"/>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Second Lien Secured Debt—9.7%</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Affinion Group, Inc.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10/31/2018</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8.50%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942,276</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879,170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09/01/2017</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2"/>
              </w:rPr>
              <w:t>Metals and Mining</w:t>
            </w:r>
          </w:p>
        </w:tc>
        <w:tc>
          <w:tcPr>
            <w:tcW w:w="9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1,000,000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12/31/2020</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Chemicals, Plastics and Rubber</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11.34%</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(9)</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2,000,000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1,971,030</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2,020,000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Howard Berger Co.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09/30/2020</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Wholesale</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11.00%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L+1,000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w w:val="93"/>
              </w:rPr>
              <w:t>11,000,000</w:t>
            </w:r>
          </w:p>
        </w:tc>
        <w:tc>
          <w:tcPr>
            <w:tcW w:w="8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w w:val="96"/>
              </w:rPr>
              <w:t>10,511,818</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9,900,000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MailSouth, Inc.</w:t>
            </w:r>
          </w:p>
        </w:tc>
        <w:tc>
          <w:tcPr>
            <w:tcW w:w="7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10/22/2021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29" w:lineRule="exact"/>
              <w:rPr>
                <w:sz w:val="20"/>
                <w:szCs w:val="20"/>
                <w:color w:val="auto"/>
              </w:rPr>
            </w:pPr>
            <w:r>
              <w:rPr>
                <w:rFonts w:ascii="Arial" w:cs="Arial" w:eastAsia="Arial" w:hAnsi="Arial"/>
                <w:sz w:val="12"/>
                <w:szCs w:val="12"/>
                <w:color w:val="auto"/>
                <w:w w:val="90"/>
              </w:rPr>
              <w:t>Media: Advertising, Printing and</w:t>
            </w:r>
          </w:p>
        </w:tc>
        <w:tc>
          <w:tcPr>
            <w:tcW w:w="9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11.50%</w:t>
            </w:r>
          </w:p>
        </w:tc>
        <w:tc>
          <w:tcPr>
            <w:tcW w:w="88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L+1,050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3,775,000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3,703,724</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3,775,000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80"/>
              <w:spacing w:after="0"/>
              <w:rPr>
                <w:sz w:val="20"/>
                <w:szCs w:val="20"/>
                <w:color w:val="auto"/>
              </w:rPr>
            </w:pPr>
            <w:r>
              <w:rPr>
                <w:rFonts w:ascii="Arial" w:cs="Arial" w:eastAsia="Arial" w:hAnsi="Arial"/>
                <w:sz w:val="12"/>
                <w:szCs w:val="12"/>
                <w:color w:val="auto"/>
                <w:w w:val="90"/>
              </w:rPr>
              <w:t>Publishing</w:t>
            </w: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Novitex Acquisition,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07/07/2021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7"/>
              </w:rPr>
              <w:t>Business Services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12.25%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L+1,100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w w:val="93"/>
              </w:rPr>
              <w:t>11,000,000</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10,914,618</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11,000,000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Penton Media, Inc.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10/02/2020</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9.00%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L+775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4,872,042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4,826,926</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4,853,772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(11)</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08/01/2017</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6"/>
              </w:rPr>
              <w:t>Energy: Oil and Gas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12.50%</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2,812,500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2,756,732</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1,631,250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VT Buyer Acquisition Corp.</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01/30/2023</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Business Services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10.75%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L+975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1,837,500</w:t>
            </w:r>
          </w:p>
        </w:tc>
        <w:tc>
          <w:tcPr>
            <w:tcW w:w="2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1,777,304</w:t>
            </w:r>
          </w:p>
        </w:tc>
        <w:tc>
          <w:tcPr>
            <w:tcW w:w="2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1,837,500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Total Second Lien Secured Debt</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6"/>
              </w:rPr>
              <w:t>38,404,428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36,596,692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Subordinated Debt/Corporate Notes—0.8% </w:t>
            </w:r>
            <w:r>
              <w:rPr>
                <w:rFonts w:ascii="Arial" w:cs="Arial" w:eastAsia="Arial" w:hAnsi="Arial"/>
                <w:sz w:val="9"/>
                <w:szCs w:val="9"/>
                <w:b w:val="1"/>
                <w:bCs w:val="1"/>
                <w:color w:val="auto"/>
              </w:rPr>
              <w:t>(8)</w:t>
            </w: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tcPr>
          <w:p>
            <w:pPr>
              <w:spacing w:after="0" w:line="129" w:lineRule="exact"/>
              <w:rPr>
                <w:sz w:val="20"/>
                <w:szCs w:val="20"/>
                <w:color w:val="auto"/>
              </w:rPr>
            </w:pPr>
            <w:r>
              <w:rPr>
                <w:rFonts w:ascii="Arial" w:cs="Arial" w:eastAsia="Arial" w:hAnsi="Arial"/>
                <w:sz w:val="12"/>
                <w:szCs w:val="12"/>
                <w:color w:val="auto"/>
              </w:rPr>
              <w:t xml:space="preserve">Affinion International Holdings Limited </w:t>
            </w:r>
            <w:r>
              <w:rPr>
                <w:rFonts w:ascii="Arial" w:cs="Arial" w:eastAsia="Arial" w:hAnsi="Arial"/>
                <w:sz w:val="9"/>
                <w:szCs w:val="9"/>
                <w:color w:val="auto"/>
              </w:rPr>
              <w:t>(5), (6), (11)</w:t>
            </w: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89"/>
              </w:rPr>
              <w:t>07/30/2018</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88"/>
              </w:rPr>
              <w:t>Consumer Goods: Durable</w:t>
            </w:r>
          </w:p>
        </w:tc>
        <w:tc>
          <w:tcPr>
            <w:tcW w:w="92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7.50%</w:t>
            </w:r>
          </w:p>
        </w:tc>
        <w:tc>
          <w:tcPr>
            <w:tcW w:w="88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1,135,273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rPr>
              <w:t>1,030,320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1,035,937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(PIK 4.00%)</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Credit Infonet, Inc.</w:t>
            </w:r>
          </w:p>
        </w:tc>
        <w:tc>
          <w:tcPr>
            <w:tcW w:w="70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89"/>
              </w:rPr>
              <w:t>10/26/2018</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6" w:lineRule="exact"/>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13.00%</w:t>
            </w:r>
          </w:p>
        </w:tc>
        <w:tc>
          <w:tcPr>
            <w:tcW w:w="880" w:type="dxa"/>
            <w:vAlign w:val="bottom"/>
            <w:gridSpan w:val="2"/>
            <w:shd w:val="clear" w:color="auto" w:fill="CCEEFF"/>
          </w:tcPr>
          <w:p>
            <w:pPr>
              <w:ind w:left="380"/>
              <w:spacing w:after="0" w:line="136"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2,069,078</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2,050,767</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1,975,969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(PIK 1.75%)</w:t>
            </w: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tcPr>
          <w:p>
            <w:pPr>
              <w:spacing w:after="0" w:line="129" w:lineRule="exact"/>
              <w:rPr>
                <w:sz w:val="20"/>
                <w:szCs w:val="20"/>
                <w:color w:val="auto"/>
              </w:rPr>
            </w:pPr>
            <w:r>
              <w:rPr>
                <w:rFonts w:ascii="Arial" w:cs="Arial" w:eastAsia="Arial" w:hAnsi="Arial"/>
                <w:sz w:val="12"/>
                <w:szCs w:val="12"/>
                <w:color w:val="auto"/>
              </w:rPr>
              <w:t>UniTek Global Services, Inc.</w:t>
            </w: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89"/>
              </w:rPr>
              <w:t>07/15/2019</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15.00%</w:t>
            </w:r>
          </w:p>
        </w:tc>
        <w:tc>
          <w:tcPr>
            <w:tcW w:w="88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146,996</w:t>
            </w:r>
          </w:p>
        </w:tc>
        <w:tc>
          <w:tcPr>
            <w:tcW w:w="80" w:type="dxa"/>
            <w:vAlign w:val="bottom"/>
          </w:tcPr>
          <w:p>
            <w:pPr>
              <w:spacing w:after="0"/>
              <w:rPr>
                <w:sz w:val="11"/>
                <w:szCs w:val="11"/>
                <w:color w:val="auto"/>
              </w:rPr>
            </w:pPr>
          </w:p>
        </w:tc>
        <w:tc>
          <w:tcPr>
            <w:tcW w:w="86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146,996</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148,466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w w:val="95"/>
              </w:rPr>
              <w:t>(PIK 15.00%)</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3,228,083</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3,160,372</w:t>
            </w:r>
          </w:p>
        </w:tc>
        <w:tc>
          <w:tcPr>
            <w:tcW w:w="0" w:type="dxa"/>
            <w:vAlign w:val="bottom"/>
          </w:tcPr>
          <w:p>
            <w:pPr>
              <w:spacing w:after="0"/>
              <w:rPr>
                <w:sz w:val="1"/>
                <w:szCs w:val="1"/>
                <w:color w:val="auto"/>
              </w:rPr>
            </w:pPr>
          </w:p>
        </w:tc>
      </w:tr>
      <w:tr>
        <w:trPr>
          <w:trHeight w:val="142"/>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9"/>
                <w:szCs w:val="9"/>
                <w:b w:val="1"/>
                <w:bCs w:val="1"/>
                <w:color w:val="auto"/>
              </w:rPr>
              <w:t>(7), (8)</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w:t>
            </w:r>
          </w:p>
        </w:tc>
        <w:tc>
          <w:tcPr>
            <w:tcW w:w="8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13.50%</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1,047,317</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670,283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1,319,308</w:t>
            </w:r>
          </w:p>
        </w:tc>
        <w:tc>
          <w:tcPr>
            <w:tcW w:w="0" w:type="dxa"/>
            <w:vAlign w:val="bottom"/>
          </w:tcPr>
          <w:p>
            <w:pPr>
              <w:spacing w:after="0"/>
              <w:rPr>
                <w:sz w:val="1"/>
                <w:szCs w:val="1"/>
                <w:color w:val="auto"/>
              </w:rPr>
            </w:pPr>
          </w:p>
        </w:tc>
      </w:tr>
      <w:tr>
        <w:trPr>
          <w:trHeight w:val="142"/>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Common Equity/Warrants—2.5% </w:t>
            </w:r>
            <w:r>
              <w:rPr>
                <w:rFonts w:ascii="Arial" w:cs="Arial" w:eastAsia="Arial" w:hAnsi="Arial"/>
                <w:sz w:val="9"/>
                <w:szCs w:val="9"/>
                <w:b w:val="1"/>
                <w:bCs w:val="1"/>
                <w:color w:val="auto"/>
              </w:rPr>
              <w:t>(7), (8)</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w:t>
            </w:r>
          </w:p>
        </w:tc>
        <w:tc>
          <w:tcPr>
            <w:tcW w:w="8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99,029</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3,514,572</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3,700,216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8"/>
              </w:rPr>
              <w:t>Industry</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740" w:type="dxa"/>
            <w:vAlign w:val="bottom"/>
            <w:gridSpan w:val="2"/>
          </w:tcPr>
          <w:p>
            <w:pPr>
              <w:jc w:val="right"/>
              <w:ind w:right="400"/>
              <w:spacing w:after="0" w:line="135" w:lineRule="exact"/>
              <w:rPr>
                <w:sz w:val="20"/>
                <w:szCs w:val="20"/>
                <w:color w:val="auto"/>
              </w:rPr>
            </w:pPr>
            <w:r>
              <w:rPr>
                <w:rFonts w:ascii="Arial" w:cs="Arial" w:eastAsia="Arial" w:hAnsi="Arial"/>
                <w:sz w:val="12"/>
                <w:szCs w:val="12"/>
                <w:b w:val="1"/>
                <w:bCs w:val="1"/>
                <w:color w:val="auto"/>
              </w:rPr>
              <w:t>Par /</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380" w:type="dxa"/>
            <w:vAlign w:val="bottom"/>
            <w:gridSpan w:val="3"/>
            <w:vMerge w:val="continue"/>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Maturity</w:t>
            </w:r>
          </w:p>
        </w:tc>
        <w:tc>
          <w:tcPr>
            <w:tcW w:w="2160" w:type="dxa"/>
            <w:vAlign w:val="bottom"/>
            <w:gridSpan w:val="2"/>
            <w:vMerge w:val="continue"/>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Coupon</w:t>
            </w: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7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4"/>
              </w:rPr>
              <w:t>Shares</w:t>
            </w:r>
          </w:p>
        </w:tc>
        <w:tc>
          <w:tcPr>
            <w:tcW w:w="60" w:type="dxa"/>
            <w:vAlign w:val="bottom"/>
          </w:tcPr>
          <w:p>
            <w:pPr>
              <w:spacing w:after="0"/>
              <w:rPr>
                <w:sz w:val="12"/>
                <w:szCs w:val="12"/>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2"/>
                <w:szCs w:val="12"/>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Affinion Group Holdings, Inc., Series C and Series D</w:t>
            </w:r>
          </w:p>
        </w:tc>
        <w:tc>
          <w:tcPr>
            <w:tcW w:w="1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ind w:left="320"/>
              <w:spacing w:after="0" w:line="129"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9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Consumer Goods: Durable</w:t>
            </w: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ind w:left="240"/>
              <w:spacing w:after="0" w:line="129"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400"/>
              <w:spacing w:after="0" w:line="129"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4,298</w:t>
            </w:r>
          </w:p>
        </w:tc>
        <w:tc>
          <w:tcPr>
            <w:tcW w:w="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1,186,649</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20,096</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tcPr>
          <w:p>
            <w:pPr>
              <w:spacing w:after="0" w:line="135" w:lineRule="exact"/>
              <w:rPr>
                <w:sz w:val="20"/>
                <w:szCs w:val="20"/>
                <w:color w:val="auto"/>
              </w:rPr>
            </w:pPr>
            <w:r>
              <w:rPr>
                <w:rFonts w:ascii="Arial" w:cs="Arial" w:eastAsia="Arial" w:hAnsi="Arial"/>
                <w:sz w:val="12"/>
                <w:szCs w:val="12"/>
                <w:color w:val="auto"/>
              </w:rPr>
              <w:t>Corfin InvestCo, L.P.</w:t>
            </w:r>
          </w:p>
        </w:tc>
        <w:tc>
          <w:tcPr>
            <w:tcW w:w="940" w:type="dxa"/>
            <w:vAlign w:val="bottom"/>
            <w:gridSpan w:val="2"/>
          </w:tcPr>
          <w:p>
            <w:pPr>
              <w:ind w:left="32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5"/>
              </w:rPr>
              <w:t>Aerospace and Defense</w:t>
            </w:r>
          </w:p>
        </w:tc>
        <w:tc>
          <w:tcPr>
            <w:tcW w:w="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3,000</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621,550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(10)</w:t>
            </w:r>
          </w:p>
        </w:tc>
        <w:tc>
          <w:tcPr>
            <w:tcW w:w="9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5"/>
              </w:rPr>
              <w:t>Aerospace and Defense</w:t>
            </w:r>
          </w:p>
        </w:tc>
        <w:tc>
          <w:tcPr>
            <w:tcW w:w="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3,000</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tcPr>
          <w:p>
            <w:pPr>
              <w:spacing w:after="0" w:line="135" w:lineRule="exact"/>
              <w:rPr>
                <w:sz w:val="20"/>
                <w:szCs w:val="20"/>
                <w:color w:val="auto"/>
              </w:rPr>
            </w:pPr>
            <w:r>
              <w:rPr>
                <w:rFonts w:ascii="Arial" w:cs="Arial" w:eastAsia="Arial" w:hAnsi="Arial"/>
                <w:sz w:val="12"/>
                <w:szCs w:val="12"/>
                <w:color w:val="auto"/>
              </w:rPr>
              <w:t>e.l.f. Beauty, Inc. (f/k/a J.A. Cosmetics US, Inc.)</w:t>
            </w:r>
          </w:p>
        </w:tc>
        <w:tc>
          <w:tcPr>
            <w:tcW w:w="940" w:type="dxa"/>
            <w:vAlign w:val="bottom"/>
            <w:gridSpan w:val="2"/>
          </w:tcPr>
          <w:p>
            <w:pPr>
              <w:ind w:left="32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Consumer Goods: Durable</w:t>
            </w:r>
          </w:p>
        </w:tc>
        <w:tc>
          <w:tcPr>
            <w:tcW w:w="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w w:val="96"/>
              </w:rPr>
              <w:t>110,399</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295,670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2,957,767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Faraday Holdings, LLC (Interior Specialists, Inc.)</w:t>
            </w:r>
          </w:p>
        </w:tc>
        <w:tc>
          <w:tcPr>
            <w:tcW w:w="9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90"/>
              </w:rPr>
              <w:t>Construction and Building</w:t>
            </w:r>
          </w:p>
        </w:tc>
        <w:tc>
          <w:tcPr>
            <w:tcW w:w="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1,141</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58,044</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94,560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gridSpan w:val="2"/>
          </w:tcPr>
          <w:p>
            <w:pPr>
              <w:spacing w:after="0" w:line="129" w:lineRule="exact"/>
              <w:rPr>
                <w:sz w:val="20"/>
                <w:szCs w:val="20"/>
                <w:color w:val="auto"/>
              </w:rPr>
            </w:pPr>
            <w:r>
              <w:rPr>
                <w:rFonts w:ascii="Arial" w:cs="Arial" w:eastAsia="Arial" w:hAnsi="Arial"/>
                <w:sz w:val="12"/>
                <w:szCs w:val="12"/>
                <w:color w:val="auto"/>
              </w:rPr>
              <w:t>Patriot National, Inc.</w:t>
            </w:r>
          </w:p>
        </w:tc>
        <w:tc>
          <w:tcPr>
            <w:tcW w:w="940" w:type="dxa"/>
            <w:vAlign w:val="bottom"/>
            <w:gridSpan w:val="2"/>
          </w:tcPr>
          <w:p>
            <w:pPr>
              <w:ind w:left="320"/>
              <w:spacing w:after="0" w:line="129" w:lineRule="exact"/>
              <w:rPr>
                <w:sz w:val="20"/>
                <w:szCs w:val="20"/>
                <w:color w:val="auto"/>
              </w:rPr>
            </w:pPr>
            <w:r>
              <w:rPr>
                <w:rFonts w:ascii="Arial" w:cs="Arial" w:eastAsia="Arial" w:hAnsi="Arial"/>
                <w:sz w:val="12"/>
                <w:szCs w:val="12"/>
                <w:color w:val="auto"/>
              </w:rPr>
              <w:t>—</w:t>
            </w: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66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11,867</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27,995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106,922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Estate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TPC Broadband Investors, LP</w:t>
            </w:r>
          </w:p>
        </w:tc>
        <w:tc>
          <w:tcPr>
            <w:tcW w:w="940" w:type="dxa"/>
            <w:vAlign w:val="bottom"/>
            <w:gridSpan w:val="2"/>
            <w:shd w:val="clear" w:color="auto" w:fill="CCEEFF"/>
          </w:tcPr>
          <w:p>
            <w:pPr>
              <w:ind w:left="320"/>
              <w:spacing w:after="0" w:line="129"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180"/>
              <w:spacing w:after="0" w:line="129" w:lineRule="exact"/>
              <w:rPr>
                <w:sz w:val="20"/>
                <w:szCs w:val="20"/>
                <w:color w:val="auto"/>
              </w:rPr>
            </w:pPr>
            <w:r>
              <w:rPr>
                <w:rFonts w:ascii="Arial" w:cs="Arial" w:eastAsia="Arial" w:hAnsi="Arial"/>
                <w:sz w:val="12"/>
                <w:szCs w:val="12"/>
                <w:color w:val="auto"/>
                <w:w w:val="89"/>
              </w:rPr>
              <w:t>Telecommunications</w:t>
            </w:r>
          </w:p>
        </w:tc>
        <w:tc>
          <w:tcPr>
            <w:tcW w:w="660" w:type="dxa"/>
            <w:vAlign w:val="bottom"/>
            <w:gridSpan w:val="2"/>
            <w:shd w:val="clear" w:color="auto" w:fill="CCEEFF"/>
          </w:tcPr>
          <w:p>
            <w:pPr>
              <w:ind w:lef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40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w w:val="96"/>
              </w:rPr>
              <w:t>430,666</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430,666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430,666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3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(Advanced Cable Communications, LLC)</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gridSpan w:val="2"/>
          </w:tcPr>
          <w:p>
            <w:pPr>
              <w:spacing w:after="0" w:line="129" w:lineRule="exact"/>
              <w:rPr>
                <w:sz w:val="20"/>
                <w:szCs w:val="20"/>
                <w:color w:val="auto"/>
              </w:rPr>
            </w:pPr>
            <w:r>
              <w:rPr>
                <w:rFonts w:ascii="Arial" w:cs="Arial" w:eastAsia="Arial" w:hAnsi="Arial"/>
                <w:sz w:val="12"/>
                <w:szCs w:val="12"/>
                <w:color w:val="auto"/>
              </w:rPr>
              <w:t>TPC Broadband Investors, LP</w:t>
            </w:r>
          </w:p>
        </w:tc>
        <w:tc>
          <w:tcPr>
            <w:tcW w:w="940" w:type="dxa"/>
            <w:vAlign w:val="bottom"/>
            <w:gridSpan w:val="2"/>
          </w:tcPr>
          <w:p>
            <w:pPr>
              <w:ind w:left="320"/>
              <w:spacing w:after="0" w:line="129" w:lineRule="exact"/>
              <w:rPr>
                <w:sz w:val="20"/>
                <w:szCs w:val="20"/>
                <w:color w:val="auto"/>
              </w:rPr>
            </w:pPr>
            <w:r>
              <w:rPr>
                <w:rFonts w:ascii="Arial" w:cs="Arial" w:eastAsia="Arial" w:hAnsi="Arial"/>
                <w:sz w:val="12"/>
                <w:szCs w:val="12"/>
                <w:color w:val="auto"/>
              </w:rPr>
              <w:t>—</w:t>
            </w: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89"/>
              </w:rPr>
              <w:t>Telecommunications</w:t>
            </w:r>
          </w:p>
        </w:tc>
        <w:tc>
          <w:tcPr>
            <w:tcW w:w="66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w w:val="96"/>
              </w:rPr>
              <w:t>569,334</w:t>
            </w:r>
          </w:p>
        </w:tc>
        <w:tc>
          <w:tcPr>
            <w:tcW w:w="60" w:type="dxa"/>
            <w:vAlign w:val="bottom"/>
          </w:tcPr>
          <w:p>
            <w:pPr>
              <w:spacing w:after="0"/>
              <w:rPr>
                <w:sz w:val="11"/>
                <w:szCs w:val="11"/>
                <w:color w:val="auto"/>
              </w:rPr>
            </w:pPr>
          </w:p>
        </w:tc>
        <w:tc>
          <w:tcPr>
            <w:tcW w:w="740" w:type="dxa"/>
            <w:vAlign w:val="bottom"/>
            <w:gridSpan w:val="2"/>
          </w:tcPr>
          <w:p>
            <w:pPr>
              <w:ind w:left="420"/>
              <w:spacing w:after="0" w:line="129"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360" w:type="dxa"/>
            <w:vAlign w:val="bottom"/>
            <w:gridSpan w:val="2"/>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(10)</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w:t>
            </w:r>
          </w:p>
        </w:tc>
        <w:tc>
          <w:tcPr>
            <w:tcW w:w="9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Telecommunications</w:t>
            </w:r>
          </w:p>
        </w:tc>
        <w:tc>
          <w:tcPr>
            <w:tcW w:w="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w w:val="96"/>
              </w:rPr>
              <w:t>149,617</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892,276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gridSpan w:val="2"/>
          </w:tcPr>
          <w:p>
            <w:pPr>
              <w:spacing w:after="0" w:line="129" w:lineRule="exact"/>
              <w:rPr>
                <w:sz w:val="20"/>
                <w:szCs w:val="20"/>
                <w:color w:val="auto"/>
              </w:rPr>
            </w:pPr>
            <w:r>
              <w:rPr>
                <w:rFonts w:ascii="Arial" w:cs="Arial" w:eastAsia="Arial" w:hAnsi="Arial"/>
                <w:sz w:val="12"/>
                <w:szCs w:val="12"/>
                <w:color w:val="auto"/>
              </w:rPr>
              <w:t>Vestcom Parent Holdings, Inc.</w:t>
            </w:r>
          </w:p>
        </w:tc>
        <w:tc>
          <w:tcPr>
            <w:tcW w:w="940" w:type="dxa"/>
            <w:vAlign w:val="bottom"/>
            <w:gridSpan w:val="2"/>
          </w:tcPr>
          <w:p>
            <w:pPr>
              <w:ind w:left="320"/>
              <w:spacing w:after="0" w:line="129" w:lineRule="exact"/>
              <w:rPr>
                <w:sz w:val="20"/>
                <w:szCs w:val="20"/>
                <w:color w:val="auto"/>
              </w:rPr>
            </w:pPr>
            <w:r>
              <w:rPr>
                <w:rFonts w:ascii="Arial" w:cs="Arial" w:eastAsia="Arial" w:hAnsi="Arial"/>
                <w:sz w:val="12"/>
                <w:szCs w:val="12"/>
                <w:color w:val="auto"/>
              </w:rPr>
              <w:t>—</w:t>
            </w: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90"/>
              </w:rPr>
              <w:t>Media: Advertising, Printing and</w:t>
            </w:r>
          </w:p>
        </w:tc>
        <w:tc>
          <w:tcPr>
            <w:tcW w:w="66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15,179</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56,895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577,005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2"/>
                <w:szCs w:val="12"/>
                <w:color w:val="auto"/>
                <w:w w:val="90"/>
              </w:rPr>
              <w:t>Publishing</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Equity/Warrants</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5,870,491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9,401,058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w w:val="86"/>
              </w:rPr>
              <w:t>597,910,267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w w:val="92"/>
              </w:rPr>
              <w:t>598,887,525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Equivalents—7.7%</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tcPr>
          <w:p>
            <w:pPr>
              <w:spacing w:after="0" w:line="135" w:lineRule="exact"/>
              <w:rPr>
                <w:sz w:val="20"/>
                <w:szCs w:val="20"/>
                <w:color w:val="auto"/>
              </w:rPr>
            </w:pPr>
            <w:r>
              <w:rPr>
                <w:rFonts w:ascii="Arial" w:cs="Arial" w:eastAsia="Arial" w:hAnsi="Arial"/>
                <w:sz w:val="12"/>
                <w:szCs w:val="12"/>
                <w:color w:val="auto"/>
              </w:rPr>
              <w:t>BlackRock Liquidity Funds, Temp Cash and Temp Fund, Institutional Shares</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w w:val="96"/>
              </w:rPr>
              <w:t>28,212,041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28,212,041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691,318</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698,932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Total Cash and Cash Equivalents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28,903,359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28,910,973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Equivalents—167.0%</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6"/>
              </w:rPr>
              <w:t>626,813,626</w:t>
            </w:r>
          </w:p>
        </w:tc>
        <w:tc>
          <w:tcPr>
            <w:tcW w:w="1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2"/>
              </w:rPr>
              <w:t>627,798,498</w:t>
            </w: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Liabilities in Excess of Other Assets—(67.0)%</w:t>
            </w: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8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w w:val="88"/>
              </w:rPr>
              <w:t>(251,891,670)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2"/>
              </w:rPr>
              <w:t>375,906,828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51765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6" w:lineRule="exact"/>
        <w:rPr>
          <w:sz w:val="20"/>
          <w:szCs w:val="20"/>
          <w:color w:val="auto"/>
        </w:rPr>
      </w:pPr>
    </w:p>
    <w:p>
      <w:pPr>
        <w:ind w:left="340" w:right="380" w:hanging="332"/>
        <w:spacing w:after="0" w:line="243" w:lineRule="auto"/>
        <w:tabs>
          <w:tab w:leader="none" w:pos="34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ind w:left="340" w:hanging="332"/>
        <w:spacing w:after="0" w:line="234" w:lineRule="auto"/>
        <w:tabs>
          <w:tab w:leader="none" w:pos="34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200" w:hanging="332"/>
        <w:spacing w:after="0" w:line="234" w:lineRule="auto"/>
        <w:tabs>
          <w:tab w:leader="none" w:pos="34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rFonts w:ascii="Arial" w:cs="Arial" w:eastAsia="Arial" w:hAnsi="Arial"/>
          <w:sz w:val="12"/>
          <w:szCs w:val="12"/>
          <w:color w:val="auto"/>
        </w:rPr>
      </w:pPr>
    </w:p>
    <w:p>
      <w:pPr>
        <w:ind w:left="340" w:right="220" w:hanging="332"/>
        <w:spacing w:after="0" w:line="234" w:lineRule="auto"/>
        <w:tabs>
          <w:tab w:leader="none" w:pos="34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340" w:right="120" w:hanging="332"/>
        <w:spacing w:after="0" w:line="234" w:lineRule="auto"/>
        <w:tabs>
          <w:tab w:leader="none" w:pos="34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1" w:lineRule="exact"/>
        <w:rPr>
          <w:rFonts w:ascii="Arial" w:cs="Arial" w:eastAsia="Arial" w:hAnsi="Arial"/>
          <w:sz w:val="12"/>
          <w:szCs w:val="12"/>
          <w:color w:val="auto"/>
        </w:rPr>
      </w:pPr>
    </w:p>
    <w:p>
      <w:pPr>
        <w:ind w:left="340" w:hanging="332"/>
        <w:spacing w:after="0" w:line="234" w:lineRule="auto"/>
        <w:tabs>
          <w:tab w:leader="none" w:pos="34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40" w:hanging="332"/>
        <w:spacing w:after="0" w:line="234" w:lineRule="auto"/>
        <w:tabs>
          <w:tab w:leader="none" w:pos="34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ind w:left="340" w:hanging="332"/>
        <w:spacing w:after="0" w:line="234" w:lineRule="auto"/>
        <w:tabs>
          <w:tab w:leader="none" w:pos="34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right="220" w:hanging="332"/>
        <w:spacing w:after="0" w:line="234" w:lineRule="auto"/>
        <w:tabs>
          <w:tab w:leader="none" w:pos="34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Par amount is denominated in Canadian Dollars.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 SEPTEMBER 30, 2015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jc w:val="center"/>
              <w:ind w:right="102"/>
              <w:spacing w:after="0"/>
              <w:rPr>
                <w:sz w:val="20"/>
                <w:szCs w:val="20"/>
                <w:color w:val="auto"/>
              </w:rPr>
            </w:pPr>
            <w:r>
              <w:rPr>
                <w:rFonts w:ascii="Arial" w:cs="Arial" w:eastAsia="Arial" w:hAnsi="Arial"/>
                <w:sz w:val="12"/>
                <w:szCs w:val="12"/>
                <w:b w:val="1"/>
                <w:bCs w:val="1"/>
                <w:color w:val="auto"/>
                <w:w w:val="85"/>
              </w:rPr>
              <w:t>Basis Point</w:t>
            </w: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8"/>
              </w:rPr>
              <w:t>Spread</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Current</w:t>
            </w:r>
          </w:p>
        </w:tc>
        <w:tc>
          <w:tcPr>
            <w:tcW w:w="92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7"/>
              </w:rPr>
              <w:t>Above</w:t>
            </w:r>
          </w:p>
        </w:tc>
        <w:tc>
          <w:tcPr>
            <w:tcW w:w="70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auto"/>
              </w:rPr>
              <w:t>Par /</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600" w:type="dxa"/>
            <w:vAlign w:val="bottom"/>
            <w:vMerge w:val="continue"/>
          </w:tcPr>
          <w:p>
            <w:pPr>
              <w:spacing w:after="0"/>
              <w:rPr>
                <w:sz w:val="12"/>
                <w:szCs w:val="12"/>
                <w:color w:val="auto"/>
              </w:rPr>
            </w:pPr>
          </w:p>
        </w:tc>
        <w:tc>
          <w:tcPr>
            <w:tcW w:w="1000" w:type="dxa"/>
            <w:vAlign w:val="bottom"/>
          </w:tcPr>
          <w:p>
            <w:pPr>
              <w:ind w:left="460"/>
              <w:spacing w:after="0"/>
              <w:rPr>
                <w:sz w:val="20"/>
                <w:szCs w:val="20"/>
                <w:color w:val="auto"/>
              </w:rPr>
            </w:pPr>
            <w:r>
              <w:rPr>
                <w:rFonts w:ascii="Arial" w:cs="Arial" w:eastAsia="Arial" w:hAnsi="Arial"/>
                <w:sz w:val="12"/>
                <w:szCs w:val="12"/>
                <w:b w:val="1"/>
                <w:bCs w:val="1"/>
                <w:color w:val="auto"/>
              </w:rPr>
              <w:t>Maturity</w:t>
            </w:r>
          </w:p>
        </w:tc>
        <w:tc>
          <w:tcPr>
            <w:tcW w:w="168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Coupon</w:t>
            </w:r>
          </w:p>
        </w:tc>
        <w:tc>
          <w:tcPr>
            <w:tcW w:w="920" w:type="dxa"/>
            <w:vAlign w:val="bottom"/>
          </w:tcPr>
          <w:p>
            <w:pPr>
              <w:jc w:val="center"/>
              <w:ind w:right="102"/>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700" w:type="dxa"/>
            <w:vAlign w:val="bottom"/>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840" w:type="dxa"/>
            <w:vAlign w:val="bottom"/>
          </w:tcPr>
          <w:p>
            <w:pPr>
              <w:jc w:val="right"/>
              <w:ind w:right="242"/>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0"/>
        </w:trPr>
        <w:tc>
          <w:tcPr>
            <w:tcW w:w="460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2"/>
                <w:szCs w:val="12"/>
                <w:b w:val="1"/>
                <w:bCs w:val="1"/>
                <w:color w:val="auto"/>
                <w:w w:val="98"/>
              </w:rPr>
              <w:t xml:space="preserve">Investments in Non-Controlled, Non-Affiliated Portfolio Companies—104.2% </w:t>
            </w:r>
            <w:r>
              <w:rPr>
                <w:rFonts w:ascii="Arial" w:cs="Arial" w:eastAsia="Arial" w:hAnsi="Arial"/>
                <w:sz w:val="9"/>
                <w:szCs w:val="9"/>
                <w:b w:val="1"/>
                <w:bCs w:val="1"/>
                <w:color w:val="auto"/>
                <w:w w:val="98"/>
              </w:rPr>
              <w:t>(3), (4)</w:t>
            </w:r>
          </w:p>
        </w:tc>
        <w:tc>
          <w:tcPr>
            <w:tcW w:w="1000" w:type="dxa"/>
            <w:vAlign w:val="bottom"/>
            <w:tcBorders>
              <w:top w:val="single" w:sz="8" w:color="auto"/>
            </w:tcBorders>
            <w:shd w:val="clear" w:color="auto" w:fill="CCEEFF"/>
          </w:tcPr>
          <w:p>
            <w:pPr>
              <w:spacing w:after="0"/>
              <w:rPr>
                <w:sz w:val="10"/>
                <w:szCs w:val="10"/>
                <w:color w:val="auto"/>
              </w:rPr>
            </w:pPr>
          </w:p>
        </w:tc>
        <w:tc>
          <w:tcPr>
            <w:tcW w:w="16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Debt—89.1%</w:t>
            </w:r>
          </w:p>
        </w:tc>
        <w:tc>
          <w:tcPr>
            <w:tcW w:w="10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AKA Diversified Holdings,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04/02/2018</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11.97%</w:t>
            </w:r>
          </w:p>
        </w:tc>
        <w:tc>
          <w:tcPr>
            <w:tcW w:w="9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L+1,175</w:t>
            </w:r>
            <w:r>
              <w:rPr>
                <w:rFonts w:ascii="Arial" w:cs="Arial" w:eastAsia="Arial" w:hAnsi="Arial"/>
                <w:sz w:val="9"/>
                <w:szCs w:val="9"/>
                <w:color w:val="auto"/>
              </w:rPr>
              <w:t>(9)</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10,734,388</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  10,555,953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  10,895,404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AKA Diversified Holdings, Inc. (Revolver) </w:t>
            </w:r>
            <w:r>
              <w:rPr>
                <w:rFonts w:ascii="Arial" w:cs="Arial" w:eastAsia="Arial" w:hAnsi="Arial"/>
                <w:sz w:val="9"/>
                <w:szCs w:val="9"/>
                <w:color w:val="auto"/>
              </w:rPr>
              <w:t>(10)</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04/02/2018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1,165,725</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17,486</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ALG USA Holdings,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02/28/2019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7.00%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7,136,577</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7,101,328</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7,118,736</w:t>
            </w: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(6), (11)</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04/04/2022</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3,900,038</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3,881,182</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3,880,538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Ancile Solutions,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07/16/2018</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2,990,287</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2,971,513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2,975,336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 Gaming I,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12/21/2020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9.25%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L+825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6,602,074</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6,517,717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6,492,018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ARC Automotive Group,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10/12/2020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93"/>
              </w:rPr>
              <w:t>Automotive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3,970,000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3,935,708</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3,930,300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Azure Midstream Energy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11/15/2018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Energy: Oil and Gas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5,310,750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5,189,661</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4,514,138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Blue Bird Body Company</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06/29/2020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93"/>
              </w:rPr>
              <w:t>Automotive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4,280,585</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4,227,278</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4,264,533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Bowlmor AMF Corp.</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09/17/2021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7.25%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9"/>
              </w:rPr>
              <w:t>12,902,393</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12,820,758</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12,805,625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Camin Cargo Control,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06/30/2021</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Transportation: Cargo</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2,493,750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2,469,351</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2,468,812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CareCentrix,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07/08/2021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5,000,000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4,878,103</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4,870,850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07/02/2020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8.25%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5,000,000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4,961,991</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4,700,000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Charming Charlie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12/24/2019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9.00%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L+800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4,432,500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4,381,480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4,210,875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0" w:type="dxa"/>
            <w:vAlign w:val="bottom"/>
          </w:tcPr>
          <w:p>
            <w:pPr>
              <w:spacing w:after="0" w:line="129" w:lineRule="exact"/>
              <w:rPr>
                <w:sz w:val="20"/>
                <w:szCs w:val="20"/>
                <w:color w:val="auto"/>
              </w:rPr>
            </w:pPr>
            <w:r>
              <w:rPr>
                <w:rFonts w:ascii="Arial" w:cs="Arial" w:eastAsia="Arial" w:hAnsi="Arial"/>
                <w:sz w:val="12"/>
                <w:szCs w:val="12"/>
                <w:color w:val="auto"/>
              </w:rPr>
              <w:t>Chicken Soup for the Soul Publishing, LLC</w:t>
            </w:r>
          </w:p>
        </w:tc>
        <w:tc>
          <w:tcPr>
            <w:tcW w:w="1000" w:type="dxa"/>
            <w:vAlign w:val="bottom"/>
          </w:tcPr>
          <w:p>
            <w:pPr>
              <w:ind w:left="420"/>
              <w:spacing w:after="0" w:line="129" w:lineRule="exact"/>
              <w:rPr>
                <w:sz w:val="20"/>
                <w:szCs w:val="20"/>
                <w:color w:val="auto"/>
              </w:rPr>
            </w:pPr>
            <w:r>
              <w:rPr>
                <w:rFonts w:ascii="Arial" w:cs="Arial" w:eastAsia="Arial" w:hAnsi="Arial"/>
                <w:sz w:val="12"/>
                <w:szCs w:val="12"/>
                <w:color w:val="auto"/>
                <w:w w:val="93"/>
              </w:rPr>
              <w:t>01/08/2019</w:t>
            </w:r>
          </w:p>
        </w:tc>
        <w:tc>
          <w:tcPr>
            <w:tcW w:w="168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80" w:type="dxa"/>
            <w:vAlign w:val="bottom"/>
          </w:tcPr>
          <w:p>
            <w:pPr>
              <w:jc w:val="right"/>
              <w:ind w:right="82"/>
              <w:spacing w:after="0" w:line="129" w:lineRule="exact"/>
              <w:rPr>
                <w:sz w:val="20"/>
                <w:szCs w:val="20"/>
                <w:color w:val="auto"/>
              </w:rPr>
            </w:pPr>
            <w:r>
              <w:rPr>
                <w:rFonts w:ascii="Arial" w:cs="Arial" w:eastAsia="Arial" w:hAnsi="Arial"/>
                <w:sz w:val="12"/>
                <w:szCs w:val="12"/>
                <w:color w:val="auto"/>
              </w:rPr>
              <w:t>7.25%</w:t>
            </w:r>
          </w:p>
        </w:tc>
        <w:tc>
          <w:tcPr>
            <w:tcW w:w="92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L+600</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4,925,000</w:t>
            </w:r>
          </w:p>
        </w:tc>
        <w:tc>
          <w:tcPr>
            <w:tcW w:w="8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4,887,389</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4,925,000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CRGT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12/21/2020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9"/>
              </w:rPr>
              <w:t>11,861,946</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11,755,521</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11,743,327</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Curo Health Services Holdings,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02/07/2022</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1,990,000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1,971,403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1,988,348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DCS Business Services,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03/19/2018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7.25%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2,976,683</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2,952,648</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3,017,613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DISA Global Solutions,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12/09/2020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4,975,000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4,931,287</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4,875,500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268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06/30/2020   Chemicals, Plastics and Rubber</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4,901,367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4,937,500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Driven Performance Brands, Inc. </w:t>
            </w:r>
            <w:r>
              <w:rPr>
                <w:rFonts w:ascii="Arial" w:cs="Arial" w:eastAsia="Arial" w:hAnsi="Arial"/>
                <w:sz w:val="9"/>
                <w:szCs w:val="9"/>
                <w:color w:val="auto"/>
              </w:rPr>
              <w:t>(8)</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09/10/2020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9,000,000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8,955,000</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8,955,000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(10)</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09/10/2020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1,000,000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Emerging Markets Communications,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07/01/2021</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6.75%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4,987,500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4,914,374</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4,862,812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FHC Health Systems,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12/23/2021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4,975,000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4,927,105</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4,897,290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GlobalLogic Holdings,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05/31/2019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L+525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3,930,000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3,900,641</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3,910,350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Granite Broadcasting Corporation</w:t>
            </w:r>
          </w:p>
        </w:tc>
        <w:tc>
          <w:tcPr>
            <w:tcW w:w="1000" w:type="dxa"/>
            <w:vAlign w:val="bottom"/>
            <w:shd w:val="clear" w:color="auto" w:fill="CCEEFF"/>
          </w:tcPr>
          <w:p>
            <w:pPr>
              <w:ind w:left="420"/>
              <w:spacing w:after="0" w:line="129" w:lineRule="exact"/>
              <w:rPr>
                <w:sz w:val="20"/>
                <w:szCs w:val="20"/>
                <w:color w:val="auto"/>
              </w:rPr>
            </w:pPr>
            <w:r>
              <w:rPr>
                <w:rFonts w:ascii="Arial" w:cs="Arial" w:eastAsia="Arial" w:hAnsi="Arial"/>
                <w:sz w:val="12"/>
                <w:szCs w:val="12"/>
                <w:color w:val="auto"/>
                <w:w w:val="93"/>
              </w:rPr>
              <w:t>05/23/2018</w:t>
            </w:r>
          </w:p>
        </w:tc>
        <w:tc>
          <w:tcPr>
            <w:tcW w:w="16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Media: Broadcasting and</w:t>
            </w:r>
          </w:p>
        </w:tc>
        <w:tc>
          <w:tcPr>
            <w:tcW w:w="78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6.75%</w:t>
            </w:r>
          </w:p>
        </w:tc>
        <w:tc>
          <w:tcPr>
            <w:tcW w:w="92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L+550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1,091,582</w:t>
            </w:r>
          </w:p>
        </w:tc>
        <w:tc>
          <w:tcPr>
            <w:tcW w:w="84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1,090,547</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1,088,177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6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Subscription</w:t>
            </w: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Greenway Health,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11/04/2020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6,877,500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6,827,661</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6,739,950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Help/Systems Holdings,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06/28/2019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4,866,257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4,851,000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10/21/2020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9.00%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L+800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1,194,000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1,178,322</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1,194,000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Hostway Corporation</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12/13/2019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2,753,737</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2,734,900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2,726,199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Hunter Defense Technologies,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08/05/2019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6,650,000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6,598,073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6,641,687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ICC-Nexergy,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04/30/2020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4,987,500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4,941,329</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4,937,625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(11)</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11/04/2020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7.25%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L+625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6,965,000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6,842,099</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6,965,000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(11)</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05/01/2019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7.25%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9"/>
              </w:rPr>
              <w:t>10,094,315</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10,001,190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9,084,884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0" w:type="dxa"/>
            <w:vAlign w:val="bottom"/>
          </w:tcPr>
          <w:p>
            <w:pPr>
              <w:spacing w:after="0" w:line="129" w:lineRule="exact"/>
              <w:rPr>
                <w:sz w:val="20"/>
                <w:szCs w:val="20"/>
                <w:color w:val="auto"/>
              </w:rPr>
            </w:pPr>
            <w:r>
              <w:rPr>
                <w:rFonts w:ascii="Arial" w:cs="Arial" w:eastAsia="Arial" w:hAnsi="Arial"/>
                <w:sz w:val="12"/>
                <w:szCs w:val="12"/>
                <w:color w:val="auto"/>
              </w:rPr>
              <w:t>Instant Web, LLC, Term Loan A</w:t>
            </w:r>
          </w:p>
        </w:tc>
        <w:tc>
          <w:tcPr>
            <w:tcW w:w="1000" w:type="dxa"/>
            <w:vAlign w:val="bottom"/>
          </w:tcPr>
          <w:p>
            <w:pPr>
              <w:ind w:left="420"/>
              <w:spacing w:after="0" w:line="129" w:lineRule="exact"/>
              <w:rPr>
                <w:sz w:val="20"/>
                <w:szCs w:val="20"/>
                <w:color w:val="auto"/>
              </w:rPr>
            </w:pPr>
            <w:r>
              <w:rPr>
                <w:rFonts w:ascii="Arial" w:cs="Arial" w:eastAsia="Arial" w:hAnsi="Arial"/>
                <w:sz w:val="12"/>
                <w:szCs w:val="12"/>
                <w:color w:val="auto"/>
                <w:w w:val="93"/>
              </w:rPr>
              <w:t>03/28/2019</w:t>
            </w:r>
          </w:p>
        </w:tc>
        <w:tc>
          <w:tcPr>
            <w:tcW w:w="168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80" w:type="dxa"/>
            <w:vAlign w:val="bottom"/>
          </w:tcPr>
          <w:p>
            <w:pPr>
              <w:jc w:val="right"/>
              <w:ind w:right="82"/>
              <w:spacing w:after="0" w:line="129" w:lineRule="exact"/>
              <w:rPr>
                <w:sz w:val="20"/>
                <w:szCs w:val="20"/>
                <w:color w:val="auto"/>
              </w:rPr>
            </w:pPr>
            <w:r>
              <w:rPr>
                <w:rFonts w:ascii="Arial" w:cs="Arial" w:eastAsia="Arial" w:hAnsi="Arial"/>
                <w:sz w:val="12"/>
                <w:szCs w:val="12"/>
                <w:color w:val="auto"/>
              </w:rPr>
              <w:t>5.50%</w:t>
            </w:r>
          </w:p>
        </w:tc>
        <w:tc>
          <w:tcPr>
            <w:tcW w:w="92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5,366,227</w:t>
            </w:r>
          </w:p>
        </w:tc>
        <w:tc>
          <w:tcPr>
            <w:tcW w:w="8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5,306,494</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5,366,227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Instant Web, LLC, Term Loan B</w:t>
            </w:r>
          </w:p>
        </w:tc>
        <w:tc>
          <w:tcPr>
            <w:tcW w:w="1000" w:type="dxa"/>
            <w:vAlign w:val="bottom"/>
            <w:shd w:val="clear" w:color="auto" w:fill="CCEEFF"/>
          </w:tcPr>
          <w:p>
            <w:pPr>
              <w:ind w:left="420"/>
              <w:spacing w:after="0" w:line="129" w:lineRule="exact"/>
              <w:rPr>
                <w:sz w:val="20"/>
                <w:szCs w:val="20"/>
                <w:color w:val="auto"/>
              </w:rPr>
            </w:pPr>
            <w:r>
              <w:rPr>
                <w:rFonts w:ascii="Arial" w:cs="Arial" w:eastAsia="Arial" w:hAnsi="Arial"/>
                <w:sz w:val="12"/>
                <w:szCs w:val="12"/>
                <w:color w:val="auto"/>
                <w:w w:val="93"/>
              </w:rPr>
              <w:t>03/28/2019</w:t>
            </w:r>
          </w:p>
        </w:tc>
        <w:tc>
          <w:tcPr>
            <w:tcW w:w="16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8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12.00%</w:t>
            </w:r>
          </w:p>
        </w:tc>
        <w:tc>
          <w:tcPr>
            <w:tcW w:w="92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L+1,100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4,500,000</w:t>
            </w:r>
          </w:p>
        </w:tc>
        <w:tc>
          <w:tcPr>
            <w:tcW w:w="84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4,447,058</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4,500,000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6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Publishing</w:t>
            </w: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Interior Specialists,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06/30/2020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9.00%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L+800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6,800,000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6,734,452</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6,800,000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Jackson Hewitt Tax Service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07/30/2020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Consumer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8.00%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L+700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5,000,000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4,901,996</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4,900,000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2680" w:type="dxa"/>
            <w:vAlign w:val="bottom"/>
            <w:gridSpan w:val="2"/>
          </w:tcPr>
          <w:p>
            <w:pPr>
              <w:ind w:left="420"/>
              <w:spacing w:after="0" w:line="135" w:lineRule="exact"/>
              <w:rPr>
                <w:sz w:val="20"/>
                <w:szCs w:val="20"/>
                <w:color w:val="auto"/>
              </w:rPr>
            </w:pPr>
            <w:r>
              <w:rPr>
                <w:rFonts w:ascii="Arial" w:cs="Arial" w:eastAsia="Arial" w:hAnsi="Arial"/>
                <w:sz w:val="12"/>
                <w:szCs w:val="12"/>
                <w:color w:val="auto"/>
                <w:w w:val="93"/>
              </w:rPr>
              <w:t>08/19/2019   Chemicals, Plastics and Rubber</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11.00%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L+1,000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5,965,222</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5,874,403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5,537,227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Kendra Scott,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07/17/2020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3,000,000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2,970,849</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2,977,500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Lanyon Solutions,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11/13/2020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1,965,012</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1,958,874</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1,943,731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11/30/2018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5,789,068</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5,735,375</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5,736,619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Lindblad Expeditions, Inc. </w:t>
            </w:r>
            <w:r>
              <w:rPr>
                <w:rFonts w:ascii="Arial" w:cs="Arial" w:eastAsia="Arial" w:hAnsi="Arial"/>
                <w:sz w:val="9"/>
                <w:szCs w:val="9"/>
                <w:color w:val="auto"/>
              </w:rPr>
              <w:t>(11)</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05/10/2021</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2,208,750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2,197,809</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2,197,706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Lindblad Maritime Enterprises, Ltd. </w:t>
            </w:r>
            <w:r>
              <w:rPr>
                <w:rFonts w:ascii="Arial" w:cs="Arial" w:eastAsia="Arial" w:hAnsi="Arial"/>
                <w:sz w:val="9"/>
                <w:szCs w:val="9"/>
                <w:color w:val="auto"/>
              </w:rPr>
              <w:t>(6), (11)</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05/10/2021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285,000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283,588</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283,575</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LTI Holdings, Inc.</w:t>
            </w:r>
          </w:p>
        </w:tc>
        <w:tc>
          <w:tcPr>
            <w:tcW w:w="2680" w:type="dxa"/>
            <w:vAlign w:val="bottom"/>
            <w:gridSpan w:val="2"/>
          </w:tcPr>
          <w:p>
            <w:pPr>
              <w:ind w:left="420"/>
              <w:spacing w:after="0" w:line="135" w:lineRule="exact"/>
              <w:rPr>
                <w:sz w:val="20"/>
                <w:szCs w:val="20"/>
                <w:color w:val="auto"/>
              </w:rPr>
            </w:pPr>
            <w:r>
              <w:rPr>
                <w:rFonts w:ascii="Arial" w:cs="Arial" w:eastAsia="Arial" w:hAnsi="Arial"/>
                <w:sz w:val="12"/>
                <w:szCs w:val="12"/>
                <w:color w:val="auto"/>
                <w:w w:val="93"/>
              </w:rPr>
              <w:t>04/18/2022   Chemicals, Plastics and Rubber</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L+425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1,995,000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1,985,364</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1,973,175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New Trident HoldCorp,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07/31/2019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8,917,647</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8,854,192</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8,566,559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Physiotherapy Corporation </w:t>
            </w:r>
            <w:r>
              <w:rPr>
                <w:rFonts w:ascii="Arial" w:cs="Arial" w:eastAsia="Arial" w:hAnsi="Arial"/>
                <w:sz w:val="9"/>
                <w:szCs w:val="9"/>
                <w:color w:val="auto"/>
              </w:rPr>
              <w:t>(8)</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06/04/2021</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3,500,000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3,482,889</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3,491,250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PlayPower,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06/23/2021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3,990,000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3,951,094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3,970,050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Polyconcept Finance B.V.</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06/28/2019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11,482,697</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11,430,576</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11,425,283</w:t>
            </w: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Premier Dental Services,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11/01/2018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Consumer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8,219,601</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8,131,135</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7,109,955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Profile Products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05/20/2021</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7,470,287</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7,398,025</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7,470,287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(10)</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05/20/2020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2,459,016</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Quality Home Brands Holdings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12/17/2018</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7.75%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L+650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4,912,500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4,880,217</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4,914,563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Now Group,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03/18/2021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6,965,000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6,931,604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6,912,763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Robertshaw US Holding Corp.</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06/18/2019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9.00%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3,582,758</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3,557,217</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3,575,247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Ryan,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08/07/2020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6.75%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4,443,750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4,378,244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4,382,648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Sotera Defense Solutions,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04/21/2017</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9.00%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6,101,682</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5,946,657</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5,491,514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St. George’s University Scholastic Services LLC </w:t>
            </w:r>
            <w:r>
              <w:rPr>
                <w:rFonts w:ascii="Arial" w:cs="Arial" w:eastAsia="Arial" w:hAnsi="Arial"/>
                <w:sz w:val="9"/>
                <w:szCs w:val="9"/>
                <w:color w:val="auto"/>
              </w:rPr>
              <w:t>(6), (11)</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08/09/2021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Consumer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714,200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711,056</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714,200</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Surgical Specialties Corporation (US),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08/22/2018</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7.25%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10,037,432</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10,017,760</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9,937,058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Survey Sampling International,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12/16/2020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6,218,750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6,171,308</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6,164,336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Systems Maintenance Services Holding,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10/18/2019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5,895,000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5,875,736</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5,895,000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Tensar Corporation</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07/09/2021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4,950,000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4,906,969</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4,588,056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TOMS Shoes,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11/02/2020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1,990,000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1,814,920</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1,845,725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1000" w:type="dxa"/>
            <w:vAlign w:val="bottom"/>
            <w:shd w:val="clear" w:color="auto" w:fill="CCEEFF"/>
          </w:tcPr>
          <w:p>
            <w:pPr>
              <w:ind w:left="420"/>
              <w:spacing w:after="0" w:line="129" w:lineRule="exact"/>
              <w:rPr>
                <w:sz w:val="20"/>
                <w:szCs w:val="20"/>
                <w:color w:val="auto"/>
              </w:rPr>
            </w:pPr>
            <w:r>
              <w:rPr>
                <w:rFonts w:ascii="Arial" w:cs="Arial" w:eastAsia="Arial" w:hAnsi="Arial"/>
                <w:sz w:val="12"/>
                <w:szCs w:val="12"/>
                <w:color w:val="auto"/>
                <w:w w:val="93"/>
              </w:rPr>
              <w:t>01/14/2019</w:t>
            </w:r>
          </w:p>
        </w:tc>
        <w:tc>
          <w:tcPr>
            <w:tcW w:w="16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Telecommunications</w:t>
            </w:r>
          </w:p>
        </w:tc>
        <w:tc>
          <w:tcPr>
            <w:tcW w:w="78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9.50%</w:t>
            </w:r>
          </w:p>
        </w:tc>
        <w:tc>
          <w:tcPr>
            <w:tcW w:w="92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L+850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430,126</w:t>
            </w:r>
          </w:p>
        </w:tc>
        <w:tc>
          <w:tcPr>
            <w:tcW w:w="84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430,126</w:t>
            </w: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430,126</w:t>
            </w:r>
          </w:p>
        </w:tc>
        <w:tc>
          <w:tcPr>
            <w:tcW w:w="0" w:type="dxa"/>
            <w:vAlign w:val="bottom"/>
          </w:tcPr>
          <w:p>
            <w:pPr>
              <w:spacing w:after="0"/>
              <w:rPr>
                <w:sz w:val="1"/>
                <w:szCs w:val="1"/>
                <w:color w:val="auto"/>
              </w:rPr>
            </w:pPr>
          </w:p>
        </w:tc>
      </w:tr>
      <w:tr>
        <w:trPr>
          <w:trHeight w:val="155"/>
        </w:trPr>
        <w:tc>
          <w:tcPr>
            <w:tcW w:w="46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2"/>
                <w:szCs w:val="12"/>
                <w:color w:val="auto"/>
              </w:rPr>
              <w:t>(PIK 1.00%)</w:t>
            </w:r>
          </w:p>
        </w:tc>
        <w:tc>
          <w:tcPr>
            <w:tcW w:w="9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01/14/2019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8.50%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599,702</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548,736</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569,717</w:t>
            </w: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(10)</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01/14/2019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8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151,090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02"/>
              <w:spacing w:after="0" w:line="135" w:lineRule="exact"/>
              <w:rPr>
                <w:sz w:val="20"/>
                <w:szCs w:val="20"/>
                <w:color w:val="auto"/>
              </w:rPr>
            </w:pPr>
            <w:r>
              <w:rPr>
                <w:rFonts w:ascii="Arial" w:cs="Arial" w:eastAsia="Arial" w:hAnsi="Arial"/>
                <w:sz w:val="12"/>
                <w:szCs w:val="12"/>
                <w:b w:val="1"/>
                <w:bCs w:val="1"/>
                <w:color w:val="auto"/>
              </w:rPr>
              <w:t>Current</w:t>
            </w: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700" w:type="dxa"/>
            <w:vAlign w:val="bottom"/>
            <w:gridSpan w:val="3"/>
            <w:vMerge w:val="continue"/>
          </w:tcPr>
          <w:p>
            <w:pPr>
              <w:spacing w:after="0"/>
              <w:rPr>
                <w:sz w:val="12"/>
                <w:szCs w:val="12"/>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Maturity</w:t>
            </w:r>
          </w:p>
        </w:tc>
        <w:tc>
          <w:tcPr>
            <w:tcW w:w="1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Industry</w:t>
            </w:r>
          </w:p>
        </w:tc>
        <w:tc>
          <w:tcPr>
            <w:tcW w:w="860" w:type="dxa"/>
            <w:vAlign w:val="bottom"/>
            <w:gridSpan w:val="2"/>
          </w:tcPr>
          <w:p>
            <w:pPr>
              <w:jc w:val="right"/>
              <w:ind w:right="302"/>
              <w:spacing w:after="0"/>
              <w:rPr>
                <w:sz w:val="20"/>
                <w:szCs w:val="20"/>
                <w:color w:val="auto"/>
              </w:rPr>
            </w:pPr>
            <w:r>
              <w:rPr>
                <w:rFonts w:ascii="Arial" w:cs="Arial" w:eastAsia="Arial" w:hAnsi="Arial"/>
                <w:sz w:val="12"/>
                <w:szCs w:val="12"/>
                <w:b w:val="1"/>
                <w:bCs w:val="1"/>
                <w:color w:val="auto"/>
              </w:rPr>
              <w:t>Coupon</w:t>
            </w: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U.S. Farathane, LLC</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02/07/2022</w:t>
            </w:r>
          </w:p>
        </w:tc>
        <w:tc>
          <w:tcPr>
            <w:tcW w:w="10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93"/>
              </w:rPr>
              <w:t>Automotive</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6.75</w:t>
            </w:r>
          </w:p>
        </w:tc>
        <w:tc>
          <w:tcPr>
            <w:tcW w:w="280" w:type="dxa"/>
            <w:vAlign w:val="bottom"/>
            <w:tcBorders>
              <w:top w:val="single" w:sz="8" w:color="CCEEFF"/>
            </w:tcBorders>
            <w:shd w:val="clear" w:color="auto" w:fill="CCEEFF"/>
          </w:tcPr>
          <w:p>
            <w:pPr>
              <w:jc w:val="right"/>
              <w:ind w:right="122"/>
              <w:spacing w:after="0" w:line="128" w:lineRule="exact"/>
              <w:rPr>
                <w:sz w:val="20"/>
                <w:szCs w:val="20"/>
                <w:color w:val="auto"/>
              </w:rPr>
            </w:pPr>
            <w:r>
              <w:rPr>
                <w:rFonts w:ascii="Arial" w:cs="Arial" w:eastAsia="Arial" w:hAnsi="Arial"/>
                <w:sz w:val="12"/>
                <w:szCs w:val="12"/>
                <w:color w:val="auto"/>
                <w:w w:val="74"/>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L+575</w:t>
            </w:r>
          </w:p>
        </w:tc>
        <w:tc>
          <w:tcPr>
            <w:tcW w:w="2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3,800,641</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3,729,952</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3,807,672</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08/13/2021</w:t>
            </w:r>
          </w:p>
        </w:tc>
        <w:tc>
          <w:tcPr>
            <w:tcW w:w="100" w:type="dxa"/>
            <w:vAlign w:val="bottom"/>
          </w:tcPr>
          <w:p>
            <w:pPr>
              <w:spacing w:after="0"/>
              <w:rPr>
                <w:sz w:val="11"/>
                <w:szCs w:val="11"/>
                <w:color w:val="auto"/>
              </w:rPr>
            </w:pPr>
          </w:p>
        </w:tc>
        <w:tc>
          <w:tcPr>
            <w:tcW w:w="190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10.00%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L+900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3,121,094</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3,121,094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3,121,094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Vistage Worldwide, Inc.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08/19/2021</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6.50%</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L+550</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5,000,000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4,950,477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Wilton Brands,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08/30/2018</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Consumer Goods: Non-Durable</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8.50%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L+725</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2,703,000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2,674,736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2,630,370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Worley Claims Services, LLC</w:t>
            </w:r>
          </w:p>
        </w:tc>
        <w:tc>
          <w:tcPr>
            <w:tcW w:w="7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10/30/2020</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80"/>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860" w:type="dxa"/>
            <w:vAlign w:val="bottom"/>
            <w:gridSpan w:val="2"/>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9.00%</w:t>
            </w:r>
          </w:p>
        </w:tc>
        <w:tc>
          <w:tcPr>
            <w:tcW w:w="8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L+800</w:t>
            </w:r>
          </w:p>
        </w:tc>
        <w:tc>
          <w:tcPr>
            <w:tcW w:w="7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6,490,688</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6,429,955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6,490,688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2"/>
              </w:rPr>
              <w:t>Estate</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Total First Lien Secured Debt</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w w:val="83"/>
              </w:rPr>
              <w:t>335,790,073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332,180,834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Second Lien Secured Debt—12.8%</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Affinion Group, Inc.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10/31/2018</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8.50%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L+700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1,000,000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919,155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893,130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09/01/2017</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Metals and Mining</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11.50%</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1,000,000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12/31/2020</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Chemicals, Plastics and Rubber</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11.00%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L+1,050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2,000,000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1,965,770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Howard Berger Co.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09/30/2020</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5"/>
              </w:rPr>
              <w:t>Wholesale</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11.00%</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L+1,000</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w w:val="93"/>
              </w:rPr>
              <w:t>11,000,000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3"/>
              </w:rPr>
              <w:t>10,423,463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6"/>
              </w:rPr>
              <w:t>10,670,000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J.A. Cosmetics Holdings, Inc.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07/31/2019</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11.00%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L+1,000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4,000,000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3,938,373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4,040,000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Language Line,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07/07/2022</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5"/>
              </w:rPr>
              <w:t>Consumer Services</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10.75%</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L+975</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w w:val="93"/>
              </w:rPr>
              <w:t>10,750,000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3"/>
              </w:rPr>
              <w:t>10,589,814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6"/>
              </w:rPr>
              <w:t>10,723,125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Novitex Acquisition,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07/07/2021</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11.75%</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L+1,050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w w:val="93"/>
              </w:rPr>
              <w:t>11,000,000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3"/>
              </w:rPr>
              <w:t>10,902,202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10,780,000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Penton Media, Inc.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10/02/2020</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1"/>
              </w:rPr>
              <w:t>Media: Diversified and Production</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9.00%</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L+775</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5,252,824</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5,194,116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5,230,920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(11)</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08/01/2017</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Energy: Oil and Gas</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10.00%</w:t>
            </w: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2,812,500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2,697,607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2,615,625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3"/>
              </w:rPr>
              <w:t>47,630,500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6"/>
              </w:rPr>
              <w:t>47,902,800</w:t>
            </w:r>
          </w:p>
        </w:tc>
        <w:tc>
          <w:tcPr>
            <w:tcW w:w="0" w:type="dxa"/>
            <w:vAlign w:val="bottom"/>
          </w:tcPr>
          <w:p>
            <w:pPr>
              <w:spacing w:after="0"/>
              <w:rPr>
                <w:sz w:val="1"/>
                <w:szCs w:val="1"/>
                <w:color w:val="auto"/>
              </w:rPr>
            </w:pPr>
          </w:p>
        </w:tc>
      </w:tr>
      <w:tr>
        <w:trPr>
          <w:trHeight w:val="142"/>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Subordinated Debt/Corporate Notes—1.5% </w:t>
            </w:r>
            <w:r>
              <w:rPr>
                <w:rFonts w:ascii="Arial" w:cs="Arial" w:eastAsia="Arial" w:hAnsi="Arial"/>
                <w:sz w:val="9"/>
                <w:szCs w:val="9"/>
                <w:b w:val="1"/>
                <w:bCs w:val="1"/>
                <w:color w:val="auto"/>
              </w:rPr>
              <w:t>(8)</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09/14/2018</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4,786,483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4,361,551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1,818,864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Affinion Investments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08/15/2018</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2,484,000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2,146,500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1,664,280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Credit Infonet, Inc.</w:t>
            </w:r>
          </w:p>
        </w:tc>
        <w:tc>
          <w:tcPr>
            <w:tcW w:w="7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10/26/2018</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80"/>
              <w:spacing w:after="0" w:line="129" w:lineRule="exact"/>
              <w:rPr>
                <w:sz w:val="20"/>
                <w:szCs w:val="20"/>
                <w:color w:val="auto"/>
              </w:rPr>
            </w:pPr>
            <w:r>
              <w:rPr>
                <w:rFonts w:ascii="Arial" w:cs="Arial" w:eastAsia="Arial" w:hAnsi="Arial"/>
                <w:sz w:val="12"/>
                <w:szCs w:val="12"/>
                <w:color w:val="auto"/>
                <w:w w:val="89"/>
              </w:rPr>
              <w:t>High Tech Industries</w:t>
            </w:r>
          </w:p>
        </w:tc>
        <w:tc>
          <w:tcPr>
            <w:tcW w:w="860" w:type="dxa"/>
            <w:vAlign w:val="bottom"/>
            <w:gridSpan w:val="2"/>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13.00%</w:t>
            </w:r>
          </w:p>
        </w:tc>
        <w:tc>
          <w:tcPr>
            <w:tcW w:w="82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2,025,065</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1,999,885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1,992,841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2"/>
              <w:spacing w:after="0"/>
              <w:rPr>
                <w:sz w:val="20"/>
                <w:szCs w:val="20"/>
                <w:color w:val="auto"/>
              </w:rPr>
            </w:pPr>
            <w:r>
              <w:rPr>
                <w:rFonts w:ascii="Arial" w:cs="Arial" w:eastAsia="Arial" w:hAnsi="Arial"/>
                <w:sz w:val="12"/>
                <w:szCs w:val="12"/>
                <w:color w:val="auto"/>
              </w:rPr>
              <w:t>(PIK 1.75%)</w:t>
            </w: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tcPr>
          <w:p>
            <w:pPr>
              <w:spacing w:after="0" w:line="129" w:lineRule="exact"/>
              <w:rPr>
                <w:sz w:val="20"/>
                <w:szCs w:val="20"/>
                <w:color w:val="auto"/>
              </w:rPr>
            </w:pPr>
            <w:r>
              <w:rPr>
                <w:rFonts w:ascii="Arial" w:cs="Arial" w:eastAsia="Arial" w:hAnsi="Arial"/>
                <w:sz w:val="12"/>
                <w:szCs w:val="12"/>
                <w:color w:val="auto"/>
              </w:rPr>
              <w:t>UniTek Global Services, Inc.</w:t>
            </w: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89"/>
              </w:rPr>
              <w:t>07/15/2019</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tcPr>
          <w:p>
            <w:pPr>
              <w:jc w:val="right"/>
              <w:ind w:right="122"/>
              <w:spacing w:after="0" w:line="129" w:lineRule="exact"/>
              <w:rPr>
                <w:sz w:val="20"/>
                <w:szCs w:val="20"/>
                <w:color w:val="auto"/>
              </w:rPr>
            </w:pPr>
            <w:r>
              <w:rPr>
                <w:rFonts w:ascii="Arial" w:cs="Arial" w:eastAsia="Arial" w:hAnsi="Arial"/>
                <w:sz w:val="12"/>
                <w:szCs w:val="12"/>
                <w:color w:val="auto"/>
              </w:rPr>
              <w:t>15.00%</w:t>
            </w: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126,259</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126,259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126,259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82"/>
              <w:spacing w:after="0"/>
              <w:rPr>
                <w:sz w:val="20"/>
                <w:szCs w:val="20"/>
                <w:color w:val="auto"/>
              </w:rPr>
            </w:pPr>
            <w:r>
              <w:rPr>
                <w:rFonts w:ascii="Arial" w:cs="Arial" w:eastAsia="Arial" w:hAnsi="Arial"/>
                <w:sz w:val="12"/>
                <w:szCs w:val="12"/>
                <w:color w:val="auto"/>
                <w:w w:val="98"/>
              </w:rPr>
              <w:t>(PIK 15.00%)</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8,634,195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5,602,244</w:t>
            </w:r>
          </w:p>
        </w:tc>
        <w:tc>
          <w:tcPr>
            <w:tcW w:w="0" w:type="dxa"/>
            <w:vAlign w:val="bottom"/>
          </w:tcPr>
          <w:p>
            <w:pPr>
              <w:spacing w:after="0"/>
              <w:rPr>
                <w:sz w:val="1"/>
                <w:szCs w:val="1"/>
                <w:color w:val="auto"/>
              </w:rPr>
            </w:pPr>
          </w:p>
        </w:tc>
      </w:tr>
      <w:tr>
        <w:trPr>
          <w:trHeight w:val="142"/>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Preferred Equity—0.3% </w:t>
            </w:r>
            <w:r>
              <w:rPr>
                <w:rFonts w:ascii="Arial" w:cs="Arial" w:eastAsia="Arial" w:hAnsi="Arial"/>
                <w:sz w:val="9"/>
                <w:szCs w:val="9"/>
                <w:b w:val="1"/>
                <w:bCs w:val="1"/>
                <w:color w:val="auto"/>
              </w:rPr>
              <w:t>(7), (8)</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J.A. Cosmetics US, Inc.</w:t>
            </w:r>
          </w:p>
        </w:tc>
        <w:tc>
          <w:tcPr>
            <w:tcW w:w="80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8.00%</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400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399,704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455,490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UniTek Global Services, Inc.</w:t>
            </w:r>
          </w:p>
        </w:tc>
        <w:tc>
          <w:tcPr>
            <w:tcW w:w="800" w:type="dxa"/>
            <w:vAlign w:val="bottom"/>
            <w:gridSpan w:val="2"/>
          </w:tcPr>
          <w:p>
            <w:pPr>
              <w:ind w:left="260"/>
              <w:spacing w:after="0" w:line="135" w:lineRule="exact"/>
              <w:rPr>
                <w:sz w:val="20"/>
                <w:szCs w:val="20"/>
                <w:color w:val="auto"/>
              </w:rPr>
            </w:pPr>
            <w:r>
              <w:rPr>
                <w:rFonts w:ascii="Arial" w:cs="Arial" w:eastAsia="Arial" w:hAnsi="Arial"/>
                <w:sz w:val="12"/>
                <w:szCs w:val="12"/>
                <w:color w:val="auto"/>
              </w:rPr>
              <w:t>—</w:t>
            </w: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13.50%</w:t>
            </w: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1,047,317</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670,283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691,115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1,069,987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1,146,605</w:t>
            </w:r>
          </w:p>
        </w:tc>
        <w:tc>
          <w:tcPr>
            <w:tcW w:w="0" w:type="dxa"/>
            <w:vAlign w:val="bottom"/>
          </w:tcPr>
          <w:p>
            <w:pPr>
              <w:spacing w:after="0"/>
              <w:rPr>
                <w:sz w:val="1"/>
                <w:szCs w:val="1"/>
                <w:color w:val="auto"/>
              </w:rPr>
            </w:pPr>
          </w:p>
        </w:tc>
      </w:tr>
      <w:tr>
        <w:trPr>
          <w:trHeight w:val="142"/>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Common Equity/Warrants—0.5% </w:t>
            </w:r>
            <w:r>
              <w:rPr>
                <w:rFonts w:ascii="Arial" w:cs="Arial" w:eastAsia="Arial" w:hAnsi="Arial"/>
                <w:sz w:val="9"/>
                <w:szCs w:val="9"/>
                <w:b w:val="1"/>
                <w:bCs w:val="1"/>
                <w:color w:val="auto"/>
              </w:rPr>
              <w:t>(7), (8)</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A2Z Wireless Holdings, Inc.</w:t>
            </w:r>
          </w:p>
        </w:tc>
        <w:tc>
          <w:tcPr>
            <w:tcW w:w="80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1"/>
              </w:rPr>
              <w:t>Retail</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463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118,817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674,296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Affinion Group Holdings, Inc., Series A (Warrants)</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12/12/2023</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554,715</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1,186,649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291,226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 Series B (Warrants)</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12/12/2023</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1,135,743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22,715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tcPr>
          <w:p>
            <w:pPr>
              <w:spacing w:after="0" w:line="129" w:lineRule="exact"/>
              <w:rPr>
                <w:sz w:val="20"/>
                <w:szCs w:val="20"/>
                <w:color w:val="auto"/>
              </w:rPr>
            </w:pPr>
            <w:r>
              <w:rPr>
                <w:rFonts w:ascii="Arial" w:cs="Arial" w:eastAsia="Arial" w:hAnsi="Arial"/>
                <w:sz w:val="12"/>
                <w:szCs w:val="12"/>
                <w:color w:val="auto"/>
              </w:rPr>
              <w:t>Faraday Holdings, LLC</w:t>
            </w:r>
          </w:p>
        </w:tc>
        <w:tc>
          <w:tcPr>
            <w:tcW w:w="800" w:type="dxa"/>
            <w:vAlign w:val="bottom"/>
            <w:gridSpan w:val="2"/>
          </w:tcPr>
          <w:p>
            <w:pPr>
              <w:ind w:left="260"/>
              <w:spacing w:after="0" w:line="129" w:lineRule="exact"/>
              <w:rPr>
                <w:sz w:val="20"/>
                <w:szCs w:val="20"/>
                <w:color w:val="auto"/>
              </w:rPr>
            </w:pPr>
            <w:r>
              <w:rPr>
                <w:rFonts w:ascii="Arial" w:cs="Arial" w:eastAsia="Arial" w:hAnsi="Arial"/>
                <w:sz w:val="12"/>
                <w:szCs w:val="12"/>
                <w:color w:val="auto"/>
              </w:rPr>
              <w:t>—</w:t>
            </w:r>
          </w:p>
        </w:tc>
        <w:tc>
          <w:tcPr>
            <w:tcW w:w="190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90"/>
              </w:rPr>
              <w:t>Construction and Building</w:t>
            </w:r>
          </w:p>
        </w:tc>
        <w:tc>
          <w:tcPr>
            <w:tcW w:w="86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939</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45,761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52,466</w:t>
            </w:r>
          </w:p>
        </w:tc>
        <w:tc>
          <w:tcPr>
            <w:tcW w:w="0" w:type="dxa"/>
            <w:vAlign w:val="bottom"/>
          </w:tcPr>
          <w:p>
            <w:pPr>
              <w:spacing w:after="0"/>
              <w:rPr>
                <w:sz w:val="1"/>
                <w:szCs w:val="1"/>
                <w:color w:val="auto"/>
              </w:rPr>
            </w:pPr>
          </w:p>
        </w:tc>
      </w:tr>
      <w:tr>
        <w:trPr>
          <w:trHeight w:val="148"/>
        </w:trPr>
        <w:tc>
          <w:tcPr>
            <w:tcW w:w="4700" w:type="dxa"/>
            <w:vAlign w:val="bottom"/>
            <w:gridSpan w:val="3"/>
          </w:tcPr>
          <w:p>
            <w:pPr>
              <w:spacing w:after="0"/>
              <w:rPr>
                <w:sz w:val="20"/>
                <w:szCs w:val="20"/>
                <w:color w:val="auto"/>
              </w:rPr>
            </w:pPr>
            <w:r>
              <w:rPr>
                <w:rFonts w:ascii="Arial" w:cs="Arial" w:eastAsia="Arial" w:hAnsi="Arial"/>
                <w:sz w:val="12"/>
                <w:szCs w:val="12"/>
                <w:color w:val="auto"/>
              </w:rPr>
              <w:t>(Interior Specialists, Inc.)</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J.A. Cosmetics US, Inc.</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6"/>
              </w:rPr>
              <w:t>Consumer Goods: Durable</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215,689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tcPr>
          <w:p>
            <w:pPr>
              <w:spacing w:after="0" w:line="129" w:lineRule="exact"/>
              <w:rPr>
                <w:sz w:val="20"/>
                <w:szCs w:val="20"/>
                <w:color w:val="auto"/>
              </w:rPr>
            </w:pPr>
            <w:r>
              <w:rPr>
                <w:rFonts w:ascii="Arial" w:cs="Arial" w:eastAsia="Arial" w:hAnsi="Arial"/>
                <w:sz w:val="12"/>
                <w:szCs w:val="12"/>
                <w:color w:val="auto"/>
              </w:rPr>
              <w:t>Patriot National, Inc. (Warrants)</w:t>
            </w: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89"/>
              </w:rPr>
              <w:t>11/27/2023</w:t>
            </w:r>
          </w:p>
        </w:tc>
        <w:tc>
          <w:tcPr>
            <w:tcW w:w="100" w:type="dxa"/>
            <w:vAlign w:val="bottom"/>
          </w:tcPr>
          <w:p>
            <w:pPr>
              <w:spacing w:after="0"/>
              <w:rPr>
                <w:sz w:val="11"/>
                <w:szCs w:val="11"/>
                <w:color w:val="auto"/>
              </w:rPr>
            </w:pPr>
          </w:p>
        </w:tc>
        <w:tc>
          <w:tcPr>
            <w:tcW w:w="190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86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14,484</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28,002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190,609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2"/>
                <w:szCs w:val="12"/>
                <w:color w:val="auto"/>
                <w:w w:val="82"/>
              </w:rPr>
              <w:t>Estate</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w:t>
            </w:r>
          </w:p>
        </w:tc>
        <w:tc>
          <w:tcPr>
            <w:tcW w:w="80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149,617</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tcPr>
          <w:p>
            <w:pPr>
              <w:spacing w:after="0" w:line="129" w:lineRule="exact"/>
              <w:rPr>
                <w:sz w:val="20"/>
                <w:szCs w:val="20"/>
                <w:color w:val="auto"/>
              </w:rPr>
            </w:pPr>
            <w:r>
              <w:rPr>
                <w:rFonts w:ascii="Arial" w:cs="Arial" w:eastAsia="Arial" w:hAnsi="Arial"/>
                <w:sz w:val="12"/>
                <w:szCs w:val="12"/>
                <w:color w:val="auto"/>
              </w:rPr>
              <w:t>Vestcom Parent Holdings, Inc.</w:t>
            </w:r>
          </w:p>
        </w:tc>
        <w:tc>
          <w:tcPr>
            <w:tcW w:w="800" w:type="dxa"/>
            <w:vAlign w:val="bottom"/>
            <w:gridSpan w:val="2"/>
          </w:tcPr>
          <w:p>
            <w:pPr>
              <w:ind w:left="260"/>
              <w:spacing w:after="0" w:line="129" w:lineRule="exact"/>
              <w:rPr>
                <w:sz w:val="20"/>
                <w:szCs w:val="20"/>
                <w:color w:val="auto"/>
              </w:rPr>
            </w:pPr>
            <w:r>
              <w:rPr>
                <w:rFonts w:ascii="Arial" w:cs="Arial" w:eastAsia="Arial" w:hAnsi="Arial"/>
                <w:sz w:val="12"/>
                <w:szCs w:val="12"/>
                <w:color w:val="auto"/>
              </w:rPr>
              <w:t>—</w:t>
            </w:r>
          </w:p>
        </w:tc>
        <w:tc>
          <w:tcPr>
            <w:tcW w:w="190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90"/>
              </w:rPr>
              <w:t>Media: Advertising, Printing and</w:t>
            </w:r>
          </w:p>
        </w:tc>
        <w:tc>
          <w:tcPr>
            <w:tcW w:w="86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15,179</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56,895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255,899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Publishing</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Equity/Warrants</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1,436,420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1,702,900</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w w:val="83"/>
              </w:rPr>
              <w:t>394,561,175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388,535,383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Investments in Controlled, Affiliated Portfolio Companies—0.7%</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First Lien Secured Debt—0.7%</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GMC Television Broadcasting Holdings, LLC </w:t>
            </w:r>
            <w:r>
              <w:rPr>
                <w:rFonts w:ascii="Arial" w:cs="Arial" w:eastAsia="Arial" w:hAnsi="Arial"/>
                <w:sz w:val="9"/>
                <w:szCs w:val="9"/>
                <w:color w:val="auto"/>
              </w:rPr>
              <w:t>(8), (12)</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12/30/2016</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4.33%</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L+400</w:t>
            </w:r>
            <w:r>
              <w:rPr>
                <w:rFonts w:ascii="Arial" w:cs="Arial" w:eastAsia="Arial" w:hAnsi="Arial"/>
                <w:sz w:val="9"/>
                <w:szCs w:val="9"/>
                <w:color w:val="auto"/>
              </w:rPr>
              <w:t>(9)</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3,702,009</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2,777,132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2,776,507</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Total Investments—104.9%</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w w:val="83"/>
              </w:rPr>
              <w:t>397,338,307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391,311,890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Equivalents—5.8%</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BlackRock Liquidity Funds, Temp Cash and Temp Fund, Institutional Shares</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3"/>
              </w:rPr>
              <w:t>21,428,514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21,428,514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Equivalents—110.7%</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83"/>
              </w:rPr>
              <w:t>418,766,821</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6"/>
              </w:rPr>
              <w:t>412,740,404</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Liabilities in Excess of Other Assets—(10.7)%</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0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w w:val="91"/>
              </w:rPr>
              <w:t>(39,849,955)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6"/>
              </w:rPr>
              <w:t>372,890,449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51765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6" w:lineRule="exact"/>
        <w:rPr>
          <w:sz w:val="20"/>
          <w:szCs w:val="20"/>
          <w:color w:val="auto"/>
        </w:rPr>
      </w:pPr>
    </w:p>
    <w:p>
      <w:pPr>
        <w:ind w:left="340" w:hanging="332"/>
        <w:spacing w:after="0" w:line="252" w:lineRule="auto"/>
        <w:tabs>
          <w:tab w:leader="none" w:pos="3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40" w:hanging="332"/>
        <w:spacing w:after="0"/>
        <w:tabs>
          <w:tab w:leader="none" w:pos="3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40" w:right="180" w:hanging="332"/>
        <w:spacing w:after="0" w:line="252" w:lineRule="auto"/>
        <w:tabs>
          <w:tab w:leader="none" w:pos="3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40" w:right="200" w:hanging="332"/>
        <w:spacing w:after="0" w:line="252" w:lineRule="auto"/>
        <w:tabs>
          <w:tab w:leader="none" w:pos="3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40" w:hanging="332"/>
        <w:spacing w:after="0"/>
        <w:tabs>
          <w:tab w:leader="none" w:pos="34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49" w:lineRule="exact"/>
        <w:rPr>
          <w:rFonts w:ascii="Arial" w:cs="Arial" w:eastAsia="Arial" w:hAnsi="Arial"/>
          <w:sz w:val="11"/>
          <w:szCs w:val="11"/>
          <w:color w:val="auto"/>
        </w:rPr>
      </w:pPr>
    </w:p>
    <w:p>
      <w:pPr>
        <w:ind w:left="340" w:hanging="332"/>
        <w:spacing w:after="0"/>
        <w:tabs>
          <w:tab w:leader="none" w:pos="3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securities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40" w:right="200" w:hanging="332"/>
        <w:spacing w:after="0" w:line="252" w:lineRule="auto"/>
        <w:tabs>
          <w:tab w:leader="none" w:pos="3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 w:lineRule="exact"/>
        <w:rPr>
          <w:rFonts w:ascii="Arial" w:cs="Arial" w:eastAsia="Arial" w:hAnsi="Arial"/>
          <w:sz w:val="12"/>
          <w:szCs w:val="12"/>
          <w:color w:val="auto"/>
        </w:rPr>
      </w:pPr>
    </w:p>
    <w:p>
      <w:pPr>
        <w:ind w:left="340" w:hanging="332"/>
        <w:spacing w:after="0"/>
        <w:tabs>
          <w:tab w:leader="none" w:pos="3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Became a controlled affiliate during the quarter ended September 30, 2015.</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NOTES TO CONSOLIDATED FINANCIAL STATEMENTS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02" w:lineRule="exact"/>
        <w:rPr>
          <w:sz w:val="20"/>
          <w:szCs w:val="20"/>
          <w:color w:val="auto"/>
        </w:rPr>
      </w:pPr>
    </w:p>
    <w:p>
      <w:pPr>
        <w:ind w:right="200" w:firstLine="685"/>
        <w:spacing w:after="0" w:line="277"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30" w:lineRule="exact"/>
        <w:rPr>
          <w:sz w:val="20"/>
          <w:szCs w:val="20"/>
          <w:color w:val="auto"/>
        </w:rPr>
      </w:pPr>
    </w:p>
    <w:p>
      <w:pPr>
        <w:ind w:firstLine="685"/>
        <w:spacing w:after="0" w:line="254" w:lineRule="auto"/>
        <w:rPr>
          <w:sz w:val="20"/>
          <w:szCs w:val="20"/>
          <w:color w:val="auto"/>
        </w:rPr>
      </w:pPr>
      <w:r>
        <w:rPr>
          <w:rFonts w:ascii="Arial" w:cs="Arial" w:eastAsia="Arial" w:hAnsi="Arial"/>
          <w:sz w:val="18"/>
          <w:szCs w:val="18"/>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senior secured debt,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entered into the Investment Management Agreement with the Investment Adviser, an external adviser that manages our day-to-day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also entered into the Administration Agreement with the Administrator, which provides the administrative services necessary for us to operate.</w:t>
      </w:r>
    </w:p>
    <w:p>
      <w:pPr>
        <w:spacing w:after="0" w:line="195" w:lineRule="exact"/>
        <w:rPr>
          <w:sz w:val="20"/>
          <w:szCs w:val="20"/>
          <w:color w:val="auto"/>
        </w:rPr>
      </w:pPr>
    </w:p>
    <w:p>
      <w:pPr>
        <w:ind w:right="20" w:firstLine="685"/>
        <w:spacing w:after="0" w:line="297"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$350 million as of September 30, 2016 at LIBOR plus 200 basis points during the revolving period. The Credit Facility is secured by all of the assets held by Funding I. See Note 11.</w:t>
      </w:r>
    </w:p>
    <w:p>
      <w:pPr>
        <w:spacing w:after="0" w:line="118" w:lineRule="exact"/>
        <w:rPr>
          <w:sz w:val="20"/>
          <w:szCs w:val="20"/>
          <w:color w:val="auto"/>
        </w:rPr>
      </w:pPr>
    </w:p>
    <w:p>
      <w:pPr>
        <w:ind w:right="520" w:firstLine="685"/>
        <w:spacing w:after="0" w:line="312" w:lineRule="auto"/>
        <w:rPr>
          <w:sz w:val="20"/>
          <w:szCs w:val="20"/>
          <w:color w:val="auto"/>
        </w:rPr>
      </w:pPr>
      <w:r>
        <w:rPr>
          <w:rFonts w:ascii="Arial" w:cs="Arial" w:eastAsia="Arial" w:hAnsi="Arial"/>
          <w:sz w:val="16"/>
          <w:szCs w:val="16"/>
          <w:color w:val="auto"/>
        </w:rPr>
        <w:t>We have formed and expect to continue to form certain Taxable Subsidiaries which are taxed as corporations for federal income tax purposes. Accordingly, the Taxable Subsidiaries will pay income taxes at regular corporate income tax rates. These Taxable Subsidiaries allow us to hold equity securities of portfolio companies organized as pass-through entities while continuing to satisfy the requirements of a RIC under the Code.</w:t>
      </w:r>
    </w:p>
    <w:p>
      <w:pPr>
        <w:spacing w:after="0" w:line="106" w:lineRule="exact"/>
        <w:rPr>
          <w:sz w:val="20"/>
          <w:szCs w:val="20"/>
          <w:color w:val="auto"/>
        </w:rPr>
      </w:pPr>
    </w:p>
    <w:p>
      <w:pPr>
        <w:ind w:right="60" w:firstLine="685"/>
        <w:spacing w:after="0" w:line="264" w:lineRule="auto"/>
        <w:rPr>
          <w:sz w:val="20"/>
          <w:szCs w:val="20"/>
          <w:color w:val="auto"/>
        </w:rPr>
      </w:pPr>
      <w:r>
        <w:rPr>
          <w:rFonts w:ascii="Arial" w:cs="Arial" w:eastAsia="Arial" w:hAnsi="Arial"/>
          <w:sz w:val="18"/>
          <w:szCs w:val="18"/>
          <w:color w:val="auto"/>
        </w:rPr>
        <w:t>In August 2015, we completed the acquisition of MCG pursuant to the Agreement and Plan of Merger by and among MCG, our Investment Adviser and the Company. As a result of the transactions completed by the Merger Agreement, MCG was ultimately merged with and into PFLT Funding II, LLC with PFLT Funding II, LLC as the surviving company. See Note 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89" w:lineRule="exact"/>
        <w:rPr>
          <w:sz w:val="20"/>
          <w:szCs w:val="20"/>
          <w:color w:val="auto"/>
        </w:rPr>
      </w:pPr>
    </w:p>
    <w:p>
      <w:pPr>
        <w:ind w:firstLine="685"/>
        <w:spacing w:after="0" w:line="254" w:lineRule="auto"/>
        <w:rPr>
          <w:sz w:val="20"/>
          <w:szCs w:val="20"/>
          <w:color w:val="auto"/>
        </w:rPr>
      </w:pPr>
      <w:r>
        <w:rPr>
          <w:rFonts w:ascii="Arial" w:cs="Arial" w:eastAsia="Arial" w:hAnsi="Arial"/>
          <w:sz w:val="18"/>
          <w:szCs w:val="18"/>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65" w:lineRule="exact"/>
        <w:rPr>
          <w:sz w:val="20"/>
          <w:szCs w:val="20"/>
          <w:color w:val="auto"/>
        </w:rPr>
      </w:pPr>
    </w:p>
    <w:p>
      <w:pPr>
        <w:ind w:right="60" w:firstLine="685"/>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98" w:lineRule="exact"/>
        <w:rPr>
          <w:sz w:val="20"/>
          <w:szCs w:val="20"/>
          <w:color w:val="auto"/>
        </w:rPr>
      </w:pPr>
    </w:p>
    <w:p>
      <w:pPr>
        <w:ind w:right="320" w:firstLine="685"/>
        <w:spacing w:after="0" w:line="277" w:lineRule="auto"/>
        <w:rPr>
          <w:sz w:val="20"/>
          <w:szCs w:val="20"/>
          <w:color w:val="auto"/>
        </w:rPr>
      </w:pPr>
      <w:r>
        <w:rPr>
          <w:rFonts w:ascii="Arial" w:cs="Arial" w:eastAsia="Arial" w:hAnsi="Arial"/>
          <w:sz w:val="18"/>
          <w:szCs w:val="18"/>
          <w:color w:val="auto"/>
        </w:rPr>
        <w:t>We expect that there may not be readily available market values for many of our investments, which are or will be in our portfolio, and we value such investments at fair value as determined in good faith by or under the direction of our board of directors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51" w:lineRule="exact"/>
        <w:rPr>
          <w:sz w:val="20"/>
          <w:szCs w:val="20"/>
          <w:color w:val="auto"/>
        </w:rPr>
      </w:pPr>
    </w:p>
    <w:p>
      <w:pPr>
        <w:ind w:right="120" w:firstLine="685"/>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77" w:lineRule="exact"/>
        <w:rPr>
          <w:sz w:val="20"/>
          <w:szCs w:val="20"/>
          <w:color w:val="auto"/>
        </w:rPr>
      </w:pPr>
    </w:p>
    <w:p>
      <w:pPr>
        <w:ind w:left="900" w:hanging="446"/>
        <w:spacing w:after="0" w:line="253" w:lineRule="auto"/>
        <w:tabs>
          <w:tab w:leader="none" w:pos="9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73" w:lineRule="exact"/>
        <w:rPr>
          <w:rFonts w:ascii="Arial" w:cs="Arial" w:eastAsia="Arial" w:hAnsi="Arial"/>
          <w:sz w:val="14"/>
          <w:szCs w:val="14"/>
          <w:color w:val="auto"/>
        </w:rPr>
      </w:pPr>
    </w:p>
    <w:p>
      <w:pPr>
        <w:ind w:left="900" w:hanging="446"/>
        <w:spacing w:after="0"/>
        <w:tabs>
          <w:tab w:leader="none" w:pos="9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203" w:lineRule="exact"/>
        <w:rPr>
          <w:rFonts w:ascii="Arial" w:cs="Arial" w:eastAsia="Arial" w:hAnsi="Arial"/>
          <w:sz w:val="14"/>
          <w:szCs w:val="14"/>
          <w:color w:val="auto"/>
        </w:rPr>
      </w:pPr>
    </w:p>
    <w:p>
      <w:pPr>
        <w:jc w:val="both"/>
        <w:ind w:left="900" w:right="260" w:hanging="446"/>
        <w:spacing w:after="0" w:line="264" w:lineRule="auto"/>
        <w:tabs>
          <w:tab w:leader="none" w:pos="9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68" w:lineRule="exact"/>
        <w:rPr>
          <w:rFonts w:ascii="Arial" w:cs="Arial" w:eastAsia="Arial" w:hAnsi="Arial"/>
          <w:sz w:val="13"/>
          <w:szCs w:val="13"/>
          <w:color w:val="auto"/>
        </w:rPr>
      </w:pPr>
    </w:p>
    <w:p>
      <w:pPr>
        <w:ind w:left="900" w:right="140" w:hanging="446"/>
        <w:spacing w:after="0" w:line="238" w:lineRule="auto"/>
        <w:tabs>
          <w:tab w:leader="none" w:pos="9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82" w:lineRule="exact"/>
        <w:rPr>
          <w:rFonts w:ascii="Arial" w:cs="Arial" w:eastAsia="Arial" w:hAnsi="Arial"/>
          <w:sz w:val="14"/>
          <w:szCs w:val="14"/>
          <w:color w:val="auto"/>
        </w:rPr>
      </w:pPr>
    </w:p>
    <w:p>
      <w:pPr>
        <w:ind w:left="900" w:right="280" w:hanging="446"/>
        <w:spacing w:after="0" w:line="253" w:lineRule="auto"/>
        <w:tabs>
          <w:tab w:leader="none" w:pos="9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38" w:lineRule="exact"/>
        <w:rPr>
          <w:sz w:val="20"/>
          <w:szCs w:val="20"/>
          <w:color w:val="auto"/>
        </w:rPr>
      </w:pPr>
    </w:p>
    <w:p>
      <w:pPr>
        <w:ind w:firstLine="685"/>
        <w:spacing w:after="0" w:line="297"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98" w:lineRule="exact"/>
        <w:rPr>
          <w:sz w:val="20"/>
          <w:szCs w:val="20"/>
          <w:color w:val="auto"/>
        </w:rPr>
      </w:pPr>
    </w:p>
    <w:p>
      <w:pPr>
        <w:ind w:right="20" w:firstLine="685"/>
        <w:spacing w:after="0" w:line="257"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48" w:lineRule="exact"/>
        <w:rPr>
          <w:sz w:val="20"/>
          <w:szCs w:val="20"/>
          <w:color w:val="auto"/>
        </w:rPr>
      </w:pPr>
    </w:p>
    <w:p>
      <w:pPr>
        <w:ind w:firstLine="685"/>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 Litigation settlements are accounted for in accordance with the gain contingency provisions of ASC 450-30.</w:t>
      </w:r>
    </w:p>
    <w:p>
      <w:pPr>
        <w:spacing w:after="0" w:line="127" w:lineRule="exact"/>
        <w:rPr>
          <w:sz w:val="20"/>
          <w:szCs w:val="20"/>
          <w:color w:val="auto"/>
        </w:rPr>
      </w:pPr>
    </w:p>
    <w:p>
      <w:pPr>
        <w:ind w:right="140" w:firstLine="685"/>
        <w:spacing w:after="0" w:line="279" w:lineRule="auto"/>
        <w:rPr>
          <w:sz w:val="20"/>
          <w:szCs w:val="20"/>
          <w:color w:val="auto"/>
        </w:rPr>
      </w:pPr>
      <w:r>
        <w:rPr>
          <w:rFonts w:ascii="Arial" w:cs="Arial" w:eastAsia="Arial" w:hAnsi="Arial"/>
          <w:sz w:val="17"/>
          <w:szCs w:val="17"/>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Income Taxes</w:t>
      </w:r>
    </w:p>
    <w:p>
      <w:pPr>
        <w:spacing w:after="0" w:line="198" w:lineRule="exact"/>
        <w:rPr>
          <w:sz w:val="20"/>
          <w:szCs w:val="20"/>
          <w:color w:val="auto"/>
        </w:rPr>
      </w:pPr>
    </w:p>
    <w:p>
      <w:pPr>
        <w:ind w:right="20" w:firstLine="685"/>
        <w:spacing w:after="0" w:line="272" w:lineRule="auto"/>
        <w:rPr>
          <w:sz w:val="20"/>
          <w:szCs w:val="20"/>
          <w:color w:val="auto"/>
        </w:rPr>
      </w:pPr>
      <w:r>
        <w:rPr>
          <w:rFonts w:ascii="Arial" w:cs="Arial" w:eastAsia="Arial" w:hAnsi="Arial"/>
          <w:sz w:val="17"/>
          <w:szCs w:val="17"/>
          <w:color w:val="auto"/>
        </w:rPr>
        <w:t>We have complied with the requirements of Subchapter M of the Code and expect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level of federal income taxes. Although we are not subject to federal income taxes as a RIC, we may elect to retain a portion of our calendar year income, which may result in an excise tax. For the fiscal years ended September 30, 2016, 2015 and 2014, we had accrued an excise tax of zero, $0.4 million and $0.5 million, respectively.</w:t>
      </w:r>
    </w:p>
    <w:p>
      <w:pPr>
        <w:spacing w:after="0" w:line="137"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We recognize the effect of a tax position in our Consolidated Financial Statements when it is more likely than not, based on the technical merits, that the position will be sustained upon examination by the applicable tax authority. Tax benefits of positions not considered to satisfy the “more-likely-than-not” threshold would be recorded as a tax expense. We did not have any material uncertain tax positions or any unrecognized tax benefits that met the recognition or measurement criteria of ASC 740-10-25 as of the periods presented herein.</w:t>
      </w:r>
    </w:p>
    <w:p>
      <w:pPr>
        <w:spacing w:after="0" w:line="146" w:lineRule="exact"/>
        <w:rPr>
          <w:sz w:val="20"/>
          <w:szCs w:val="20"/>
          <w:color w:val="auto"/>
        </w:rPr>
      </w:pPr>
    </w:p>
    <w:p>
      <w:pPr>
        <w:ind w:right="160" w:firstLine="685"/>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85" w:lineRule="exact"/>
        <w:rPr>
          <w:sz w:val="20"/>
          <w:szCs w:val="20"/>
          <w:color w:val="auto"/>
        </w:rPr>
      </w:pPr>
    </w:p>
    <w:p>
      <w:pPr>
        <w:ind w:right="20" w:firstLine="685"/>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46" w:lineRule="exact"/>
        <w:rPr>
          <w:sz w:val="20"/>
          <w:szCs w:val="20"/>
          <w:color w:val="auto"/>
        </w:rPr>
      </w:pPr>
    </w:p>
    <w:p>
      <w:pPr>
        <w:ind w:right="280" w:firstLine="685"/>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Foreign Currency Translation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237" w:lineRule="exact"/>
        <w:rPr>
          <w:sz w:val="20"/>
          <w:szCs w:val="20"/>
          <w:color w:val="auto"/>
        </w:rPr>
      </w:pPr>
    </w:p>
    <w:p>
      <w:pPr>
        <w:ind w:left="1260" w:hanging="455"/>
        <w:spacing w:after="0"/>
        <w:tabs>
          <w:tab w:leader="none" w:pos="12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248" w:lineRule="exact"/>
        <w:rPr>
          <w:rFonts w:ascii="Arial" w:cs="Arial" w:eastAsia="Arial" w:hAnsi="Arial"/>
          <w:sz w:val="16"/>
          <w:szCs w:val="16"/>
          <w:color w:val="auto"/>
        </w:rPr>
      </w:pPr>
    </w:p>
    <w:p>
      <w:pPr>
        <w:ind w:left="1260" w:right="640" w:hanging="455"/>
        <w:spacing w:after="0" w:line="277" w:lineRule="auto"/>
        <w:tabs>
          <w:tab w:leader="none" w:pos="1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w:t>
      </w:r>
    </w:p>
    <w:p>
      <w:pPr>
        <w:spacing w:after="0" w:line="130" w:lineRule="exact"/>
        <w:rPr>
          <w:sz w:val="20"/>
          <w:szCs w:val="20"/>
          <w:color w:val="auto"/>
        </w:rPr>
      </w:pPr>
    </w:p>
    <w:p>
      <w:pPr>
        <w:ind w:right="200" w:firstLine="685"/>
        <w:spacing w:after="0" w:line="288"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ind w:right="260" w:firstLine="685"/>
        <w:spacing w:after="0" w:line="254"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Consolidation</w:t>
      </w:r>
    </w:p>
    <w:p>
      <w:pPr>
        <w:spacing w:after="0" w:line="185" w:lineRule="exact"/>
        <w:rPr>
          <w:sz w:val="20"/>
          <w:szCs w:val="20"/>
          <w:color w:val="auto"/>
        </w:rPr>
      </w:pPr>
    </w:p>
    <w:p>
      <w:pPr>
        <w:ind w:right="80" w:firstLine="685"/>
        <w:spacing w:after="0" w:line="286" w:lineRule="auto"/>
        <w:rPr>
          <w:sz w:val="20"/>
          <w:szCs w:val="20"/>
          <w:color w:val="auto"/>
        </w:rPr>
      </w:pPr>
      <w:r>
        <w:rPr>
          <w:rFonts w:ascii="Arial" w:cs="Arial" w:eastAsia="Arial" w:hAnsi="Arial"/>
          <w:sz w:val="17"/>
          <w:szCs w:val="17"/>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subsidiaries in our Consolidated Financial Statements.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Asset Transfers and Servicing</w:t>
      </w:r>
    </w:p>
    <w:p>
      <w:pPr>
        <w:spacing w:after="0" w:line="198" w:lineRule="exact"/>
        <w:rPr>
          <w:sz w:val="20"/>
          <w:szCs w:val="20"/>
          <w:color w:val="auto"/>
        </w:rPr>
      </w:pPr>
    </w:p>
    <w:p>
      <w:pPr>
        <w:ind w:right="20" w:firstLine="685"/>
        <w:spacing w:after="0" w:line="264"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such assets are not intended to be available to the creditors of PennantPark Floating Rate Capital Ltd. or any of its affiliates.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189" w:lineRule="exact"/>
        <w:rPr>
          <w:sz w:val="20"/>
          <w:szCs w:val="20"/>
          <w:color w:val="auto"/>
        </w:rPr>
      </w:pPr>
    </w:p>
    <w:p>
      <w:pPr>
        <w:ind w:right="100" w:firstLine="685"/>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Advisers, in February 2016.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62" w:lineRule="exact"/>
        <w:rPr>
          <w:sz w:val="20"/>
          <w:szCs w:val="20"/>
          <w:color w:val="auto"/>
        </w:rPr>
      </w:pPr>
    </w:p>
    <w:p>
      <w:pPr>
        <w:ind w:firstLine="685"/>
        <w:spacing w:after="0" w:line="270" w:lineRule="auto"/>
        <w:rPr>
          <w:sz w:val="20"/>
          <w:szCs w:val="20"/>
          <w:color w:val="auto"/>
        </w:rPr>
      </w:pPr>
      <w:r>
        <w:rPr>
          <w:rFonts w:ascii="Arial" w:cs="Arial" w:eastAsia="Arial" w:hAnsi="Arial"/>
          <w:sz w:val="17"/>
          <w:szCs w:val="17"/>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2016, 2015 and 2014, the Investment Adviser earned a base management fee of $5.0 million, $3.6 million and $3.7 million, respectively, from us.</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incentive fee has two parts, as follows:</w:t>
      </w:r>
    </w:p>
    <w:p>
      <w:pPr>
        <w:spacing w:after="0" w:line="185" w:lineRule="exact"/>
        <w:rPr>
          <w:sz w:val="20"/>
          <w:szCs w:val="20"/>
          <w:color w:val="auto"/>
        </w:rPr>
      </w:pPr>
    </w:p>
    <w:p>
      <w:pPr>
        <w:ind w:right="20" w:firstLine="685"/>
        <w:spacing w:after="0" w:line="283"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2016, 2015 and 2014, the Investment Adviser earned $3.7 million, $2.2 million and $2.6 million, respectively, in incentive fees on net investment income from us.</w:t>
      </w:r>
    </w:p>
    <w:p>
      <w:pPr>
        <w:spacing w:after="0" w:line="164" w:lineRule="exact"/>
        <w:rPr>
          <w:sz w:val="20"/>
          <w:szCs w:val="20"/>
          <w:color w:val="auto"/>
        </w:rPr>
      </w:pPr>
    </w:p>
    <w:p>
      <w:pPr>
        <w:ind w:right="120" w:firstLine="685"/>
        <w:spacing w:after="0" w:line="277"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 of our realized capital gains, if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2016, 2015 and 2014 the Investment Adviser accrued an incentive fee on capital gains of approximately zero, $(0.4) million and $0.8 million, respectively, as calculated under the Investment Management Agreement (as described above).</w:t>
      </w:r>
    </w:p>
    <w:p>
      <w:pPr>
        <w:spacing w:after="0" w:line="160" w:lineRule="exact"/>
        <w:rPr>
          <w:sz w:val="20"/>
          <w:szCs w:val="20"/>
          <w:color w:val="auto"/>
        </w:rPr>
      </w:pPr>
    </w:p>
    <w:p>
      <w:pPr>
        <w:ind w:right="60" w:firstLine="685"/>
        <w:spacing w:after="0" w:line="283"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2016, 2015 and 2014 was $1.1 million, $(0.7) million and $0.1 million, respectively.</w:t>
      </w:r>
    </w:p>
    <w:p>
      <w:pPr>
        <w:spacing w:after="0" w:line="7" w:lineRule="exact"/>
        <w:rPr>
          <w:sz w:val="20"/>
          <w:szCs w:val="20"/>
          <w:color w:val="auto"/>
        </w:rPr>
      </w:pPr>
    </w:p>
    <w:p>
      <w:pPr>
        <w:ind w:right="40" w:firstLine="685"/>
        <w:spacing w:after="0" w:line="268"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the directors who are not interested persons of us, in February 2016. Under the Administration Agreement, the Administrator provides administration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Statements of Operations. For the years ended September 30, 2016, 2015 and 2014, the Investment Adviser was reimbursed approximately $0.8 million, $0.5 million and $0.5 million, respectively, from us, including expenses the Investment Adviser incurred on behalf of the Administrator, for services described above.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202" w:lineRule="exact"/>
        <w:rPr>
          <w:sz w:val="20"/>
          <w:szCs w:val="20"/>
          <w:color w:val="auto"/>
        </w:rPr>
      </w:pPr>
    </w:p>
    <w:p>
      <w:pPr>
        <w:ind w:right="60" w:firstLine="685"/>
        <w:spacing w:after="0" w:line="342" w:lineRule="auto"/>
        <w:rPr>
          <w:sz w:val="20"/>
          <w:szCs w:val="20"/>
          <w:color w:val="auto"/>
        </w:rPr>
      </w:pPr>
      <w:r>
        <w:rPr>
          <w:rFonts w:ascii="Arial" w:cs="Arial" w:eastAsia="Arial" w:hAnsi="Arial"/>
          <w:sz w:val="16"/>
          <w:szCs w:val="16"/>
          <w:color w:val="auto"/>
        </w:rPr>
        <w:t>Purchases of investments, including PIK, for the years ended September 30, 2016, 2015 and 2014 totaled $364.6 million, $224.8 million and $248.8 million, respectively. Sales and repayments of investments for the same periods totaled $164.2 million, $195.0 million and $225.6 million, respectively.</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September 30, 2016</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ind w:left="60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Cost</w:t>
            </w: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Cost</w:t>
            </w: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549,736,982</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548,410,095</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338,567,205</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334,957,341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Second lien</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38,404,428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36,596,692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47,630,500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47,902,800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3,228,083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8,634,195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Preferred equity / common equity / warrants</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6,540,774</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10,720,366</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2,506,407</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597,910,267</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598,887,525</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397,338,307</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391,311,890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28,903,359</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28,910,973</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21,428,514</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21,428,514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cash and cash equivalents</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626,813,626</w:t>
            </w:r>
          </w:p>
        </w:tc>
        <w:tc>
          <w:tcPr>
            <w:tcW w:w="5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627,798,498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418,766,821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412,740,404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334"/>
              <w:spacing w:after="0"/>
              <w:rPr>
                <w:sz w:val="20"/>
                <w:szCs w:val="20"/>
                <w:color w:val="auto"/>
              </w:rPr>
            </w:pPr>
            <w:r>
              <w:rPr>
                <w:rFonts w:ascii="Arial" w:cs="Arial" w:eastAsia="Arial" w:hAnsi="Arial"/>
                <w:sz w:val="18"/>
                <w:szCs w:val="18"/>
                <w:color w:val="auto"/>
              </w:rPr>
              <w:t>F-19</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firstLine="685"/>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1040" w:type="dxa"/>
            <w:vAlign w:val="bottom"/>
            <w:vMerge w:val="restart"/>
          </w:tcPr>
          <w:p>
            <w:pPr>
              <w:spacing w:after="0"/>
              <w:rPr>
                <w:sz w:val="14"/>
                <w:szCs w:val="14"/>
                <w:color w:val="auto"/>
              </w:rPr>
            </w:pPr>
          </w:p>
        </w:tc>
        <w:tc>
          <w:tcPr>
            <w:tcW w:w="20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716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CCEEFF"/>
            </w:tcBorders>
            <w:vMerge w:val="continue"/>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10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10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Capital Equipment</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Consumer Goods: Non-Durable</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Banking, Finance, Insurance and Real Estate</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jc w:val="right"/>
              <w:ind w:right="940"/>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97" w:lineRule="exact"/>
        <w:rPr>
          <w:sz w:val="20"/>
          <w:szCs w:val="20"/>
          <w:color w:val="auto"/>
        </w:rPr>
      </w:pPr>
    </w:p>
    <w:p>
      <w:pPr>
        <w:ind w:right="20" w:firstLine="685"/>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25" w:lineRule="exact"/>
        <w:rPr>
          <w:sz w:val="20"/>
          <w:szCs w:val="20"/>
          <w:color w:val="auto"/>
        </w:rPr>
      </w:pPr>
    </w:p>
    <w:p>
      <w:pPr>
        <w:ind w:left="1400" w:right="740" w:hanging="823"/>
        <w:spacing w:after="0" w:line="277" w:lineRule="auto"/>
        <w:tabs>
          <w:tab w:leader="none" w:pos="138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62" w:lineRule="exact"/>
        <w:rPr>
          <w:sz w:val="20"/>
          <w:szCs w:val="20"/>
          <w:color w:val="auto"/>
        </w:rPr>
      </w:pPr>
    </w:p>
    <w:p>
      <w:pPr>
        <w:ind w:left="1400" w:right="580" w:hanging="823"/>
        <w:spacing w:after="0" w:line="264" w:lineRule="auto"/>
        <w:tabs>
          <w:tab w:leader="none" w:pos="138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400" w:right="580" w:hanging="823"/>
        <w:spacing w:after="0" w:line="277" w:lineRule="auto"/>
        <w:tabs>
          <w:tab w:leader="none" w:pos="138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0" w:lineRule="exact"/>
        <w:rPr>
          <w:sz w:val="20"/>
          <w:szCs w:val="20"/>
          <w:color w:val="auto"/>
        </w:rPr>
      </w:pPr>
    </w:p>
    <w:p>
      <w:pPr>
        <w:ind w:right="240" w:firstLine="685"/>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right="40" w:firstLine="685"/>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51" w:lineRule="exact"/>
        <w:rPr>
          <w:sz w:val="20"/>
          <w:szCs w:val="20"/>
          <w:color w:val="auto"/>
        </w:rPr>
      </w:pPr>
    </w:p>
    <w:p>
      <w:pPr>
        <w:ind w:right="80" w:firstLine="685"/>
        <w:spacing w:after="0" w:line="255" w:lineRule="auto"/>
        <w:rPr>
          <w:sz w:val="20"/>
          <w:szCs w:val="20"/>
          <w:color w:val="auto"/>
        </w:rPr>
      </w:pPr>
      <w:r>
        <w:rPr>
          <w:rFonts w:ascii="Arial" w:cs="Arial" w:eastAsia="Arial" w:hAnsi="Arial"/>
          <w:sz w:val="18"/>
          <w:szCs w:val="18"/>
          <w:color w:val="auto"/>
        </w:rPr>
        <w:t>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53"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one reclassification from Level 2 to 1 and one reclassification from Level 3 to Level 2 during the year ended September 30, 2016. During the year ended September 30, 2015, there were two reclassifications from Level 2 to 3 and one reclassification from Level 3 to 2.</w:t>
      </w:r>
    </w:p>
    <w:p>
      <w:pPr>
        <w:spacing w:after="0" w:line="148" w:lineRule="exact"/>
        <w:rPr>
          <w:sz w:val="20"/>
          <w:szCs w:val="20"/>
          <w:color w:val="auto"/>
        </w:rPr>
      </w:pPr>
    </w:p>
    <w:p>
      <w:pPr>
        <w:ind w:right="180" w:firstLine="685"/>
        <w:spacing w:after="0" w:line="264"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 and 2(e).</w:t>
      </w:r>
    </w:p>
    <w:p>
      <w:pPr>
        <w:spacing w:after="0" w:line="154" w:lineRule="exact"/>
        <w:rPr>
          <w:sz w:val="20"/>
          <w:szCs w:val="20"/>
          <w:color w:val="auto"/>
        </w:rPr>
      </w:pPr>
    </w:p>
    <w:p>
      <w:pPr>
        <w:ind w:firstLine="685"/>
        <w:spacing w:after="0" w:line="276" w:lineRule="auto"/>
        <w:rPr>
          <w:sz w:val="20"/>
          <w:szCs w:val="20"/>
          <w:color w:val="auto"/>
        </w:rPr>
      </w:pPr>
      <w:r>
        <w:rPr>
          <w:rFonts w:ascii="Arial" w:cs="Arial" w:eastAsia="Arial" w:hAnsi="Arial"/>
          <w:sz w:val="17"/>
          <w:szCs w:val="17"/>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32" w:lineRule="exact"/>
        <w:rPr>
          <w:sz w:val="20"/>
          <w:szCs w:val="20"/>
          <w:color w:val="auto"/>
        </w:rPr>
      </w:pPr>
    </w:p>
    <w:p>
      <w:pPr>
        <w:ind w:right="20" w:firstLine="685"/>
        <w:spacing w:after="0" w:line="288" w:lineRule="auto"/>
        <w:rPr>
          <w:sz w:val="20"/>
          <w:szCs w:val="20"/>
          <w:color w:val="auto"/>
        </w:rPr>
      </w:pPr>
      <w:r>
        <w:rPr>
          <w:rFonts w:ascii="Arial" w:cs="Arial" w:eastAsia="Arial" w:hAnsi="Arial"/>
          <w:sz w:val="16"/>
          <w:szCs w:val="16"/>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Fair Value as of</w:t>
            </w:r>
          </w:p>
        </w:tc>
        <w:tc>
          <w:tcPr>
            <w:tcW w:w="260" w:type="dxa"/>
            <w:vAlign w:val="bottom"/>
          </w:tcPr>
          <w:p>
            <w:pPr>
              <w:spacing w:after="0"/>
              <w:rPr>
                <w:sz w:val="14"/>
                <w:szCs w:val="14"/>
                <w:color w:val="auto"/>
              </w:rPr>
            </w:pP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2016</w:t>
            </w:r>
          </w:p>
        </w:tc>
        <w:tc>
          <w:tcPr>
            <w:tcW w:w="26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96"/>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Debt investments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273,399,858</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Market Comparable</w:t>
            </w:r>
          </w:p>
        </w:tc>
        <w:tc>
          <w:tcPr>
            <w:tcW w:w="2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Broker/Dealer bid quotes</w:t>
            </w:r>
          </w:p>
        </w:tc>
        <w:tc>
          <w:tcPr>
            <w:tcW w:w="2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rPr>
                <w:sz w:val="20"/>
                <w:szCs w:val="20"/>
                <w:color w:val="auto"/>
              </w:rPr>
            </w:pPr>
            <w:r>
              <w:rPr>
                <w:rFonts w:ascii="Arial" w:cs="Arial" w:eastAsia="Arial" w:hAnsi="Arial"/>
                <w:sz w:val="16"/>
                <w:szCs w:val="16"/>
                <w:color w:val="auto"/>
              </w:rPr>
              <w:t>Debt investments</w:t>
            </w:r>
          </w:p>
        </w:tc>
        <w:tc>
          <w:tcPr>
            <w:tcW w:w="16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314,767,301</w:t>
            </w:r>
          </w:p>
        </w:tc>
        <w:tc>
          <w:tcPr>
            <w:tcW w:w="260" w:type="dxa"/>
            <w:vAlign w:val="bottom"/>
          </w:tcPr>
          <w:p>
            <w:pPr>
              <w:spacing w:after="0"/>
              <w:rPr>
                <w:sz w:val="16"/>
                <w:szCs w:val="16"/>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5.3% – 16.5%</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7"/>
              </w:rPr>
              <w:t>(8.9%)</w:t>
            </w: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investments</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7,655,677</w:t>
            </w:r>
          </w:p>
        </w:tc>
        <w:tc>
          <w:tcPr>
            <w:tcW w:w="26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Enterprise Market Value</w:t>
            </w:r>
          </w:p>
        </w:tc>
        <w:tc>
          <w:tcPr>
            <w:tcW w:w="196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rPr>
              <w:t>EBITDA multiple</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4.3x – 9.0x</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(7.2x)</w:t>
            </w:r>
          </w:p>
        </w:tc>
        <w:tc>
          <w:tcPr>
            <w:tcW w:w="0" w:type="dxa"/>
            <w:vAlign w:val="bottom"/>
          </w:tcPr>
          <w:p>
            <w:pPr>
              <w:spacing w:after="0"/>
              <w:rPr>
                <w:sz w:val="1"/>
                <w:szCs w:val="1"/>
                <w:color w:val="auto"/>
              </w:rPr>
            </w:pPr>
          </w:p>
        </w:tc>
      </w:tr>
      <w:tr>
        <w:trPr>
          <w:trHeight w:val="207"/>
        </w:trPr>
        <w:tc>
          <w:tcPr>
            <w:tcW w:w="4320" w:type="dxa"/>
            <w:vAlign w:val="bottom"/>
            <w:gridSpan w:val="2"/>
          </w:tcPr>
          <w:p>
            <w:pPr>
              <w:ind w:left="180"/>
              <w:spacing w:after="0"/>
              <w:rPr>
                <w:sz w:val="20"/>
                <w:szCs w:val="20"/>
                <w:color w:val="auto"/>
              </w:rPr>
            </w:pPr>
            <w:r>
              <w:rPr>
                <w:rFonts w:ascii="Arial" w:cs="Arial" w:eastAsia="Arial" w:hAnsi="Arial"/>
                <w:sz w:val="16"/>
                <w:szCs w:val="16"/>
                <w:color w:val="auto"/>
              </w:rPr>
              <w:t>Total Level 3 investments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595,822,836</w:t>
            </w: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232,389,498</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196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24"/>
                <w:szCs w:val="2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Fair Value as of</w:t>
            </w:r>
          </w:p>
        </w:tc>
        <w:tc>
          <w:tcPr>
            <w:tcW w:w="260" w:type="dxa"/>
            <w:vAlign w:val="bottom"/>
          </w:tcPr>
          <w:p>
            <w:pPr>
              <w:spacing w:after="0"/>
              <w:rPr>
                <w:sz w:val="24"/>
                <w:szCs w:val="24"/>
                <w:color w:val="auto"/>
              </w:rPr>
            </w:pP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2015</w:t>
            </w:r>
          </w:p>
        </w:tc>
        <w:tc>
          <w:tcPr>
            <w:tcW w:w="26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96"/>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Debt investments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259,566,475</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Market Comparable</w:t>
            </w:r>
          </w:p>
        </w:tc>
        <w:tc>
          <w:tcPr>
            <w:tcW w:w="2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Broker/Dealer bid quotes</w:t>
            </w:r>
          </w:p>
        </w:tc>
        <w:tc>
          <w:tcPr>
            <w:tcW w:w="2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rPr>
                <w:sz w:val="20"/>
                <w:szCs w:val="20"/>
                <w:color w:val="auto"/>
              </w:rPr>
            </w:pPr>
            <w:r>
              <w:rPr>
                <w:rFonts w:ascii="Arial" w:cs="Arial" w:eastAsia="Arial" w:hAnsi="Arial"/>
                <w:sz w:val="16"/>
                <w:szCs w:val="16"/>
                <w:color w:val="auto"/>
              </w:rPr>
              <w:t>Debt investments</w:t>
            </w:r>
          </w:p>
        </w:tc>
        <w:tc>
          <w:tcPr>
            <w:tcW w:w="16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128,895,910</w:t>
            </w:r>
          </w:p>
        </w:tc>
        <w:tc>
          <w:tcPr>
            <w:tcW w:w="260" w:type="dxa"/>
            <w:vAlign w:val="bottom"/>
          </w:tcPr>
          <w:p>
            <w:pPr>
              <w:spacing w:after="0"/>
              <w:rPr>
                <w:sz w:val="16"/>
                <w:szCs w:val="16"/>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5.5% – 34.7%</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0" w:type="dxa"/>
            <w:vAlign w:val="bottom"/>
          </w:tcPr>
          <w:p>
            <w:pPr>
              <w:spacing w:after="0"/>
              <w:rPr>
                <w:sz w:val="1"/>
                <w:szCs w:val="1"/>
                <w:color w:val="auto"/>
              </w:rPr>
            </w:pPr>
          </w:p>
        </w:tc>
      </w:tr>
      <w:tr>
        <w:trPr>
          <w:trHeight w:val="209"/>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investments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313,941</w:t>
            </w:r>
          </w:p>
        </w:tc>
        <w:tc>
          <w:tcPr>
            <w:tcW w:w="2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196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Broker/Dealer bid quotes</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rPr>
                <w:sz w:val="20"/>
                <w:szCs w:val="20"/>
                <w:color w:val="auto"/>
              </w:rPr>
            </w:pPr>
            <w:r>
              <w:rPr>
                <w:rFonts w:ascii="Arial" w:cs="Arial" w:eastAsia="Arial" w:hAnsi="Arial"/>
                <w:sz w:val="16"/>
                <w:szCs w:val="16"/>
                <w:color w:val="auto"/>
              </w:rPr>
              <w:t>Equity investments</w:t>
            </w:r>
          </w:p>
        </w:tc>
        <w:tc>
          <w:tcPr>
            <w:tcW w:w="16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2,344,955</w:t>
            </w:r>
          </w:p>
        </w:tc>
        <w:tc>
          <w:tcPr>
            <w:tcW w:w="260" w:type="dxa"/>
            <w:vAlign w:val="bottom"/>
          </w:tcPr>
          <w:p>
            <w:pPr>
              <w:spacing w:after="0"/>
              <w:rPr>
                <w:sz w:val="16"/>
                <w:szCs w:val="16"/>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Enterprise Market Value</w:t>
            </w: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color w:val="auto"/>
              </w:rPr>
              <w:t>EBITDA multiple</w:t>
            </w:r>
          </w:p>
        </w:tc>
        <w:tc>
          <w:tcPr>
            <w:tcW w:w="1300" w:type="dxa"/>
            <w:vAlign w:val="bottom"/>
          </w:tcPr>
          <w:p>
            <w:pPr>
              <w:jc w:val="center"/>
              <w:spacing w:after="0"/>
              <w:rPr>
                <w:sz w:val="20"/>
                <w:szCs w:val="20"/>
                <w:color w:val="auto"/>
              </w:rPr>
            </w:pPr>
            <w:r>
              <w:rPr>
                <w:rFonts w:ascii="Arial" w:cs="Arial" w:eastAsia="Arial" w:hAnsi="Arial"/>
                <w:sz w:val="16"/>
                <w:szCs w:val="16"/>
                <w:color w:val="auto"/>
                <w:w w:val="94"/>
              </w:rPr>
              <w:t>6.0x – 10.5x</w:t>
            </w:r>
          </w:p>
        </w:tc>
        <w:tc>
          <w:tcPr>
            <w:tcW w:w="0" w:type="dxa"/>
            <w:vAlign w:val="bottom"/>
          </w:tcPr>
          <w:p>
            <w:pPr>
              <w:spacing w:after="0"/>
              <w:rPr>
                <w:sz w:val="1"/>
                <w:szCs w:val="1"/>
                <w:color w:val="auto"/>
              </w:rPr>
            </w:pPr>
          </w:p>
        </w:tc>
      </w:tr>
      <w:tr>
        <w:trPr>
          <w:trHeight w:val="219"/>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(7.6x)</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Level 3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391,121,281</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3"/>
              </w:rPr>
              <w:t>2.9%</w:t>
            </w:r>
          </w:p>
        </w:tc>
        <w:tc>
          <w:tcPr>
            <w:tcW w:w="0" w:type="dxa"/>
            <w:vAlign w:val="bottom"/>
          </w:tcPr>
          <w:p>
            <w:pPr>
              <w:spacing w:after="0" w:line="20" w:lineRule="exact"/>
              <w:rPr>
                <w:sz w:val="1"/>
                <w:szCs w:val="1"/>
                <w:color w:val="auto"/>
              </w:rPr>
            </w:pPr>
          </w:p>
        </w:tc>
      </w:tr>
      <w:tr>
        <w:trPr>
          <w:trHeight w:val="194"/>
        </w:trPr>
        <w:tc>
          <w:tcPr>
            <w:tcW w:w="432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29,600,000</w:t>
            </w:r>
          </w:p>
        </w:tc>
        <w:tc>
          <w:tcPr>
            <w:tcW w:w="26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investments, cash and cash equivalents and Credit Facility were categorized as follows in the fair value hierarchy for ASC 820 purposes: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Fair Value at September 30, 2016</w:t>
            </w: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14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320"/>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right"/>
              <w:ind w:right="46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Debt investments (First lien)</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548,410,095</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548,410,095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Debt investments (Second lien)</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36,596,692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36,596,692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investments (Subordinated debt / corporate notes)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3,160,372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3,160,372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Equity investments</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10,720,366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106,922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2,957,767</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7,655,677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598,887,525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106,922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2,957,767</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595,822,836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28,910,973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28,910,973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 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627,798,498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29,017,895</w:t>
            </w:r>
          </w:p>
        </w:tc>
        <w:tc>
          <w:tcPr>
            <w:tcW w:w="38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2,957,767</w:t>
            </w:r>
          </w:p>
        </w:tc>
        <w:tc>
          <w:tcPr>
            <w:tcW w:w="620" w:type="dxa"/>
            <w:vAlign w:val="bottom"/>
            <w:gridSpan w:val="2"/>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595,822,836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20" w:type="dxa"/>
            <w:vAlign w:val="bottom"/>
            <w:gridSpan w:val="2"/>
            <w:vMerge w:val="continue"/>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232,389,498</w:t>
            </w:r>
          </w:p>
        </w:tc>
        <w:tc>
          <w:tcPr>
            <w:tcW w:w="30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232,389,498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Fair Value at September 30, 2015</w:t>
            </w: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14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320"/>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right"/>
              <w:ind w:right="46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Debt investments (First lien)</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334,957,341</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334,957,341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Debt investments (Second lien)</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47,902,800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47,902,800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investments (Subordinated debt / corporate notes)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5,602,244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5,602,244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Equity investments</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2,849,505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190,609</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2,658,896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391,311,890</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190,609</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391,121,281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21,428,514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21,428,514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 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412,740,404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21,428,514</w:t>
            </w:r>
          </w:p>
        </w:tc>
        <w:tc>
          <w:tcPr>
            <w:tcW w:w="38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190,609</w:t>
            </w:r>
          </w:p>
        </w:tc>
        <w:tc>
          <w:tcPr>
            <w:tcW w:w="620" w:type="dxa"/>
            <w:vAlign w:val="bottom"/>
            <w:gridSpan w:val="2"/>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391,121,281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20" w:type="dxa"/>
            <w:vAlign w:val="bottom"/>
            <w:gridSpan w:val="2"/>
            <w:vMerge w:val="continue"/>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29,600,000</w:t>
            </w:r>
          </w:p>
        </w:tc>
        <w:tc>
          <w:tcPr>
            <w:tcW w:w="30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29,600,000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 (Continued) SEPTEMBER 30, 2016</w:t>
      </w:r>
    </w:p>
    <w:p>
      <w:pPr>
        <w:spacing w:after="0" w:line="113" w:lineRule="exact"/>
        <w:rPr>
          <w:sz w:val="20"/>
          <w:szCs w:val="20"/>
          <w:color w:val="auto"/>
        </w:rPr>
      </w:pPr>
    </w:p>
    <w:p>
      <w:pPr>
        <w:ind w:right="220" w:firstLine="685"/>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8"/>
          </w:tcPr>
          <w:p>
            <w:pPr>
              <w:jc w:val="center"/>
              <w:ind w:left="741"/>
              <w:spacing w:after="0"/>
              <w:rPr>
                <w:sz w:val="20"/>
                <w:szCs w:val="20"/>
                <w:color w:val="auto"/>
              </w:rPr>
            </w:pPr>
            <w:r>
              <w:rPr>
                <w:rFonts w:ascii="Arial" w:cs="Arial" w:eastAsia="Arial" w:hAnsi="Arial"/>
                <w:sz w:val="14"/>
                <w:szCs w:val="14"/>
                <w:b w:val="1"/>
                <w:bCs w:val="1"/>
                <w:color w:val="auto"/>
                <w:w w:val="92"/>
              </w:rPr>
              <w:t>Year Ended September 30, 2016</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subordinated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334,957,341</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56,163,940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391,121,281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Net realized gains (losses)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744,464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(2,223,584)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(1,479,120)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unrealized appreciation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2,282,976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4,804,379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7,087,355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Purchases, PIK, net discount accretion and non-cash exchanges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357,140,895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9,088,987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366,229,882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Sales, repayments and non-cash exchanges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(146,715,581)</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(17,463,214)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(164,178,795)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Transfers in and/or out of Level 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(2,957,767)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(2,957,767)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548,410,095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47,412,741</w:t>
            </w:r>
          </w:p>
        </w:tc>
        <w:tc>
          <w:tcPr>
            <w:tcW w:w="1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595,822,836</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6"/>
                <w:szCs w:val="16"/>
                <w:color w:val="auto"/>
              </w:rPr>
              <w:t>Net change in unrealized appreciation (depreciation) reported within the net change in unrealized</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0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160"/>
              <w:spacing w:after="0"/>
              <w:rPr>
                <w:sz w:val="20"/>
                <w:szCs w:val="20"/>
                <w:color w:val="auto"/>
              </w:rPr>
            </w:pPr>
            <w:r>
              <w:rPr>
                <w:rFonts w:ascii="Arial" w:cs="Arial" w:eastAsia="Arial" w:hAnsi="Arial"/>
                <w:sz w:val="16"/>
                <w:szCs w:val="16"/>
                <w:color w:val="auto"/>
                <w:w w:val="96"/>
              </w:rPr>
              <w:t>appreciation on investments in our Consolidated Statements of Operations attributable to our Level 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Arial" w:cs="Arial" w:eastAsia="Arial" w:hAnsi="Arial"/>
                <w:sz w:val="16"/>
                <w:szCs w:val="16"/>
                <w:color w:val="auto"/>
              </w:rPr>
              <w:t>assets still held at the reporting date.</w:t>
            </w:r>
          </w:p>
        </w:tc>
        <w:tc>
          <w:tcPr>
            <w:tcW w:w="200" w:type="dxa"/>
            <w:vAlign w:val="bottom"/>
            <w:gridSpan w:val="2"/>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2,617,111</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(693,738)</w:t>
            </w:r>
          </w:p>
        </w:tc>
        <w:tc>
          <w:tcPr>
            <w:tcW w:w="3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1,923,373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jc w:val="center"/>
              <w:ind w:left="741"/>
              <w:spacing w:after="0"/>
              <w:rPr>
                <w:sz w:val="20"/>
                <w:szCs w:val="20"/>
                <w:color w:val="auto"/>
              </w:rPr>
            </w:pPr>
            <w:r>
              <w:rPr>
                <w:rFonts w:ascii="Arial" w:cs="Arial" w:eastAsia="Arial" w:hAnsi="Arial"/>
                <w:sz w:val="14"/>
                <w:szCs w:val="14"/>
                <w:b w:val="1"/>
                <w:bCs w:val="1"/>
                <w:color w:val="auto"/>
                <w:w w:val="92"/>
              </w:rPr>
              <w:t>Year Ended September 30, 2015</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subordinated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302,565,355</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40,707,230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343,272,585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Net realized (losses) gains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(175,862)</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667,008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491,146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unrealized depreciation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(3,286,024)</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(2,397,090)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(5,683,114)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line="202" w:lineRule="exact"/>
              <w:rPr>
                <w:sz w:val="20"/>
                <w:szCs w:val="20"/>
                <w:color w:val="auto"/>
              </w:rPr>
            </w:pPr>
            <w:r>
              <w:rPr>
                <w:rFonts w:ascii="Arial" w:cs="Arial" w:eastAsia="Arial" w:hAnsi="Arial"/>
                <w:sz w:val="14"/>
                <w:szCs w:val="14"/>
                <w:color w:val="auto"/>
              </w:rPr>
              <w:t xml:space="preserve">Purchases, PIK, net discount accretion and non-cash exchanges </w:t>
            </w:r>
            <w:r>
              <w:rPr>
                <w:rFonts w:ascii="Arial" w:cs="Arial" w:eastAsia="Arial" w:hAnsi="Arial"/>
                <w:sz w:val="23"/>
                <w:szCs w:val="23"/>
                <w:color w:val="auto"/>
                <w:vertAlign w:val="superscript"/>
              </w:rPr>
              <w:t>(1)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215,410,313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27,790,325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243,200,638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Sales, repayments and non-cash exchanges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(179,556,441)</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(15,493,137)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(195,049,578)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Transfers in and/or out of Level 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4,889,604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4,889,604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334,957,341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56,163,940</w:t>
            </w:r>
          </w:p>
        </w:tc>
        <w:tc>
          <w:tcPr>
            <w:tcW w:w="1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391,121,281</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4"/>
                <w:szCs w:val="14"/>
                <w:color w:val="auto"/>
                <w:w w:val="97"/>
              </w:rPr>
              <w:t>Net change in unrealized depreciation reported within the net change in unrealized appreciation on investments in our</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0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60" w:type="dxa"/>
            <w:vAlign w:val="bottom"/>
            <w:gridSpan w:val="2"/>
          </w:tcPr>
          <w:p>
            <w:pPr>
              <w:ind w:left="140"/>
              <w:spacing w:after="0"/>
              <w:rPr>
                <w:sz w:val="20"/>
                <w:szCs w:val="20"/>
                <w:color w:val="auto"/>
              </w:rPr>
            </w:pPr>
            <w:r>
              <w:rPr>
                <w:rFonts w:ascii="Arial" w:cs="Arial" w:eastAsia="Arial" w:hAnsi="Arial"/>
                <w:sz w:val="14"/>
                <w:szCs w:val="14"/>
                <w:color w:val="auto"/>
              </w:rPr>
              <w:t>Consolidated Statements of Operations attributable to our Level 3 assets still held at the reporting date.</w:t>
            </w:r>
          </w:p>
        </w:tc>
        <w:tc>
          <w:tcPr>
            <w:tcW w:w="200" w:type="dxa"/>
            <w:vAlign w:val="bottom"/>
            <w:gridSpan w:val="2"/>
          </w:tcPr>
          <w:p>
            <w:pPr>
              <w:spacing w:after="0"/>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4"/>
                <w:szCs w:val="14"/>
                <w:color w:val="auto"/>
              </w:rPr>
              <w:t>(3,449,989)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(2,257,945)</w:t>
            </w: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(5,707,934)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0326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64" w:lineRule="exact"/>
        <w:rPr>
          <w:sz w:val="20"/>
          <w:szCs w:val="20"/>
          <w:color w:val="auto"/>
        </w:rPr>
      </w:pPr>
    </w:p>
    <w:p>
      <w:pPr>
        <w:ind w:left="580" w:hanging="572"/>
        <w:spacing w:after="0"/>
        <w:tabs>
          <w:tab w:leader="none" w:pos="580" w:val="left"/>
        </w:tabs>
        <w:numPr>
          <w:ilvl w:val="0"/>
          <w:numId w:val="113"/>
        </w:numPr>
        <w:rPr>
          <w:rFonts w:ascii="Arial" w:cs="Arial" w:eastAsia="Arial" w:hAnsi="Arial"/>
          <w:sz w:val="12"/>
          <w:szCs w:val="12"/>
          <w:color w:val="auto"/>
        </w:rPr>
      </w:pPr>
      <w:r>
        <w:rPr>
          <w:rFonts w:ascii="Arial" w:cs="Arial" w:eastAsia="Arial" w:hAnsi="Arial"/>
          <w:sz w:val="14"/>
          <w:szCs w:val="14"/>
          <w:color w:val="auto"/>
        </w:rPr>
        <w:t>Includes assets acquired from MCG.</w:t>
      </w:r>
    </w:p>
    <w:p>
      <w:pPr>
        <w:spacing w:after="0" w:line="8" w:lineRule="exact"/>
        <w:rPr>
          <w:sz w:val="20"/>
          <w:szCs w:val="20"/>
          <w:color w:val="auto"/>
        </w:rPr>
      </w:pPr>
    </w:p>
    <w:p>
      <w:pPr>
        <w:ind w:right="160" w:firstLine="685"/>
        <w:spacing w:after="0" w:line="259"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Carrying/Fair Value</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5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Years Ended September 30,</w:t>
            </w: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tcPr>
          <w:p>
            <w:pPr>
              <w:jc w:val="right"/>
              <w:ind w:right="802"/>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tcPr>
          <w:p>
            <w:pPr>
              <w:jc w:val="right"/>
              <w:ind w:right="78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Beginning Balance (cost – $29,600,000 and $146,400,000, respectively)</w:t>
            </w:r>
          </w:p>
        </w:tc>
        <w:tc>
          <w:tcPr>
            <w:tcW w:w="4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29,600,000</w:t>
            </w:r>
          </w:p>
        </w:tc>
        <w:tc>
          <w:tcPr>
            <w:tcW w:w="5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146,949,000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340"/>
              <w:spacing w:after="0"/>
              <w:rPr>
                <w:sz w:val="20"/>
                <w:szCs w:val="20"/>
                <w:color w:val="auto"/>
              </w:rPr>
            </w:pPr>
            <w:r>
              <w:rPr>
                <w:rFonts w:ascii="Arial" w:cs="Arial" w:eastAsia="Arial" w:hAnsi="Arial"/>
                <w:sz w:val="16"/>
                <w:szCs w:val="16"/>
                <w:color w:val="auto"/>
              </w:rPr>
              <w:t>Total unrealized depreciation included in earnings</w:t>
            </w:r>
          </w:p>
        </w:tc>
        <w:tc>
          <w:tcPr>
            <w:tcW w:w="520" w:type="dxa"/>
            <w:vAlign w:val="bottom"/>
          </w:tcPr>
          <w:p>
            <w:pPr>
              <w:spacing w:after="0"/>
              <w:rPr>
                <w:sz w:val="17"/>
                <w:szCs w:val="17"/>
                <w:color w:val="auto"/>
              </w:rPr>
            </w:pPr>
          </w:p>
        </w:tc>
        <w:tc>
          <w:tcPr>
            <w:tcW w:w="1540" w:type="dxa"/>
            <w:vAlign w:val="bottom"/>
          </w:tcPr>
          <w:p>
            <w:pPr>
              <w:jc w:val="right"/>
              <w:ind w:right="82"/>
              <w:spacing w:after="0"/>
              <w:rPr>
                <w:sz w:val="20"/>
                <w:szCs w:val="20"/>
                <w:color w:val="auto"/>
              </w:rPr>
            </w:pPr>
            <w:r>
              <w:rPr>
                <w:rFonts w:ascii="Arial" w:cs="Arial" w:eastAsia="Arial" w:hAnsi="Arial"/>
                <w:sz w:val="16"/>
                <w:szCs w:val="16"/>
                <w:color w:val="auto"/>
              </w:rPr>
              <w:t>(518,002)</w:t>
            </w: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(549,000)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Borrowings</w:t>
            </w:r>
          </w:p>
        </w:tc>
        <w:tc>
          <w:tcPr>
            <w:tcW w:w="5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260,707,500</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130,700,000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340"/>
              <w:spacing w:after="0"/>
              <w:rPr>
                <w:sz w:val="20"/>
                <w:szCs w:val="20"/>
                <w:color w:val="auto"/>
              </w:rPr>
            </w:pPr>
            <w:r>
              <w:rPr>
                <w:rFonts w:ascii="Arial" w:cs="Arial" w:eastAsia="Arial" w:hAnsi="Arial"/>
                <w:sz w:val="16"/>
                <w:szCs w:val="16"/>
                <w:color w:val="auto"/>
              </w:rPr>
              <w:t>Repayments</w:t>
            </w:r>
          </w:p>
        </w:tc>
        <w:tc>
          <w:tcPr>
            <w:tcW w:w="520" w:type="dxa"/>
            <w:vAlign w:val="bottom"/>
          </w:tcPr>
          <w:p>
            <w:pPr>
              <w:spacing w:after="0"/>
              <w:rPr>
                <w:sz w:val="17"/>
                <w:szCs w:val="17"/>
                <w:color w:val="auto"/>
              </w:rPr>
            </w:pPr>
          </w:p>
        </w:tc>
        <w:tc>
          <w:tcPr>
            <w:tcW w:w="1540" w:type="dxa"/>
            <w:vAlign w:val="bottom"/>
          </w:tcPr>
          <w:p>
            <w:pPr>
              <w:jc w:val="right"/>
              <w:ind w:right="82"/>
              <w:spacing w:after="0"/>
              <w:rPr>
                <w:sz w:val="20"/>
                <w:szCs w:val="20"/>
                <w:color w:val="auto"/>
              </w:rPr>
            </w:pPr>
            <w:r>
              <w:rPr>
                <w:rFonts w:ascii="Arial" w:cs="Arial" w:eastAsia="Arial" w:hAnsi="Arial"/>
                <w:sz w:val="16"/>
                <w:szCs w:val="16"/>
                <w:color w:val="auto"/>
              </w:rPr>
              <w:t>(57,400,000)</w:t>
            </w: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(247,500,000)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Transfers in and/or out of Level 3</w:t>
            </w:r>
          </w:p>
        </w:tc>
        <w:tc>
          <w:tcPr>
            <w:tcW w:w="5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20" w:type="dxa"/>
            <w:vAlign w:val="bottom"/>
            <w:gridSpan w:val="2"/>
          </w:tcPr>
          <w:p>
            <w:pPr>
              <w:spacing w:after="0"/>
              <w:rPr>
                <w:sz w:val="20"/>
                <w:szCs w:val="20"/>
                <w:color w:val="auto"/>
              </w:rPr>
            </w:pPr>
            <w:r>
              <w:rPr>
                <w:rFonts w:ascii="Arial" w:cs="Arial" w:eastAsia="Arial" w:hAnsi="Arial"/>
                <w:sz w:val="16"/>
                <w:szCs w:val="16"/>
                <w:color w:val="auto"/>
              </w:rPr>
              <w:t>Ending Balance (cost – $232,907,500 and $29,600,000, respectively)</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82"/>
              <w:spacing w:after="0"/>
              <w:rPr>
                <w:sz w:val="20"/>
                <w:szCs w:val="20"/>
                <w:color w:val="auto"/>
              </w:rPr>
            </w:pPr>
            <w:r>
              <w:rPr>
                <w:rFonts w:ascii="Arial" w:cs="Arial" w:eastAsia="Arial" w:hAnsi="Arial"/>
                <w:sz w:val="16"/>
                <w:szCs w:val="16"/>
                <w:color w:val="auto"/>
              </w:rPr>
              <w:t>232,389,498</w:t>
            </w:r>
          </w:p>
        </w:tc>
        <w:tc>
          <w:tcPr>
            <w:tcW w:w="1240" w:type="dxa"/>
            <w:vAlign w:val="bottom"/>
            <w:gridSpan w:val="2"/>
          </w:tcPr>
          <w:p>
            <w:pPr>
              <w:jc w:val="right"/>
              <w:ind w:right="4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29,600,000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80" w:firstLine="685"/>
        <w:spacing w:after="0" w:line="277" w:lineRule="auto"/>
        <w:rPr>
          <w:sz w:val="20"/>
          <w:szCs w:val="20"/>
          <w:color w:val="auto"/>
        </w:rPr>
      </w:pPr>
      <w:r>
        <w:rPr>
          <w:rFonts w:ascii="Arial" w:cs="Arial" w:eastAsia="Arial" w:hAnsi="Arial"/>
          <w:sz w:val="18"/>
          <w:szCs w:val="18"/>
          <w:color w:val="auto"/>
        </w:rPr>
        <w:t>As of September 30, 2016, we had outstanding non-U.S. dollar borrowings on our Credit Facility. Net change in fair value from foreign currency translating on outstanding borrowings is listed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500" w:type="dxa"/>
            <w:vAlign w:val="bottom"/>
          </w:tcPr>
          <w:p>
            <w:pPr>
              <w:spacing w:after="0"/>
              <w:rPr>
                <w:sz w:val="14"/>
                <w:szCs w:val="14"/>
                <w:color w:val="auto"/>
              </w:rPr>
            </w:pPr>
          </w:p>
        </w:tc>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94"/>
              </w:rPr>
              <w:t>Local Currency</w:t>
            </w:r>
          </w:p>
        </w:tc>
        <w:tc>
          <w:tcPr>
            <w:tcW w:w="1080" w:type="dxa"/>
            <w:vAlign w:val="bottom"/>
          </w:tcPr>
          <w:p>
            <w:pPr>
              <w:spacing w:after="0"/>
              <w:rPr>
                <w:sz w:val="14"/>
                <w:szCs w:val="14"/>
                <w:color w:val="auto"/>
              </w:rPr>
            </w:pPr>
          </w:p>
        </w:tc>
        <w:tc>
          <w:tcPr>
            <w:tcW w:w="206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8"/>
              </w:rPr>
              <w:t>Original</w:t>
            </w:r>
          </w:p>
        </w:tc>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16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Reset Date</w:t>
            </w:r>
          </w:p>
        </w:tc>
        <w:tc>
          <w:tcPr>
            <w:tcW w:w="5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1"/>
        </w:trPr>
        <w:tc>
          <w:tcPr>
            <w:tcW w:w="16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206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3"/>
              </w:rPr>
              <w:t>Borrowing Cost</w:t>
            </w:r>
          </w:p>
        </w:tc>
        <w:tc>
          <w:tcPr>
            <w:tcW w:w="198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Canadian Dollars</w:t>
            </w: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1"/>
              </w:rPr>
              <w:t>C$ 17,500,000</w:t>
            </w:r>
          </w:p>
        </w:tc>
        <w:tc>
          <w:tcPr>
            <w:tcW w:w="10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  12,407,501</w:t>
            </w:r>
          </w:p>
        </w:tc>
        <w:tc>
          <w:tcPr>
            <w:tcW w:w="10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4"/>
              </w:rPr>
              <w:t>$ 13,338,920</w:t>
            </w:r>
          </w:p>
        </w:tc>
        <w:tc>
          <w:tcPr>
            <w:tcW w:w="10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8"/>
              </w:rPr>
              <w:t>October 3, 2016</w:t>
            </w: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931,419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right="40" w:firstLine="685"/>
        <w:spacing w:after="0" w:line="268" w:lineRule="auto"/>
        <w:rPr>
          <w:sz w:val="20"/>
          <w:szCs w:val="20"/>
          <w:color w:val="auto"/>
        </w:rPr>
      </w:pPr>
      <w:r>
        <w:rPr>
          <w:rFonts w:ascii="Arial" w:cs="Arial" w:eastAsia="Arial" w:hAnsi="Arial"/>
          <w:sz w:val="17"/>
          <w:szCs w:val="17"/>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$0.9 million, $2.3 million and $0.7 million relating to amendment fees on the Credit Facility during the years ended September 30, 2016, 2015 and 2014,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2016 and 2015, our Credit Facility had a net change in unrealized depreciation of $0.5 million and $0.5 million, respectively. As of September 30, 2016 and 2015, the net unrealized depreciation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89" w:lineRule="exact"/>
        <w:rPr>
          <w:sz w:val="20"/>
          <w:szCs w:val="20"/>
          <w:color w:val="auto"/>
        </w:rPr>
      </w:pPr>
    </w:p>
    <w:p>
      <w:pPr>
        <w:ind w:right="120" w:firstLine="685"/>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September 30, 2016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Fair Value at</w:t>
            </w:r>
          </w:p>
        </w:tc>
        <w:tc>
          <w:tcPr>
            <w:tcW w:w="24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Purchases of /</w:t>
            </w:r>
          </w:p>
        </w:tc>
        <w:tc>
          <w:tcPr>
            <w:tcW w:w="2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Sale of /</w:t>
            </w:r>
          </w:p>
        </w:tc>
        <w:tc>
          <w:tcPr>
            <w:tcW w:w="120" w:type="dxa"/>
            <w:vAlign w:val="bottom"/>
          </w:tcPr>
          <w:p>
            <w:pPr>
              <w:spacing w:after="0"/>
              <w:rPr>
                <w:sz w:val="14"/>
                <w:szCs w:val="14"/>
                <w:color w:val="auto"/>
              </w:rPr>
            </w:pPr>
          </w:p>
        </w:tc>
        <w:tc>
          <w:tcPr>
            <w:tcW w:w="70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Advances to</w:t>
            </w:r>
          </w:p>
        </w:tc>
        <w:tc>
          <w:tcPr>
            <w:tcW w:w="2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0"/>
              </w:rPr>
              <w:t>September 30, 2015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Affiliates</w:t>
            </w:r>
          </w:p>
        </w:tc>
        <w:tc>
          <w:tcPr>
            <w:tcW w:w="24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from Affiliates</w:t>
            </w:r>
          </w:p>
        </w:tc>
        <w:tc>
          <w:tcPr>
            <w:tcW w:w="120" w:type="dxa"/>
            <w:vAlign w:val="bottom"/>
          </w:tcPr>
          <w:p>
            <w:pPr>
              <w:spacing w:after="0"/>
              <w:rPr>
                <w:sz w:val="14"/>
                <w:szCs w:val="14"/>
                <w:color w:val="auto"/>
              </w:rPr>
            </w:pPr>
          </w:p>
        </w:tc>
        <w:tc>
          <w:tcPr>
            <w:tcW w:w="700" w:type="dxa"/>
            <w:vAlign w:val="bottom"/>
          </w:tcPr>
          <w:p>
            <w:pPr>
              <w:jc w:val="right"/>
              <w:ind w:right="79"/>
              <w:spacing w:after="0"/>
              <w:rPr>
                <w:sz w:val="20"/>
                <w:szCs w:val="20"/>
                <w:color w:val="auto"/>
              </w:rPr>
            </w:pPr>
            <w:r>
              <w:rPr>
                <w:rFonts w:ascii="Arial" w:cs="Arial" w:eastAsia="Arial" w:hAnsi="Arial"/>
                <w:sz w:val="14"/>
                <w:szCs w:val="14"/>
                <w:b w:val="1"/>
                <w:bCs w:val="1"/>
                <w:color w:val="auto"/>
                <w:w w:val="92"/>
              </w:rPr>
              <w:t>Accrued</w:t>
            </w:r>
          </w:p>
        </w:tc>
        <w:tc>
          <w:tcPr>
            <w:tcW w:w="2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7"/>
              </w:rPr>
              <w:t>Gains (Losses)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Controlled Affiliates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GMC Television Broadcasting Holdings, LLC</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2,776,507</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380" w:type="dxa"/>
            <w:vAlign w:val="bottom"/>
            <w:gridSpan w:val="3"/>
          </w:tcPr>
          <w:p>
            <w:pPr>
              <w:ind w:lef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(2,777,132)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105,502</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Controlled Affiliates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2,776,507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380" w:type="dxa"/>
            <w:vAlign w:val="bottom"/>
            <w:gridSpan w:val="3"/>
            <w:shd w:val="clear" w:color="auto" w:fill="CCEEFF"/>
          </w:tcPr>
          <w:p>
            <w:pPr>
              <w:ind w:lef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(2,777,132)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105,502</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 Ended September 30,</w:t>
            </w: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14"/>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737"/>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82"/>
        </w:trPr>
        <w:tc>
          <w:tcPr>
            <w:tcW w:w="4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Numerator for net increase in net assets resulting from</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33,488,663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12,504,245</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20,513,971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1"/>
              </w:rPr>
              <w:t>Denominator for basic and diluted weighted average shares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gridSpan w:val="2"/>
          </w:tcPr>
          <w:p>
            <w:pPr>
              <w:jc w:val="right"/>
              <w:ind w:right="440"/>
              <w:spacing w:after="0"/>
              <w:rPr>
                <w:sz w:val="20"/>
                <w:szCs w:val="20"/>
                <w:color w:val="auto"/>
              </w:rPr>
            </w:pPr>
            <w:r>
              <w:rPr>
                <w:rFonts w:ascii="Arial" w:cs="Arial" w:eastAsia="Arial" w:hAnsi="Arial"/>
                <w:sz w:val="18"/>
                <w:szCs w:val="18"/>
                <w:color w:val="auto"/>
              </w:rPr>
              <w:t>26,730,074</w:t>
            </w:r>
          </w:p>
        </w:tc>
        <w:tc>
          <w:tcPr>
            <w:tcW w:w="160" w:type="dxa"/>
            <w:vAlign w:val="bottom"/>
          </w:tcPr>
          <w:p>
            <w:pPr>
              <w:spacing w:after="0"/>
              <w:rPr>
                <w:sz w:val="18"/>
                <w:szCs w:val="18"/>
                <w:color w:val="auto"/>
              </w:rPr>
            </w:pPr>
          </w:p>
        </w:tc>
        <w:tc>
          <w:tcPr>
            <w:tcW w:w="2100" w:type="dxa"/>
            <w:vAlign w:val="bottom"/>
            <w:gridSpan w:val="2"/>
          </w:tcPr>
          <w:p>
            <w:pPr>
              <w:jc w:val="right"/>
              <w:ind w:right="340"/>
              <w:spacing w:after="0"/>
              <w:rPr>
                <w:sz w:val="20"/>
                <w:szCs w:val="20"/>
                <w:color w:val="auto"/>
              </w:rPr>
            </w:pPr>
            <w:r>
              <w:rPr>
                <w:rFonts w:ascii="Arial" w:cs="Arial" w:eastAsia="Arial" w:hAnsi="Arial"/>
                <w:sz w:val="18"/>
                <w:szCs w:val="18"/>
                <w:color w:val="auto"/>
              </w:rPr>
              <w:t>16,291,965</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14,898,056</w:t>
            </w: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increase in net assets per share</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resulting from operations</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0.77</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162" w:lineRule="exact"/>
        <w:rPr>
          <w:sz w:val="20"/>
          <w:szCs w:val="20"/>
          <w:color w:val="auto"/>
        </w:rPr>
      </w:pPr>
    </w:p>
    <w:p>
      <w:pPr>
        <w:ind w:right="40" w:firstLine="685"/>
        <w:spacing w:after="0" w:line="276" w:lineRule="auto"/>
        <w:rPr>
          <w:sz w:val="20"/>
          <w:szCs w:val="20"/>
          <w:color w:val="auto"/>
        </w:rPr>
      </w:pPr>
      <w:r>
        <w:rPr>
          <w:rFonts w:ascii="Arial" w:cs="Arial" w:eastAsia="Arial" w:hAnsi="Arial"/>
          <w:sz w:val="17"/>
          <w:szCs w:val="17"/>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32" w:lineRule="exact"/>
        <w:rPr>
          <w:sz w:val="20"/>
          <w:szCs w:val="20"/>
          <w:color w:val="auto"/>
        </w:rPr>
      </w:pPr>
    </w:p>
    <w:p>
      <w:pPr>
        <w:ind w:right="140" w:firstLine="685"/>
        <w:spacing w:after="0" w:line="342" w:lineRule="auto"/>
        <w:rPr>
          <w:sz w:val="20"/>
          <w:szCs w:val="20"/>
          <w:color w:val="auto"/>
        </w:rPr>
      </w:pPr>
      <w:r>
        <w:rPr>
          <w:rFonts w:ascii="Arial" w:cs="Arial" w:eastAsia="Arial" w:hAnsi="Arial"/>
          <w:sz w:val="16"/>
          <w:szCs w:val="16"/>
          <w:color w:val="auto"/>
        </w:rPr>
        <w:t>As of September 30, 2016 and 2015, the cost of investments for federal income tax purposes was $600.1 million and $399.6 million, respectively, resulting in a gross unrealized appreciation of $10.6 million and $3.3 million, respectively, and depreciation of $11.8 million and $11.6 million, respectively.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amounts were reclassified for tax purposes: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2"/>
              </w:rPr>
              <w:t>Years Ended September 30,</w:t>
            </w: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r>
      <w:tr>
        <w:trPr>
          <w:trHeight w:val="142"/>
        </w:trPr>
        <w:tc>
          <w:tcPr>
            <w:tcW w:w="39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62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61"/>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CCEEFF"/>
            </w:tcBorders>
          </w:tcPr>
          <w:p>
            <w:pPr>
              <w:spacing w:after="0"/>
              <w:rPr>
                <w:sz w:val="12"/>
                <w:szCs w:val="12"/>
                <w:color w:val="auto"/>
              </w:rPr>
            </w:pPr>
          </w:p>
        </w:tc>
      </w:tr>
      <w:tr>
        <w:trPr>
          <w:trHeight w:val="196"/>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Decrease in paid-in capital</w:t>
            </w: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(308,435)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(429,892)</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(254,753)</w:t>
            </w:r>
          </w:p>
        </w:tc>
        <w:tc>
          <w:tcPr>
            <w:tcW w:w="860" w:type="dxa"/>
            <w:vAlign w:val="bottom"/>
            <w:shd w:val="clear" w:color="auto" w:fill="CCEEFF"/>
          </w:tcPr>
          <w:p>
            <w:pPr>
              <w:spacing w:after="0"/>
              <w:rPr>
                <w:sz w:val="17"/>
                <w:szCs w:val="17"/>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Increase in accumulated net realized gain</w:t>
            </w: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9,384</w:t>
            </w:r>
          </w:p>
        </w:tc>
        <w:tc>
          <w:tcPr>
            <w:tcW w:w="860" w:type="dxa"/>
            <w:vAlign w:val="bottom"/>
          </w:tcPr>
          <w:p>
            <w:pPr>
              <w:spacing w:after="0"/>
              <w:rPr>
                <w:sz w:val="17"/>
                <w:szCs w:val="17"/>
                <w:color w:val="auto"/>
              </w:rPr>
            </w:pP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Increase in undistributed net investment income</w:t>
            </w: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308,435</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429,892</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245,369</w:t>
            </w:r>
          </w:p>
        </w:tc>
        <w:tc>
          <w:tcPr>
            <w:tcW w:w="86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Years Ended September 30,</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0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62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60"/>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net assets resulting from operations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33,488,663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12,504,245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20,513,971</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Net realized loss on investments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1,376,788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60" w:type="dxa"/>
            <w:vAlign w:val="bottom"/>
            <w:gridSpan w:val="2"/>
          </w:tcPr>
          <w:p>
            <w:pPr>
              <w:jc w:val="right"/>
              <w:ind w:right="8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w w:val="96"/>
              </w:rPr>
              <w:t>Net change in unrealized (appreciation) depreciation on investments</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and Credit Facility</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(7,529,291)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5,551,614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(1,004,771)</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Other book-to-tax differences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642,719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5,788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266,378</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Other non-deductible expenses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440,000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479,425</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6"/>
                <w:szCs w:val="16"/>
                <w:color w:val="auto"/>
              </w:rPr>
              <w:t>Taxable income before dividends paid deduction</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80" w:type="dxa"/>
            <w:vAlign w:val="bottom"/>
            <w:vMerge w:val="continue"/>
          </w:tcPr>
          <w:p>
            <w:pPr>
              <w:spacing w:after="0"/>
              <w:rPr>
                <w:sz w:val="17"/>
                <w:szCs w:val="17"/>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27,978,879</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18,501,647</w:t>
            </w:r>
          </w:p>
        </w:tc>
        <w:tc>
          <w:tcPr>
            <w:tcW w:w="220" w:type="dxa"/>
            <w:vAlign w:val="bottom"/>
          </w:tcPr>
          <w:p>
            <w:pPr>
              <w:spacing w:after="0"/>
              <w:rPr>
                <w:sz w:val="17"/>
                <w:szCs w:val="17"/>
                <w:color w:val="auto"/>
              </w:rPr>
            </w:pPr>
          </w:p>
        </w:tc>
        <w:tc>
          <w:tcPr>
            <w:tcW w:w="520" w:type="dxa"/>
            <w:vAlign w:val="bottom"/>
            <w:gridSpan w:val="2"/>
          </w:tcPr>
          <w:p>
            <w:pPr>
              <w:jc w:val="right"/>
              <w:ind w:right="284"/>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20,255,003</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components of undistributed taxable income on a tax basis and reconciliation to accumulated surplus on a book basis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0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62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60"/>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Undistributed ordinary income – tax basis</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10,097,684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12,591,089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10,097,482</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w w:val="95"/>
              </w:rPr>
              <w:t>(Realized loss carried forward)/Undistributed long-term capital gain</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(1,121,514)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1,652,842</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580" w:type="dxa"/>
            <w:vAlign w:val="bottom"/>
            <w:gridSpan w:val="2"/>
          </w:tcPr>
          <w:p>
            <w:pPr>
              <w:ind w:left="18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Distributions payable and other book to tax differences</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(5,793,312)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(5,203,754)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(3,989,324)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w w:val="94"/>
              </w:rPr>
              <w:t>Net unrealized appreciation (depreciation) of investments and Credit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6"/>
                <w:szCs w:val="16"/>
                <w:color w:val="auto"/>
              </w:rPr>
              <w:t>Facility</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1,502,874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(6,026,417)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gridSpan w:val="2"/>
          </w:tcPr>
          <w:p>
            <w:pPr>
              <w:jc w:val="right"/>
              <w:ind w:right="820"/>
              <w:spacing w:after="0"/>
              <w:rPr>
                <w:sz w:val="20"/>
                <w:szCs w:val="20"/>
                <w:color w:val="auto"/>
              </w:rPr>
            </w:pPr>
            <w:r>
              <w:rPr>
                <w:rFonts w:ascii="Arial" w:cs="Arial" w:eastAsia="Arial" w:hAnsi="Arial"/>
                <w:sz w:val="16"/>
                <w:szCs w:val="16"/>
                <w:color w:val="auto"/>
              </w:rPr>
              <w:t>(474,803)</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Total accumulated surplus – book basis</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4,685,732</w:t>
            </w:r>
          </w:p>
        </w:tc>
        <w:tc>
          <w:tcPr>
            <w:tcW w:w="34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1,360,918</w:t>
            </w: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84"/>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7,286,197</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7411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68" w:lineRule="exact"/>
        <w:rPr>
          <w:sz w:val="20"/>
          <w:szCs w:val="20"/>
          <w:color w:val="auto"/>
        </w:rPr>
      </w:pPr>
    </w:p>
    <w:p>
      <w:pPr>
        <w:ind w:left="360" w:right="1120" w:hanging="352"/>
        <w:spacing w:after="0" w:line="277" w:lineRule="auto"/>
        <w:tabs>
          <w:tab w:leader="none" w:pos="483" w:val="left"/>
        </w:tabs>
        <w:numPr>
          <w:ilvl w:val="0"/>
          <w:numId w:val="114"/>
        </w:numPr>
        <w:rPr>
          <w:rFonts w:ascii="Arial" w:cs="Arial" w:eastAsia="Arial" w:hAnsi="Arial"/>
          <w:sz w:val="15"/>
          <w:szCs w:val="15"/>
          <w:color w:val="auto"/>
        </w:rPr>
      </w:pPr>
      <w:r>
        <w:rPr>
          <w:rFonts w:ascii="Arial" w:cs="Arial" w:eastAsia="Arial" w:hAnsi="Arial"/>
          <w:sz w:val="18"/>
          <w:szCs w:val="18"/>
          <w:color w:val="auto"/>
        </w:rPr>
        <w:t>As of September 30, 2016, the capital loss carried forward was $1.1 million. This loss can be carried forward indefinitely to be an offset against future capital gains.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tax characteristics of distributions declared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Years Ended September 30,</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0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62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61"/>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Ordinary income (including short-term gains)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30,472,284</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17,206,311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13,473,860</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Long-term capital gain</w:t>
            </w: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1,653,105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2,578,795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Total distributions</w:t>
            </w:r>
          </w:p>
        </w:tc>
        <w:tc>
          <w:tcPr>
            <w:tcW w:w="380" w:type="dxa"/>
            <w:vAlign w:val="bottom"/>
            <w:gridSpan w:val="2"/>
            <w:shd w:val="clear" w:color="auto" w:fill="CCEEFF"/>
          </w:tcPr>
          <w:p>
            <w:pPr>
              <w:jc w:val="right"/>
              <w:ind w:right="249"/>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30,472,284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18,859,416</w:t>
            </w:r>
          </w:p>
        </w:tc>
        <w:tc>
          <w:tcPr>
            <w:tcW w:w="2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84"/>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16,052,655</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6"/>
                <w:szCs w:val="16"/>
                <w:color w:val="auto"/>
              </w:rPr>
              <w:t>Total distributions per share based on weighted average shares</w:t>
            </w: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80" w:type="dxa"/>
            <w:vAlign w:val="bottom"/>
            <w:gridSpan w:val="2"/>
            <w:vMerge w:val="continue"/>
          </w:tcPr>
          <w:p>
            <w:pPr>
              <w:spacing w:after="0"/>
              <w:rPr>
                <w:sz w:val="16"/>
                <w:szCs w:val="16"/>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1.14</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1.16</w:t>
            </w:r>
          </w:p>
        </w:tc>
        <w:tc>
          <w:tcPr>
            <w:tcW w:w="220" w:type="dxa"/>
            <w:vAlign w:val="bottom"/>
          </w:tcPr>
          <w:p>
            <w:pPr>
              <w:spacing w:after="0"/>
              <w:rPr>
                <w:sz w:val="16"/>
                <w:szCs w:val="16"/>
                <w:color w:val="auto"/>
              </w:rPr>
            </w:pPr>
          </w:p>
        </w:tc>
        <w:tc>
          <w:tcPr>
            <w:tcW w:w="520" w:type="dxa"/>
            <w:vAlign w:val="bottom"/>
            <w:gridSpan w:val="2"/>
          </w:tcPr>
          <w:p>
            <w:pPr>
              <w:jc w:val="right"/>
              <w:ind w:right="284"/>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1.08</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202" w:lineRule="exact"/>
        <w:rPr>
          <w:sz w:val="20"/>
          <w:szCs w:val="20"/>
          <w:color w:val="auto"/>
        </w:rPr>
      </w:pPr>
    </w:p>
    <w:p>
      <w:pPr>
        <w:ind w:firstLine="685"/>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2016 and 2015, cash equivalents consisted of money market funds in the amounts of $28.9 million and $21.4 million at fair value,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Below are the financial highlights for the years ended September 30: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2016</w:t>
            </w: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2015</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2014</w:t>
            </w: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 xml:space="preserve">2013 </w:t>
            </w:r>
            <w:r>
              <w:rPr>
                <w:rFonts w:ascii="Arial" w:cs="Arial" w:eastAsia="Arial" w:hAnsi="Arial"/>
                <w:sz w:val="9"/>
                <w:szCs w:val="9"/>
                <w:b w:val="1"/>
                <w:bCs w:val="1"/>
                <w:color w:val="auto"/>
              </w:rPr>
              <w:t>(6)</w:t>
            </w: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 xml:space="preserve">2012 </w:t>
            </w:r>
            <w:r>
              <w:rPr>
                <w:rFonts w:ascii="Arial" w:cs="Arial" w:eastAsia="Arial" w:hAnsi="Arial"/>
                <w:sz w:val="9"/>
                <w:szCs w:val="9"/>
                <w:b w:val="1"/>
                <w:bCs w:val="1"/>
                <w:color w:val="auto"/>
              </w:rPr>
              <w:t>(6)</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Per Share Data:</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Net asset value, beginning of period</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13.95</w:t>
            </w:r>
          </w:p>
        </w:tc>
        <w:tc>
          <w:tcPr>
            <w:tcW w:w="36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14.40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14.10</w:t>
            </w:r>
          </w:p>
        </w:tc>
        <w:tc>
          <w:tcPr>
            <w:tcW w:w="3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13.98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13.44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1.10</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4"/>
                <w:szCs w:val="14"/>
                <w:color w:val="auto"/>
              </w:rPr>
              <w:t xml:space="preserve">Net change in realized and unrealized gain (loss) </w:t>
            </w:r>
            <w:r>
              <w:rPr>
                <w:rFonts w:ascii="Arial" w:cs="Arial" w:eastAsia="Arial" w:hAnsi="Arial"/>
                <w:sz w:val="23"/>
                <w:szCs w:val="23"/>
                <w:color w:val="auto"/>
                <w:vertAlign w:val="superscript"/>
              </w:rPr>
              <w:t>(1)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0.23</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0.26</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0.15</w:t>
            </w:r>
          </w:p>
        </w:tc>
        <w:tc>
          <w:tcPr>
            <w:tcW w:w="2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1.25</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23"/>
                <w:szCs w:val="23"/>
                <w:color w:val="auto"/>
                <w:vertAlign w:val="superscript"/>
              </w:rPr>
              <w:t>(1), (2)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Distribution of net investment income</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(1.13)</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(0.98)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(0.84)</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(0.95)</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6"/>
                <w:szCs w:val="16"/>
                <w:color w:val="auto"/>
              </w:rPr>
              <w:t>Distribution of realized gains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(0.01)</w:t>
            </w:r>
          </w:p>
        </w:tc>
        <w:tc>
          <w:tcPr>
            <w:tcW w:w="2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(0.24)</w:t>
            </w:r>
          </w:p>
        </w:tc>
        <w:tc>
          <w:tcPr>
            <w:tcW w:w="16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(0.10)</w:t>
            </w:r>
          </w:p>
        </w:tc>
        <w:tc>
          <w:tcPr>
            <w:tcW w:w="2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distributions to stockholders</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(1.14)</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(1.08)</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(1.05)</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4"/>
                <w:szCs w:val="14"/>
                <w:color w:val="auto"/>
              </w:rPr>
              <w:t xml:space="preserve">Effect of acquisition of MCG and offering costs </w:t>
            </w:r>
            <w:r>
              <w:rPr>
                <w:rFonts w:ascii="Arial" w:cs="Arial" w:eastAsia="Arial" w:hAnsi="Arial"/>
                <w:sz w:val="23"/>
                <w:szCs w:val="23"/>
                <w:color w:val="auto"/>
                <w:vertAlign w:val="superscript"/>
              </w:rPr>
              <w:t>(1)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(0.08)</w:t>
            </w:r>
          </w:p>
        </w:tc>
        <w:tc>
          <w:tcPr>
            <w:tcW w:w="2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Net asset value, end of period</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13.95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14.10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6"/>
                <w:szCs w:val="16"/>
                <w:color w:val="auto"/>
              </w:rPr>
              <w:t>Per share market value, end of period</w:t>
            </w: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20" w:type="dxa"/>
            <w:vAlign w:val="bottom"/>
            <w:gridSpan w:val="2"/>
            <w:vMerge w:val="continue"/>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13.23</w:t>
            </w:r>
          </w:p>
        </w:tc>
        <w:tc>
          <w:tcPr>
            <w:tcW w:w="36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11.94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13.78</w:t>
            </w:r>
          </w:p>
        </w:tc>
        <w:tc>
          <w:tcPr>
            <w:tcW w:w="38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13.78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800" w:type="dxa"/>
            <w:vAlign w:val="bottom"/>
            <w:shd w:val="clear" w:color="auto" w:fill="CCEEFF"/>
          </w:tcPr>
          <w:p>
            <w:pPr>
              <w:spacing w:after="0" w:line="200"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21.77%</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8.05%</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17.17%</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Shares outstanding at end of period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26,730,074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26,730,074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14,898,056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14,898,056</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6,850,667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Ratios / Supplemental Data:</w:t>
            </w: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23"/>
                <w:szCs w:val="23"/>
                <w:color w:val="auto"/>
                <w:vertAlign w:val="superscript"/>
              </w:rPr>
              <w:t>(4)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3.56%</w:t>
            </w: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4.45%</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4.43%</w:t>
            </w:r>
          </w:p>
        </w:tc>
        <w:tc>
          <w:tcPr>
            <w:tcW w:w="2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w w:val="97"/>
              </w:rPr>
              <w:t>Ratio of Credit Facility related expenses to average net</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1.58%</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6"/>
                <w:szCs w:val="16"/>
                <w:color w:val="auto"/>
              </w:rPr>
              <w:t>Ratio of total expenses to average net assets</w:t>
            </w: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5.14%</w:t>
            </w: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6.40%</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6.09%</w:t>
            </w:r>
          </w:p>
        </w:tc>
        <w:tc>
          <w:tcPr>
            <w:tcW w:w="2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Ratio of net investment income to average net assets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7.77%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Net assets at end of period</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375,906,828</w:t>
            </w:r>
          </w:p>
        </w:tc>
        <w:tc>
          <w:tcPr>
            <w:tcW w:w="36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372,890,449</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214,527,710</w:t>
            </w:r>
          </w:p>
        </w:tc>
        <w:tc>
          <w:tcPr>
            <w:tcW w:w="3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w w:val="96"/>
              </w:rPr>
              <w:t>210,066,394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95,743,877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debt outstanding</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140,218,095</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123,924,384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147,599,452</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71,678,836</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46,133,607</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line="230" w:lineRule="exact"/>
              <w:rPr>
                <w:sz w:val="20"/>
                <w:szCs w:val="20"/>
                <w:color w:val="auto"/>
              </w:rPr>
            </w:pPr>
            <w:r>
              <w:rPr>
                <w:rFonts w:ascii="Arial" w:cs="Arial" w:eastAsia="Arial" w:hAnsi="Arial"/>
                <w:sz w:val="16"/>
                <w:szCs w:val="16"/>
                <w:color w:val="auto"/>
              </w:rPr>
              <w:t xml:space="preserve">Weighted average debt per share </w:t>
            </w:r>
            <w:r>
              <w:rPr>
                <w:rFonts w:ascii="Arial" w:cs="Arial" w:eastAsia="Arial" w:hAnsi="Arial"/>
                <w:sz w:val="26"/>
                <w:szCs w:val="26"/>
                <w:color w:val="auto"/>
                <w:vertAlign w:val="superscript"/>
              </w:rPr>
              <w:t>(1)</w:t>
            </w: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2"/>
            <w:vMerge w:val="continue"/>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5.25</w:t>
            </w:r>
          </w:p>
        </w:tc>
        <w:tc>
          <w:tcPr>
            <w:tcW w:w="36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7.61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7.48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23"/>
                <w:szCs w:val="23"/>
                <w:color w:val="auto"/>
                <w:vertAlign w:val="superscript"/>
              </w:rPr>
              <w:t>(5)</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13,598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3,109</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Portfolio turnover ratio</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32.16%</w:t>
            </w: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51.02%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62.74%</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81.89%</w:t>
            </w:r>
          </w:p>
        </w:tc>
        <w:tc>
          <w:tcPr>
            <w:tcW w:w="2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50.68%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65151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71" w:lineRule="exact"/>
        <w:rPr>
          <w:sz w:val="20"/>
          <w:szCs w:val="20"/>
          <w:color w:val="auto"/>
        </w:rPr>
      </w:pPr>
    </w:p>
    <w:p>
      <w:pPr>
        <w:ind w:left="1040" w:hanging="1032"/>
        <w:spacing w:after="0"/>
        <w:tabs>
          <w:tab w:leader="none" w:pos="1040" w:val="left"/>
        </w:tabs>
        <w:numPr>
          <w:ilvl w:val="0"/>
          <w:numId w:val="115"/>
        </w:numPr>
        <w:rPr>
          <w:rFonts w:ascii="Arial" w:cs="Arial" w:eastAsia="Arial" w:hAnsi="Arial"/>
          <w:sz w:val="28"/>
          <w:szCs w:val="28"/>
          <w:color w:val="auto"/>
          <w:vertAlign w:val="superscript"/>
        </w:rPr>
      </w:pPr>
      <w:r>
        <w:rPr>
          <w:rFonts w:ascii="Arial" w:cs="Arial" w:eastAsia="Arial" w:hAnsi="Arial"/>
          <w:sz w:val="16"/>
          <w:szCs w:val="16"/>
          <w:color w:val="auto"/>
        </w:rPr>
        <w:t>Based on the weighted average shares outstanding for the respective periods.</w:t>
      </w:r>
    </w:p>
    <w:p>
      <w:pPr>
        <w:spacing w:after="0" w:line="10" w:lineRule="exact"/>
        <w:rPr>
          <w:rFonts w:ascii="Arial" w:cs="Arial" w:eastAsia="Arial" w:hAnsi="Arial"/>
          <w:sz w:val="28"/>
          <w:szCs w:val="28"/>
          <w:color w:val="auto"/>
          <w:vertAlign w:val="superscript"/>
        </w:rPr>
      </w:pPr>
    </w:p>
    <w:p>
      <w:pPr>
        <w:ind w:left="1040" w:right="160" w:hanging="1032"/>
        <w:spacing w:after="0" w:line="187" w:lineRule="auto"/>
        <w:tabs>
          <w:tab w:leader="none" w:pos="1040" w:val="left"/>
        </w:tabs>
        <w:numPr>
          <w:ilvl w:val="0"/>
          <w:numId w:val="115"/>
        </w:numPr>
        <w:rPr>
          <w:rFonts w:ascii="Arial" w:cs="Arial" w:eastAsia="Arial" w:hAnsi="Arial"/>
          <w:sz w:val="28"/>
          <w:szCs w:val="28"/>
          <w:color w:val="auto"/>
          <w:vertAlign w:val="superscript"/>
        </w:rPr>
      </w:pPr>
      <w:r>
        <w:rPr>
          <w:rFonts w:ascii="Arial" w:cs="Arial" w:eastAsia="Arial" w:hAnsi="Arial"/>
          <w:sz w:val="16"/>
          <w:szCs w:val="16"/>
          <w:color w:val="auto"/>
        </w:rPr>
        <w:t>The tax status of distributions is calculated in accordance with income tax regulations, which may differ from amounts determined under GAAP, and reported on Form 1099-DIV each calendar year.</w:t>
      </w:r>
    </w:p>
    <w:p>
      <w:pPr>
        <w:ind w:left="1040" w:right="580" w:hanging="1032"/>
        <w:spacing w:after="0" w:line="192" w:lineRule="auto"/>
        <w:tabs>
          <w:tab w:leader="none" w:pos="1040" w:val="left"/>
        </w:tabs>
        <w:numPr>
          <w:ilvl w:val="0"/>
          <w:numId w:val="115"/>
        </w:numPr>
        <w:rPr>
          <w:rFonts w:ascii="Arial" w:cs="Arial" w:eastAsia="Arial" w:hAnsi="Arial"/>
          <w:sz w:val="28"/>
          <w:szCs w:val="28"/>
          <w:color w:val="auto"/>
          <w:vertAlign w:val="superscript"/>
        </w:rPr>
      </w:pPr>
      <w:r>
        <w:rPr>
          <w:rFonts w:ascii="Arial" w:cs="Arial" w:eastAsia="Arial" w:hAnsi="Arial"/>
          <w:sz w:val="16"/>
          <w:szCs w:val="16"/>
          <w:color w:val="auto"/>
        </w:rPr>
        <w:t>Based on the change in market price per share during the period and takes into account distributions, if any, reinvested in accordance with our dividend reinvestment plan.</w:t>
      </w:r>
    </w:p>
    <w:p>
      <w:pPr>
        <w:ind w:left="1040" w:hanging="1032"/>
        <w:spacing w:after="0" w:line="183" w:lineRule="auto"/>
        <w:tabs>
          <w:tab w:leader="none" w:pos="1040" w:val="left"/>
        </w:tabs>
        <w:numPr>
          <w:ilvl w:val="0"/>
          <w:numId w:val="115"/>
        </w:numPr>
        <w:rPr>
          <w:rFonts w:ascii="Arial" w:cs="Arial" w:eastAsia="Arial" w:hAnsi="Arial"/>
          <w:sz w:val="23"/>
          <w:szCs w:val="23"/>
          <w:color w:val="auto"/>
          <w:vertAlign w:val="superscript"/>
        </w:rPr>
      </w:pPr>
      <w:r>
        <w:rPr>
          <w:rFonts w:ascii="Arial" w:cs="Arial" w:eastAsia="Arial" w:hAnsi="Arial"/>
          <w:sz w:val="14"/>
          <w:szCs w:val="14"/>
          <w:color w:val="auto"/>
        </w:rPr>
        <w:t>Excludes Credit Facility related costs.</w:t>
      </w:r>
    </w:p>
    <w:p>
      <w:pPr>
        <w:spacing w:after="0" w:line="11" w:lineRule="exact"/>
        <w:rPr>
          <w:rFonts w:ascii="Arial" w:cs="Arial" w:eastAsia="Arial" w:hAnsi="Arial"/>
          <w:sz w:val="23"/>
          <w:szCs w:val="23"/>
          <w:color w:val="auto"/>
          <w:vertAlign w:val="superscript"/>
        </w:rPr>
      </w:pPr>
    </w:p>
    <w:p>
      <w:pPr>
        <w:ind w:left="1040" w:hanging="1032"/>
        <w:spacing w:after="0" w:line="207" w:lineRule="auto"/>
        <w:tabs>
          <w:tab w:leader="none" w:pos="1040" w:val="left"/>
        </w:tabs>
        <w:numPr>
          <w:ilvl w:val="0"/>
          <w:numId w:val="115"/>
        </w:numPr>
        <w:rPr>
          <w:rFonts w:ascii="Arial" w:cs="Arial" w:eastAsia="Arial" w:hAnsi="Arial"/>
          <w:sz w:val="28"/>
          <w:szCs w:val="28"/>
          <w:color w:val="auto"/>
          <w:vertAlign w:val="superscript"/>
        </w:rPr>
      </w:pPr>
      <w:r>
        <w:rPr>
          <w:rFonts w:ascii="Arial" w:cs="Arial" w:eastAsia="Arial" w:hAnsi="Arial"/>
          <w:sz w:val="16"/>
          <w:szCs w:val="16"/>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2" w:lineRule="exact"/>
        <w:rPr>
          <w:rFonts w:ascii="Arial" w:cs="Arial" w:eastAsia="Arial" w:hAnsi="Arial"/>
          <w:sz w:val="28"/>
          <w:szCs w:val="28"/>
          <w:color w:val="auto"/>
          <w:vertAlign w:val="superscript"/>
        </w:rPr>
      </w:pPr>
    </w:p>
    <w:p>
      <w:pPr>
        <w:ind w:left="1040" w:hanging="1032"/>
        <w:spacing w:after="0" w:line="183" w:lineRule="auto"/>
        <w:tabs>
          <w:tab w:leader="none" w:pos="1040" w:val="left"/>
        </w:tabs>
        <w:numPr>
          <w:ilvl w:val="0"/>
          <w:numId w:val="115"/>
        </w:numPr>
        <w:rPr>
          <w:rFonts w:ascii="Arial" w:cs="Arial" w:eastAsia="Arial" w:hAnsi="Arial"/>
          <w:sz w:val="23"/>
          <w:szCs w:val="23"/>
          <w:color w:val="auto"/>
          <w:vertAlign w:val="superscript"/>
        </w:rPr>
      </w:pPr>
      <w:r>
        <w:rPr>
          <w:rFonts w:ascii="Arial" w:cs="Arial" w:eastAsia="Arial" w:hAnsi="Arial"/>
          <w:sz w:val="14"/>
          <w:szCs w:val="14"/>
          <w:color w:val="auto"/>
        </w:rPr>
        <w:t>Audited by predecessor auditors.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189" w:lineRule="exact"/>
        <w:rPr>
          <w:sz w:val="20"/>
          <w:szCs w:val="20"/>
          <w:color w:val="auto"/>
        </w:rPr>
      </w:pPr>
    </w:p>
    <w:p>
      <w:pPr>
        <w:ind w:right="60" w:firstLine="685"/>
        <w:spacing w:after="0" w:line="255" w:lineRule="auto"/>
        <w:rPr>
          <w:sz w:val="20"/>
          <w:szCs w:val="20"/>
          <w:color w:val="auto"/>
        </w:rPr>
      </w:pPr>
      <w:r>
        <w:rPr>
          <w:rFonts w:ascii="Arial" w:cs="Arial" w:eastAsia="Arial" w:hAnsi="Arial"/>
          <w:sz w:val="18"/>
          <w:szCs w:val="18"/>
          <w:color w:val="auto"/>
        </w:rPr>
        <w:t>Funding I’s multi-currency Credit Facility with the Lenders was $350 million as of September 30, 2016, subject to satisfaction of certain conditions and the regulatory restrictions that the 1940 Act imposes on us as a BDC, has an interest rate spread above LIBOR of 200 basis points, a maturity date of August 2020 and a revolving period that ends in August 2018. As of September 30, 2016 and 2015, Funding I had $232.9 million and $29.6 million of outstanding borrowings under the Credit Facility, respectively. The Credit Facility had a weighted average interest rate of 2.57% and 2.20%, excluding the undrawn commitment fees of 0.375% and 0.75%, as of September 30, 2016 and 2015, respectively. The annualized weighted average cost of debt for the years ended September 30, 2016, 2015 and 2014, inclusive of the fee on the undrawn commitment on the Credit Facility but excluding amendment costs, was 3.51%, 2.62% and 2.35%, respectively.</w:t>
      </w:r>
    </w:p>
    <w:p>
      <w:pPr>
        <w:spacing w:after="0" w:line="149" w:lineRule="exact"/>
        <w:rPr>
          <w:sz w:val="20"/>
          <w:szCs w:val="20"/>
          <w:color w:val="auto"/>
        </w:rPr>
      </w:pPr>
    </w:p>
    <w:p>
      <w:pPr>
        <w:ind w:right="40" w:firstLine="685"/>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60" w:lineRule="exact"/>
        <w:rPr>
          <w:sz w:val="20"/>
          <w:szCs w:val="20"/>
          <w:color w:val="auto"/>
        </w:rPr>
      </w:pPr>
    </w:p>
    <w:p>
      <w:pPr>
        <w:ind w:right="40" w:firstLine="685"/>
        <w:spacing w:after="0" w:line="297" w:lineRule="auto"/>
        <w:rPr>
          <w:sz w:val="20"/>
          <w:szCs w:val="20"/>
          <w:color w:val="auto"/>
        </w:rPr>
      </w:pPr>
      <w:r>
        <w:rPr>
          <w:rFonts w:ascii="Arial" w:cs="Arial" w:eastAsia="Arial" w:hAnsi="Arial"/>
          <w:sz w:val="16"/>
          <w:szCs w:val="16"/>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2016, we were in compliance with the covenants relating to our Credit Facility.</w:t>
      </w:r>
    </w:p>
    <w:p>
      <w:pPr>
        <w:spacing w:after="0" w:line="118" w:lineRule="exact"/>
        <w:rPr>
          <w:sz w:val="20"/>
          <w:szCs w:val="20"/>
          <w:color w:val="auto"/>
        </w:rPr>
      </w:pPr>
    </w:p>
    <w:p>
      <w:pPr>
        <w:jc w:val="both"/>
        <w:ind w:right="300" w:firstLine="685"/>
        <w:spacing w:after="0" w:line="264"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41" w:lineRule="exact"/>
        <w:rPr>
          <w:sz w:val="20"/>
          <w:szCs w:val="20"/>
          <w:color w:val="auto"/>
        </w:rPr>
      </w:pPr>
    </w:p>
    <w:p>
      <w:pPr>
        <w:ind w:right="20" w:firstLine="685"/>
        <w:spacing w:after="0" w:line="257" w:lineRule="auto"/>
        <w:rPr>
          <w:sz w:val="20"/>
          <w:szCs w:val="20"/>
          <w:color w:val="auto"/>
        </w:rPr>
      </w:pPr>
      <w:r>
        <w:rPr>
          <w:rFonts w:ascii="Arial" w:cs="Arial" w:eastAsia="Arial" w:hAnsi="Arial"/>
          <w:sz w:val="18"/>
          <w:szCs w:val="18"/>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89" w:lineRule="exact"/>
        <w:rPr>
          <w:sz w:val="20"/>
          <w:szCs w:val="20"/>
          <w:color w:val="auto"/>
        </w:rPr>
      </w:pPr>
    </w:p>
    <w:p>
      <w:pPr>
        <w:ind w:right="220" w:firstLine="685"/>
        <w:spacing w:after="0" w:line="257" w:lineRule="auto"/>
        <w:rPr>
          <w:sz w:val="20"/>
          <w:szCs w:val="20"/>
          <w:color w:val="auto"/>
        </w:rPr>
      </w:pPr>
      <w:r>
        <w:rPr>
          <w:rFonts w:ascii="Arial" w:cs="Arial" w:eastAsia="Arial" w:hAnsi="Arial"/>
          <w:sz w:val="18"/>
          <w:szCs w:val="18"/>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Schedules of Investments. As of September 30, 2016 and 2015, we had $20.0 million and $4.8 million, respectively, in commitments to fund investments.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0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ACQUISITION OF MCG CAPITAL CORPORTION</w:t>
      </w:r>
    </w:p>
    <w:p>
      <w:pPr>
        <w:spacing w:after="0" w:line="202" w:lineRule="exact"/>
        <w:rPr>
          <w:sz w:val="20"/>
          <w:szCs w:val="20"/>
          <w:color w:val="auto"/>
        </w:rPr>
      </w:pPr>
    </w:p>
    <w:p>
      <w:pPr>
        <w:ind w:firstLine="685"/>
        <w:spacing w:after="0" w:line="277" w:lineRule="auto"/>
        <w:rPr>
          <w:sz w:val="20"/>
          <w:szCs w:val="20"/>
          <w:color w:val="auto"/>
        </w:rPr>
      </w:pPr>
      <w:r>
        <w:rPr>
          <w:rFonts w:ascii="Arial" w:cs="Arial" w:eastAsia="Arial" w:hAnsi="Arial"/>
          <w:sz w:val="18"/>
          <w:szCs w:val="18"/>
          <w:color w:val="auto"/>
        </w:rPr>
        <w:t>We entered into the Merger Agreement with MCG on April 28, 2015 to improve our scale to be more important to borrowers, to increase our market capitalization, to reduce our expense ratio and to increase diversification.</w:t>
      </w:r>
    </w:p>
    <w:p>
      <w:pPr>
        <w:spacing w:after="0" w:line="130" w:lineRule="exact"/>
        <w:rPr>
          <w:sz w:val="20"/>
          <w:szCs w:val="20"/>
          <w:color w:val="auto"/>
        </w:rPr>
      </w:pPr>
    </w:p>
    <w:p>
      <w:pPr>
        <w:ind w:right="160" w:firstLine="685"/>
        <w:spacing w:after="0" w:line="271" w:lineRule="auto"/>
        <w:rPr>
          <w:sz w:val="20"/>
          <w:szCs w:val="20"/>
          <w:color w:val="auto"/>
        </w:rPr>
      </w:pPr>
      <w:r>
        <w:rPr>
          <w:rFonts w:ascii="Arial" w:cs="Arial" w:eastAsia="Arial" w:hAnsi="Arial"/>
          <w:sz w:val="17"/>
          <w:szCs w:val="17"/>
          <w:color w:val="auto"/>
        </w:rPr>
        <w:t>In August 2015, we completed the acquisition of MCG whereby we acquired 100% of the net assets of MCG, approximately $166.9 million consisting of primarily cash. In accordance with the terms of the Merger Agreement, each outstanding share of MCG common stock (including shares of restricted stock) was converted into the right to receive (i) 0.32044 shares of our common stock (with MCG stockholders receiving cash in lieu of fractional shares of our common stock), and (ii) $0.30595 per share in cash. Pursuant to the Merger Agreement, we issued an aggregate of approximately 11.8 million shares of our common stock to former MCG stockholders, and our Investment Adviser made an aggregate cash payment of approximately $11.3 million to former MCG stockholders. The cash payment of approximately $11.3 million by our Investment Adviser is not subject to any reimbursement arrangement and is therefore not reflected in our consolidated financial statements. We incurred transaction costs of $2.3 million, of which $2.2 million relating to our share issuance were charged to paid in capital and $0.1 million was expensed.</w:t>
      </w:r>
    </w:p>
    <w:p>
      <w:pPr>
        <w:spacing w:after="0" w:line="138" w:lineRule="exact"/>
        <w:rPr>
          <w:sz w:val="20"/>
          <w:szCs w:val="20"/>
          <w:color w:val="auto"/>
        </w:rPr>
      </w:pPr>
    </w:p>
    <w:p>
      <w:pPr>
        <w:ind w:firstLine="685"/>
        <w:spacing w:after="0" w:line="288" w:lineRule="auto"/>
        <w:rPr>
          <w:sz w:val="20"/>
          <w:szCs w:val="20"/>
          <w:color w:val="auto"/>
        </w:rPr>
      </w:pPr>
      <w:r>
        <w:rPr>
          <w:rFonts w:ascii="Arial" w:cs="Arial" w:eastAsia="Arial" w:hAnsi="Arial"/>
          <w:sz w:val="16"/>
          <w:szCs w:val="16"/>
          <w:color w:val="auto"/>
        </w:rPr>
        <w:t>We accounted for the merger with MCG under the asset acquisition method of accounting in accordance with ASC 805-50, Business Combinations —Related Issues. Under asset acquisition accounting, acquiring assets in groups requires ascertaining the cost of the net assets, as well as, allocating that cost to the individual assets and liabilities comprising the group. Under ASC 805-50-30-1, assets are recognized based on their cost to the acquiring entity, which generally includes transaction costs of the asset acquisition, and no gain or loss is recognized unless the fair value of noncash assets given as consideration differs from the assets’ carrying amounts on the acquiring entity’s records. Furthermore, ASC 805-50-30-2 provides that if the consideration given is not in the form of cash (for example, in the form of equity interests issued), measurement is based on the cost to the acquiring entity or the fair value of the net assets acquired, whichever is more clearly evident and, thus, more reliably measured. Since the acquired net assets were principally comprised of cash, we used the net assets acquired to measure the value of the common stock issued. Finally, ASC 805-50-30-3 provides that the cost of the group of assets acquired in an asset acquisition is allocated to the individual assets acquired or liabilities assumed based on their relative fair values of net identifiable assets acquired other than “non-qualifying” assets (for example, cash) and does not give rise to goodwill.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459" w:right="279" w:bottom="1440" w:gutter="0" w:footer="0" w:header="0"/>
        </w:sectPr>
      </w:pPr>
    </w:p>
    <w:bookmarkStart w:id="207" w:name="page208"/>
    <w:bookmarkEnd w:id="2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648970</wp:posOffset>
            </wp:positionV>
            <wp:extent cx="2383790" cy="514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383790" cy="51435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720"/>
        <w:spacing w:after="0"/>
        <w:rPr>
          <w:sz w:val="20"/>
          <w:szCs w:val="20"/>
          <w:color w:val="auto"/>
        </w:rPr>
      </w:pPr>
      <w:r>
        <w:rPr>
          <w:rFonts w:ascii="Arial" w:cs="Arial" w:eastAsia="Arial" w:hAnsi="Arial"/>
          <w:sz w:val="29"/>
          <w:szCs w:val="29"/>
          <w:b w:val="1"/>
          <w:bCs w:val="1"/>
          <w:color w:val="auto"/>
        </w:rPr>
        <w:t>5,000,000 shares</w:t>
      </w:r>
    </w:p>
    <w:p>
      <w:pPr>
        <w:spacing w:after="0" w:line="200" w:lineRule="exact"/>
        <w:rPr>
          <w:sz w:val="20"/>
          <w:szCs w:val="20"/>
          <w:color w:val="auto"/>
        </w:rPr>
      </w:pPr>
    </w:p>
    <w:p>
      <w:pPr>
        <w:spacing w:after="0" w:line="245"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406400</wp:posOffset>
            </wp:positionV>
            <wp:extent cx="151765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Joint Bookrunners</w:t>
      </w:r>
    </w:p>
    <w:p>
      <w:pPr>
        <w:spacing w:after="0" w:line="217"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Morgan Stanley</w:t>
      </w:r>
    </w:p>
    <w:p>
      <w:pPr>
        <w:spacing w:after="0" w:line="3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Goldman, Sachs &amp; Co.</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J.P. Morgan</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Keefe, Bruyette &amp; Woods</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6"/>
          <w:szCs w:val="16"/>
          <w:i w:val="1"/>
          <w:iCs w:val="1"/>
          <w:color w:val="auto"/>
        </w:rPr>
        <w:t>A Stifel Company</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RBC Capital Markets</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SunTrust Robinson Humphrey</w:t>
      </w:r>
    </w:p>
    <w:p>
      <w:pPr>
        <w:spacing w:after="0" w:line="241"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Co-Managers</w:t>
      </w:r>
    </w:p>
    <w:p>
      <w:pPr>
        <w:spacing w:after="0" w:line="217"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Comerica Securities</w:t>
      </w:r>
    </w:p>
    <w:p>
      <w:pPr>
        <w:spacing w:after="0" w:line="3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Janney Montgomery Scott</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JMP Securities</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Ladenburg Thalmann</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Maxim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397510</wp:posOffset>
            </wp:positionV>
            <wp:extent cx="151765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February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6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1)"/>
      <w:numFmt w:val="decimal"/>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1"/>
      <w:numFmt w:val="lowerLetter"/>
      <w:start w:val="1"/>
    </w:lvl>
    <w:lvl w:ilvl="1">
      <w:lvlJc w:val="left"/>
      <w:lvlText w:val="•"/>
      <w:numFmt w:val="bullet"/>
      <w:start w:val="1"/>
    </w:lvl>
  </w:abstractNum>
  <w:abstractNum w:abstractNumId="3">
    <w:nsid w:val="15B5AF5C"/>
    <w:multiLevelType w:val="hybridMultilevel"/>
    <w:lvl w:ilvl="0">
      <w:lvlJc w:val="left"/>
      <w:lvlText w:val="(%1)"/>
      <w:numFmt w:val="decimal"/>
      <w:start w:val="1"/>
    </w:lvl>
  </w:abstractNum>
  <w:abstractNum w:abstractNumId="4">
    <w:nsid w:val="741226BB"/>
    <w:multiLevelType w:val="hybridMultilevel"/>
    <w:lvl w:ilvl="0">
      <w:lvlJc w:val="left"/>
      <w:lvlText w:val="(%1)"/>
      <w:numFmt w:val="decimal"/>
      <w:start w:val="2"/>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1)"/>
      <w:numFmt w:val="decimal"/>
      <w:start w:val="1"/>
    </w:lvl>
  </w:abstractNum>
  <w:abstractNum w:abstractNumId="7">
    <w:nsid w:val="3F6AB60F"/>
    <w:multiLevelType w:val="hybridMultilevel"/>
    <w:lvl w:ilvl="0">
      <w:lvlJc w:val="left"/>
      <w:lvlText w:val="(%1)"/>
      <w:numFmt w:val="decimal"/>
      <w:start w:val="1"/>
    </w:lvl>
  </w:abstractNum>
  <w:abstractNum w:abstractNumId="8">
    <w:nsid w:val="61574095"/>
    <w:multiLevelType w:val="hybridMultilevel"/>
    <w:lvl w:ilvl="0">
      <w:lvlJc w:val="left"/>
      <w:lvlText w:val="(%1)"/>
      <w:numFmt w:val="decimal"/>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1)"/>
      <w:numFmt w:val="decimal"/>
      <w:start w:val="1"/>
    </w:lvl>
  </w:abstractNum>
  <w:abstractNum w:abstractNumId="11">
    <w:nsid w:val="579BE4F1"/>
    <w:multiLevelType w:val="hybridMultilevel"/>
    <w:lvl w:ilvl="0">
      <w:lvlJc w:val="left"/>
      <w:lvlText w:val="%1."/>
      <w:numFmt w:val="decimal"/>
      <w:start w:val="1"/>
    </w:lvl>
  </w:abstractNum>
  <w:abstractNum w:abstractNumId="12">
    <w:nsid w:val="310C50B3"/>
    <w:multiLevelType w:val="hybridMultilevel"/>
    <w:lvl w:ilvl="0">
      <w:lvlJc w:val="left"/>
      <w:lvlText w:val="(%1)"/>
      <w:numFmt w:val="decimal"/>
      <w:start w:val="1"/>
    </w:lvl>
  </w:abstractNum>
  <w:abstractNum w:abstractNumId="13">
    <w:nsid w:val="5FF87E05"/>
    <w:multiLevelType w:val="hybridMultilevel"/>
    <w:lvl w:ilvl="0">
      <w:lvlJc w:val="left"/>
      <w:lvlText w:val="(%1)"/>
      <w:numFmt w:val="decimal"/>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1)"/>
      <w:numFmt w:val="lowerLetter"/>
      <w:start w:val="1"/>
    </w:lvl>
  </w:abstractNum>
  <w:abstractNum w:abstractNumId="16">
    <w:nsid w:val="1DBABF00"/>
    <w:multiLevelType w:val="hybridMultilevel"/>
    <w:lvl w:ilvl="0">
      <w:lvlJc w:val="left"/>
      <w:lvlText w:val="(%1)"/>
      <w:numFmt w:val="decimal"/>
      <w:start w:val="1"/>
    </w:lvl>
  </w:abstractNum>
  <w:abstractNum w:abstractNumId="17">
    <w:nsid w:val="4AD084E9"/>
    <w:multiLevelType w:val="hybridMultilevel"/>
    <w:lvl w:ilvl="0">
      <w:lvlJc w:val="left"/>
      <w:lvlText w:val="(%1)"/>
      <w:numFmt w:val="decimal"/>
      <w:start w:val="1"/>
    </w:lvl>
  </w:abstractNum>
  <w:abstractNum w:abstractNumId="18">
    <w:nsid w:val="1F48EAA1"/>
    <w:multiLevelType w:val="hybridMultilevel"/>
    <w:lvl w:ilvl="0">
      <w:lvlJc w:val="left"/>
      <w:lvlText w:val="(%1)"/>
      <w:numFmt w:val="decimal"/>
      <w:start w:val="1"/>
    </w:lvl>
  </w:abstractNum>
  <w:abstractNum w:abstractNumId="19">
    <w:nsid w:val="1381823A"/>
    <w:multiLevelType w:val="hybridMultilevel"/>
    <w:lvl w:ilvl="0">
      <w:lvlJc w:val="left"/>
      <w:lvlText w:val="(%1)"/>
      <w:numFmt w:val="decimal"/>
      <w:start w:val="1"/>
    </w:lvl>
  </w:abstractNum>
  <w:abstractNum w:abstractNumId="20">
    <w:nsid w:val="5DB70AE5"/>
    <w:multiLevelType w:val="hybridMultilevel"/>
    <w:lvl w:ilvl="0">
      <w:lvlJc w:val="left"/>
      <w:lvlText w:val="(%1)"/>
      <w:numFmt w:val="lowerLetter"/>
      <w:start w:val="5"/>
    </w:lvl>
    <w:lvl w:ilvl="1">
      <w:lvlJc w:val="left"/>
      <w:lvlText w:val="%2."/>
      <w:numFmt w:val="decimal"/>
      <w:start w:val="1"/>
    </w:lvl>
  </w:abstractNum>
  <w:abstractNum w:abstractNumId="21">
    <w:nsid w:val="100F8FCA"/>
    <w:multiLevelType w:val="hybridMultilevel"/>
    <w:lvl w:ilvl="0">
      <w:lvlJc w:val="left"/>
      <w:lvlText w:val="%1."/>
      <w:numFmt w:val="decimal"/>
      <w:start w:val="8"/>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1)"/>
      <w:numFmt w:val="decimal"/>
      <w:start w:val="1"/>
    </w:lvl>
  </w:abstractNum>
  <w:abstractNum w:abstractNumId="25">
    <w:nsid w:val="98A3148"/>
    <w:multiLevelType w:val="hybridMultilevel"/>
    <w:lvl w:ilvl="0">
      <w:lvlJc w:val="left"/>
      <w:lvlText w:val="(%1)"/>
      <w:numFmt w:val="decimal"/>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1)"/>
      <w:numFmt w:val="decimal"/>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1."/>
      <w:numFmt w:val="decimal"/>
      <w:start w:val="820"/>
    </w:lvl>
  </w:abstractNum>
  <w:abstractNum w:abstractNumId="32">
    <w:nsid w:val="5DC79EA8"/>
    <w:multiLevelType w:val="hybridMultilevel"/>
    <w:lvl w:ilvl="0">
      <w:lvlJc w:val="left"/>
      <w:lvlText w:val="%1."/>
      <w:numFmt w:val="decimal"/>
      <w:start w:val="1"/>
    </w:lvl>
  </w:abstractNum>
  <w:abstractNum w:abstractNumId="33">
    <w:nsid w:val="540A471C"/>
    <w:multiLevelType w:val="hybridMultilevel"/>
    <w:lvl w:ilvl="0">
      <w:lvlJc w:val="left"/>
      <w:lvlText w:val="%1."/>
      <w:numFmt w:val="decimal"/>
      <w:start w:val="2"/>
    </w:lvl>
  </w:abstractNum>
  <w:abstractNum w:abstractNumId="34">
    <w:nsid w:val="7BD3EE7B"/>
    <w:multiLevelType w:val="hybridMultilevel"/>
    <w:lvl w:ilvl="0">
      <w:lvlJc w:val="left"/>
      <w:lvlText w:val="%1."/>
      <w:numFmt w:val="decimal"/>
      <w:start w:val="4"/>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1)"/>
      <w:numFmt w:val="decimal"/>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
      <w:numFmt w:val="bullet"/>
      <w:start w:val="1"/>
    </w:lvl>
  </w:abstractNum>
  <w:abstractNum w:abstractNumId="43">
    <w:nsid w:val="3B0FD379"/>
    <w:multiLevelType w:val="hybridMultilevel"/>
    <w:lvl w:ilvl="0">
      <w:lvlJc w:val="left"/>
      <w:lvlText w:val="(%1)"/>
      <w:numFmt w:val="decimal"/>
      <w:start w:val="1"/>
    </w:lvl>
  </w:abstractNum>
  <w:abstractNum w:abstractNumId="44">
    <w:nsid w:val="68EB2F63"/>
    <w:multiLevelType w:val="hybridMultilevel"/>
    <w:lvl w:ilvl="0">
      <w:lvlJc w:val="left"/>
      <w:lvlText w:val="(%1)"/>
      <w:numFmt w:val="decimal"/>
      <w:start w:val="1"/>
    </w:lvl>
  </w:abstractNum>
  <w:abstractNum w:abstractNumId="45">
    <w:nsid w:val="4962813B"/>
    <w:multiLevelType w:val="hybridMultilevel"/>
    <w:lvl w:ilvl="0">
      <w:lvlJc w:val="left"/>
      <w:lvlText w:val="(%1)"/>
      <w:numFmt w:val="decimal"/>
      <w:start w:val="5"/>
    </w:lvl>
  </w:abstractNum>
  <w:abstractNum w:abstractNumId="46">
    <w:nsid w:val="60B6DF70"/>
    <w:multiLevelType w:val="hybridMultilevel"/>
    <w:lvl w:ilvl="0">
      <w:lvlJc w:val="left"/>
      <w:lvlText w:val="%1."/>
      <w:numFmt w:val="decimal"/>
      <w:start w:val="1"/>
    </w:lvl>
  </w:abstractNum>
  <w:abstractNum w:abstractNumId="47">
    <w:nsid w:val="6A5EE64"/>
    <w:multiLevelType w:val="hybridMultilevel"/>
    <w:lvl w:ilvl="0">
      <w:lvlJc w:val="left"/>
      <w:lvlText w:val="(%1)"/>
      <w:numFmt w:val="decimal"/>
      <w:start w:val="1"/>
    </w:lvl>
  </w:abstractNum>
  <w:abstractNum w:abstractNumId="48">
    <w:nsid w:val="14330624"/>
    <w:multiLevelType w:val="hybridMultilevel"/>
    <w:lvl w:ilvl="0">
      <w:lvlJc w:val="left"/>
      <w:lvlText w:val="(%1)"/>
      <w:numFmt w:val="decimal"/>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
      <w:numFmt w:val="bullet"/>
      <w:start w:val="1"/>
    </w:lvl>
  </w:abstractNum>
  <w:abstractNum w:abstractNumId="51">
    <w:nsid w:val="71EA1109"/>
    <w:multiLevelType w:val="hybridMultilevel"/>
    <w:lvl w:ilvl="0">
      <w:lvlJc w:val="left"/>
      <w:lvlText w:val="(%1)"/>
      <w:numFmt w:val="decimal"/>
      <w:start w:val="2"/>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1)"/>
      <w:numFmt w:val="lowerLetter"/>
      <w:start w:val="2"/>
    </w:lvl>
    <w:lvl w:ilvl="1">
      <w:lvlJc w:val="left"/>
      <w:lvlText w:val="•"/>
      <w:numFmt w:val="bullet"/>
      <w:start w:val="1"/>
    </w:lvl>
  </w:abstractNum>
  <w:abstractNum w:abstractNumId="54">
    <w:nsid w:val="6EB5BD4"/>
    <w:multiLevelType w:val="hybridMultilevel"/>
    <w:lvl w:ilvl="0">
      <w:lvlJc w:val="left"/>
      <w:lvlText w:val="%1)"/>
      <w:numFmt w:val="lowerLetter"/>
      <w:start w:val="1"/>
    </w:lvl>
  </w:abstractNum>
  <w:abstractNum w:abstractNumId="55">
    <w:nsid w:val="6F6DD9AC"/>
    <w:multiLevelType w:val="hybridMultilevel"/>
    <w:lvl w:ilvl="0">
      <w:lvlJc w:val="left"/>
      <w:lvlText w:val="%1)"/>
      <w:numFmt w:val="lowerLetter"/>
      <w:start w:val="2"/>
    </w:lvl>
  </w:abstractNum>
  <w:abstractNum w:abstractNumId="56">
    <w:nsid w:val="94211F2"/>
    <w:multiLevelType w:val="hybridMultilevel"/>
    <w:lvl w:ilvl="0">
      <w:lvlJc w:val="left"/>
      <w:lvlText w:val="%1)"/>
      <w:numFmt w:val="lowerLetter"/>
      <w:start w:val="3"/>
    </w:lvl>
  </w:abstractNum>
  <w:abstractNum w:abstractNumId="57">
    <w:nsid w:val="885E1B"/>
    <w:multiLevelType w:val="hybridMultilevel"/>
    <w:lvl w:ilvl="0">
      <w:lvlJc w:val="left"/>
      <w:lvlText w:val="%1)"/>
      <w:numFmt w:val="lowerLetter"/>
      <w:start w:val="4"/>
    </w:lvl>
  </w:abstractNum>
  <w:abstractNum w:abstractNumId="58">
    <w:nsid w:val="76272110"/>
    <w:multiLevelType w:val="hybridMultilevel"/>
    <w:lvl w:ilvl="0">
      <w:lvlJc w:val="left"/>
      <w:lvlText w:val="%1)"/>
      <w:numFmt w:val="lowerLetter"/>
      <w:start w:val="5"/>
    </w:lvl>
  </w:abstractNum>
  <w:abstractNum w:abstractNumId="59">
    <w:nsid w:val="4C04A8AF"/>
    <w:multiLevelType w:val="hybridMultilevel"/>
    <w:lvl w:ilvl="0">
      <w:lvlJc w:val="left"/>
      <w:lvlText w:val="%1)"/>
      <w:numFmt w:val="lowerLetter"/>
      <w:start w:val="6"/>
    </w:lvl>
  </w:abstractNum>
  <w:abstractNum w:abstractNumId="60">
    <w:nsid w:val="1716703B"/>
    <w:multiLevelType w:val="hybridMultilevel"/>
    <w:lvl w:ilvl="0">
      <w:lvlJc w:val="left"/>
      <w:lvlText w:val="•"/>
      <w:numFmt w:val="bullet"/>
      <w:start w:val="1"/>
    </w:lvl>
  </w:abstractNum>
  <w:abstractNum w:abstractNumId="61">
    <w:nsid w:val="14E17E33"/>
    <w:multiLevelType w:val="hybridMultilevel"/>
    <w:lvl w:ilvl="0">
      <w:lvlJc w:val="left"/>
      <w:lvlText w:val="•"/>
      <w:numFmt w:val="bullet"/>
      <w:start w:val="1"/>
    </w:lvl>
  </w:abstractNum>
  <w:abstractNum w:abstractNumId="62">
    <w:nsid w:val="3222E7CD"/>
    <w:multiLevelType w:val="hybridMultilevel"/>
    <w:lvl w:ilvl="0">
      <w:lvlJc w:val="left"/>
      <w:lvlText w:val="•"/>
      <w:numFmt w:val="bullet"/>
      <w:start w:val="1"/>
    </w:lvl>
  </w:abstractNum>
  <w:abstractNum w:abstractNumId="63">
    <w:nsid w:val="74DE0EE3"/>
    <w:multiLevelType w:val="hybridMultilevel"/>
    <w:lvl w:ilvl="0">
      <w:lvlJc w:val="left"/>
      <w:lvlText w:val="(%1)"/>
      <w:numFmt w:val="decimal"/>
      <w:start w:val="1"/>
    </w:lvl>
  </w:abstractNum>
  <w:abstractNum w:abstractNumId="64">
    <w:nsid w:val="68EBC550"/>
    <w:multiLevelType w:val="hybridMultilevel"/>
    <w:lvl w:ilvl="0">
      <w:lvlJc w:val="left"/>
      <w:lvlText w:val="(%1)"/>
      <w:numFmt w:val="decimal"/>
      <w:start w:val="1"/>
    </w:lvl>
  </w:abstractNum>
  <w:abstractNum w:abstractNumId="65">
    <w:nsid w:val="2DF6D648"/>
    <w:multiLevelType w:val="hybridMultilevel"/>
    <w:lvl w:ilvl="0">
      <w:lvlJc w:val="left"/>
      <w:lvlText w:val="$"/>
      <w:numFmt w:val="bullet"/>
      <w:start w:val="1"/>
    </w:lvl>
  </w:abstractNum>
  <w:abstractNum w:abstractNumId="66">
    <w:nsid w:val="46B7D447"/>
    <w:multiLevelType w:val="hybridMultilevel"/>
    <w:lvl w:ilvl="0">
      <w:lvlJc w:val="left"/>
      <w:lvlText w:val="(%1)"/>
      <w:numFmt w:val="decimal"/>
      <w:start w:val="1"/>
    </w:lvl>
  </w:abstractNum>
  <w:abstractNum w:abstractNumId="67">
    <w:nsid w:val="4A2AC315"/>
    <w:multiLevelType w:val="hybridMultilevel"/>
    <w:lvl w:ilvl="0">
      <w:lvlJc w:val="left"/>
      <w:lvlText w:val="*"/>
      <w:numFmt w:val="bullet"/>
      <w:start w:val="1"/>
    </w:lvl>
  </w:abstractNum>
  <w:abstractNum w:abstractNumId="68">
    <w:nsid w:val="39EE015C"/>
    <w:multiLevelType w:val="hybridMultilevel"/>
    <w:lvl w:ilvl="0">
      <w:lvlJc w:val="left"/>
      <w:lvlText w:val="(%1)"/>
      <w:numFmt w:val="decimal"/>
      <w:start w:val="1"/>
    </w:lvl>
  </w:abstractNum>
  <w:abstractNum w:abstractNumId="69">
    <w:nsid w:val="57FC4FBB"/>
    <w:multiLevelType w:val="hybridMultilevel"/>
    <w:lvl w:ilvl="0">
      <w:lvlJc w:val="left"/>
      <w:lvlText w:val="•"/>
      <w:numFmt w:val="bullet"/>
      <w:start w:val="1"/>
    </w:lvl>
  </w:abstractNum>
  <w:abstractNum w:abstractNumId="70">
    <w:nsid w:val="CC1016F"/>
    <w:multiLevelType w:val="hybridMultilevel"/>
    <w:lvl w:ilvl="0">
      <w:lvlJc w:val="left"/>
      <w:lvlText w:val="="/>
      <w:numFmt w:val="bullet"/>
      <w:start w:val="1"/>
    </w:lvl>
  </w:abstractNum>
  <w:abstractNum w:abstractNumId="71">
    <w:nsid w:val="43F18422"/>
    <w:multiLevelType w:val="hybridMultilevel"/>
    <w:lvl w:ilvl="0">
      <w:lvlJc w:val="left"/>
      <w:lvlText w:val="="/>
      <w:numFmt w:val="bullet"/>
      <w:start w:val="1"/>
    </w:lvl>
  </w:abstractNum>
  <w:abstractNum w:abstractNumId="72">
    <w:nsid w:val="60EF0119"/>
    <w:multiLevelType w:val="hybridMultilevel"/>
    <w:lvl w:ilvl="0">
      <w:lvlJc w:val="left"/>
      <w:lvlText w:val="*"/>
      <w:numFmt w:val="bullet"/>
      <w:start w:val="1"/>
    </w:lvl>
  </w:abstractNum>
  <w:abstractNum w:abstractNumId="73">
    <w:nsid w:val="26F324BA"/>
    <w:multiLevelType w:val="hybridMultilevel"/>
    <w:lvl w:ilvl="0">
      <w:lvlJc w:val="left"/>
      <w:lvlText w:val="(%1)"/>
      <w:numFmt w:val="decimal"/>
      <w:start w:val="1"/>
    </w:lvl>
  </w:abstractNum>
  <w:abstractNum w:abstractNumId="74">
    <w:nsid w:val="7F01579B"/>
    <w:multiLevelType w:val="hybridMultilevel"/>
    <w:lvl w:ilvl="0">
      <w:lvlJc w:val="left"/>
      <w:lvlText w:val="(%1)"/>
      <w:numFmt w:val="decimal"/>
      <w:start w:val="1"/>
    </w:lvl>
  </w:abstractNum>
  <w:abstractNum w:abstractNumId="75">
    <w:nsid w:val="49DA307D"/>
    <w:multiLevelType w:val="hybridMultilevel"/>
    <w:lvl w:ilvl="0">
      <w:lvlJc w:val="left"/>
      <w:lvlText w:val="(%1)"/>
      <w:numFmt w:val="decimal"/>
      <w:start w:val="1"/>
    </w:lvl>
  </w:abstractNum>
  <w:abstractNum w:abstractNumId="76">
    <w:nsid w:val="7055A5F5"/>
    <w:multiLevelType w:val="hybridMultilevel"/>
    <w:lvl w:ilvl="0">
      <w:lvlJc w:val="left"/>
      <w:lvlText w:val="•"/>
      <w:numFmt w:val="bullet"/>
      <w:start w:val="1"/>
    </w:lvl>
  </w:abstractNum>
  <w:abstractNum w:abstractNumId="77">
    <w:nsid w:val="5FB8370B"/>
    <w:multiLevelType w:val="hybridMultilevel"/>
    <w:lvl w:ilvl="0">
      <w:lvlJc w:val="left"/>
      <w:lvlText w:val="•"/>
      <w:numFmt w:val="bullet"/>
      <w:start w:val="1"/>
    </w:lvl>
  </w:abstractNum>
  <w:abstractNum w:abstractNumId="78">
    <w:nsid w:val="50801EE1"/>
    <w:multiLevelType w:val="hybridMultilevel"/>
    <w:lvl w:ilvl="0">
      <w:lvlJc w:val="left"/>
      <w:lvlText w:val="(%1)"/>
      <w:numFmt w:val="lowerLetter"/>
      <w:start w:val="2"/>
    </w:lvl>
  </w:abstractNum>
  <w:abstractNum w:abstractNumId="79">
    <w:nsid w:val="488AC1A"/>
    <w:multiLevelType w:val="hybridMultilevel"/>
    <w:lvl w:ilvl="0">
      <w:lvlJc w:val="left"/>
      <w:lvlText w:val="•"/>
      <w:numFmt w:val="bullet"/>
      <w:start w:val="1"/>
    </w:lvl>
  </w:abstractNum>
  <w:abstractNum w:abstractNumId="80">
    <w:nsid w:val="5FB8011C"/>
    <w:multiLevelType w:val="hybridMultilevel"/>
    <w:lvl w:ilvl="0">
      <w:lvlJc w:val="left"/>
      <w:lvlText w:val="•"/>
      <w:numFmt w:val="bullet"/>
      <w:start w:val="1"/>
    </w:lvl>
  </w:abstractNum>
  <w:abstractNum w:abstractNumId="81">
    <w:nsid w:val="6AA78F7F"/>
    <w:multiLevelType w:val="hybridMultilevel"/>
    <w:lvl w:ilvl="0">
      <w:lvlJc w:val="left"/>
      <w:lvlText w:val="•"/>
      <w:numFmt w:val="bullet"/>
      <w:start w:val="1"/>
    </w:lvl>
  </w:abstractNum>
  <w:abstractNum w:abstractNumId="82">
    <w:nsid w:val="7672BD23"/>
    <w:multiLevelType w:val="hybridMultilevel"/>
    <w:lvl w:ilvl="0">
      <w:lvlJc w:val="left"/>
      <w:lvlText w:val="•"/>
      <w:numFmt w:val="bullet"/>
      <w:start w:val="1"/>
    </w:lvl>
  </w:abstractNum>
  <w:abstractNum w:abstractNumId="83">
    <w:nsid w:val="6FC75AF8"/>
    <w:multiLevelType w:val="hybridMultilevel"/>
    <w:lvl w:ilvl="0">
      <w:lvlJc w:val="left"/>
      <w:lvlText w:val="•"/>
      <w:numFmt w:val="bullet"/>
      <w:start w:val="1"/>
    </w:lvl>
  </w:abstractNum>
  <w:abstractNum w:abstractNumId="84">
    <w:nsid w:val="6A5F7029"/>
    <w:multiLevelType w:val="hybridMultilevel"/>
    <w:lvl w:ilvl="0">
      <w:lvlJc w:val="left"/>
      <w:lvlText w:val="•"/>
      <w:numFmt w:val="bullet"/>
      <w:start w:val="1"/>
    </w:lvl>
  </w:abstractNum>
  <w:abstractNum w:abstractNumId="85">
    <w:nsid w:val="7D5E18F8"/>
    <w:multiLevelType w:val="hybridMultilevel"/>
    <w:lvl w:ilvl="0">
      <w:lvlJc w:val="left"/>
      <w:lvlText w:val="•"/>
      <w:numFmt w:val="bullet"/>
      <w:start w:val="1"/>
    </w:lvl>
  </w:abstractNum>
  <w:abstractNum w:abstractNumId="86">
    <w:nsid w:val="5F3534A4"/>
    <w:multiLevelType w:val="hybridMultilevel"/>
    <w:lvl w:ilvl="0">
      <w:lvlJc w:val="left"/>
      <w:lvlText w:val="•"/>
      <w:numFmt w:val="bullet"/>
      <w:start w:val="1"/>
    </w:lvl>
  </w:abstractNum>
  <w:abstractNum w:abstractNumId="87">
    <w:nsid w:val="73A1821B"/>
    <w:multiLevelType w:val="hybridMultilevel"/>
    <w:lvl w:ilvl="0">
      <w:lvlJc w:val="left"/>
      <w:lvlText w:val="•"/>
      <w:numFmt w:val="bullet"/>
      <w:start w:val="1"/>
    </w:lvl>
  </w:abstractNum>
  <w:abstractNum w:abstractNumId="88">
    <w:nsid w:val="7DE67713"/>
    <w:multiLevelType w:val="hybridMultilevel"/>
    <w:lvl w:ilvl="0">
      <w:lvlJc w:val="left"/>
      <w:lvlText w:val="•"/>
      <w:numFmt w:val="bullet"/>
      <w:start w:val="1"/>
    </w:lvl>
  </w:abstractNum>
  <w:abstractNum w:abstractNumId="89">
    <w:nsid w:val="555C55B5"/>
    <w:multiLevelType w:val="hybridMultilevel"/>
    <w:lvl w:ilvl="0">
      <w:lvlJc w:val="left"/>
      <w:lvlText w:val="•"/>
      <w:numFmt w:val="bullet"/>
      <w:start w:val="1"/>
    </w:lvl>
  </w:abstractNum>
  <w:abstractNum w:abstractNumId="90">
    <w:nsid w:val="3FA62ACA"/>
    <w:multiLevelType w:val="hybridMultilevel"/>
    <w:lvl w:ilvl="0">
      <w:lvlJc w:val="left"/>
      <w:lvlText w:val="•"/>
      <w:numFmt w:val="bullet"/>
      <w:start w:val="1"/>
    </w:lvl>
  </w:abstractNum>
  <w:abstractNum w:abstractNumId="91">
    <w:nsid w:val="14FCE74E"/>
    <w:multiLevelType w:val="hybridMultilevel"/>
    <w:lvl w:ilvl="0">
      <w:lvlJc w:val="left"/>
      <w:lvlText w:val="•"/>
      <w:numFmt w:val="bullet"/>
      <w:start w:val="1"/>
    </w:lvl>
  </w:abstractNum>
  <w:abstractNum w:abstractNumId="92">
    <w:nsid w:val="6A3DD3E8"/>
    <w:multiLevelType w:val="hybridMultilevel"/>
    <w:lvl w:ilvl="0">
      <w:lvlJc w:val="left"/>
      <w:lvlText w:val="•"/>
      <w:numFmt w:val="bullet"/>
      <w:start w:val="1"/>
    </w:lvl>
  </w:abstractNum>
  <w:abstractNum w:abstractNumId="93">
    <w:nsid w:val="71C91298"/>
    <w:multiLevelType w:val="hybridMultilevel"/>
    <w:lvl w:ilvl="0">
      <w:lvlJc w:val="left"/>
      <w:lvlText w:val="•"/>
      <w:numFmt w:val="bullet"/>
      <w:start w:val="1"/>
    </w:lvl>
  </w:abstractNum>
  <w:abstractNum w:abstractNumId="94">
    <w:nsid w:val="9DAF632"/>
    <w:multiLevelType w:val="hybridMultilevel"/>
    <w:lvl w:ilvl="0">
      <w:lvlJc w:val="left"/>
      <w:lvlText w:val="•"/>
      <w:numFmt w:val="bullet"/>
      <w:start w:val="1"/>
    </w:lvl>
  </w:abstractNum>
  <w:abstractNum w:abstractNumId="95">
    <w:nsid w:val="53299938"/>
    <w:multiLevelType w:val="hybridMultilevel"/>
    <w:lvl w:ilvl="0">
      <w:lvlJc w:val="left"/>
      <w:lvlText w:val="•"/>
      <w:numFmt w:val="bullet"/>
      <w:start w:val="1"/>
    </w:lvl>
  </w:abstractNum>
  <w:abstractNum w:abstractNumId="96">
    <w:nsid w:val="1FBFE8E0"/>
    <w:multiLevelType w:val="hybridMultilevel"/>
    <w:lvl w:ilvl="0">
      <w:lvlJc w:val="left"/>
      <w:lvlText w:val="•"/>
      <w:numFmt w:val="bullet"/>
      <w:start w:val="1"/>
    </w:lvl>
  </w:abstractNum>
  <w:abstractNum w:abstractNumId="97">
    <w:nsid w:val="5092CA79"/>
    <w:multiLevelType w:val="hybridMultilevel"/>
    <w:lvl w:ilvl="0">
      <w:lvlJc w:val="left"/>
      <w:lvlText w:val="•"/>
      <w:numFmt w:val="bullet"/>
      <w:start w:val="1"/>
    </w:lvl>
  </w:abstractNum>
  <w:abstractNum w:abstractNumId="98">
    <w:nsid w:val="1D545C4D"/>
    <w:multiLevelType w:val="hybridMultilevel"/>
    <w:lvl w:ilvl="0">
      <w:lvlJc w:val="left"/>
      <w:lvlText w:val="•"/>
      <w:numFmt w:val="bullet"/>
      <w:start w:val="1"/>
    </w:lvl>
  </w:abstractNum>
  <w:abstractNum w:abstractNumId="99">
    <w:nsid w:val="59ADEA3D"/>
    <w:multiLevelType w:val="hybridMultilevel"/>
    <w:lvl w:ilvl="0">
      <w:lvlJc w:val="left"/>
      <w:lvlText w:val="•"/>
      <w:numFmt w:val="bullet"/>
      <w:start w:val="1"/>
    </w:lvl>
  </w:abstractNum>
  <w:abstractNum w:abstractNumId="100">
    <w:nsid w:val="288F1A3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1">
    <w:nsid w:val="2A155DBC"/>
    <w:multiLevelType w:val="hybridMultilevel"/>
    <w:lvl w:ilvl="0">
      <w:lvlJc w:val="left"/>
      <w:lvlText w:val="(%1)"/>
      <w:numFmt w:val="decimal"/>
      <w:start w:val="2"/>
    </w:lvl>
  </w:abstractNum>
  <w:abstractNum w:abstractNumId="102">
    <w:nsid w:val="1D9F6E5F"/>
    <w:multiLevelType w:val="hybridMultilevel"/>
    <w:lvl w:ilvl="0">
      <w:lvlJc w:val="left"/>
      <w:lvlText w:val="•"/>
      <w:numFmt w:val="bullet"/>
      <w:start w:val="1"/>
    </w:lvl>
  </w:abstractNum>
  <w:abstractNum w:abstractNumId="103">
    <w:nsid w:val="97E1B4E"/>
    <w:multiLevelType w:val="hybridMultilevel"/>
    <w:lvl w:ilvl="0">
      <w:lvlJc w:val="left"/>
      <w:lvlText w:val="•"/>
      <w:numFmt w:val="bullet"/>
      <w:start w:val="1"/>
    </w:lvl>
  </w:abstractNum>
  <w:abstractNum w:abstractNumId="104">
    <w:nsid w:val="51088277"/>
    <w:multiLevelType w:val="hybridMultilevel"/>
    <w:lvl w:ilvl="0">
      <w:lvlJc w:val="left"/>
      <w:lvlText w:val="•"/>
      <w:numFmt w:val="bullet"/>
      <w:start w:val="1"/>
    </w:lvl>
    <w:lvl w:ilvl="1">
      <w:lvlJc w:val="left"/>
      <w:lvlText w:val="%2)"/>
      <w:numFmt w:val="decimal"/>
      <w:start w:val="1"/>
    </w:lvl>
  </w:abstractNum>
  <w:abstractNum w:abstractNumId="105">
    <w:nsid w:val="1CA0C5FA"/>
    <w:multiLevelType w:val="hybridMultilevel"/>
    <w:lvl w:ilvl="0">
      <w:lvlJc w:val="left"/>
      <w:lvlText w:val="(%1)"/>
      <w:numFmt w:val="decimal"/>
      <w:start w:val="1"/>
    </w:lvl>
  </w:abstractNum>
  <w:abstractNum w:abstractNumId="106">
    <w:nsid w:val="53584BCB"/>
    <w:multiLevelType w:val="hybridMultilevel"/>
    <w:lvl w:ilvl="0">
      <w:lvlJc w:val="left"/>
      <w:lvlText w:val="(%1)"/>
      <w:numFmt w:val="decimal"/>
      <w:start w:val="1"/>
    </w:lvl>
  </w:abstractNum>
  <w:abstractNum w:abstractNumId="107">
    <w:nsid w:val="415E286C"/>
    <w:multiLevelType w:val="hybridMultilevel"/>
    <w:lvl w:ilvl="0">
      <w:lvlJc w:val="left"/>
      <w:lvlText w:val="•"/>
      <w:numFmt w:val="bullet"/>
      <w:start w:val="1"/>
    </w:lvl>
  </w:abstractNum>
  <w:abstractNum w:abstractNumId="108">
    <w:nsid w:val="7C58FD05"/>
    <w:multiLevelType w:val="hybridMultilevel"/>
    <w:lvl w:ilvl="0">
      <w:lvlJc w:val="left"/>
      <w:lvlText w:val="(%1)"/>
      <w:numFmt w:val="decimal"/>
      <w:start w:val="1"/>
    </w:lvl>
  </w:abstractNum>
  <w:abstractNum w:abstractNumId="109">
    <w:nsid w:val="23D86AAC"/>
    <w:multiLevelType w:val="hybridMultilevel"/>
    <w:lvl w:ilvl="0">
      <w:lvlJc w:val="left"/>
      <w:lvlText w:val="(%1)"/>
      <w:numFmt w:val="decimal"/>
      <w:start w:val="1"/>
    </w:lvl>
  </w:abstractNum>
  <w:abstractNum w:abstractNumId="110">
    <w:nsid w:val="45E6D486"/>
    <w:multiLevelType w:val="hybridMultilevel"/>
    <w:lvl w:ilvl="0">
      <w:lvlJc w:val="left"/>
      <w:lvlText w:val="(%1)"/>
      <w:numFmt w:val="decimal"/>
      <w:start w:val="1"/>
    </w:lvl>
  </w:abstractNum>
  <w:abstractNum w:abstractNumId="111">
    <w:nsid w:val="5C10FE21"/>
    <w:multiLevelType w:val="hybridMultilevel"/>
    <w:lvl w:ilvl="0">
      <w:lvlJc w:val="left"/>
      <w:lvlText w:val="%1."/>
      <w:numFmt w:val="decimal"/>
      <w:start w:val="1"/>
    </w:lvl>
  </w:abstractNum>
  <w:abstractNum w:abstractNumId="112">
    <w:nsid w:val="E7FFA2B"/>
    <w:multiLevelType w:val="hybridMultilevel"/>
    <w:lvl w:ilvl="0">
      <w:lvlJc w:val="left"/>
      <w:lvlText w:val="(%1)"/>
      <w:numFmt w:val="decimal"/>
      <w:start w:val="1"/>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2019-12-07T13:50:25Z</dcterms:created>
  <dcterms:modified xsi:type="dcterms:W3CDTF">2019-12-07T13:50:25Z</dcterms:modified>
</cp:coreProperties>
</file>