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July 10, 2019</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bl>
    <w:p>
      <w:pPr>
        <w:ind w:right="2140" w:firstLine="291"/>
        <w:spacing w:after="0" w:line="490" w:lineRule="auto"/>
        <w:tabs>
          <w:tab w:leader="none" w:pos="478"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ectPr>
          <w:pgSz w:w="11900" w:h="16838" w:orient="portrait"/>
          <w:cols w:equalWidth="0" w:num="1">
            <w:col w:w="11100"/>
          </w:cols>
          <w:pgMar w:left="320" w:top="724" w:right="479" w:bottom="1440" w:gutter="0" w:footer="0" w:header="0"/>
          <w:type w:val="continuous"/>
        </w:sectPr>
      </w:pPr>
    </w:p>
    <w:p>
      <w:pPr>
        <w:jc w:val="center"/>
        <w:ind w:left="32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left="320"/>
        <w:spacing w:after="0"/>
        <w:rPr>
          <w:sz w:val="20"/>
          <w:szCs w:val="20"/>
          <w:color w:val="auto"/>
        </w:rPr>
      </w:pPr>
      <w:r>
        <w:rPr>
          <w:rFonts w:ascii="Arial" w:cs="Arial" w:eastAsia="Arial" w:hAnsi="Arial"/>
          <w:sz w:val="16"/>
          <w:szCs w:val="16"/>
          <w:color w:val="auto"/>
        </w:rPr>
        <w:t>Common Stock, par value $0.001 per share</w:t>
      </w:r>
    </w:p>
    <w:p>
      <w:pPr>
        <w:spacing w:after="0" w:line="20" w:lineRule="exact"/>
        <w:rPr>
          <w:sz w:val="24"/>
          <w:szCs w:val="24"/>
          <w:color w:val="auto"/>
        </w:rPr>
      </w:pPr>
      <w:r>
        <w:rPr>
          <w:sz w:val="24"/>
          <w:szCs w:val="24"/>
          <w:color w:val="auto"/>
        </w:rPr>
        <w:br w:type="column"/>
      </w:r>
    </w:p>
    <w:p>
      <w:pPr>
        <w:jc w:val="center"/>
        <w:ind w:right="18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PFLT</w:t>
      </w:r>
    </w:p>
    <w:p>
      <w:pPr>
        <w:spacing w:after="0" w:line="20" w:lineRule="exact"/>
        <w:rPr>
          <w:sz w:val="24"/>
          <w:szCs w:val="24"/>
          <w:color w:val="auto"/>
        </w:rPr>
      </w:pPr>
      <w:r>
        <w:rPr>
          <w:sz w:val="24"/>
          <w:szCs w:val="24"/>
          <w:color w:val="auto"/>
        </w:rPr>
        <w:br w:type="column"/>
      </w:r>
    </w:p>
    <w:p>
      <w:pPr>
        <w:jc w:val="center"/>
        <w:ind w:right="340"/>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50" w:lineRule="exact"/>
        <w:rPr>
          <w:sz w:val="24"/>
          <w:szCs w:val="24"/>
          <w:color w:val="auto"/>
        </w:rPr>
      </w:pPr>
    </w:p>
    <w:p>
      <w:pPr>
        <w:jc w:val="center"/>
        <w:ind w:right="340"/>
        <w:spacing w:after="0"/>
        <w:rPr>
          <w:sz w:val="20"/>
          <w:szCs w:val="20"/>
          <w:color w:val="auto"/>
        </w:rPr>
      </w:pPr>
      <w:r>
        <w:rPr>
          <w:rFonts w:ascii="Arial" w:cs="Arial" w:eastAsia="Arial" w:hAnsi="Arial"/>
          <w:sz w:val="18"/>
          <w:szCs w:val="18"/>
          <w:color w:val="auto"/>
        </w:rPr>
        <w:t>The Nasdaq Stock Market LLC</w:t>
      </w:r>
    </w:p>
    <w:p>
      <w:pPr>
        <w:spacing w:after="0" w:line="200" w:lineRule="exact"/>
        <w:rPr>
          <w:sz w:val="24"/>
          <w:szCs w:val="24"/>
          <w:color w:val="auto"/>
        </w:rPr>
      </w:pPr>
    </w:p>
    <w:p>
      <w:pPr>
        <w:sectPr>
          <w:pgSz w:w="11900" w:h="16838" w:orient="portrait"/>
          <w:cols w:equalWidth="0" w:num="3">
            <w:col w:w="4200" w:space="720"/>
            <w:col w:w="1600" w:space="720"/>
            <w:col w:w="3860"/>
          </w:cols>
          <w:pgMar w:left="320" w:top="724" w:right="479" w:bottom="1440" w:gutter="0" w:footer="0" w:header="0"/>
          <w:type w:val="continuous"/>
        </w:sectPr>
      </w:pPr>
    </w:p>
    <w:p>
      <w:pPr>
        <w:spacing w:after="0" w:line="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183515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On July 10, 2019, PennantPark Floating Rate Capital Ltd. issued a press release announcing its scheduled earnings release for the third fiscal quarter ended June 30, 2019. A copy of the press release is furnished as Exhibit 99.1 to this report, pursuant to Item 7.01 and Regulation FD.</w:t>
      </w:r>
    </w:p>
    <w:p>
      <w:pPr>
        <w:spacing w:after="0" w:line="14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19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320" w:hanging="592"/>
        <w:spacing w:after="0" w:line="313" w:lineRule="auto"/>
        <w:tabs>
          <w:tab w:leader="none" w:pos="27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420" w:hanging="592"/>
        <w:spacing w:after="0" w:line="250" w:lineRule="auto"/>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800" w:hanging="592"/>
        <w:spacing w:after="0" w:line="250" w:lineRule="auto"/>
        <w:tabs>
          <w:tab w:leader="none" w:pos="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6"/>
            <w:szCs w:val="16"/>
            <w:u w:val="single" w:color="auto"/>
            <w:color w:val="0000EE"/>
          </w:rPr>
          <w:t>Press Release of PennantPark Floating Rate Capital Ltd. dated July 10,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7800" w:type="dxa"/>
            <w:vAlign w:val="bottom"/>
            <w:gridSpan w:val="3"/>
          </w:tcPr>
          <w:p>
            <w:pPr>
              <w:ind w:left="2020"/>
              <w:spacing w:after="0"/>
              <w:rPr>
                <w:sz w:val="20"/>
                <w:szCs w:val="20"/>
                <w:color w:val="auto"/>
              </w:rPr>
            </w:pPr>
            <w:r>
              <w:rPr>
                <w:rFonts w:ascii="Arial" w:cs="Arial" w:eastAsia="Arial" w:hAnsi="Arial"/>
                <w:sz w:val="18"/>
                <w:szCs w:val="18"/>
                <w:b w:val="1"/>
                <w:bCs w:val="1"/>
                <w:color w:val="auto"/>
              </w:rPr>
              <w:t>PennantPark Floating Rate Capital Ltd.</w:t>
            </w:r>
          </w:p>
        </w:tc>
      </w:tr>
      <w:tr>
        <w:trPr>
          <w:trHeight w:val="608"/>
        </w:trPr>
        <w:tc>
          <w:tcPr>
            <w:tcW w:w="3440" w:type="dxa"/>
            <w:vAlign w:val="bottom"/>
          </w:tcPr>
          <w:p>
            <w:pPr>
              <w:spacing w:after="0"/>
              <w:rPr>
                <w:sz w:val="20"/>
                <w:szCs w:val="20"/>
                <w:color w:val="auto"/>
              </w:rPr>
            </w:pPr>
            <w:r>
              <w:rPr>
                <w:rFonts w:ascii="Arial" w:cs="Arial" w:eastAsia="Arial" w:hAnsi="Arial"/>
                <w:sz w:val="18"/>
                <w:szCs w:val="18"/>
                <w:color w:val="auto"/>
              </w:rPr>
              <w:t>Date: July 10, 2019</w:t>
            </w:r>
          </w:p>
        </w:tc>
        <w:tc>
          <w:tcPr>
            <w:tcW w:w="7800" w:type="dxa"/>
            <w:vAlign w:val="bottom"/>
            <w:gridSpan w:val="3"/>
          </w:tcPr>
          <w:p>
            <w:pPr>
              <w:ind w:left="2020"/>
              <w:spacing w:after="0"/>
              <w:rPr>
                <w:sz w:val="20"/>
                <w:szCs w:val="20"/>
                <w:color w:val="auto"/>
              </w:rPr>
            </w:pPr>
            <w:r>
              <w:rPr>
                <w:rFonts w:ascii="Arial" w:cs="Arial" w:eastAsia="Arial" w:hAnsi="Arial"/>
                <w:sz w:val="18"/>
                <w:szCs w:val="18"/>
                <w:color w:val="auto"/>
              </w:rPr>
              <w:t>By: /s/ Aviv Efrat</w:t>
            </w:r>
          </w:p>
        </w:tc>
      </w:tr>
      <w:tr>
        <w:trPr>
          <w:trHeight w:val="222"/>
        </w:trPr>
        <w:tc>
          <w:tcPr>
            <w:tcW w:w="34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4140" w:type="dxa"/>
            <w:vAlign w:val="bottom"/>
          </w:tcPr>
          <w:p>
            <w:pPr>
              <w:spacing w:after="0"/>
              <w:rPr>
                <w:sz w:val="19"/>
                <w:szCs w:val="19"/>
                <w:color w:val="auto"/>
              </w:rPr>
            </w:pPr>
          </w:p>
        </w:tc>
      </w:tr>
      <w:tr>
        <w:trPr>
          <w:trHeight w:val="230"/>
        </w:trPr>
        <w:tc>
          <w:tcPr>
            <w:tcW w:w="34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Chief Financial Officer &amp; Treasurer</w:t>
            </w:r>
          </w:p>
        </w:tc>
      </w:tr>
      <w:tr>
        <w:trPr>
          <w:trHeight w:val="442"/>
        </w:trPr>
        <w:tc>
          <w:tcPr>
            <w:tcW w:w="3440" w:type="dxa"/>
            <w:vAlign w:val="bottom"/>
            <w:tcBorders>
              <w:bottom w:val="single" w:sz="8" w:color="808080"/>
            </w:tcBorders>
          </w:tcPr>
          <w:p>
            <w:pPr>
              <w:spacing w:after="0"/>
              <w:rPr>
                <w:sz w:val="24"/>
                <w:szCs w:val="24"/>
                <w:color w:val="auto"/>
              </w:rPr>
            </w:pPr>
          </w:p>
        </w:tc>
        <w:tc>
          <w:tcPr>
            <w:tcW w:w="234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4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ind w:left="5080"/>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No. Description</w:t>
      </w:r>
    </w:p>
    <w:p>
      <w:pPr>
        <w:spacing w:after="0" w:line="310" w:lineRule="exact"/>
        <w:rPr>
          <w:sz w:val="20"/>
          <w:szCs w:val="20"/>
          <w:color w:val="auto"/>
        </w:rPr>
      </w:pPr>
    </w:p>
    <w:p>
      <w:pPr>
        <w:spacing w:after="0"/>
        <w:tabs>
          <w:tab w:leader="none" w:pos="980" w:val="left"/>
        </w:tabs>
        <w:rPr>
          <w:rFonts w:ascii="Arial" w:cs="Arial" w:eastAsia="Arial" w:hAnsi="Arial"/>
          <w:sz w:val="16"/>
          <w:szCs w:val="16"/>
          <w:u w:val="single" w:color="auto"/>
          <w:color w:val="0000EE"/>
        </w:rPr>
      </w:pPr>
      <w:hyperlink w:anchor="page5">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5">
        <w:r>
          <w:rPr>
            <w:rFonts w:ascii="Arial" w:cs="Arial" w:eastAsia="Arial" w:hAnsi="Arial"/>
            <w:sz w:val="16"/>
            <w:szCs w:val="16"/>
            <w:u w:val="single" w:color="auto"/>
            <w:color w:val="0000EE"/>
          </w:rPr>
          <w:t>Press Release of PennantPark Floating Rate Capital Ltd. dated July 10, 2019</w:t>
        </w:r>
      </w:hyperlink>
    </w:p>
    <w:p>
      <w:pPr>
        <w:sectPr>
          <w:pgSz w:w="11900" w:h="16838" w:orient="portrait"/>
          <w:cols w:equalWidth="0" w:num="1">
            <w:col w:w="10119"/>
          </w:cols>
          <w:pgMar w:left="340" w:top="337"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03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 Schedules Earnings Release of Third Fiscal Quarter 2019 Results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NEW YORK, July 10, 2019 (GLOBE NEWSWIRE) -- PennantPark Floating Rate Capital Ltd. (the "Company") (NASDAQ: PFLT) (TASE:PFLT) announced that it will report results for the third fiscal quarter ended June 30, 2019 on Wednesday, August 7, 2019 after the close of the financial markets.</w:t>
      </w:r>
    </w:p>
    <w:p>
      <w:pPr>
        <w:spacing w:after="0" w:line="18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Company will also host a conference call at 10:00 a.m. (Eastern Time) on Thursday August 8, 2019 to discuss its financial results. All interested parties are welcome to participate. You can access the conference call by dialing toll-free (866) 548-4713 approximately 5-10 minutes prior to the call. International callers should dial (323) 794-2093. All callers should reference PennantPark Floating Rate Capital Ltd. An archived replay of the call will be available through August 22, 2019 by calling toll-free (888) 203-1112. International callers please dial (719) 457-0820. For all phone replays, please reference conference ID #7172668.</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ind w:right="60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60"/>
        <w:spacing w:after="0" w:line="277"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Floating Rate Capital Ltd.</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2020-05-05T12:04:45Z</dcterms:created>
  <dcterms:modified xsi:type="dcterms:W3CDTF">2020-05-05T12:04:45Z</dcterms:modified>
</cp:coreProperties>
</file>