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Date of Report: August 18, 2015</w:t>
      </w:r>
    </w:p>
    <w:p>
      <w:pPr>
        <w:spacing w:after="0" w:line="14"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080" w:type="dxa"/>
            <w:vAlign w:val="bottom"/>
          </w:tcPr>
          <w:p>
            <w:pPr>
              <w:jc w:val="center"/>
              <w:ind w:right="2379"/>
              <w:spacing w:after="0"/>
              <w:rPr>
                <w:sz w:val="20"/>
                <w:szCs w:val="20"/>
                <w:color w:val="auto"/>
              </w:rPr>
            </w:pPr>
            <w:r>
              <w:rPr>
                <w:rFonts w:ascii="Arial" w:cs="Arial" w:eastAsia="Arial" w:hAnsi="Arial"/>
                <w:sz w:val="18"/>
                <w:szCs w:val="18"/>
                <w:b w:val="1"/>
                <w:bCs w:val="1"/>
                <w:color w:val="auto"/>
                <w:w w:val="98"/>
              </w:rPr>
              <w:t>Maryland</w:t>
            </w:r>
          </w:p>
        </w:tc>
        <w:tc>
          <w:tcPr>
            <w:tcW w:w="2260" w:type="dxa"/>
            <w:vAlign w:val="bottom"/>
          </w:tcPr>
          <w:p>
            <w:pPr>
              <w:ind w:left="180"/>
              <w:spacing w:after="0"/>
              <w:rPr>
                <w:sz w:val="20"/>
                <w:szCs w:val="20"/>
                <w:color w:val="auto"/>
              </w:rPr>
            </w:pPr>
            <w:r>
              <w:rPr>
                <w:rFonts w:ascii="Arial" w:cs="Arial" w:eastAsia="Arial" w:hAnsi="Arial"/>
                <w:sz w:val="18"/>
                <w:szCs w:val="18"/>
                <w:b w:val="1"/>
                <w:bCs w:val="1"/>
                <w:color w:val="auto"/>
              </w:rPr>
              <w:t>814-00891</w:t>
            </w:r>
          </w:p>
        </w:tc>
        <w:tc>
          <w:tcPr>
            <w:tcW w:w="2720" w:type="dxa"/>
            <w:vAlign w:val="bottom"/>
          </w:tcPr>
          <w:p>
            <w:pPr>
              <w:jc w:val="right"/>
              <w:ind w:right="201"/>
              <w:spacing w:after="0"/>
              <w:rPr>
                <w:sz w:val="20"/>
                <w:szCs w:val="20"/>
                <w:color w:val="auto"/>
              </w:rPr>
            </w:pPr>
            <w:r>
              <w:rPr>
                <w:rFonts w:ascii="Arial" w:cs="Arial" w:eastAsia="Arial" w:hAnsi="Arial"/>
                <w:sz w:val="18"/>
                <w:szCs w:val="18"/>
                <w:b w:val="1"/>
                <w:bCs w:val="1"/>
                <w:color w:val="auto"/>
              </w:rPr>
              <w:t>27-3794690</w:t>
            </w:r>
          </w:p>
        </w:tc>
      </w:tr>
      <w:tr>
        <w:trPr>
          <w:trHeight w:val="148"/>
        </w:trPr>
        <w:tc>
          <w:tcPr>
            <w:tcW w:w="4080" w:type="dxa"/>
            <w:vAlign w:val="bottom"/>
          </w:tcPr>
          <w:p>
            <w:pPr>
              <w:jc w:val="center"/>
              <w:ind w:right="23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6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720" w:type="dxa"/>
            <w:vAlign w:val="bottom"/>
          </w:tcPr>
          <w:p>
            <w:pPr>
              <w:jc w:val="center"/>
              <w:ind w:left="12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8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26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720" w:type="dxa"/>
            <w:vAlign w:val="bottom"/>
          </w:tcPr>
          <w:p>
            <w:pPr>
              <w:jc w:val="center"/>
              <w:ind w:left="122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80" w:type="dxa"/>
            <w:vAlign w:val="bottom"/>
          </w:tcPr>
          <w:p>
            <w:pPr>
              <w:jc w:val="center"/>
              <w:ind w:left="1179"/>
              <w:spacing w:after="0"/>
              <w:rPr>
                <w:sz w:val="20"/>
                <w:szCs w:val="20"/>
                <w:color w:val="auto"/>
              </w:rPr>
            </w:pPr>
            <w:r>
              <w:rPr>
                <w:rFonts w:ascii="Arial" w:cs="Arial" w:eastAsia="Arial" w:hAnsi="Arial"/>
                <w:sz w:val="18"/>
                <w:szCs w:val="18"/>
                <w:b w:val="1"/>
                <w:bCs w:val="1"/>
                <w:color w:val="auto"/>
                <w:w w:val="90"/>
              </w:rPr>
              <w:t>590 Madison Avenue, 15</w:t>
            </w:r>
            <w:r>
              <w:rPr>
                <w:rFonts w:ascii="Arial" w:cs="Arial" w:eastAsia="Arial" w:hAnsi="Arial"/>
                <w:sz w:val="15"/>
                <w:szCs w:val="15"/>
                <w:b w:val="1"/>
                <w:bCs w:val="1"/>
                <w:color w:val="auto"/>
                <w:w w:val="90"/>
              </w:rPr>
              <w:t>th</w:t>
            </w:r>
            <w:r>
              <w:rPr>
                <w:rFonts w:ascii="Arial" w:cs="Arial" w:eastAsia="Arial" w:hAnsi="Arial"/>
                <w:sz w:val="18"/>
                <w:szCs w:val="18"/>
                <w:b w:val="1"/>
                <w:bCs w:val="1"/>
                <w:color w:val="auto"/>
                <w:w w:val="90"/>
              </w:rPr>
              <w:t xml:space="preserve"> Floor,</w:t>
            </w:r>
          </w:p>
        </w:tc>
        <w:tc>
          <w:tcPr>
            <w:tcW w:w="22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2"/>
        </w:trPr>
        <w:tc>
          <w:tcPr>
            <w:tcW w:w="4080" w:type="dxa"/>
            <w:vAlign w:val="bottom"/>
          </w:tcPr>
          <w:p>
            <w:pPr>
              <w:jc w:val="center"/>
              <w:ind w:left="1199"/>
              <w:spacing w:after="0"/>
              <w:rPr>
                <w:sz w:val="20"/>
                <w:szCs w:val="20"/>
                <w:color w:val="auto"/>
              </w:rPr>
            </w:pPr>
            <w:r>
              <w:rPr>
                <w:rFonts w:ascii="Arial" w:cs="Arial" w:eastAsia="Arial" w:hAnsi="Arial"/>
                <w:sz w:val="18"/>
                <w:szCs w:val="18"/>
                <w:b w:val="1"/>
                <w:bCs w:val="1"/>
                <w:color w:val="auto"/>
                <w:w w:val="95"/>
              </w:rPr>
              <w:t>New York, NY</w:t>
            </w:r>
          </w:p>
        </w:tc>
        <w:tc>
          <w:tcPr>
            <w:tcW w:w="2260" w:type="dxa"/>
            <w:vAlign w:val="bottom"/>
          </w:tcPr>
          <w:p>
            <w:pPr>
              <w:spacing w:after="0"/>
              <w:rPr>
                <w:sz w:val="18"/>
                <w:szCs w:val="18"/>
                <w:color w:val="auto"/>
              </w:rPr>
            </w:pPr>
          </w:p>
        </w:tc>
        <w:tc>
          <w:tcPr>
            <w:tcW w:w="2720" w:type="dxa"/>
            <w:vAlign w:val="bottom"/>
          </w:tcPr>
          <w:p>
            <w:pPr>
              <w:jc w:val="right"/>
              <w:ind w:right="42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8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60" w:type="dxa"/>
            <w:vAlign w:val="bottom"/>
          </w:tcPr>
          <w:p>
            <w:pPr>
              <w:spacing w:after="0"/>
              <w:rPr>
                <w:sz w:val="16"/>
                <w:szCs w:val="16"/>
                <w:color w:val="auto"/>
              </w:rPr>
            </w:pPr>
          </w:p>
        </w:tc>
        <w:tc>
          <w:tcPr>
            <w:tcW w:w="2720" w:type="dxa"/>
            <w:vAlign w:val="bottom"/>
          </w:tcPr>
          <w:p>
            <w:pPr>
              <w:jc w:val="center"/>
              <w:ind w:left="1221"/>
              <w:spacing w:after="0"/>
              <w:rPr>
                <w:sz w:val="20"/>
                <w:szCs w:val="20"/>
                <w:color w:val="auto"/>
              </w:rPr>
            </w:pPr>
            <w:r>
              <w:rPr>
                <w:rFonts w:ascii="Arial" w:cs="Arial" w:eastAsia="Arial" w:hAnsi="Arial"/>
                <w:sz w:val="14"/>
                <w:szCs w:val="14"/>
                <w:b w:val="1"/>
                <w:bCs w:val="1"/>
                <w:color w:val="auto"/>
                <w:w w:val="95"/>
              </w:rPr>
              <w:t>(Zip Code)</w:t>
            </w:r>
          </w:p>
        </w:tc>
      </w:tr>
    </w:tbl>
    <w:p>
      <w:pPr>
        <w:spacing w:after="0" w:line="196"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August 18, 2015, PennantPark Floating Rate Capital Ltd., a Maryland corporation (“PFLT”), completed its previously announced acquisition of MCG Capital Corporation, a Delaware corporation (“MCG”), pursuant to the Agreement and Plan of Merger (the “Merger Agreement”), dated as of April 28, 2015, by and among MCG, PFLT, PFLT Panama, LLC, a Delaware limited liability company and wholly-owned subsidiary of PFLT (“PFLT Panama”), PFLT Funding II, LLC, a Delaware limited liability company and wholly-owned subsidiary of PFLT (“PFLT Funding II”), and, solely for certain limited purposes under the Merger Agreement, PennantPark Investment Advisers, LLC, a Delaware limited liability company and PFLT’s external investment adviser. As a result of the transactions contemplated by the Merger Agreement, MCG was merged with and into PFLT Panama with MCG as the surviving corporation, following which MCG was merged with and into PFLT Funding II with PFLT Funding II as the surviving company.</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accordance with the terms of the Merger Agreement, at the time of the transactions contemplated by the Merger Agreement, each outstanding share of MCG common stock (including shares of restricted stock) was converted into the right to receive (i) 0.32044 shares of PFLT’s common stock (with MCG stockholders receiving cash in lieu of fractional shares of PFLT common stock), and (ii) $0.30595 per share in cash. As a result of the transactions contemplated by the Merger Agreement, PFLT is expected to issue an aggregate of approximately 11.8 million shares of its common stock to former MCG stockholders, and PennantPark Investment Advisers, LLC, the investment adviser to PFLT, is expected to make an aggregate cash payment of approximately $11.3 million to former MCG stockholders.</w:t>
      </w:r>
    </w:p>
    <w:p>
      <w:pPr>
        <w:spacing w:after="0" w:line="19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foregoing description of the Merger Agreement is a summary only and is qualified in its entirety by reference to the full text of the Merger Agreement, a copy of which was filed by PFLT as Exhibit 2.1 to its Current Report on Form 8-K filed on April 29, 2015 and is incorporated herein by reference.</w:t>
      </w:r>
    </w:p>
    <w:p>
      <w:pPr>
        <w:spacing w:after="0" w:line="26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18, 2015, PFLT issued a press release announcing the consummation of the transactions contemplated by the Merger Agreement. The text of the press release is included as Exhibit 99.1 to this Form 8-K and is incorporated by reference hereto.</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right="660" w:firstLine="8"/>
        <w:spacing w:after="0" w:line="308"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financial statements required to be provided herein pursuant to Regulation S-X were included in Amendment No. 1 to PFLT’s Registration Statement on Form N-14 (Reg. No. 333-204272) filed on June 16, 2015, which is incorporated by reference in this Item 9.01(a).</w:t>
      </w:r>
    </w:p>
    <w:p>
      <w:pPr>
        <w:spacing w:after="0" w:line="146" w:lineRule="exact"/>
        <w:rPr>
          <w:rFonts w:ascii="Arial" w:cs="Arial" w:eastAsia="Arial" w:hAnsi="Arial"/>
          <w:sz w:val="17"/>
          <w:szCs w:val="17"/>
          <w:color w:val="auto"/>
        </w:rPr>
      </w:pPr>
    </w:p>
    <w:p>
      <w:pPr>
        <w:ind w:right="320" w:firstLine="8"/>
        <w:spacing w:after="0" w:line="263"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PFLT’s unaudited pro forma condensed consolidated financial statements as of and for the six months ended March 31, 2015 and for the year ended September 30, 2014, and the notes related thereto, were included in Amendment No.1 to PFLT’s Registration Statement on Form N-14 (Reg. No. 333-204272) filed on June 16, 2015, which is incorporated by reference in this Item 9.01(b).</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3360" w:type="dxa"/>
            <w:vAlign w:val="bottom"/>
            <w:gridSpan w:val="3"/>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18"/>
        </w:trPr>
        <w:tc>
          <w:tcPr>
            <w:tcW w:w="720" w:type="dxa"/>
            <w:vAlign w:val="bottom"/>
          </w:tcPr>
          <w:p>
            <w:pPr>
              <w:jc w:val="right"/>
              <w:ind w:right="119"/>
              <w:spacing w:after="0"/>
              <w:rPr>
                <w:sz w:val="20"/>
                <w:szCs w:val="20"/>
                <w:color w:val="auto"/>
              </w:rPr>
            </w:pPr>
            <w:r>
              <w:rPr>
                <w:rFonts w:ascii="Arial" w:cs="Arial" w:eastAsia="Arial" w:hAnsi="Arial"/>
                <w:sz w:val="18"/>
                <w:szCs w:val="18"/>
                <w:color w:val="auto"/>
              </w:rPr>
              <w:t>99.1</w:t>
            </w:r>
          </w:p>
        </w:tc>
        <w:tc>
          <w:tcPr>
            <w:tcW w:w="3360" w:type="dxa"/>
            <w:vAlign w:val="bottom"/>
            <w:gridSpan w:val="3"/>
          </w:tcPr>
          <w:p>
            <w:pPr>
              <w:ind w:left="760"/>
              <w:spacing w:after="0"/>
              <w:rPr>
                <w:sz w:val="20"/>
                <w:szCs w:val="20"/>
                <w:color w:val="auto"/>
              </w:rPr>
            </w:pPr>
            <w:r>
              <w:rPr>
                <w:rFonts w:ascii="Arial" w:cs="Arial" w:eastAsia="Arial" w:hAnsi="Arial"/>
                <w:sz w:val="18"/>
                <w:szCs w:val="18"/>
                <w:color w:val="auto"/>
                <w:w w:val="87"/>
              </w:rPr>
              <w:t>Press release dated August 18, 2015</w:t>
            </w:r>
          </w:p>
        </w:tc>
      </w:tr>
    </w:tbl>
    <w:p>
      <w:pPr>
        <w:sectPr>
          <w:pgSz w:w="11900" w:h="16838" w:orient="portrait"/>
          <w:cols w:equalWidth="0" w:num="1">
            <w:col w:w="11220"/>
          </w:cols>
          <w:pgMar w:left="320" w:top="270" w:right="35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18, 2015</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1"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8"/>
          <w:szCs w:val="18"/>
          <w:color w:val="auto"/>
        </w:rPr>
        <w:t>By:</w:t>
        <w:tab/>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900"/>
          </w:cols>
          <w:pgMar w:left="320" w:top="270" w:right="67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3360" w:type="dxa"/>
            <w:vAlign w:val="bottom"/>
            <w:gridSpan w:val="3"/>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18"/>
        </w:trPr>
        <w:tc>
          <w:tcPr>
            <w:tcW w:w="720" w:type="dxa"/>
            <w:vAlign w:val="bottom"/>
          </w:tcPr>
          <w:p>
            <w:pPr>
              <w:jc w:val="right"/>
              <w:ind w:right="119"/>
              <w:spacing w:after="0"/>
              <w:rPr>
                <w:sz w:val="20"/>
                <w:szCs w:val="20"/>
                <w:color w:val="auto"/>
              </w:rPr>
            </w:pPr>
            <w:r>
              <w:rPr>
                <w:rFonts w:ascii="Arial" w:cs="Arial" w:eastAsia="Arial" w:hAnsi="Arial"/>
                <w:sz w:val="18"/>
                <w:szCs w:val="18"/>
                <w:color w:val="auto"/>
              </w:rPr>
              <w:t>99.1</w:t>
            </w:r>
          </w:p>
        </w:tc>
        <w:tc>
          <w:tcPr>
            <w:tcW w:w="3360" w:type="dxa"/>
            <w:vAlign w:val="bottom"/>
            <w:gridSpan w:val="3"/>
          </w:tcPr>
          <w:p>
            <w:pPr>
              <w:ind w:left="760"/>
              <w:spacing w:after="0"/>
              <w:rPr>
                <w:sz w:val="20"/>
                <w:szCs w:val="20"/>
                <w:color w:val="auto"/>
              </w:rPr>
            </w:pPr>
            <w:r>
              <w:rPr>
                <w:rFonts w:ascii="Arial" w:cs="Arial" w:eastAsia="Arial" w:hAnsi="Arial"/>
                <w:sz w:val="18"/>
                <w:szCs w:val="18"/>
                <w:color w:val="auto"/>
                <w:w w:val="87"/>
              </w:rPr>
              <w:t>Press release dated August 18, 2015</w:t>
            </w:r>
          </w:p>
        </w:tc>
      </w:tr>
    </w:tbl>
    <w:p>
      <w:pPr>
        <w:sectPr>
          <w:pgSz w:w="11900" w:h="16838" w:orient="portrait"/>
          <w:cols w:equalWidth="0" w:num="1">
            <w:col w:w="10139"/>
          </w:cols>
          <w:pgMar w:left="32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MCG Capital Corporation Announce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of Merger</w:t>
      </w:r>
    </w:p>
    <w:p>
      <w:pPr>
        <w:spacing w:after="0" w:line="2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NEW YORK, NY and ARLINGTON, VA – August 18, 2015 – PennantPark Floating Rate Capital Ltd. (NASDAQ: PFLT) and MCG Capital Corporation (NASDAQ: MCGC) announced today that the merger pursuant to the merger agreement dated April 28, 2015 among MCG, PFLT, two of PFLT’s wholly-owned subsidiaries and PFLT’s investment adviser, has closed.</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accordance with the terms of the merger agreement, at the time of the merger, each outstanding share of MCGC common stock (including shares of restricted stock) was converted into the right to receive (i) 0.32044 shares of PFLT’s common stock (with MCGC stockholders receiving cash in lieu of fractional shares of PFLT common stock), and (ii) $0.30595 per share in cash. As a result of the merger, PFLT is expected to issue an aggregate of approximately 11.8 million shares of its common stock to former MCGC stockholders, and PennantPark Investment Advisers, LLC, the investment adviser to PFLT, is expected to make an aggregate cash payment of approximately $11.3 million to former MCGC stockholders.</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Arthur Penn, Chief Executive Officer of PFLT, said “Through our acquisition of MCGC we have successfully created a larger middle-market senior floating rate capital provider with greater market coverage, access to capital, scale and diversification. We look forward to prudently deploying the capital acquired in this transaction and to building upon our diversified portfolio composition to consistently deliver value for our stockholders regardless of the economic cycle.”</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Richard W. Neu, Chairman of the MCGC Board of Directors, said “We are pleased that our mutually beneficial combination with PFLT has now closed. We believe that PFLT is an ideal partner for MCGC stockholders and we wish Art Penn and his team all the best. We are also deeply grateful to Keith Kennedy for the tremendous leadership and execution provided since he assumed the role of CEO in April of 2014 and for the tireless efforts provided by Keith and the whole MCGC team.”</w:t>
      </w:r>
    </w:p>
    <w:p>
      <w:pPr>
        <w:spacing w:after="0" w:line="18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Keefe, Bruyette &amp; Woods, Inc. and SunTrust Robinson Humphrey, Inc. served as financial advisers to PFLT. Dechert LLP and Venable LLP served as legal counsel to PFLT. Morgan Stanley served as financial adviser to MCGC. Wachtell, Lipton, Rosen &amp; Katz served as legal counsel to MCGC and Sutherland Asbill &amp; Brennan LLP served as legal counsel to MCGC with respect to the Investment Company Act of 1940.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right="954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905-1000 www.pennantpark.com</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220"/>
      </w:cols>
      <w:pgMar w:left="32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2020-05-05T12:08:49Z</dcterms:created>
  <dcterms:modified xsi:type="dcterms:W3CDTF">2020-05-05T12:08:49Z</dcterms:modified>
</cp:coreProperties>
</file>