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95153d8k.htm"/>
      <w:bookmarkStart w:id="1" w:name="ksd495153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00" w:after="0"/>
        <w:jc w:val="center"/>
        <w:rPr>
          <w:rFonts w:ascii="Times New Roman" w:hAnsi="Times New Roman"/>
          <w:b/>
          <w:sz w:val="24"/>
        </w:rPr>
      </w:pPr>
      <w:r>
        <w:rPr>
          <w:rFonts w:ascii="Times New Roman" w:hAnsi="Times New Roman"/>
          <w:b/>
          <w:sz w:val="24"/>
        </w:rPr>
        <w:t>Date of Report (Date of earliest event reported): March 31, 2023</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8"/>
        </w:rPr>
      </w:pPr>
      <w:r>
        <w:rPr>
          <w:rFonts w:ascii="Times New Roman" w:hAnsi="Times New Roman"/>
          <w:b/>
          <w:sz w:val="48"/>
        </w:rPr>
        <w:t>PennantPark Floating Rate Capital Ltd.</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860" w:type="dxa"/>
        <w:jc w:val="left"/>
        <w:tblInd w:w="0" w:type="dxa"/>
        <w:tblCellMar>
          <w:top w:w="0" w:type="dxa"/>
          <w:left w:w="0" w:type="dxa"/>
          <w:bottom w:w="0" w:type="dxa"/>
          <w:right w:w="0" w:type="dxa"/>
        </w:tblCellMar>
      </w:tblPr>
      <w:tblGrid>
        <w:gridCol w:w="1985"/>
        <w:gridCol w:w="60"/>
        <w:gridCol w:w="1055"/>
        <w:gridCol w:w="60"/>
        <w:gridCol w:w="1700"/>
      </w:tblGrid>
      <w:tr>
        <w:trPr/>
        <w:tc>
          <w:tcPr>
            <w:tcW w:w="1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jc w:val="center"/>
              <w:rPr>
                <w:b/>
              </w:rPr>
            </w:pPr>
            <w:r>
              <w:rPr>
                <w:b/>
              </w:rPr>
              <w:t>Maryland</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814-00891</w:t>
            </w:r>
          </w:p>
        </w:tc>
        <w:tc>
          <w:tcPr>
            <w:tcW w:w="6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0"/>
              <w:jc w:val="center"/>
              <w:rPr>
                <w:rFonts w:ascii="Times New Roman" w:hAnsi="Times New Roman"/>
                <w:b/>
                <w:sz w:val="20"/>
              </w:rPr>
            </w:pPr>
            <w:r>
              <w:rPr>
                <w:rFonts w:ascii="Times New Roman" w:hAnsi="Times New Roman"/>
                <w:b/>
                <w:sz w:val="20"/>
              </w:rPr>
              <w:t>27-3794690</w:t>
            </w:r>
          </w:p>
        </w:tc>
      </w:tr>
      <w:tr>
        <w:trPr/>
        <w:tc>
          <w:tcPr>
            <w:tcW w:w="198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Number)</w:t>
            </w:r>
          </w:p>
        </w:tc>
      </w:tr>
    </w:tbl>
    <w:p>
      <w:pPr>
        <w:pStyle w:val="TextBody"/>
        <w:spacing w:before="0" w:after="0"/>
        <w:jc w:val="left"/>
        <w:rPr/>
      </w:pPr>
      <w:r>
        <w:rPr/>
        <w:t> </w:t>
      </w:r>
    </w:p>
    <w:tbl>
      <w:tblPr>
        <w:tblW w:w="5140" w:type="dxa"/>
        <w:jc w:val="left"/>
        <w:tblInd w:w="0" w:type="dxa"/>
        <w:tblCellMar>
          <w:top w:w="0" w:type="dxa"/>
          <w:left w:w="0" w:type="dxa"/>
          <w:bottom w:w="0" w:type="dxa"/>
          <w:right w:w="0" w:type="dxa"/>
        </w:tblCellMar>
      </w:tblPr>
      <w:tblGrid>
        <w:gridCol w:w="3935"/>
        <w:gridCol w:w="60"/>
        <w:gridCol w:w="1145"/>
      </w:tblGrid>
      <w:tr>
        <w:trPr/>
        <w:tc>
          <w:tcPr>
            <w:tcW w:w="3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r>
      <w:tr>
        <w:trPr/>
        <w:tc>
          <w:tcPr>
            <w:tcW w:w="393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1691 Michigan Avenue</w:t>
            </w:r>
          </w:p>
          <w:p>
            <w:pPr>
              <w:pStyle w:val="TableContents"/>
              <w:spacing w:before="0" w:after="20"/>
              <w:jc w:val="center"/>
              <w:rPr>
                <w:rFonts w:ascii="Times New Roman" w:hAnsi="Times New Roman"/>
                <w:b/>
                <w:sz w:val="20"/>
              </w:rPr>
            </w:pPr>
            <w:r>
              <w:rPr>
                <w:rFonts w:ascii="Times New Roman" w:hAnsi="Times New Roman"/>
                <w:b/>
                <w:sz w:val="20"/>
              </w:rPr>
              <w:t>Miami Beach, Florida</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33139</w:t>
            </w:r>
          </w:p>
        </w:tc>
      </w:tr>
      <w:tr>
        <w:trPr/>
        <w:tc>
          <w:tcPr>
            <w:tcW w:w="3935" w:type="dxa"/>
            <w:tcBorders/>
            <w:shd w:fill="auto" w:val="clear"/>
            <w:vAlign w:val="center"/>
          </w:tcPr>
          <w:p>
            <w:pPr>
              <w:pStyle w:val="TableContents"/>
              <w:spacing w:before="0" w:after="283"/>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(Zip Code)</w:t>
            </w:r>
          </w:p>
        </w:tc>
      </w:tr>
    </w:tbl>
    <w:p>
      <w:pPr>
        <w:pStyle w:val="TextBody"/>
        <w:spacing w:before="200" w:after="0"/>
        <w:jc w:val="center"/>
        <w:rPr>
          <w:rFonts w:ascii="Times New Roman" w:hAnsi="Times New Roman"/>
          <w:b/>
          <w:sz w:val="20"/>
        </w:rPr>
      </w:pPr>
      <w:r>
        <w:rPr>
          <w:rFonts w:ascii="Times New Roman" w:hAnsi="Times New Roman"/>
          <w:b/>
          <w:sz w:val="20"/>
        </w:rPr>
        <w:t>(786) 297-9500</w:t>
      </w:r>
    </w:p>
    <w:p>
      <w:pPr>
        <w:pStyle w:val="TextBody"/>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spacing w:before="200" w:after="0"/>
        <w:jc w:val="center"/>
        <w:rPr>
          <w:rFonts w:ascii="Times New Roman" w:hAnsi="Times New Roman"/>
          <w:b/>
          <w:sz w:val="20"/>
        </w:rPr>
      </w:pPr>
      <w:r>
        <w:rPr>
          <w:rFonts w:ascii="Times New Roman" w:hAnsi="Times New Roman"/>
          <w:b/>
          <w:sz w:val="20"/>
        </w:rPr>
        <w:t>Not Applicable</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8100" w:type="dxa"/>
        <w:jc w:val="left"/>
        <w:tblInd w:w="0" w:type="dxa"/>
        <w:tblCellMar>
          <w:top w:w="0" w:type="dxa"/>
          <w:left w:w="0" w:type="dxa"/>
          <w:bottom w:w="0" w:type="dxa"/>
          <w:right w:w="0" w:type="dxa"/>
        </w:tblCellMar>
      </w:tblPr>
      <w:tblGrid>
        <w:gridCol w:w="4145"/>
        <w:gridCol w:w="60"/>
        <w:gridCol w:w="740"/>
        <w:gridCol w:w="60"/>
        <w:gridCol w:w="3095"/>
      </w:tblGrid>
      <w:tr>
        <w:trPr/>
        <w:tc>
          <w:tcPr>
            <w:tcW w:w="41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95" w:type="dxa"/>
            <w:tcBorders/>
            <w:shd w:fill="auto" w:val="clear"/>
            <w:vAlign w:val="center"/>
          </w:tcPr>
          <w:p>
            <w:pPr>
              <w:pStyle w:val="TableContents"/>
              <w:spacing w:before="0" w:after="283"/>
              <w:rPr>
                <w:sz w:val="4"/>
                <w:szCs w:val="4"/>
              </w:rPr>
            </w:pPr>
            <w:r>
              <w:rPr>
                <w:sz w:val="4"/>
                <w:szCs w:val="4"/>
              </w:rPr>
            </w:r>
          </w:p>
        </w:tc>
      </w:tr>
      <w:tr>
        <w:trPr/>
        <w:tc>
          <w:tcPr>
            <w:tcW w:w="414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shd w:fill="auto" w:val="clear"/>
            <w:vAlign w:val="center"/>
          </w:tcPr>
          <w:p>
            <w:pPr>
              <w:pStyle w:val="TableContents"/>
              <w:spacing w:before="0" w:after="283"/>
              <w:rPr/>
            </w:pPr>
            <w:r>
              <w:rPr/>
              <w:t> </w:t>
            </w:r>
          </w:p>
        </w:tc>
        <w:tc>
          <w:tcPr>
            <w:tcW w:w="309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shd w:fill="auto" w:val="clear"/>
            <w:vAlign w:val="center"/>
          </w:tcPr>
          <w:p>
            <w:pPr>
              <w:pStyle w:val="TableContents"/>
              <w:spacing w:before="0" w:after="283"/>
              <w:jc w:val="center"/>
              <w:rPr/>
            </w:pPr>
            <w:r>
              <w:rPr/>
              <w:t>Common Stock, par value $0.001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pPr>
            <w:r>
              <w:rPr/>
              <w:t>PFLT</w:t>
            </w:r>
          </w:p>
        </w:tc>
        <w:tc>
          <w:tcPr>
            <w:tcW w:w="60" w:type="dxa"/>
            <w:tcBorders/>
            <w:shd w:fill="auto" w:val="clear"/>
            <w:vAlign w:val="center"/>
          </w:tcPr>
          <w:p>
            <w:pPr>
              <w:pStyle w:val="TableContents"/>
              <w:spacing w:before="0" w:after="283"/>
              <w:rPr/>
            </w:pPr>
            <w:r>
              <w:rPr/>
              <w:t> </w:t>
            </w:r>
          </w:p>
        </w:tc>
        <w:tc>
          <w:tcPr>
            <w:tcW w:w="3095" w:type="dxa"/>
            <w:tcBorders/>
            <w:shd w:fill="auto" w:val="clear"/>
            <w:vAlign w:val="center"/>
          </w:tcPr>
          <w:p>
            <w:pPr>
              <w:pStyle w:val="TableContents"/>
              <w:spacing w:before="0" w:after="283"/>
              <w:jc w:val="center"/>
              <w:rPr/>
            </w:pPr>
            <w:r>
              <w:rPr/>
              <w:t>The New York Stock Exchange</w:t>
            </w:r>
          </w:p>
        </w:tc>
      </w:tr>
    </w:tbl>
    <w:p>
      <w:pPr>
        <w:pStyle w:val="TextBody"/>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 Emerging growth company ☐</w:t>
      </w:r>
    </w:p>
    <w:p>
      <w:pPr>
        <w:pStyle w:val="TextBody"/>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p>
      <w:pPr>
        <w:pStyle w:val="TextBody"/>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spacing w:before="120" w:after="0"/>
        <w:jc w:val="left"/>
        <w:rPr>
          <w:rFonts w:ascii="Times New Roman" w:hAnsi="Times New Roman"/>
          <w:sz w:val="20"/>
        </w:rPr>
      </w:pPr>
      <w:r>
        <w:rPr>
          <w:rFonts w:ascii="Times New Roman" w:hAnsi="Times New Roman"/>
          <w:sz w:val="20"/>
        </w:rPr>
        <w:t xml:space="preserve">On March 31, 2023, PennantPark Floating Rate Capital, Ltd. (the “Company”) entered into equity distribution agreements (together, the “Equity Distribution Agreements”) with each of JMP Securities LLC, Raymond James &amp; Associates, Inc. and Truist Securities, Inc., as the sales agents (each, a “Sales Agent,” and together, the “Sales Agents”), in connection with the sale of shares of the Company’s common stock, par value $0.001 per share (the “Common Stock”), with an aggregate offering price of up to $100 million. The Equity Distribution Agreements provide that the Company may offer and sell shares of the Common Stock from time to time through a Sales Agent in amounts and at times to be determined by the Company (the “Offering”). Actual sales will depend on a variety of factors to be determined by the Company from time to time, including, market conditions and the trading price of the Common Stock. The Company expects to use the net proceeds from this offering to invest in new or existing portfolio companies or for other general corporate or strategic purposes, including repaying amounts outstanding under its existing indebtedness. </w:t>
      </w:r>
    </w:p>
    <w:p>
      <w:pPr>
        <w:pStyle w:val="TextBody"/>
        <w:spacing w:before="240" w:after="0"/>
        <w:jc w:val="left"/>
        <w:rPr>
          <w:rFonts w:ascii="Times New Roman" w:hAnsi="Times New Roman"/>
          <w:sz w:val="20"/>
        </w:rPr>
      </w:pPr>
      <w:r>
        <w:rPr>
          <w:rFonts w:ascii="Times New Roman" w:hAnsi="Times New Roman"/>
          <w:sz w:val="20"/>
        </w:rPr>
        <w:t xml:space="preserve">Any shares of Common Stock offered and sold in the Offering will be sold pursuant to a prospectus supplement dated March 31, 2023 (the “Prospectus Supplement”) to the Company’s registration statement on Form N-2 (File No. 333-268813) declared effective by the U.S. Securities and Exchange Commission on January 9, 2023 (such registration statement as of its effective date, including the exhibits thereto and the documents incorporated by reference therein, are hereinafter referred to as the “Registration Statement”) and the base prospectus, dated January 9, 2023 (the “Base Prospectus”), relating to the Offering that forms a part of the Registration Statement. </w:t>
      </w:r>
    </w:p>
    <w:p>
      <w:pPr>
        <w:pStyle w:val="TextBody"/>
        <w:spacing w:before="240" w:after="0"/>
        <w:jc w:val="left"/>
        <w:rPr>
          <w:rFonts w:ascii="Times New Roman" w:hAnsi="Times New Roman"/>
          <w:sz w:val="20"/>
        </w:rPr>
      </w:pPr>
      <w:r>
        <w:rPr>
          <w:rFonts w:ascii="Times New Roman" w:hAnsi="Times New Roman"/>
          <w:sz w:val="20"/>
        </w:rPr>
        <w:t xml:space="preserve">Sales of the Common Stock, if any, under the Prospectus Supplement and the Base Prospectus may be made in negotiated transactions or transactions that are deemed to be “at the market,” as defined in Rule 415 under the Securities Act of 1933, as amended, including sales made directly on The New York Stock Exchange or any similar securities exchange or sales made to or through a market maker other than on a securities exchange, at prices related to the prevailing market prices or at negotiated prices. Under the terms of the Equity Distribution Agreements, each Sales Agent will receive a commission from the Company of up to 2.0% of the gross sales price of any shares of the Common Stock sold through such Sales Agent under the applicable Equity Distribution Agreement. The Equity Distribution Agreements contain customary representations, warranties and agreements of the Company, indemnification rights and other obligations of the parties and termination provisions. </w:t>
      </w:r>
    </w:p>
    <w:p>
      <w:pPr>
        <w:pStyle w:val="TextBody"/>
        <w:spacing w:before="240" w:after="0"/>
        <w:jc w:val="left"/>
        <w:rPr>
          <w:rFonts w:ascii="Times New Roman" w:hAnsi="Times New Roman"/>
          <w:sz w:val="20"/>
        </w:rPr>
      </w:pPr>
      <w:r>
        <w:rPr>
          <w:rFonts w:ascii="Times New Roman" w:hAnsi="Times New Roman"/>
          <w:sz w:val="20"/>
        </w:rPr>
        <w:t xml:space="preserve">The foregoing description of the Equity Distribution Agreements is not complete and is qualified in its entirety by reference to the full text of the Equity Distribution Agreements, copies of which are attached hereto as Exhibits 1.1, 1.2 and 1.3 and are incorporated herein by reference. </w:t>
      </w:r>
    </w:p>
    <w:p>
      <w:pPr>
        <w:pStyle w:val="TextBody"/>
        <w:spacing w:before="240" w:after="0"/>
        <w:jc w:val="left"/>
        <w:rPr>
          <w:rFonts w:ascii="Times New Roman" w:hAnsi="Times New Roman"/>
          <w:sz w:val="20"/>
        </w:rPr>
      </w:pPr>
      <w:r>
        <w:rPr>
          <w:rFonts w:ascii="Times New Roman" w:hAnsi="Times New Roman"/>
          <w:sz w:val="20"/>
        </w:rPr>
        <w:t xml:space="preserve">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 </w:t>
      </w:r>
    </w:p>
    <w:p>
      <w:pPr>
        <w:pStyle w:val="TextBody"/>
        <w:spacing w:before="240" w:after="0"/>
        <w:jc w:val="left"/>
        <w:rPr>
          <w:rFonts w:ascii="Times New Roman" w:hAnsi="Times New Roman"/>
          <w:sz w:val="20"/>
        </w:rPr>
      </w:pPr>
      <w:r>
        <w:rPr>
          <w:rFonts w:ascii="Times New Roman" w:hAnsi="Times New Roman"/>
          <w:sz w:val="20"/>
        </w:rPr>
        <w:t xml:space="preserve">On March 31, 2023, Venable LLP delivered its legality opinion with respect to the Common Stock to be sold pursuant to the Prospectus Supplement, a copy of which is attached hereto as Exhibit 5.1. </w:t>
      </w:r>
    </w:p>
    <w:p>
      <w:pPr>
        <w:pStyle w:val="TextBody"/>
        <w:spacing w:before="0" w:after="0"/>
        <w:jc w:val="left"/>
        <w:rPr/>
      </w:pPr>
      <w:r>
        <w:rPr/>
        <w:t> </w:t>
      </w:r>
      <w:r>
        <w:br w:type="page"/>
      </w:r>
    </w:p>
    <w:p>
      <w:pPr>
        <w:pStyle w:val="HorizontalLine"/>
        <w:rPr/>
      </w:pPr>
      <w:r>
        <w:rPr/>
      </w:r>
    </w:p>
    <w:p>
      <w:pPr>
        <w:pStyle w:val="TextBody"/>
        <w:spacing w:before="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spacing w:before="120" w:after="0"/>
        <w:jc w:val="left"/>
        <w:rPr>
          <w:rFonts w:ascii="Times New Roman" w:hAnsi="Times New Roman"/>
          <w:b/>
          <w:sz w:val="20"/>
        </w:rPr>
      </w:pPr>
      <w:r>
        <w:rPr>
          <w:rFonts w:ascii="Times New Roman" w:hAnsi="Times New Roman"/>
          <w:b/>
          <w:sz w:val="20"/>
        </w:rPr>
        <w:t xml:space="preserve">(d) Exhibits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55"/>
        <w:gridCol w:w="120"/>
        <w:gridCol w:w="9630"/>
      </w:tblGrid>
      <w:tr>
        <w:trPr/>
        <w:tc>
          <w:tcPr>
            <w:tcW w:w="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30"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283"/>
              <w:rPr/>
            </w:pPr>
            <w:r>
              <w:rPr/>
              <w:t>1.1</w:t>
            </w:r>
          </w:p>
        </w:tc>
        <w:tc>
          <w:tcPr>
            <w:tcW w:w="120" w:type="dxa"/>
            <w:tcBorders/>
            <w:shd w:fill="auto" w:val="clear"/>
            <w:vAlign w:val="center"/>
          </w:tcPr>
          <w:p>
            <w:pPr>
              <w:pStyle w:val="TableContents"/>
              <w:spacing w:before="0" w:after="283"/>
              <w:rPr/>
            </w:pPr>
            <w:r>
              <w:rPr/>
              <w:t>  </w:t>
            </w:r>
          </w:p>
        </w:tc>
        <w:tc>
          <w:tcPr>
            <w:tcW w:w="9630" w:type="dxa"/>
            <w:tcBorders/>
            <w:shd w:fill="auto" w:val="clear"/>
            <w:vAlign w:val="center"/>
          </w:tcPr>
          <w:p>
            <w:pPr>
              <w:pStyle w:val="TableContents"/>
              <w:spacing w:before="0" w:after="283"/>
              <w:rPr/>
            </w:pPr>
            <w:hyperlink w:anchor="d495153dex11.htm">
              <w:r>
                <w:rPr>
                  <w:rStyle w:val="InternetLink"/>
                </w:rPr>
                <w:t xml:space="preserve">Equity Distribution Agreement, dated as of March 31, 2023, by and among PennantPark Floating Rate Capital, Ltd., PennantPark Investment Advisers, LLC, PennantPark Investment Administration, LLC and JMP Securities LLC, as the sales agent </w:t>
              </w:r>
            </w:hyperlink>
          </w:p>
        </w:tc>
      </w:tr>
      <w:tr>
        <w:trPr/>
        <w:tc>
          <w:tcPr>
            <w:tcW w:w="455" w:type="dxa"/>
            <w:tcBorders/>
            <w:shd w:fill="auto" w:val="clear"/>
            <w:vAlign w:val="center"/>
          </w:tcPr>
          <w:p>
            <w:pPr>
              <w:pStyle w:val="TableContents"/>
              <w:spacing w:before="0" w:after="283"/>
              <w:rPr>
                <w:sz w:val="4"/>
                <w:szCs w:val="4"/>
              </w:rPr>
            </w:pPr>
            <w:r>
              <w:rPr>
                <w:sz w:val="4"/>
                <w:szCs w:val="4"/>
              </w:rPr>
            </w:r>
          </w:p>
        </w:tc>
        <w:tc>
          <w:tcPr>
            <w:tcW w:w="9750" w:type="dxa"/>
            <w:gridSpan w:val="2"/>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283"/>
              <w:rPr/>
            </w:pPr>
            <w:r>
              <w:rPr/>
              <w:t>1.2</w:t>
            </w:r>
          </w:p>
        </w:tc>
        <w:tc>
          <w:tcPr>
            <w:tcW w:w="120" w:type="dxa"/>
            <w:tcBorders/>
            <w:shd w:fill="auto" w:val="clear"/>
            <w:vAlign w:val="center"/>
          </w:tcPr>
          <w:p>
            <w:pPr>
              <w:pStyle w:val="TableContents"/>
              <w:spacing w:before="0" w:after="283"/>
              <w:rPr/>
            </w:pPr>
            <w:r>
              <w:rPr/>
              <w:t>  </w:t>
            </w:r>
          </w:p>
        </w:tc>
        <w:tc>
          <w:tcPr>
            <w:tcW w:w="9630" w:type="dxa"/>
            <w:tcBorders/>
            <w:shd w:fill="auto" w:val="clear"/>
            <w:vAlign w:val="center"/>
          </w:tcPr>
          <w:p>
            <w:pPr>
              <w:pStyle w:val="TableContents"/>
              <w:spacing w:before="0" w:after="283"/>
              <w:rPr/>
            </w:pPr>
            <w:hyperlink w:anchor="d495153dex12.htm">
              <w:r>
                <w:rPr>
                  <w:rStyle w:val="InternetLink"/>
                </w:rPr>
                <w:t xml:space="preserve">Equity Distribution Agreement, dated as of March 31, 2023, by and among PennantPark Floating Rate Capital, Ltd., PennantPark Investment Advisers, LLC, PennantPark Investment Administration, LLC and Raymond James &amp; Associates, Inc., as the sales agent </w:t>
              </w:r>
            </w:hyperlink>
          </w:p>
        </w:tc>
      </w:tr>
      <w:tr>
        <w:trPr/>
        <w:tc>
          <w:tcPr>
            <w:tcW w:w="455" w:type="dxa"/>
            <w:tcBorders/>
            <w:shd w:fill="auto" w:val="clear"/>
            <w:vAlign w:val="center"/>
          </w:tcPr>
          <w:p>
            <w:pPr>
              <w:pStyle w:val="TableContents"/>
              <w:spacing w:before="0" w:after="283"/>
              <w:rPr>
                <w:sz w:val="4"/>
                <w:szCs w:val="4"/>
              </w:rPr>
            </w:pPr>
            <w:r>
              <w:rPr>
                <w:sz w:val="4"/>
                <w:szCs w:val="4"/>
              </w:rPr>
            </w:r>
          </w:p>
        </w:tc>
        <w:tc>
          <w:tcPr>
            <w:tcW w:w="9750" w:type="dxa"/>
            <w:gridSpan w:val="2"/>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283"/>
              <w:rPr/>
            </w:pPr>
            <w:r>
              <w:rPr/>
              <w:t>1.3</w:t>
            </w:r>
          </w:p>
        </w:tc>
        <w:tc>
          <w:tcPr>
            <w:tcW w:w="120" w:type="dxa"/>
            <w:tcBorders/>
            <w:shd w:fill="auto" w:val="clear"/>
            <w:vAlign w:val="center"/>
          </w:tcPr>
          <w:p>
            <w:pPr>
              <w:pStyle w:val="TableContents"/>
              <w:spacing w:before="0" w:after="283"/>
              <w:rPr/>
            </w:pPr>
            <w:r>
              <w:rPr/>
              <w:t>  </w:t>
            </w:r>
          </w:p>
        </w:tc>
        <w:tc>
          <w:tcPr>
            <w:tcW w:w="9630" w:type="dxa"/>
            <w:tcBorders/>
            <w:shd w:fill="auto" w:val="clear"/>
            <w:vAlign w:val="center"/>
          </w:tcPr>
          <w:p>
            <w:pPr>
              <w:pStyle w:val="TableContents"/>
              <w:spacing w:before="0" w:after="283"/>
              <w:rPr/>
            </w:pPr>
            <w:hyperlink w:anchor="d495153dex13.htm">
              <w:r>
                <w:rPr>
                  <w:rStyle w:val="InternetLink"/>
                </w:rPr>
                <w:t xml:space="preserve">Equity Distribution Agreement, dated as of March 31, 2023, by and among PennantPark Floating Rate Capital, Ltd., PennantPark Investment Advisers, LLC, PennantPark Investment Administration, LLC and Truist Securities, Inc., as the sales agent </w:t>
              </w:r>
            </w:hyperlink>
          </w:p>
        </w:tc>
      </w:tr>
      <w:tr>
        <w:trPr/>
        <w:tc>
          <w:tcPr>
            <w:tcW w:w="455" w:type="dxa"/>
            <w:tcBorders/>
            <w:shd w:fill="auto" w:val="clear"/>
            <w:vAlign w:val="center"/>
          </w:tcPr>
          <w:p>
            <w:pPr>
              <w:pStyle w:val="TableContents"/>
              <w:spacing w:before="0" w:after="283"/>
              <w:rPr>
                <w:sz w:val="4"/>
                <w:szCs w:val="4"/>
              </w:rPr>
            </w:pPr>
            <w:r>
              <w:rPr>
                <w:sz w:val="4"/>
                <w:szCs w:val="4"/>
              </w:rPr>
            </w:r>
          </w:p>
        </w:tc>
        <w:tc>
          <w:tcPr>
            <w:tcW w:w="9750" w:type="dxa"/>
            <w:gridSpan w:val="2"/>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283"/>
              <w:rPr/>
            </w:pPr>
            <w:r>
              <w:rPr/>
              <w:t>5.1</w:t>
            </w:r>
          </w:p>
        </w:tc>
        <w:tc>
          <w:tcPr>
            <w:tcW w:w="120" w:type="dxa"/>
            <w:tcBorders/>
            <w:shd w:fill="auto" w:val="clear"/>
            <w:vAlign w:val="center"/>
          </w:tcPr>
          <w:p>
            <w:pPr>
              <w:pStyle w:val="TableContents"/>
              <w:spacing w:before="0" w:after="283"/>
              <w:rPr/>
            </w:pPr>
            <w:r>
              <w:rPr/>
              <w:t>  </w:t>
            </w:r>
          </w:p>
        </w:tc>
        <w:tc>
          <w:tcPr>
            <w:tcW w:w="9630" w:type="dxa"/>
            <w:tcBorders/>
            <w:shd w:fill="auto" w:val="clear"/>
            <w:vAlign w:val="center"/>
          </w:tcPr>
          <w:p>
            <w:pPr>
              <w:pStyle w:val="TableContents"/>
              <w:spacing w:before="0" w:after="283"/>
              <w:rPr/>
            </w:pPr>
            <w:hyperlink w:anchor="d495153dex51.htm">
              <w:r>
                <w:rPr>
                  <w:rStyle w:val="InternetLink"/>
                </w:rPr>
                <w:t xml:space="preserve">Opinion of Venable LLP </w:t>
              </w:r>
            </w:hyperlink>
          </w:p>
        </w:tc>
      </w:tr>
      <w:tr>
        <w:trPr/>
        <w:tc>
          <w:tcPr>
            <w:tcW w:w="455" w:type="dxa"/>
            <w:tcBorders/>
            <w:shd w:fill="auto" w:val="clear"/>
            <w:vAlign w:val="center"/>
          </w:tcPr>
          <w:p>
            <w:pPr>
              <w:pStyle w:val="TableContents"/>
              <w:spacing w:before="0" w:after="283"/>
              <w:rPr>
                <w:sz w:val="4"/>
                <w:szCs w:val="4"/>
              </w:rPr>
            </w:pPr>
            <w:r>
              <w:rPr>
                <w:sz w:val="4"/>
                <w:szCs w:val="4"/>
              </w:rPr>
            </w:r>
          </w:p>
        </w:tc>
        <w:tc>
          <w:tcPr>
            <w:tcW w:w="9750" w:type="dxa"/>
            <w:gridSpan w:val="2"/>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283"/>
              <w:rPr/>
            </w:pPr>
            <w:r>
              <w:rPr/>
              <w:t>23.1</w:t>
            </w:r>
          </w:p>
        </w:tc>
        <w:tc>
          <w:tcPr>
            <w:tcW w:w="120" w:type="dxa"/>
            <w:tcBorders/>
            <w:shd w:fill="auto" w:val="clear"/>
            <w:vAlign w:val="center"/>
          </w:tcPr>
          <w:p>
            <w:pPr>
              <w:pStyle w:val="TableContents"/>
              <w:spacing w:before="0" w:after="283"/>
              <w:rPr/>
            </w:pPr>
            <w:r>
              <w:rPr/>
              <w:t>  </w:t>
            </w:r>
          </w:p>
        </w:tc>
        <w:tc>
          <w:tcPr>
            <w:tcW w:w="9630" w:type="dxa"/>
            <w:tcBorders/>
            <w:shd w:fill="auto" w:val="clear"/>
            <w:vAlign w:val="center"/>
          </w:tcPr>
          <w:p>
            <w:pPr>
              <w:pStyle w:val="TableContents"/>
              <w:spacing w:before="0" w:after="283"/>
              <w:rPr/>
            </w:pPr>
            <w:hyperlink w:anchor="d495153dex51.htm">
              <w:r>
                <w:rPr>
                  <w:rStyle w:val="InternetLink"/>
                </w:rPr>
                <w:t xml:space="preserve">Consent of Venable LLP (included in Exhibit 5.1) </w:t>
              </w:r>
            </w:hyperlink>
          </w:p>
        </w:tc>
      </w:tr>
      <w:tr>
        <w:trPr/>
        <w:tc>
          <w:tcPr>
            <w:tcW w:w="455" w:type="dxa"/>
            <w:tcBorders/>
            <w:shd w:fill="auto" w:val="clear"/>
            <w:vAlign w:val="center"/>
          </w:tcPr>
          <w:p>
            <w:pPr>
              <w:pStyle w:val="TableContents"/>
              <w:spacing w:before="0" w:after="283"/>
              <w:rPr>
                <w:sz w:val="4"/>
                <w:szCs w:val="4"/>
              </w:rPr>
            </w:pPr>
            <w:r>
              <w:rPr>
                <w:sz w:val="4"/>
                <w:szCs w:val="4"/>
              </w:rPr>
            </w:r>
          </w:p>
        </w:tc>
        <w:tc>
          <w:tcPr>
            <w:tcW w:w="9750" w:type="dxa"/>
            <w:gridSpan w:val="2"/>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630" w:type="dxa"/>
            <w:tcBorders/>
            <w:shd w:fill="auto" w:val="clear"/>
            <w:vAlign w:val="center"/>
          </w:tcPr>
          <w:p>
            <w:pPr>
              <w:pStyle w:val="TableContents"/>
              <w:spacing w:before="0" w:after="283"/>
              <w:rPr/>
            </w:pPr>
            <w:r>
              <w:rPr/>
              <w:t>Cover Page Interactive Data File (embedded within the Inline XBRL document).</w:t>
            </w:r>
          </w:p>
        </w:tc>
      </w:tr>
    </w:tbl>
    <w:p>
      <w:pPr>
        <w:pStyle w:val="TextBody"/>
        <w:spacing w:before="0" w:after="0"/>
        <w:jc w:val="left"/>
        <w:rPr/>
      </w:pPr>
      <w:r>
        <w:rPr/>
        <w:t> </w:t>
      </w:r>
      <w:r>
        <w:br w:type="page"/>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8123" w:type="dxa"/>
        <w:jc w:val="left"/>
        <w:tblInd w:w="0" w:type="dxa"/>
        <w:tblCellMar>
          <w:top w:w="0" w:type="dxa"/>
          <w:left w:w="0" w:type="dxa"/>
          <w:bottom w:w="0" w:type="dxa"/>
          <w:right w:w="0" w:type="dxa"/>
        </w:tblCellMar>
      </w:tblPr>
      <w:tblGrid>
        <w:gridCol w:w="700"/>
        <w:gridCol w:w="1108"/>
        <w:gridCol w:w="431"/>
        <w:gridCol w:w="60"/>
        <w:gridCol w:w="622"/>
        <w:gridCol w:w="102"/>
        <w:gridCol w:w="5100"/>
      </w:tblGrid>
      <w:tr>
        <w:trPr/>
        <w:tc>
          <w:tcPr>
            <w:tcW w:w="700"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5100" w:type="dxa"/>
            <w:tcBorders/>
            <w:shd w:fill="auto" w:val="clear"/>
            <w:vAlign w:val="center"/>
          </w:tcPr>
          <w:p>
            <w:pPr>
              <w:pStyle w:val="TableContents"/>
              <w:spacing w:before="0" w:after="283"/>
              <w:rPr>
                <w:sz w:val="4"/>
                <w:szCs w:val="4"/>
              </w:rPr>
            </w:pPr>
            <w:r>
              <w:rPr>
                <w:sz w:val="4"/>
                <w:szCs w:val="4"/>
              </w:rPr>
            </w:r>
          </w:p>
        </w:tc>
      </w:tr>
      <w:tr>
        <w:trPr/>
        <w:tc>
          <w:tcPr>
            <w:tcW w:w="2239" w:type="dxa"/>
            <w:gridSpan w:val="3"/>
            <w:tcBorders/>
            <w:shd w:fill="auto" w:val="clear"/>
            <w:vAlign w:val="center"/>
          </w:tcPr>
          <w:p>
            <w:pPr>
              <w:pStyle w:val="TableContents"/>
              <w:spacing w:before="0" w:after="283"/>
              <w:rPr/>
            </w:pPr>
            <w:r>
              <w:rPr/>
              <w:t>Dated: March 31, 2023</w:t>
            </w:r>
          </w:p>
        </w:tc>
        <w:tc>
          <w:tcPr>
            <w:tcW w:w="60" w:type="dxa"/>
            <w:tcBorders/>
            <w:shd w:fill="auto" w:val="clear"/>
            <w:vAlign w:val="center"/>
          </w:tcPr>
          <w:p>
            <w:pPr>
              <w:pStyle w:val="TableContents"/>
              <w:spacing w:before="0" w:after="283"/>
              <w:rPr/>
            </w:pPr>
            <w:r>
              <w:rPr/>
              <w:t> </w:t>
            </w:r>
          </w:p>
        </w:tc>
        <w:tc>
          <w:tcPr>
            <w:tcW w:w="5824" w:type="dxa"/>
            <w:gridSpan w:val="3"/>
            <w:tcBorders/>
            <w:shd w:fill="auto" w:val="clear"/>
            <w:vAlign w:val="center"/>
          </w:tcPr>
          <w:p>
            <w:pPr>
              <w:pStyle w:val="TableContents"/>
              <w:spacing w:before="0" w:after="283"/>
              <w:rPr>
                <w:b/>
              </w:rPr>
            </w:pPr>
            <w:r>
              <w:rPr>
                <w:b/>
              </w:rPr>
              <w:t>PENNANTPARK FLOATING RATE CAPITAL LTD.</w:t>
            </w:r>
          </w:p>
        </w:tc>
      </w:tr>
      <w:tr>
        <w:trPr/>
        <w:tc>
          <w:tcPr>
            <w:tcW w:w="700" w:type="dxa"/>
            <w:tcBorders/>
            <w:shd w:fill="auto" w:val="clear"/>
            <w:vAlign w:val="center"/>
          </w:tcPr>
          <w:p>
            <w:pPr>
              <w:pStyle w:val="TableContents"/>
              <w:spacing w:before="0" w:after="283"/>
              <w:rPr>
                <w:sz w:val="4"/>
                <w:szCs w:val="4"/>
              </w:rPr>
            </w:pPr>
            <w:r>
              <w:rPr>
                <w:sz w:val="4"/>
                <w:szCs w:val="4"/>
              </w:rPr>
            </w:r>
          </w:p>
        </w:tc>
        <w:tc>
          <w:tcPr>
            <w:tcW w:w="1539" w:type="dxa"/>
            <w:gridSpan w:val="2"/>
            <w:tcBorders/>
            <w:shd w:fill="auto" w:val="clear"/>
            <w:vAlign w:val="center"/>
          </w:tcPr>
          <w:p>
            <w:pPr>
              <w:pStyle w:val="TableContents"/>
              <w:spacing w:before="0" w:after="283"/>
              <w:rPr>
                <w:sz w:val="4"/>
                <w:szCs w:val="4"/>
              </w:rPr>
            </w:pPr>
            <w:r>
              <w:rPr>
                <w:sz w:val="4"/>
                <w:szCs w:val="4"/>
              </w:rPr>
            </w:r>
          </w:p>
        </w:tc>
        <w:tc>
          <w:tcPr>
            <w:tcW w:w="682" w:type="dxa"/>
            <w:gridSpan w:val="2"/>
            <w:tcBorders/>
            <w:shd w:fill="auto" w:val="clear"/>
            <w:vAlign w:val="center"/>
          </w:tcPr>
          <w:p>
            <w:pPr>
              <w:pStyle w:val="TableContents"/>
              <w:spacing w:before="0" w:after="283"/>
              <w:rPr>
                <w:sz w:val="4"/>
                <w:szCs w:val="4"/>
              </w:rPr>
            </w:pPr>
            <w:r>
              <w:rPr>
                <w:sz w:val="4"/>
                <w:szCs w:val="4"/>
              </w:rPr>
            </w:r>
          </w:p>
        </w:tc>
        <w:tc>
          <w:tcPr>
            <w:tcW w:w="5202" w:type="dxa"/>
            <w:gridSpan w:val="2"/>
            <w:tcBorders/>
            <w:shd w:fill="auto" w:val="clear"/>
            <w:vAlign w:val="center"/>
          </w:tcPr>
          <w:p>
            <w:pPr>
              <w:pStyle w:val="TableContents"/>
              <w:spacing w:before="0" w:after="283"/>
              <w:rPr>
                <w:sz w:val="4"/>
                <w:szCs w:val="4"/>
              </w:rPr>
            </w:pPr>
            <w:r>
              <w:rPr>
                <w:sz w:val="4"/>
                <w:szCs w:val="4"/>
              </w:rPr>
            </w:r>
          </w:p>
        </w:tc>
      </w:tr>
      <w:tr>
        <w:trPr/>
        <w:tc>
          <w:tcPr>
            <w:tcW w:w="700"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22" w:type="dxa"/>
            <w:tcBorders/>
            <w:shd w:fill="auto" w:val="clear"/>
            <w:vAlign w:val="center"/>
          </w:tcPr>
          <w:p>
            <w:pPr>
              <w:pStyle w:val="TableContents"/>
              <w:spacing w:before="0" w:after="283"/>
              <w:rPr/>
            </w:pPr>
            <w:r>
              <w:rPr/>
              <w:t>By:</w:t>
            </w:r>
          </w:p>
        </w:tc>
        <w:tc>
          <w:tcPr>
            <w:tcW w:w="102" w:type="dxa"/>
            <w:tcBorders/>
            <w:shd w:fill="auto" w:val="clear"/>
            <w:vAlign w:val="center"/>
          </w:tcPr>
          <w:p>
            <w:pPr>
              <w:pStyle w:val="TableContents"/>
              <w:spacing w:before="0" w:after="283"/>
              <w:rPr/>
            </w:pPr>
            <w:r>
              <w:rPr/>
              <w:t> </w:t>
            </w:r>
          </w:p>
        </w:tc>
        <w:tc>
          <w:tcPr>
            <w:tcW w:w="5100"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Richard T. Allorto, Jr.</w:t>
            </w:r>
          </w:p>
        </w:tc>
      </w:tr>
      <w:tr>
        <w:trPr/>
        <w:tc>
          <w:tcPr>
            <w:tcW w:w="700"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2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pPr>
            <w:r>
              <w:rPr/>
              <w:t> </w:t>
            </w:r>
          </w:p>
        </w:tc>
        <w:tc>
          <w:tcPr>
            <w:tcW w:w="51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Richard T. Allorto, Jr.</w:t>
            </w:r>
          </w:p>
          <w:p>
            <w:pPr>
              <w:pStyle w:val="TableContents"/>
              <w:spacing w:before="0" w:after="20"/>
              <w:rPr>
                <w:rFonts w:ascii="Times New Roman" w:hAnsi="Times New Roman"/>
                <w:i/>
                <w:sz w:val="20"/>
              </w:rPr>
            </w:pPr>
            <w:r>
              <w:rPr>
                <w:rFonts w:ascii="Times New Roman" w:hAnsi="Times New Roman"/>
                <w:i/>
                <w:sz w:val="20"/>
              </w:rPr>
              <w:t>Chief Financial Officer &amp; Treasurer</w:t>
            </w:r>
          </w:p>
        </w:tc>
      </w:tr>
    </w:tbl>
    <w:p>
      <w:pPr>
        <w:pStyle w:val="TextBody"/>
        <w:spacing w:before="0" w:after="0"/>
        <w:jc w:val="right"/>
        <w:rPr>
          <w:rFonts w:ascii="Times New Roman" w:hAnsi="Times New Roman"/>
          <w:b/>
          <w:sz w:val="20"/>
        </w:rPr>
      </w:pPr>
      <w:r>
        <w:br w:type="page"/>
      </w:r>
      <w:bookmarkStart w:id="2" w:name="d495153dex11.htm"/>
      <w:bookmarkStart w:id="3" w:name="ksd495153dex11"/>
      <w:bookmarkEnd w:id="2"/>
      <w:bookmarkEnd w:id="3"/>
      <w:r>
        <w:rPr>
          <w:rFonts w:ascii="Times New Roman" w:hAnsi="Times New Roman"/>
          <w:b/>
          <w:sz w:val="20"/>
        </w:rPr>
        <w:t xml:space="preserve">Exhibit 1.1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480" w:after="0"/>
        <w:jc w:val="center"/>
        <w:rPr>
          <w:rFonts w:ascii="Times New Roman" w:hAnsi="Times New Roman"/>
          <w:sz w:val="20"/>
        </w:rPr>
      </w:pPr>
      <w:r>
        <w:rPr>
          <w:rFonts w:ascii="Times New Roman" w:hAnsi="Times New Roman"/>
          <w:sz w:val="20"/>
        </w:rPr>
        <w:t xml:space="preserve">PENNANTPARK FLOATING RATE CAPITAL LTD. </w:t>
      </w:r>
    </w:p>
    <w:p>
      <w:pPr>
        <w:pStyle w:val="TextBody"/>
        <w:spacing w:before="120" w:after="0"/>
        <w:jc w:val="center"/>
        <w:rPr>
          <w:rFonts w:ascii="Times New Roman" w:hAnsi="Times New Roman"/>
          <w:sz w:val="20"/>
        </w:rPr>
      </w:pPr>
      <w:r>
        <w:rPr>
          <w:rFonts w:ascii="Times New Roman" w:hAnsi="Times New Roman"/>
          <w:sz w:val="20"/>
        </w:rPr>
        <w:t xml:space="preserve">(a Maryland corporation) </w:t>
      </w:r>
    </w:p>
    <w:p>
      <w:pPr>
        <w:pStyle w:val="TextBody"/>
        <w:spacing w:before="240" w:after="0"/>
        <w:jc w:val="center"/>
        <w:rPr>
          <w:rFonts w:ascii="Times New Roman" w:hAnsi="Times New Roman"/>
          <w:sz w:val="20"/>
        </w:rPr>
      </w:pPr>
      <w:r>
        <w:rPr>
          <w:rFonts w:ascii="Times New Roman" w:hAnsi="Times New Roman"/>
          <w:sz w:val="20"/>
        </w:rPr>
        <w:t xml:space="preserve">Common Stock, Par Value $0.001 Per Share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EQUITY DISTRIBUTION AGREEMENT </w:t>
      </w:r>
    </w:p>
    <w:p>
      <w:pPr>
        <w:pStyle w:val="TextBody"/>
        <w:spacing w:before="240" w:after="0"/>
        <w:jc w:val="center"/>
        <w:rPr>
          <w:rFonts w:ascii="Times New Roman" w:hAnsi="Times New Roman"/>
          <w:sz w:val="20"/>
        </w:rPr>
      </w:pPr>
      <w:r>
        <w:rPr>
          <w:rFonts w:ascii="Times New Roman" w:hAnsi="Times New Roman"/>
          <w:sz w:val="20"/>
        </w:rPr>
        <w:t xml:space="preserve">Dated: March 31, 2023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4"/>
        </w:rPr>
      </w:pPr>
      <w:r>
        <w:rPr>
          <w:rFonts w:ascii="Times New Roman" w:hAnsi="Times New Roman"/>
          <w:sz w:val="24"/>
        </w:rPr>
        <w:t xml:space="preserve">PENNANTPARK FLOATING RATE CAPITAL LTD. </w:t>
      </w:r>
    </w:p>
    <w:p>
      <w:pPr>
        <w:pStyle w:val="TextBody"/>
        <w:spacing w:before="120" w:after="0"/>
        <w:jc w:val="center"/>
        <w:rPr>
          <w:rFonts w:ascii="Times New Roman" w:hAnsi="Times New Roman"/>
          <w:sz w:val="20"/>
        </w:rPr>
      </w:pPr>
      <w:r>
        <w:rPr>
          <w:rFonts w:ascii="Times New Roman" w:hAnsi="Times New Roman"/>
          <w:sz w:val="20"/>
        </w:rPr>
        <w:t xml:space="preserve">(a Maryland corporation) </w:t>
      </w:r>
    </w:p>
    <w:p>
      <w:pPr>
        <w:pStyle w:val="TextBody"/>
        <w:spacing w:before="120" w:after="0"/>
        <w:jc w:val="center"/>
        <w:rPr>
          <w:rFonts w:ascii="Times New Roman" w:hAnsi="Times New Roman"/>
          <w:sz w:val="20"/>
        </w:rPr>
      </w:pPr>
      <w:r>
        <w:rPr>
          <w:rFonts w:ascii="Times New Roman" w:hAnsi="Times New Roman"/>
          <w:sz w:val="20"/>
        </w:rPr>
        <w:t xml:space="preserve">Common Stock, Par Value $0.001 Per Share </w:t>
      </w:r>
    </w:p>
    <w:p>
      <w:pPr>
        <w:pStyle w:val="TextBody"/>
        <w:spacing w:before="0" w:after="0"/>
        <w:jc w:val="center"/>
        <w:rPr>
          <w:rFonts w:ascii="Times New Roman" w:hAnsi="Times New Roman"/>
          <w:sz w:val="20"/>
        </w:rPr>
      </w:pPr>
      <w:r>
        <w:rPr>
          <w:rFonts w:ascii="Times New Roman" w:hAnsi="Times New Roman"/>
          <w:sz w:val="20"/>
        </w:rPr>
        <w:t xml:space="preserve">EQUITY DISTRIBUTION AGREEMENT </w:t>
      </w:r>
    </w:p>
    <w:p>
      <w:pPr>
        <w:pStyle w:val="TextBody"/>
        <w:spacing w:before="240" w:after="0"/>
        <w:jc w:val="left"/>
        <w:rPr>
          <w:rFonts w:ascii="Times New Roman" w:hAnsi="Times New Roman"/>
          <w:sz w:val="20"/>
        </w:rPr>
      </w:pPr>
      <w:r>
        <w:rPr>
          <w:rFonts w:ascii="Times New Roman" w:hAnsi="Times New Roman"/>
          <w:sz w:val="20"/>
        </w:rPr>
        <w:t xml:space="preserve">JMP Securities LLC </w:t>
      </w:r>
    </w:p>
    <w:p>
      <w:pPr>
        <w:pStyle w:val="TextBody"/>
        <w:spacing w:before="0" w:after="0"/>
        <w:jc w:val="left"/>
        <w:rPr>
          <w:rFonts w:ascii="Times New Roman" w:hAnsi="Times New Roman"/>
          <w:sz w:val="20"/>
        </w:rPr>
      </w:pPr>
      <w:r>
        <w:rPr>
          <w:rFonts w:ascii="Times New Roman" w:hAnsi="Times New Roman"/>
          <w:sz w:val="20"/>
        </w:rPr>
        <w:t xml:space="preserve">600 Montgomery Street, Suite 1100 </w:t>
      </w:r>
    </w:p>
    <w:p>
      <w:pPr>
        <w:pStyle w:val="TextBody"/>
        <w:spacing w:before="0" w:after="0"/>
        <w:jc w:val="left"/>
        <w:rPr>
          <w:rFonts w:ascii="Times New Roman" w:hAnsi="Times New Roman"/>
          <w:sz w:val="20"/>
        </w:rPr>
      </w:pPr>
      <w:r>
        <w:rPr>
          <w:rFonts w:ascii="Times New Roman" w:hAnsi="Times New Roman"/>
          <w:sz w:val="20"/>
        </w:rPr>
        <w:t xml:space="preserve">San Francisco, California 94111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 xml:space="preserve">PennantPark Floating Rate Capital Ltd., a Maryland corporation (the Company), PennantPark Investment Advisers, LLC, a Delaware limited liability company (the Adviser) and PennantPark Investment Administration, LLC, a Delaware limited liability company (the Administrator), each confirms its agreement with JMP Securities LLC (the Sales Agent) with respect to the sale by the Company of shares of common stock, par value $0.001 per share, of the Company (Common Stock), having an aggregate offering price of up to $100 million. The shares of Common Stock to be sold by the Sales Agent are herein called, collectively, the Securities. The Company, the Adviser and the Administrator have also entered into sales agreements (collectively the Sales Agreement) in substantially similar form to this Agreement, dated of even date herewith, with Raymond James &amp; Associates, Inc. and Truist Securities, Inc. (each, an Other Agent). The aggregate amount of Securities that may be sold collectively pursuant to this Agreement and the Sales Agreement shall not exceed the lesser of $100 million and the dollar amount of Securities permitted to be sold under the Registration Statement (as defined below). </w:t>
      </w:r>
    </w:p>
    <w:p>
      <w:pPr>
        <w:pStyle w:val="TextBody"/>
        <w:spacing w:before="240" w:after="0"/>
        <w:jc w:val="left"/>
        <w:rPr>
          <w:rFonts w:ascii="Times New Roman" w:hAnsi="Times New Roman"/>
          <w:sz w:val="20"/>
        </w:rPr>
      </w:pPr>
      <w:r>
        <w:rPr>
          <w:rFonts w:ascii="Times New Roman" w:hAnsi="Times New Roman"/>
          <w:sz w:val="20"/>
        </w:rPr>
        <w:t xml:space="preserve">The Company has filed with the Securities and Exchange Commission (the Commission) a shelf registration statement on Form N-2 (File No. 333-268813), relating to the registration of the Securities and certain of the Companys other securities under the Securities Act of 1933, as amended (the 1933 Act), which registration statement was most declared effective by the Commission on January 9, 2023. The Company has also filed with the Commission a prospectus supplement, dated the date hereof, as such prospectus supplement may be amended (the Prospectus), which contains a base prospectus, dated January 9, 2023, in accordance with the provisions of Rule 430B (Rule 430B) of the rules and regulations of the Commission promulgated under the 1933 Act (such provisions, the 1933 Act Regulations) and Rule 424(b) (Rule 424(b)) of the 1933 Act Regulations.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and deemed to be part of the registration statement and also including any registration statement filed pursuant to Rule 462(b) of the 1933 Act Regulations, is herein called the Registration Statement. All references in this Agreement to amendments or supplements to the Registration Statement or the Prospectus, including those made pursuant to Rule 424(b) under the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the Prospectus or any amendment or supplement to any of the foregoing shall be deemed to include the copy filed with the Commission pursuant to its Electronic Data Gathering, Analysis and Retrieval system or any successor system (EDGAR). </w:t>
      </w:r>
    </w:p>
    <w:p>
      <w:pPr>
        <w:pStyle w:val="TextBody"/>
        <w:spacing w:before="240" w:after="0"/>
        <w:jc w:val="left"/>
        <w:rPr>
          <w:rFonts w:ascii="Times New Roman" w:hAnsi="Times New Roman"/>
          <w:sz w:val="20"/>
        </w:rPr>
      </w:pPr>
      <w:r>
        <w:rPr>
          <w:rFonts w:ascii="Times New Roman" w:hAnsi="Times New Roman"/>
          <w:sz w:val="20"/>
        </w:rPr>
        <w:t xml:space="preserve">A Form N-54A Notification of Election to be Subject to Sections 55 through 65 of the Investment Company Act of 1940 Filed Pursuant to Section 54(a) of the Investment Company Act (File No. 814-00743) was filed with the Commission on April 7, 2011 under the Investment Company Act of 1940, as amended (the 1940 Act), and the rules and regulations and any applicable guidance and/or interpretation of the Commission or its staff thereunder (the 1940 Act Regulations). </w:t>
      </w:r>
    </w:p>
    <w:p>
      <w:pPr>
        <w:pStyle w:val="TextBody"/>
        <w:spacing w:before="240" w:after="0"/>
        <w:jc w:val="left"/>
        <w:rPr>
          <w:rFonts w:ascii="Times New Roman" w:hAnsi="Times New Roman"/>
          <w:sz w:val="20"/>
        </w:rPr>
      </w:pPr>
      <w:r>
        <w:rPr>
          <w:rFonts w:ascii="Times New Roman" w:hAnsi="Times New Roman"/>
          <w:sz w:val="20"/>
        </w:rPr>
        <w:t xml:space="preserve">The Company has entered into that certain Second Amended and Restated Investment Advisory Agreement, dated as of February 2, 2016 (the Investment Management Agreement), with the Adviser. The Company has entered into that certain Amended and Restated Administration Agreement, dated as of July 1, 2022 (the Administration Agreement), with the Administrator. </w:t>
      </w:r>
    </w:p>
    <w:p>
      <w:pPr>
        <w:pStyle w:val="TextBody"/>
        <w:spacing w:before="240" w:after="0"/>
        <w:jc w:val="left"/>
        <w:rPr>
          <w:rFonts w:ascii="Times New Roman" w:hAnsi="Times New Roman"/>
          <w:sz w:val="20"/>
        </w:rPr>
      </w:pPr>
      <w:r>
        <w:rPr>
          <w:rFonts w:ascii="Times New Roman" w:hAnsi="Times New Roman"/>
          <w:sz w:val="20"/>
        </w:rPr>
        <w:t xml:space="preserve">As used in this Agreement, Applicable Time means the time of each sale of the applicable Securities pursuant to this Agreement. </w:t>
      </w:r>
    </w:p>
    <w:p>
      <w:pPr>
        <w:pStyle w:val="TextBody"/>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 by the Company</w:t>
      </w:r>
      <w:r>
        <w:rPr>
          <w:rFonts w:ascii="Times New Roman" w:hAnsi="Times New Roman"/>
          <w:sz w:val="20"/>
        </w:rPr>
        <w:t xml:space="preserve">. The Company represents and warrants to the Sales Agent as of the date hereof, the Applicable Time, each Representation Date (as defined below) and any Date of Delivery (as defined below) and agrees with the Sales Agent, and the Adviser and the Administrator, jointly and severally, represent and warrant to and agree with the Sales Agent as of the date hereof, the Applicable Time, each Representation Date (as defined below) and any Date of Delivery Time (as defined below), as follows: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Statement and Prospectuses</w:t>
      </w:r>
      <w:r>
        <w:rPr>
          <w:rFonts w:ascii="Times New Roman" w:hAnsi="Times New Roman"/>
          <w:sz w:val="20"/>
        </w:rPr>
        <w:t xml:space="preserve">.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Each of the Registration Statement and any post-effective amendment thereto, at the time it became effective, complied in all material respects with the requirements of the 1933 Act, the 1933 Act Regulations, the 1940 Act and the 1940 Act Regulations. The Prospectus and any amendment or supplement thereto, at the time each was filed with the Commission, complied in all material respects with the requirements of the 1933 Act, the 1933 Act Regulations, the 1940 Act and the 1940 Act Regulations. The Prospectus delivered to the Sales Agent for use in connection with this offering was or will be identical to the electronically transmitted copies thereof filed with the Commission pursuant to EDGAR, except to the extent permitted by Regulation S-T. </w:t>
      </w:r>
    </w:p>
    <w:p>
      <w:pPr>
        <w:pStyle w:val="TextBody"/>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Issuer Free Writing Prospectus</w:t>
      </w:r>
      <w:r>
        <w:rPr>
          <w:rFonts w:ascii="Times New Roman" w:hAnsi="Times New Roman"/>
          <w:sz w:val="20"/>
        </w:rPr>
        <w:t xml:space="preserve">. The Company (including its agents and representatives, other than the Sales Agent in its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 (iii) and (iv) below) an Issuer Free Writing Prospectus) other than (i) any document not constituting a prospectus pursuant to Section 2(a)(10)(a) of the 1933 Act or Rule 134 under the 1933 Act, (ii) the Registration Statement, (iii) the Prospectus, and (iv) any electronic road show or other written communications, in each case approved in writing in advance by the Sales Agent, such approval not to be unreasonably withheld. Each such Issuer Free Writing Prospectus, if any, complies in all material respects with the 1933 Act, has been or will be (within the time period specified in Rule 433) filed in accordance with the 1933 Act (to the extent required thereby). No Issuer Free Writing Prospectus conflicts or will conflict with the information contained in the Registration Statement or the Prospectus that has not been superseded or modified. </w:t>
      </w:r>
    </w:p>
    <w:p>
      <w:pPr>
        <w:pStyle w:val="TextBody"/>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Documents Incorporated by Reference</w:t>
      </w:r>
      <w:r>
        <w:rPr>
          <w:rFonts w:ascii="Times New Roman" w:hAnsi="Times New Roman"/>
          <w:sz w:val="20"/>
        </w:rPr>
        <w:t xml:space="preserve">. The documents incorporated by reference in each of the Registration Statement, the Prospectus, when they were filed or when they will be filed with the Commission, as the case may be, conformed or will conform in all material respects to the requirements of the 1934 Act. </w:t>
      </w:r>
    </w:p>
    <w:p>
      <w:pPr>
        <w:pStyle w:val="TextBody"/>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Accurate Disclosure</w:t>
      </w:r>
      <w:r>
        <w:rPr>
          <w:rFonts w:ascii="Times New Roman" w:hAnsi="Times New Roman"/>
          <w:sz w:val="20"/>
        </w:rPr>
        <w:t xml:space="preserve">. Neither the Registration Statement nor any amendment thereto, at its effective time, at the Applicable Time or at any Date of Delivery, contained, contains or will contain an untrue statement of a material fact or omitted, omits or will omit to state a material fact required to be stated therein or necessary to make the statements therein, not misleading. Neither the Prospectus nor any amendment or supplement thereto, as of their respective date(s), at the time of any filing with the Commission pursuant to Rule 424(b)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w:t>
      </w:r>
    </w:p>
    <w:p>
      <w:pPr>
        <w:pStyle w:val="TextBody"/>
        <w:spacing w:before="120" w:after="0"/>
        <w:jc w:val="left"/>
        <w:rPr>
          <w:rFonts w:ascii="Times New Roman" w:hAnsi="Times New Roman"/>
          <w:sz w:val="20"/>
        </w:rPr>
      </w:pPr>
      <w:r>
        <w:rPr>
          <w:rFonts w:ascii="Times New Roman" w:hAnsi="Times New Roman"/>
          <w:sz w:val="20"/>
        </w:rPr>
        <w:t xml:space="preserve">The representations and warranties in this subsection shall not apply to statements in or omissions from the Registration Statement (or any amendment thereto) or the Prospectus (or any amendment or supplement thereto) made in reliance upon and in conformity with written information furnished to the Company by the Sales Agent expressly for use therein (collectively, the Sales Agent Information). For purposes of this Agreement, the only Sales Agent Information shall be the final paragraph of the Plan of Distribution in the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Company Not Ineligible Issuer</w:t>
      </w:r>
      <w:r>
        <w:rPr>
          <w:rFonts w:ascii="Times New Roman" w:hAnsi="Times New Roman"/>
          <w:sz w:val="20"/>
        </w:rPr>
        <w:t xml:space="preserve">.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 </w:t>
      </w:r>
    </w:p>
    <w:p>
      <w:pPr>
        <w:pStyle w:val="TextBody"/>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Independent Accountants of the Company</w:t>
      </w:r>
      <w:r>
        <w:rPr>
          <w:rFonts w:ascii="Times New Roman" w:hAnsi="Times New Roman"/>
          <w:sz w:val="20"/>
        </w:rPr>
        <w:t xml:space="preserve">. The accountants who audited or reviewed the financial statements and supporting schedules of the Company included or incorporated by reference in the Registration Statement and the Prospectus are independent registered public accountants with respect to the Company within the applicable rules and regulations of the Commission and the Public Company Accounting Oversight Board (United States) and as required by the 1933 Act. </w:t>
      </w:r>
    </w:p>
    <w:p>
      <w:pPr>
        <w:pStyle w:val="TextBody"/>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Financial Statements</w:t>
      </w:r>
      <w:r>
        <w:rPr>
          <w:rFonts w:ascii="Times New Roman" w:hAnsi="Times New Roman"/>
          <w:sz w:val="20"/>
        </w:rPr>
        <w:t xml:space="preserve">. The financial statements included or incorporated by reference in the Registration Statement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or the Prospectus under the 1933 Act or the 1933 Act Regulations. </w:t>
      </w:r>
    </w:p>
    <w:p>
      <w:pPr>
        <w:pStyle w:val="TextBody"/>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No Material Adverse Change in Business</w:t>
      </w:r>
      <w:r>
        <w:rPr>
          <w:rFonts w:ascii="Times New Roman" w:hAnsi="Times New Roman"/>
          <w:sz w:val="20"/>
        </w:rPr>
        <w:t xml:space="preserve">. Except as otherwise stated therein, since the respective dates as of which information is given in the Registration Statement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Good Standing of the Company</w:t>
      </w:r>
      <w:r>
        <w:rPr>
          <w:rFonts w:ascii="Times New Roman" w:hAnsi="Times New Roman"/>
          <w:sz w:val="20"/>
        </w:rPr>
        <w:t xml:space="preserve">.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and the Prospectus and to enter into this Agreement and perform its obligations under this Agreement, the Investment Management Agreement, the Administration Agreement and the Securities;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Subsidiaries of the Company; Portfolio Companies</w:t>
      </w:r>
      <w:r>
        <w:rPr>
          <w:rFonts w:ascii="Times New Roman" w:hAnsi="Times New Roman"/>
          <w:sz w:val="20"/>
        </w:rPr>
        <w:t>. The Companys only subsidiaries that were consolidated with the Company for financial reporting purposes under GAAP as of December 31, 2022 are those listed on</w:t>
      </w:r>
      <w:r>
        <w:rPr>
          <w:rFonts w:ascii="Times New Roman" w:hAnsi="Times New Roman"/>
          <w:sz w:val="20"/>
          <w:u w:val="single"/>
        </w:rPr>
        <w:t xml:space="preserve"> Schedule A</w:t>
      </w:r>
      <w:r>
        <w:rPr>
          <w:rFonts w:ascii="Times New Roman" w:hAnsi="Times New Roman"/>
          <w:sz w:val="20"/>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and the Prospectus under the caption Portfolio Companies (each a Portfolio Company and collectively the Portfolio Companies). Except as otherwise disclosed in the Prospectus, the Company does not control (as such term is defined in Section 2(a)(9) of the 1940 Act), any of the Portfolio Companies or any corporation or other entity in which it invested since the most recent quarter end.</w:t>
      </w:r>
    </w:p>
    <w:p>
      <w:pPr>
        <w:pStyle w:val="TextBody"/>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Capitalization</w:t>
      </w:r>
      <w:r>
        <w:rPr>
          <w:rFonts w:ascii="Times New Roman" w:hAnsi="Times New Roman"/>
          <w:sz w:val="20"/>
        </w:rPr>
        <w:t xml:space="preserve">. The authorized shares of capital stock of the Company are as set forth in the Registration Statement and the Prospectus under the caption Description of Our Capital Stock. The total issued and outstanding shares of capital stock of the Company as of March 30, 2023 are as set forth in the Prospectus Supplement under the caption The Offering. The outstanding shares of capital stock of the Company have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 </w:t>
      </w:r>
    </w:p>
    <w:p>
      <w:pPr>
        <w:pStyle w:val="TextBody"/>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Authorization of Agreement</w:t>
      </w:r>
      <w:r>
        <w:rPr>
          <w:rFonts w:ascii="Times New Roman" w:hAnsi="Times New Roman"/>
          <w:sz w:val="20"/>
        </w:rPr>
        <w:t xml:space="preserve">. This Agreement has been duly authorized, executed and delivered by the Company. </w:t>
      </w:r>
    </w:p>
    <w:p>
      <w:pPr>
        <w:pStyle w:val="TextBody"/>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Authorization and Description of Securities</w:t>
      </w:r>
      <w:r>
        <w:rPr>
          <w:rFonts w:ascii="Times New Roman" w:hAnsi="Times New Roman"/>
          <w:sz w:val="20"/>
        </w:rPr>
        <w:t xml:space="preserve">. The Securities to be issued and sold by the Company hereunder have been duly authorized and when issued and paid for as contemplated herein will be validly issued, fully paid and non-assessable; and no preemptive rights of stockholders exist with respect to any of the Securities or the issue and sale thereof. The Common Stock conforms to all statements relating thereto contained in the Registration Statement and the Prospectus and such description conforms to the rights set forth in the instruments defining the same. No holder of the Common Stock will be subject to personal liability by reason of being such a holder. The Company acknowledges and agrees that all stock-related numbers contained in this Agreement shall be adjusted to take into account any stock split, stock dividend or similar event effected with respect to the Securities. </w:t>
      </w:r>
    </w:p>
    <w:p>
      <w:pPr>
        <w:pStyle w:val="TextBody"/>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Registration Rights</w:t>
      </w:r>
      <w:r>
        <w:rPr>
          <w:rFonts w:ascii="Times New Roman" w:hAnsi="Times New Roman"/>
          <w:sz w:val="20"/>
        </w:rPr>
        <w:t xml:space="preserve">. There are no persons with registration rights or other similar rights to have any securities registered for sale pursuant to the Registration Statement or otherwise registered for sale or sold by the Company under the 1933 Act pursuant to this Agreement. </w:t>
      </w:r>
    </w:p>
    <w:p>
      <w:pPr>
        <w:pStyle w:val="TextBody"/>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Absence of Violations and Defaults</w:t>
      </w:r>
      <w:r>
        <w:rPr>
          <w:rFonts w:ascii="Times New Roman" w:hAnsi="Times New Roman"/>
          <w:sz w:val="20"/>
        </w:rPr>
        <w:t xml:space="preserve">. Neither the Company nor any of the Subsidiaries is (A) in violation of its charter, bylaws or similar organizational document, each as amended or supplemented from time to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Absence of Conflicts</w:t>
      </w:r>
      <w:r>
        <w:rPr>
          <w:rFonts w:ascii="Times New Roman" w:hAnsi="Times New Roman"/>
          <w:sz w:val="20"/>
        </w:rPr>
        <w:t xml:space="preserve">.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 </w:t>
      </w:r>
    </w:p>
    <w:p>
      <w:pPr>
        <w:pStyle w:val="TextBody"/>
        <w:spacing w:before="12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Employees</w:t>
      </w:r>
      <w:r>
        <w:rPr>
          <w:rFonts w:ascii="Times New Roman" w:hAnsi="Times New Roman"/>
          <w:sz w:val="20"/>
        </w:rPr>
        <w:t xml:space="preserve">. Neither the Company nor any of the Subsidiaries has any employees. </w:t>
      </w:r>
    </w:p>
    <w:p>
      <w:pPr>
        <w:pStyle w:val="TextBody"/>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Absence of Proceedings</w:t>
      </w:r>
      <w:r>
        <w:rPr>
          <w:rFonts w:ascii="Times New Roman" w:hAnsi="Times New Roman"/>
          <w:sz w:val="20"/>
        </w:rPr>
        <w:t xml:space="preserve">. Except as disclosed in the Registration Statement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Administration Agreement or the performance by the Company of its obligations hereunder or thereunder. </w:t>
      </w:r>
    </w:p>
    <w:p>
      <w:pPr>
        <w:pStyle w:val="TextBody"/>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Accuracy of Exhibits</w:t>
      </w:r>
      <w:r>
        <w:rPr>
          <w:rFonts w:ascii="Times New Roman" w:hAnsi="Times New Roman"/>
          <w:sz w:val="20"/>
        </w:rPr>
        <w:t xml:space="preserve">. There are no contracts or documents which are required to be described in the Registration Statement or the Prospectus or to be filed as exhibits to the Registration Statement which have not been so described and filed as required. </w:t>
      </w:r>
    </w:p>
    <w:p>
      <w:pPr>
        <w:pStyle w:val="TextBody"/>
        <w:spacing w:before="12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except (A) such as have been already made or obtained, including under the 1933 Act, the 1933 Act Regulations, the 1940 Act, the 1940 Act Regulations,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 </w:t>
      </w:r>
    </w:p>
    <w:p>
      <w:pPr>
        <w:pStyle w:val="TextBody"/>
        <w:spacing w:before="120" w:after="0"/>
        <w:jc w:val="left"/>
        <w:rPr>
          <w:rFonts w:ascii="Times New Roman" w:hAnsi="Times New Roman"/>
          <w:sz w:val="20"/>
        </w:rPr>
      </w:pPr>
      <w:r>
        <w:rPr>
          <w:rFonts w:ascii="Times New Roman" w:hAnsi="Times New Roman"/>
          <w:sz w:val="20"/>
        </w:rPr>
        <w:t xml:space="preserve">(xxi) </w:t>
      </w:r>
      <w:r>
        <w:rPr>
          <w:rFonts w:ascii="Times New Roman" w:hAnsi="Times New Roman"/>
          <w:sz w:val="20"/>
          <w:u w:val="single"/>
        </w:rPr>
        <w:t>Possession of Licenses and Permits</w:t>
      </w:r>
      <w:r>
        <w:rPr>
          <w:rFonts w:ascii="Times New Roman" w:hAnsi="Times New Roman"/>
          <w:sz w:val="20"/>
        </w:rPr>
        <w:t xml:space="preserve">.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(xxii) </w:t>
      </w:r>
      <w:r>
        <w:rPr>
          <w:rFonts w:ascii="Times New Roman" w:hAnsi="Times New Roman"/>
          <w:sz w:val="20"/>
          <w:u w:val="single"/>
        </w:rPr>
        <w:t>Title to Property</w:t>
      </w:r>
      <w:r>
        <w:rPr>
          <w:rFonts w:ascii="Times New Roman" w:hAnsi="Times New Roman"/>
          <w:sz w:val="20"/>
        </w:rPr>
        <w:t xml:space="preserve">.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w:t>
      </w:r>
    </w:p>
    <w:p>
      <w:pPr>
        <w:pStyle w:val="TextBody"/>
        <w:spacing w:before="120" w:after="0"/>
        <w:jc w:val="left"/>
        <w:rPr>
          <w:rFonts w:ascii="Times New Roman" w:hAnsi="Times New Roman"/>
          <w:sz w:val="20"/>
        </w:rPr>
      </w:pPr>
      <w:r>
        <w:rPr>
          <w:rFonts w:ascii="Times New Roman" w:hAnsi="Times New Roman"/>
          <w:sz w:val="20"/>
        </w:rPr>
        <w:t xml:space="preserve">(xxiii) </w:t>
      </w:r>
      <w:r>
        <w:rPr>
          <w:rFonts w:ascii="Times New Roman" w:hAnsi="Times New Roman"/>
          <w:sz w:val="20"/>
          <w:u w:val="single"/>
        </w:rPr>
        <w:t>Possession of Intellectual Property</w:t>
      </w:r>
      <w:r>
        <w:rPr>
          <w:rFonts w:ascii="Times New Roman" w:hAnsi="Times New Roman"/>
          <w:sz w:val="20"/>
        </w:rPr>
        <w:t xml:space="preserve">.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(xxiv) </w:t>
      </w:r>
      <w:r>
        <w:rPr>
          <w:rFonts w:ascii="Times New Roman" w:hAnsi="Times New Roman"/>
          <w:sz w:val="20"/>
          <w:u w:val="single"/>
        </w:rPr>
        <w:t>Accounting Controls</w:t>
      </w:r>
      <w:r>
        <w:rPr>
          <w:rFonts w:ascii="Times New Roman" w:hAnsi="Times New Roman"/>
          <w:sz w:val="20"/>
        </w:rPr>
        <w:t xml:space="preserve">.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 as amended). </w:t>
      </w:r>
    </w:p>
    <w:p>
      <w:pPr>
        <w:pStyle w:val="TextBody"/>
        <w:spacing w:before="120" w:after="0"/>
        <w:jc w:val="left"/>
        <w:rPr>
          <w:rFonts w:ascii="Times New Roman" w:hAnsi="Times New Roman"/>
          <w:sz w:val="20"/>
        </w:rPr>
      </w:pPr>
      <w:r>
        <w:rPr>
          <w:rFonts w:ascii="Times New Roman" w:hAnsi="Times New Roman"/>
          <w:sz w:val="20"/>
        </w:rPr>
        <w:t xml:space="preserve">(xxv) </w:t>
      </w:r>
      <w:r>
        <w:rPr>
          <w:rFonts w:ascii="Times New Roman" w:hAnsi="Times New Roman"/>
          <w:sz w:val="20"/>
          <w:u w:val="single"/>
        </w:rPr>
        <w:t>Taxes and Tax Returns</w:t>
      </w:r>
      <w:r>
        <w:rPr>
          <w:rFonts w:ascii="Times New Roman" w:hAnsi="Times New Roman"/>
          <w:sz w:val="20"/>
        </w:rPr>
        <w:t xml:space="preserve">.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2021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(xxvi) </w:t>
      </w:r>
      <w:r>
        <w:rPr>
          <w:rFonts w:ascii="Times New Roman" w:hAnsi="Times New Roman"/>
          <w:sz w:val="20"/>
          <w:u w:val="single"/>
        </w:rPr>
        <w:t>Insurance</w:t>
      </w:r>
      <w:r>
        <w:rPr>
          <w:rFonts w:ascii="Times New Roman" w:hAnsi="Times New Roman"/>
          <w:sz w:val="20"/>
        </w:rPr>
        <w:t xml:space="preserve">.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(xxvii) </w:t>
      </w:r>
      <w:r>
        <w:rPr>
          <w:rFonts w:ascii="Times New Roman" w:hAnsi="Times New Roman"/>
          <w:sz w:val="20"/>
          <w:u w:val="single"/>
        </w:rPr>
        <w:t>Investment Company Act</w:t>
      </w:r>
      <w:r>
        <w:rPr>
          <w:rFonts w:ascii="Times New Roman" w:hAnsi="Times New Roman"/>
          <w:sz w:val="20"/>
        </w:rPr>
        <w:t xml:space="preserve">. The Company is not required and, upon the issuance and sale of the Securities as herein contemplated and the application of the net proceeds therefrom as described in the Prospectus, will not be required to register as an investment company as such term is used in the 1940 Act. </w:t>
      </w:r>
    </w:p>
    <w:p>
      <w:pPr>
        <w:pStyle w:val="TextBody"/>
        <w:spacing w:before="120" w:after="0"/>
        <w:jc w:val="left"/>
        <w:rPr>
          <w:rFonts w:ascii="Times New Roman" w:hAnsi="Times New Roman"/>
          <w:sz w:val="20"/>
        </w:rPr>
      </w:pPr>
      <w:r>
        <w:rPr>
          <w:rFonts w:ascii="Times New Roman" w:hAnsi="Times New Roman"/>
          <w:sz w:val="20"/>
        </w:rPr>
        <w:t xml:space="preserve">(xxviii) </w:t>
      </w:r>
      <w:r>
        <w:rPr>
          <w:rFonts w:ascii="Times New Roman" w:hAnsi="Times New Roman"/>
          <w:sz w:val="20"/>
          <w:u w:val="single"/>
        </w:rPr>
        <w:t>Stabilization and Manipulation</w:t>
      </w:r>
      <w:r>
        <w:rPr>
          <w:rFonts w:ascii="Times New Roman" w:hAnsi="Times New Roman"/>
          <w:sz w:val="20"/>
        </w:rPr>
        <w:t xml:space="preserve">. The Company has not taken, nor will it take, directly or indirectly, without giving effect to any activities by the Sales Agent, any action designed, or that would reasonably be expected, to cause or result in, or that constitutes, any stabilization or manipulation of the price of the Securities, other than activity permitted pursuant to Rule 10b-18 under the 1934 Act. </w:t>
      </w:r>
    </w:p>
    <w:p>
      <w:pPr>
        <w:pStyle w:val="TextBody"/>
        <w:spacing w:before="120" w:after="0"/>
        <w:jc w:val="left"/>
        <w:rPr>
          <w:rFonts w:ascii="Times New Roman" w:hAnsi="Times New Roman"/>
          <w:sz w:val="20"/>
        </w:rPr>
      </w:pPr>
      <w:r>
        <w:rPr>
          <w:rFonts w:ascii="Times New Roman" w:hAnsi="Times New Roman"/>
          <w:sz w:val="20"/>
        </w:rPr>
        <w:t xml:space="preserve">(xxix) </w:t>
      </w:r>
      <w:r>
        <w:rPr>
          <w:rFonts w:ascii="Times New Roman" w:hAnsi="Times New Roman"/>
          <w:sz w:val="20"/>
          <w:u w:val="single"/>
        </w:rPr>
        <w:t>Foreign Corrupt Practices Act</w:t>
      </w:r>
      <w:r>
        <w:rPr>
          <w:rFonts w:ascii="Times New Roman" w:hAnsi="Times New Roman"/>
          <w:sz w:val="20"/>
        </w:rPr>
        <w:t xml:space="preserve">.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 </w:t>
      </w:r>
    </w:p>
    <w:p>
      <w:pPr>
        <w:pStyle w:val="TextBody"/>
        <w:spacing w:before="120" w:after="0"/>
        <w:jc w:val="left"/>
        <w:rPr>
          <w:rFonts w:ascii="Times New Roman" w:hAnsi="Times New Roman"/>
          <w:sz w:val="20"/>
        </w:rPr>
      </w:pPr>
      <w:r>
        <w:rPr>
          <w:rFonts w:ascii="Times New Roman" w:hAnsi="Times New Roman"/>
          <w:sz w:val="20"/>
        </w:rPr>
        <w:t xml:space="preserve">(xxx) </w:t>
      </w:r>
      <w:r>
        <w:rPr>
          <w:rFonts w:ascii="Times New Roman" w:hAnsi="Times New Roman"/>
          <w:sz w:val="20"/>
          <w:u w:val="single"/>
        </w:rPr>
        <w:t>Anti-Money Laundering Laws</w:t>
      </w:r>
      <w:r>
        <w:rPr>
          <w:rFonts w:ascii="Times New Roman" w:hAnsi="Times New Roman"/>
          <w:sz w:val="20"/>
        </w:rPr>
        <w:t xml:space="preserve">. The operations of the Company and the Subsidiaries are and have been conducted at all times in compliance with applicable financial recordkeeping and reporting requirements of the Currency and Foreign Transactions Reporting Act of 1970, as amended, the applicable anti-money laundering statutes of the jurisdictions in which the Company and the Subsidiaries conduct business, the rules and regulations thereunder and any other relevant laws, rules, regulations or guidelines, issued, administered or enforced by any Governmental Entity (collectively, the Anti-Money Laundering Laws); and no action, suit or proceeding by or before any Governmental Entity involving the Company or any of the Subsidiaries with respect to the Anti-Money Laundering Laws is pending or, to the best knowledge of the Company, threatened.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(xxxi) </w:t>
      </w:r>
      <w:r>
        <w:rPr>
          <w:rFonts w:ascii="Times New Roman" w:hAnsi="Times New Roman"/>
          <w:sz w:val="20"/>
          <w:u w:val="single"/>
        </w:rPr>
        <w:t>OFAC</w:t>
      </w:r>
      <w:r>
        <w:rPr>
          <w:rFonts w:ascii="Times New Roman" w:hAnsi="Times New Roman"/>
          <w:sz w:val="20"/>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 by a Person that is, (i) currently the subject or target of any sanctions administered or enforced by the United States Government, including the U.S. Department of the Treasurys Office of Foreign Assets Control (OFAC), the United Nations Security Council, the European Union, His Majestys Treasury,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pStyle w:val="TextBody"/>
        <w:spacing w:before="120" w:after="0"/>
        <w:jc w:val="left"/>
        <w:rPr>
          <w:rFonts w:ascii="Times New Roman" w:hAnsi="Times New Roman"/>
          <w:sz w:val="20"/>
        </w:rPr>
      </w:pPr>
      <w:r>
        <w:rPr>
          <w:rFonts w:ascii="Times New Roman" w:hAnsi="Times New Roman"/>
          <w:sz w:val="20"/>
        </w:rPr>
        <w:t xml:space="preserve">(xxxii) </w:t>
      </w:r>
      <w:r>
        <w:rPr>
          <w:rFonts w:ascii="Times New Roman" w:hAnsi="Times New Roman"/>
          <w:sz w:val="20"/>
          <w:u w:val="single"/>
        </w:rPr>
        <w:t>Lending Relationship</w:t>
      </w:r>
      <w:r>
        <w:rPr>
          <w:rFonts w:ascii="Times New Roman" w:hAnsi="Times New Roman"/>
          <w:sz w:val="20"/>
        </w:rPr>
        <w:t xml:space="preserve">. Except as disclosed in the Registration Statement and the Prospectus, the Company (i) does not have any material lending or other relationship with any bank or lending affiliate of the Sales Agent and (ii) does not intend to use any of the proceeds from the sale of the Securities to repay any outstanding debt owed to any affiliate of the Sales Agent. </w:t>
      </w:r>
    </w:p>
    <w:p>
      <w:pPr>
        <w:pStyle w:val="TextBody"/>
        <w:spacing w:before="120" w:after="0"/>
        <w:jc w:val="left"/>
        <w:rPr>
          <w:rFonts w:ascii="Times New Roman" w:hAnsi="Times New Roman"/>
          <w:sz w:val="20"/>
        </w:rPr>
      </w:pPr>
      <w:r>
        <w:rPr>
          <w:rFonts w:ascii="Times New Roman" w:hAnsi="Times New Roman"/>
          <w:sz w:val="20"/>
        </w:rPr>
        <w:t xml:space="preserve">(xxxiii) </w:t>
      </w:r>
      <w:r>
        <w:rPr>
          <w:rFonts w:ascii="Times New Roman" w:hAnsi="Times New Roman"/>
          <w:sz w:val="20"/>
          <w:u w:val="single"/>
        </w:rPr>
        <w:t>Statistical and Market-Related Data</w:t>
      </w:r>
      <w:r>
        <w:rPr>
          <w:rFonts w:ascii="Times New Roman" w:hAnsi="Times New Roman"/>
          <w:sz w:val="20"/>
        </w:rPr>
        <w:t xml:space="preserve">. Any statistical and market-related data included or incorporated by reference in the Registration Statement or the Prospectus are based on or derived from sources that the Company believes to be reliable and accurate and, to the extent required, the Company has obtained the written consent to the use of such data from such sources. </w:t>
      </w:r>
    </w:p>
    <w:p>
      <w:pPr>
        <w:pStyle w:val="TextBody"/>
        <w:spacing w:before="120" w:after="0"/>
        <w:jc w:val="left"/>
        <w:rPr>
          <w:rFonts w:ascii="Times New Roman" w:hAnsi="Times New Roman"/>
          <w:sz w:val="20"/>
        </w:rPr>
      </w:pPr>
      <w:r>
        <w:rPr>
          <w:rFonts w:ascii="Times New Roman" w:hAnsi="Times New Roman"/>
          <w:sz w:val="20"/>
        </w:rPr>
        <w:t xml:space="preserve">(xxxiv) </w:t>
      </w:r>
      <w:r>
        <w:rPr>
          <w:rFonts w:ascii="Times New Roman" w:hAnsi="Times New Roman"/>
          <w:sz w:val="20"/>
          <w:u w:val="single"/>
        </w:rPr>
        <w:t>Related Party Transactions</w:t>
      </w:r>
      <w:r>
        <w:rPr>
          <w:rFonts w:ascii="Times New Roman" w:hAnsi="Times New Roman"/>
          <w:sz w:val="20"/>
        </w:rPr>
        <w:t xml:space="preserve">. There are no business relationships or related party transactions involving the Company, any of the Subsidiaries or any other person required to be described in the Registration Statement or the Prospectus which have not been described as required. </w:t>
      </w:r>
    </w:p>
    <w:p>
      <w:pPr>
        <w:pStyle w:val="TextBody"/>
        <w:spacing w:before="120" w:after="0"/>
        <w:jc w:val="left"/>
        <w:rPr>
          <w:rFonts w:ascii="Times New Roman" w:hAnsi="Times New Roman"/>
          <w:sz w:val="20"/>
        </w:rPr>
      </w:pPr>
      <w:r>
        <w:rPr>
          <w:rFonts w:ascii="Times New Roman" w:hAnsi="Times New Roman"/>
          <w:sz w:val="20"/>
        </w:rPr>
        <w:t xml:space="preserve">(xxxv) </w:t>
      </w:r>
      <w:r>
        <w:rPr>
          <w:rFonts w:ascii="Times New Roman" w:hAnsi="Times New Roman"/>
          <w:sz w:val="20"/>
          <w:u w:val="single"/>
        </w:rPr>
        <w:t>Notification of Election</w:t>
      </w:r>
      <w:r>
        <w:rPr>
          <w:rFonts w:ascii="Times New Roman" w:hAnsi="Times New Roman"/>
          <w:sz w:val="20"/>
        </w:rPr>
        <w:t xml:space="preserve">.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 </w:t>
      </w:r>
    </w:p>
    <w:p>
      <w:pPr>
        <w:pStyle w:val="TextBody"/>
        <w:spacing w:before="120" w:after="0"/>
        <w:jc w:val="left"/>
        <w:rPr>
          <w:rFonts w:ascii="Times New Roman" w:hAnsi="Times New Roman"/>
          <w:sz w:val="20"/>
        </w:rPr>
      </w:pPr>
      <w:r>
        <w:rPr>
          <w:rFonts w:ascii="Times New Roman" w:hAnsi="Times New Roman"/>
          <w:sz w:val="20"/>
        </w:rPr>
        <w:t xml:space="preserve">(xxxvi) </w:t>
      </w:r>
      <w:r>
        <w:rPr>
          <w:rFonts w:ascii="Times New Roman" w:hAnsi="Times New Roman"/>
          <w:sz w:val="20"/>
          <w:u w:val="single"/>
        </w:rPr>
        <w:t>Investment Management Agreement and Administration Agreement</w:t>
      </w:r>
      <w:r>
        <w:rPr>
          <w:rFonts w:ascii="Times New Roman" w:hAnsi="Times New Roman"/>
          <w:sz w:val="20"/>
        </w:rPr>
        <w:t xml:space="preserve">.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and the Administration Agreement have been made in accordance with the requirements of Section 15(a) and (c) of the 1940 Act and the 1940 Act Regulations applicable to companies that have elected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 </w:t>
      </w:r>
    </w:p>
    <w:p>
      <w:pPr>
        <w:pStyle w:val="TextBody"/>
        <w:spacing w:before="120" w:after="0"/>
        <w:jc w:val="left"/>
        <w:rPr>
          <w:rFonts w:ascii="Times New Roman" w:hAnsi="Times New Roman"/>
          <w:sz w:val="20"/>
        </w:rPr>
      </w:pPr>
      <w:r>
        <w:rPr>
          <w:rFonts w:ascii="Times New Roman" w:hAnsi="Times New Roman"/>
          <w:sz w:val="20"/>
        </w:rPr>
        <w:t xml:space="preserve">(xxxvii) </w:t>
      </w:r>
      <w:r>
        <w:rPr>
          <w:rFonts w:ascii="Times New Roman" w:hAnsi="Times New Roman"/>
          <w:sz w:val="20"/>
          <w:u w:val="single"/>
        </w:rPr>
        <w:t>Interested Persons</w:t>
      </w:r>
      <w:r>
        <w:rPr>
          <w:rFonts w:ascii="Times New Roman" w:hAnsi="Times New Roman"/>
          <w:sz w:val="20"/>
        </w:rPr>
        <w:t xml:space="preserve">. Except as disclosed in the Registration Statement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the Sales Agent. </w:t>
      </w:r>
    </w:p>
    <w:p>
      <w:pPr>
        <w:pStyle w:val="TextBody"/>
        <w:spacing w:before="120" w:after="0"/>
        <w:jc w:val="left"/>
        <w:rPr>
          <w:rFonts w:ascii="Times New Roman" w:hAnsi="Times New Roman"/>
          <w:sz w:val="20"/>
        </w:rPr>
      </w:pPr>
      <w:r>
        <w:rPr>
          <w:rFonts w:ascii="Times New Roman" w:hAnsi="Times New Roman"/>
          <w:sz w:val="20"/>
        </w:rPr>
        <w:t xml:space="preserve">(xxxviii) </w:t>
      </w:r>
      <w:r>
        <w:rPr>
          <w:rFonts w:ascii="Times New Roman" w:hAnsi="Times New Roman"/>
          <w:sz w:val="20"/>
          <w:u w:val="single"/>
        </w:rPr>
        <w:t>Business Development Company</w:t>
      </w:r>
      <w:r>
        <w:rPr>
          <w:rFonts w:ascii="Times New Roman" w:hAnsi="Times New Roman"/>
          <w:sz w:val="20"/>
        </w:rPr>
        <w:t xml:space="preserve">.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 </w:t>
      </w:r>
    </w:p>
    <w:p>
      <w:pPr>
        <w:pStyle w:val="TextBody"/>
        <w:spacing w:before="120" w:after="0"/>
        <w:jc w:val="left"/>
        <w:rPr>
          <w:rFonts w:ascii="Times New Roman" w:hAnsi="Times New Roman"/>
          <w:sz w:val="20"/>
        </w:rPr>
      </w:pPr>
      <w:r>
        <w:rPr>
          <w:rFonts w:ascii="Times New Roman" w:hAnsi="Times New Roman"/>
          <w:sz w:val="20"/>
        </w:rPr>
        <w:t xml:space="preserve">(xxxix) </w:t>
      </w:r>
      <w:r>
        <w:rPr>
          <w:rFonts w:ascii="Times New Roman" w:hAnsi="Times New Roman"/>
          <w:sz w:val="20"/>
          <w:u w:val="single"/>
        </w:rPr>
        <w:t>No Extension of Credit</w:t>
      </w:r>
      <w:r>
        <w:rPr>
          <w:rFonts w:ascii="Times New Roman" w:hAnsi="Times New Roman"/>
          <w:sz w:val="20"/>
        </w:rPr>
        <w:t xml:space="preserve">.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 </w:t>
      </w:r>
    </w:p>
    <w:p>
      <w:pPr>
        <w:pStyle w:val="TextBody"/>
        <w:spacing w:before="120" w:after="0"/>
        <w:jc w:val="left"/>
        <w:rPr>
          <w:rFonts w:ascii="Times New Roman" w:hAnsi="Times New Roman"/>
          <w:sz w:val="20"/>
        </w:rPr>
      </w:pPr>
      <w:r>
        <w:rPr>
          <w:rFonts w:ascii="Times New Roman" w:hAnsi="Times New Roman"/>
          <w:sz w:val="20"/>
        </w:rPr>
        <w:t xml:space="preserve">(xl) </w:t>
      </w:r>
      <w:r>
        <w:rPr>
          <w:rFonts w:ascii="Times New Roman" w:hAnsi="Times New Roman"/>
          <w:sz w:val="20"/>
          <w:u w:val="single"/>
        </w:rPr>
        <w:t>Regulated Investment Company</w:t>
      </w:r>
      <w:r>
        <w:rPr>
          <w:rFonts w:ascii="Times New Roman" w:hAnsi="Times New Roman"/>
          <w:sz w:val="20"/>
        </w:rPr>
        <w:t xml:space="preserve">.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 </w:t>
      </w:r>
    </w:p>
    <w:p>
      <w:pPr>
        <w:pStyle w:val="TextBody"/>
        <w:spacing w:before="120" w:after="0"/>
        <w:jc w:val="left"/>
        <w:rPr>
          <w:rFonts w:ascii="Times New Roman" w:hAnsi="Times New Roman"/>
          <w:sz w:val="20"/>
        </w:rPr>
      </w:pPr>
      <w:r>
        <w:rPr>
          <w:rFonts w:ascii="Times New Roman" w:hAnsi="Times New Roman"/>
          <w:sz w:val="20"/>
        </w:rPr>
        <w:t xml:space="preserve">(xli) </w:t>
      </w:r>
      <w:r>
        <w:rPr>
          <w:rFonts w:ascii="Times New Roman" w:hAnsi="Times New Roman"/>
          <w:sz w:val="20"/>
          <w:u w:val="single"/>
        </w:rPr>
        <w:t>Sarbanes-Oxley Act</w:t>
      </w:r>
      <w:r>
        <w:rPr>
          <w:rFonts w:ascii="Times New Roman" w:hAnsi="Times New Roman"/>
          <w:sz w:val="20"/>
        </w:rPr>
        <w:t xml:space="preserve">.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(xlii) </w:t>
      </w:r>
      <w:r>
        <w:rPr>
          <w:rFonts w:ascii="Times New Roman" w:hAnsi="Times New Roman"/>
          <w:sz w:val="20"/>
          <w:u w:val="single"/>
        </w:rPr>
        <w:t>Forward-Looking Statements</w:t>
      </w:r>
      <w:r>
        <w:rPr>
          <w:rFonts w:ascii="Times New Roman" w:hAnsi="Times New Roman"/>
          <w:i/>
          <w:sz w:val="20"/>
        </w:rPr>
        <w:t>.</w:t>
      </w:r>
      <w:r>
        <w:rPr>
          <w:rFonts w:ascii="Times New Roman" w:hAnsi="Times New Roman"/>
          <w:sz w:val="20"/>
        </w:rPr>
        <w:t xml:space="preserve"> No forward-looking statement (within the meaning of Section 27A of the 1933 Act and Section 21E of the 1934 Act) contained in the Registration Statement or the Prospectus has been made or reaffirmed without a reasonable basis or has been disclosed other than in good faith. </w:t>
      </w:r>
    </w:p>
    <w:p>
      <w:pPr>
        <w:pStyle w:val="TextBody"/>
        <w:spacing w:before="120" w:after="0"/>
        <w:jc w:val="left"/>
        <w:rPr>
          <w:rFonts w:ascii="Times New Roman" w:hAnsi="Times New Roman"/>
          <w:sz w:val="20"/>
        </w:rPr>
      </w:pPr>
      <w:r>
        <w:rPr>
          <w:rFonts w:ascii="Times New Roman" w:hAnsi="Times New Roman"/>
          <w:sz w:val="20"/>
        </w:rPr>
        <w:t xml:space="preserve">(xliii) </w:t>
      </w:r>
      <w:r>
        <w:rPr>
          <w:rFonts w:ascii="Times New Roman" w:hAnsi="Times New Roman"/>
          <w:sz w:val="20"/>
          <w:u w:val="single"/>
        </w:rPr>
        <w:t>IT Systems</w:t>
      </w:r>
      <w:r>
        <w:rPr>
          <w:rFonts w:ascii="Times New Roman" w:hAnsi="Times New Roman"/>
          <w:sz w:val="20"/>
        </w:rPr>
        <w:t xml:space="preserve">.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 by the Adviser and the Administrator</w:t>
      </w:r>
      <w:r>
        <w:rPr>
          <w:rFonts w:ascii="Times New Roman" w:hAnsi="Times New Roman"/>
          <w:sz w:val="20"/>
        </w:rPr>
        <w:t xml:space="preserve">. The Adviser and the Administrator, jointly and severally, represent to the Sales Agent as of the date hereof, the Applicable Time, each Representation Date (as defined below) and any Date of Delivery (as defined below), and agrees with the Sales Agent, as follows: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Material Adverse Change in Business</w:t>
      </w:r>
      <w:r>
        <w:rPr>
          <w:rFonts w:ascii="Times New Roman" w:hAnsi="Times New Roman"/>
          <w:sz w:val="20"/>
        </w:rPr>
        <w:t xml:space="preserve">. Except as otherwise stated therein, since the respective dates as of which information is given or incorporated by reference in the Registration Statement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Good Standing</w:t>
      </w:r>
      <w:r>
        <w:rPr>
          <w:rFonts w:ascii="Times New Roman" w:hAnsi="Times New Roman"/>
          <w:sz w:val="20"/>
        </w:rPr>
        <w:t xml:space="preserve">. Each of the Adviser and the Administrator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Adviser/Administrator Material Adverse Effect. </w:t>
      </w:r>
    </w:p>
    <w:p>
      <w:pPr>
        <w:pStyle w:val="TextBody"/>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Registration Under Advisers Act</w:t>
      </w:r>
      <w:r>
        <w:rPr>
          <w:rFonts w:ascii="Times New Roman" w:hAnsi="Times New Roman"/>
          <w:sz w:val="20"/>
        </w:rPr>
        <w:t xml:space="preserve">. The Adviser is duly registered with the Commission as an investment adviser under the Advisers Act and is not prohibited by the Advisers Act or the 1940 Act from acting under the Investment Management Agreement for the Company as contemplated by the Registration Statement and the Prospectus. There does not exist any proceeding or, to the Advisers knowledge, any facts or circumstances the existence of which could lead to any proceeding which might adversely affect the registration of the Adviser with the Commission. </w:t>
      </w:r>
    </w:p>
    <w:p>
      <w:pPr>
        <w:pStyle w:val="TextBody"/>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Absence of Proceedings</w:t>
      </w:r>
      <w:r>
        <w:rPr>
          <w:rFonts w:ascii="Times New Roman" w:hAnsi="Times New Roman"/>
          <w:sz w:val="20"/>
        </w:rPr>
        <w:t xml:space="preserve">. Except as disclosed in the Registration Statement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Investment Management Agreement or the Administration Agreement or the performance by the Adviser or the Administrator of its obligations hereunder or thereunder. </w:t>
      </w:r>
    </w:p>
    <w:p>
      <w:pPr>
        <w:pStyle w:val="TextBody"/>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Absence of Violations and Defaults</w:t>
      </w:r>
      <w:r>
        <w:rPr>
          <w:rFonts w:ascii="Times New Roman" w:hAnsi="Times New Roman"/>
          <w:sz w:val="20"/>
        </w:rPr>
        <w:t xml:space="preserve">.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the Adviser/Administrator Agreements and Instruments), except for such defaults that 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Absence of Conflicts</w:t>
      </w:r>
      <w:r>
        <w:rPr>
          <w:rFonts w:ascii="Times New Roman" w:hAnsi="Times New Roman"/>
          <w:sz w:val="20"/>
        </w:rPr>
        <w:t xml:space="preserve">.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Adviser and 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 (b)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 </w:t>
      </w:r>
    </w:p>
    <w:p>
      <w:pPr>
        <w:pStyle w:val="TextBody"/>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Authorization of this Agreement</w:t>
      </w:r>
      <w:r>
        <w:rPr>
          <w:rFonts w:ascii="Times New Roman" w:hAnsi="Times New Roman"/>
          <w:sz w:val="20"/>
        </w:rPr>
        <w:t xml:space="preserve">. This Agreement has been duly authorized, executed and delivered by each of the Adviser and the Administrator. </w:t>
      </w:r>
    </w:p>
    <w:p>
      <w:pPr>
        <w:pStyle w:val="TextBody"/>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Investment Management Agreement and Administration Agreement</w:t>
      </w:r>
      <w:r>
        <w:rPr>
          <w:rFonts w:ascii="Times New Roman" w:hAnsi="Times New Roman"/>
          <w:sz w:val="20"/>
        </w:rPr>
        <w:t xml:space="preserve">.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 </w:t>
      </w:r>
    </w:p>
    <w:p>
      <w:pPr>
        <w:pStyle w:val="TextBody"/>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made or obtained, including under the 1933 Act, the 1933 Act Regulations,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 </w:t>
      </w:r>
    </w:p>
    <w:p>
      <w:pPr>
        <w:pStyle w:val="TextBody"/>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Descriptions of Adviser and Administrator</w:t>
      </w:r>
      <w:r>
        <w:rPr>
          <w:rFonts w:ascii="Times New Roman" w:hAnsi="Times New Roman"/>
          <w:sz w:val="20"/>
        </w:rPr>
        <w:t xml:space="preserve">. The descriptions of the Adviser and the Administrator contained in the Registration Statement and the Prospectus does not contain any untrue statement of a material fact or omit to state a material fact required to be stated therein or necessary to make the statements therein, in the light of the circumstances under which they were made, not misleading. </w:t>
      </w:r>
    </w:p>
    <w:p>
      <w:pPr>
        <w:pStyle w:val="TextBody"/>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Possession of Licenses and Permits</w:t>
      </w:r>
      <w:r>
        <w:rPr>
          <w:rFonts w:ascii="Times New Roman" w:hAnsi="Times New Roman"/>
          <w:sz w:val="20"/>
        </w:rPr>
        <w:t xml:space="preserve">.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 Each of the Adviser and the Administrator is in compliance with the terms and conditions of all such Governmental Licenses, except where the failure so to comply would not reasonably be expected, singly or in the aggregate, to result in an 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 </w:t>
      </w:r>
    </w:p>
    <w:p>
      <w:pPr>
        <w:pStyle w:val="TextBody"/>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Stabilization and Manipulation</w:t>
      </w:r>
      <w:r>
        <w:rPr>
          <w:rFonts w:ascii="Times New Roman" w:hAnsi="Times New Roman"/>
          <w:sz w:val="20"/>
        </w:rPr>
        <w:t xml:space="preserve">. Neither the Adviser nor the Administrator has taken, nor will take, directly or indirectly, without giving effect to any activities by the Sales Agent, any action designed, or that would reasonably be expected, to cause or result in, or which constitutes, the stabilization or manipulation of the price of the Securities, other than activity permitted pursuant to Rule 10b-18 under the 1934 Act. </w:t>
      </w:r>
    </w:p>
    <w:p>
      <w:pPr>
        <w:pStyle w:val="TextBody"/>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Foreign Corrupt Practices Act</w:t>
      </w:r>
      <w:r>
        <w:rPr>
          <w:rFonts w:ascii="Times New Roman" w:hAnsi="Times New Roman"/>
          <w:sz w:val="20"/>
        </w:rPr>
        <w:t xml:space="preserve">. None of the Adviser, the Administrator or, to the knowledge of the Adviser or the Administrator, any director, officer or employee of the Adviser or the Administrator or any agent, controlled affiliate or other person acting on behalf of the Adviser or the Administrator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or the Administrator, the Adviser and the Administrator have conducted its business, in relation to the Company, in compliance with the FCPA and has instituted and maintain policies and procedures designed to ensure, and which are reasonably expected to continue to ensure, continued compliance therewith.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Anti-Money Laundering Laws</w:t>
      </w:r>
      <w:r>
        <w:rPr>
          <w:rFonts w:ascii="Times New Roman" w:hAnsi="Times New Roman"/>
          <w:sz w:val="20"/>
        </w:rPr>
        <w:t xml:space="preserve">. The operations of the Adviser and the Administrator are and have been conducted at all times in compliance with applicable financial recordkeeping and reporting requirements of the Anti-Money Laundering Laws; and no action, suit or proceeding by or before any arbitrator, court, governmental body, regulatory body, administrative agency or other authority, body or agency having jurisdiction over the Adviser and the Administrator or any of their properties, assets or operations involving the Adviser or the Administrator with respect to the Anti-Money Laundering Laws is pending or, to the best knowledge of the Adviser or the Administrator, threatened. </w:t>
      </w:r>
    </w:p>
    <w:p>
      <w:pPr>
        <w:pStyle w:val="TextBody"/>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OFAC</w:t>
      </w:r>
      <w:r>
        <w:rPr>
          <w:rFonts w:ascii="Times New Roman" w:hAnsi="Times New Roman"/>
          <w:sz w:val="20"/>
        </w:rPr>
        <w:t xml:space="preserve">. None of the Adviser, the Administrator or, to the knowledge of the Adviser or the Administrator, any director, officer or employee of the Adviser or the Administrator or any agent, controlled affiliate or other person acting on behalf of the Adviser or the Administrator is a Person, or is controlled by a Person that is, (i) currently the subject or target of Sanctions, or (ii) located, organized or resident in a country or territory that is itself the subject of comprehensive Sanctions (currently Belarus, Cuba, Iran, North Korea, Russia, Syria and Crimea, Donetsk and Luhansk regions of Ukraine). During the last five years, neither the Adviser nor the Administrator has knowingly engaged in, and is not now knowingly engaged in, any unauthorized dealings or transactions with any Person that at the time of the dealing or transaction is or was the subject or target of Sanctions. </w:t>
      </w:r>
    </w:p>
    <w:p>
      <w:pPr>
        <w:pStyle w:val="TextBody"/>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Key Employees</w:t>
      </w:r>
      <w:r>
        <w:rPr>
          <w:rFonts w:ascii="Times New Roman" w:hAnsi="Times New Roman"/>
          <w:sz w:val="20"/>
        </w:rPr>
        <w:t xml:space="preserve">.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 </w:t>
      </w:r>
    </w:p>
    <w:p>
      <w:pPr>
        <w:pStyle w:val="TextBody"/>
        <w:spacing w:before="12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No Labor Disputes</w:t>
      </w:r>
      <w:r>
        <w:rPr>
          <w:rFonts w:ascii="Times New Roman" w:hAnsi="Times New Roman"/>
          <w:sz w:val="20"/>
        </w:rPr>
        <w:t xml:space="preserve">.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Accounting Controls</w:t>
      </w:r>
      <w:r>
        <w:rPr>
          <w:rFonts w:ascii="Times New Roman" w:hAnsi="Times New Roman"/>
          <w:sz w:val="20"/>
        </w:rPr>
        <w:t xml:space="preserve">.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 </w:t>
      </w:r>
    </w:p>
    <w:p>
      <w:pPr>
        <w:pStyle w:val="TextBody"/>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Financial Resources</w:t>
      </w:r>
      <w:r>
        <w:rPr>
          <w:rFonts w:ascii="Times New Roman" w:hAnsi="Times New Roman"/>
          <w:sz w:val="20"/>
        </w:rPr>
        <w:t xml:space="preserve">. Each of the Adviser and the Administrator has the financial resources available to it necessary for the performance of its services and obligations as contemplated by the Registration Statement, the Prospectus and the Investment Management Agreement.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Officers Certificates</w:t>
      </w:r>
      <w:r>
        <w:rPr>
          <w:rFonts w:ascii="Times New Roman" w:hAnsi="Times New Roman"/>
          <w:sz w:val="20"/>
        </w:rPr>
        <w:t xml:space="preserve">. Any certificate signed by any officer of the Company, any of the Subsidiaries, the Adviser or the Administrator delivered to the Sales Agent or to counsel for the Sales Agent shall be deemed a representation and warranty by the Company, the Adviser or the Administrator, as applicable, to the Sales Agent as to the matters covered thereby. </w:t>
      </w:r>
    </w:p>
    <w:p>
      <w:pPr>
        <w:pStyle w:val="TextBody"/>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Sale and Delivery of Securities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On the basis of the representations, warranties and agreements herein contained, but subject to the terms and conditions herein set forth, the Company agrees to sell Securities from time to time through the Sales Agent, and the Sales Agent agrees to use its commercially reasonable efforts to sell, as sales agent for the Company, the Securities on the following terms. </w:t>
      </w:r>
    </w:p>
    <w:p>
      <w:pPr>
        <w:pStyle w:val="TextBody"/>
        <w:spacing w:before="120" w:after="0"/>
        <w:jc w:val="left"/>
        <w:rPr>
          <w:rFonts w:ascii="Times New Roman" w:hAnsi="Times New Roman"/>
          <w:sz w:val="20"/>
        </w:rPr>
      </w:pPr>
      <w:r>
        <w:rPr>
          <w:rFonts w:ascii="Times New Roman" w:hAnsi="Times New Roman"/>
          <w:sz w:val="20"/>
        </w:rPr>
        <w:t xml:space="preserve">(i) Each time that the Company wishes to sell Securities on any day that is a trading day for the New York Stock Exchange (a Trading Day) (other than a Trading Day on which the New York Stock Exchange is scheduled to close prior to its regular weekday closing time) pursuant to this Agreement (each, a Placement), the Company will instruct the Sales Agent in writing of the parameters in accordance with which it desires Securities to be sold, which shall at a minimum include the number of Securities to be offered, the time period during which sales are requested to be made, the minimum price below which sales may not be made and any limitation on the number of Securities that may be sold in any one day (a Placement Notice). The Sales Agent will, prior to 4:30 p.m. (New York City time) or, if later, within three hours after receipt of the Placement Notice, on the same business day (as defined below) on which such Placement Notice is delivered to the Sales Agent, issue to the Company a notice by email addressed to all of the Authorized Representatives (as defined below) confirming all of the parameters of the Placement. The Placement Notice shall be effective upon receipt by any of the Authorized Representatives of the email notice from the Sales Agent, unless and until (i) the entire amount of the Securities covered by the Placement Notice have been sold, (ii) in accordance with </w:t>
      </w:r>
      <w:r>
        <w:rPr>
          <w:rFonts w:ascii="Times New Roman" w:hAnsi="Times New Roman"/>
          <w:sz w:val="20"/>
          <w:u w:val="single"/>
        </w:rPr>
        <w:t>Section 2(a)(ii)</w:t>
      </w:r>
      <w:r>
        <w:rPr>
          <w:rFonts w:ascii="Times New Roman" w:hAnsi="Times New Roman"/>
          <w:sz w:val="20"/>
        </w:rPr>
        <w:t xml:space="preserve"> hereof, the Company or the Sales Agent suspends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or terminates the Placement Notice, (iii) the Company issues a subsequent Placement Notice with parameters superseding those on the earlier dated Placement Notice, or (iv) this Agreement has been terminated under the provisions of </w:t>
      </w:r>
      <w:r>
        <w:rPr>
          <w:rFonts w:ascii="Times New Roman" w:hAnsi="Times New Roman"/>
          <w:sz w:val="20"/>
          <w:u w:val="single"/>
        </w:rPr>
        <w:t>Section 9</w:t>
      </w:r>
      <w:r>
        <w:rPr>
          <w:rFonts w:ascii="Times New Roman" w:hAnsi="Times New Roman"/>
          <w:sz w:val="20"/>
        </w:rPr>
        <w:t xml:space="preserve">. Subject to the terms and conditions hereof, the Sales Agent shall use its commercially reasonable efforts to offer and sell all of the Securities designated in the Placement Notice; provided, however, that the Sales Agent shall have no obligation to offer or sell any Securities, and the Company acknowledges and agrees that the Sales Agent shall have no such obligation in the event an offer or sale of the Securities on behalf of the Company may in the judgment of the Sales Agent constitute the sale of a block under Rule 10b-18(a)(5) under the 1934 Act, or a distribution within the meaning of Rule 100 of Regulation M under the 1934 Act or the Sales Agent reasonably believes it may be deemed an underwriter under the 1933 Act in a transaction that is other than (A) by means of ordinary brokers transactions between members of the New York Stock Exchange that qualify for delivery of a Prospectus to the New York Stock Exchange in accordance with Rule 153 under the 1933 Act or (B) directly on or through an electronic communication network, a dark pool or any similar market venue (the transactions described in (A) and (B) are hereinafter referred to as At the Market Offerings). In the event of a conflict between the terms of this Agreement and the terms of any Placement Notice, the terms of such Placement Notice will control. </w:t>
      </w:r>
    </w:p>
    <w:p>
      <w:pPr>
        <w:pStyle w:val="TextBody"/>
        <w:spacing w:before="120" w:after="0"/>
        <w:jc w:val="left"/>
        <w:rPr>
          <w:rFonts w:ascii="Times New Roman" w:hAnsi="Times New Roman"/>
          <w:sz w:val="20"/>
        </w:rPr>
      </w:pPr>
      <w:r>
        <w:rPr>
          <w:rFonts w:ascii="Times New Roman" w:hAnsi="Times New Roman"/>
          <w:sz w:val="20"/>
        </w:rPr>
        <w:t xml:space="preserve">(ii) Notwithstanding the foregoing, the Company or the Sales Agent may, upon notice to the other party by telephone (confirmed promptly by electronic mail from such party), suspend the offering of the Securities pursuant to this Agreement or suspend or terminate a previously issued Placement Notice; provided, however, that such suspension or termination shall not affect or impair the parties respective obligations with respect to the Securities sold hereunder prior to the giving of such notice. Each of the parties agrees that no such notice shall be effective against the other unless it is made to one of its authorized representatives as set forth on Schedule B hereto (the Authorized Representatives), as such Schedule may be amended from time to time. </w:t>
      </w:r>
    </w:p>
    <w:p>
      <w:pPr>
        <w:pStyle w:val="TextBody"/>
        <w:spacing w:before="120" w:after="0"/>
        <w:jc w:val="left"/>
        <w:rPr>
          <w:rFonts w:ascii="Times New Roman" w:hAnsi="Times New Roman"/>
          <w:sz w:val="20"/>
        </w:rPr>
      </w:pPr>
      <w:r>
        <w:rPr>
          <w:rFonts w:ascii="Times New Roman" w:hAnsi="Times New Roman"/>
          <w:sz w:val="20"/>
        </w:rPr>
        <w:t xml:space="preserve">(iii) The Sales Agent hereby covenants and agrees not to make any sales of the Securities on behalf of the Company, pursuant to this </w:t>
      </w:r>
      <w:r>
        <w:rPr>
          <w:rFonts w:ascii="Times New Roman" w:hAnsi="Times New Roman"/>
          <w:sz w:val="20"/>
          <w:u w:val="single"/>
        </w:rPr>
        <w:t>Section 2(a)</w:t>
      </w:r>
      <w:r>
        <w:rPr>
          <w:rFonts w:ascii="Times New Roman" w:hAnsi="Times New Roman"/>
          <w:sz w:val="20"/>
        </w:rPr>
        <w:t xml:space="preserve">, other than (A) by means of At the Market Offerings and (B) such other sales of the Securities on behalf of the Company in its capacity as agent of the Company as shall be agreed by the Company and the Sales Agent. </w:t>
      </w:r>
    </w:p>
    <w:p>
      <w:pPr>
        <w:pStyle w:val="TextBody"/>
        <w:spacing w:before="120" w:after="0"/>
        <w:jc w:val="left"/>
        <w:rPr>
          <w:rFonts w:ascii="Times New Roman" w:hAnsi="Times New Roman"/>
          <w:sz w:val="20"/>
        </w:rPr>
      </w:pPr>
      <w:r>
        <w:rPr>
          <w:rFonts w:ascii="Times New Roman" w:hAnsi="Times New Roman"/>
          <w:sz w:val="20"/>
        </w:rPr>
        <w:t xml:space="preserve">(iv) The gross sales price of any Securities sold pursuant to this Agreement by the Sales Agent, as an agent of the Company, shall be the market price prevailing at the time of sale for Securities sold by the Sales Agent on the New York Stock Exchange or otherwise, at prices related to prevailing market prices or, subject to specific instructions of the Company, at negotiated prices. The compensation to the Sales Agent, as an agent of the Company, for sales of the Securities shall be at a mutually agreed rate up to 2.0% of the gross sales price of the Securities sold pursuant to this </w:t>
      </w:r>
      <w:r>
        <w:rPr>
          <w:rFonts w:ascii="Times New Roman" w:hAnsi="Times New Roman"/>
          <w:sz w:val="20"/>
          <w:u w:val="single"/>
        </w:rPr>
        <w:t>Section 2(a)</w:t>
      </w:r>
      <w:r>
        <w:rPr>
          <w:rFonts w:ascii="Times New Roman" w:hAnsi="Times New Roman"/>
          <w:sz w:val="20"/>
        </w:rPr>
        <w:t xml:space="preserve">. The foregoing rate of compensation shall not apply when the Sales Agent acts as principal, in which case the Company may sell Securities to the Sales Agent as principal at a price agreed upon at the relevant applicable time pursuant to a separate agreement (each, a Terms Agreement) relating to such sale. The remaining proceeds, after further deduction for any transaction fees imposed by any governmental or self-regulatory organization in connection with such sales, shall constitute the net proceeds to the Company for such Securities (the Net Proceeds). The Sales Agent shall notify the Company as promptly as practicable if any deduction referenced in the preceding sentence will be made.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 The Sales Agent shall provide written confirmation to the Company as soon as practicable following the close of trading on the New York Stock Exchange each day on which the Securities are sold under this </w:t>
      </w:r>
      <w:r>
        <w:rPr>
          <w:rFonts w:ascii="Times New Roman" w:hAnsi="Times New Roman"/>
          <w:sz w:val="20"/>
          <w:u w:val="single"/>
        </w:rPr>
        <w:t>Section 2(a)</w:t>
      </w:r>
      <w:r>
        <w:rPr>
          <w:rFonts w:ascii="Times New Roman" w:hAnsi="Times New Roman"/>
          <w:sz w:val="20"/>
        </w:rPr>
        <w:t xml:space="preserve"> setting forth the aggregate amount of the Securities sold on such day, the aggregate Net Proceeds to the Company, and the aggregate compensation payable by the Company to the Sales Agent with respect to such sales. </w:t>
      </w:r>
    </w:p>
    <w:p>
      <w:pPr>
        <w:pStyle w:val="TextBody"/>
        <w:spacing w:before="120" w:after="0"/>
        <w:jc w:val="left"/>
        <w:rPr>
          <w:rFonts w:ascii="Times New Roman" w:hAnsi="Times New Roman"/>
          <w:sz w:val="20"/>
        </w:rPr>
      </w:pPr>
      <w:r>
        <w:rPr>
          <w:rFonts w:ascii="Times New Roman" w:hAnsi="Times New Roman"/>
          <w:sz w:val="20"/>
        </w:rPr>
        <w:t xml:space="preserve">(vi) Settlement for sales of the Securities pursuant to this </w:t>
      </w:r>
      <w:r>
        <w:rPr>
          <w:rFonts w:ascii="Times New Roman" w:hAnsi="Times New Roman"/>
          <w:sz w:val="20"/>
          <w:u w:val="single"/>
        </w:rPr>
        <w:t>Section 2(a)</w:t>
      </w:r>
      <w:r>
        <w:rPr>
          <w:rFonts w:ascii="Times New Roman" w:hAnsi="Times New Roman"/>
          <w:sz w:val="20"/>
        </w:rPr>
        <w:t xml:space="preserve"> will occur on the second Trading Day following the date on which such sales are made, unless another date shall be agreed upon by the Company and the Sales Agent (provided that, if such Trading Day is not a business day, then settlement will occur on the next succeeding Trading Day that is also a business day) (each such date, a Settlement Date). As used herein, the term business day means any day other than a Saturday, Sunday or other day on which commercial banks in The City of New York are authorized or required by law, regulation or executive order to close. On each Settlement Date, the Securities sold through the Sales Agent for settlement on such date shall be delivered by the Company (through its transfer agent) to the Sales Agent against payment of the Net Proceeds for the sale of such Securities. Settlement for all such Securities shall be effected by electronically transferring the Securities by the Company to the Sales Agents account, or to the account of the Sales Agents designee, at DTC through its Deposit and Withdrawal at Custodian System (DWAC) or by such other means of delivery as may be mutually agreed upon by the Company and the Sales Agent, which in all cases shall be freely tradable, transferable, registered shares eligible for delivery through DTC, in return for payments in same day funds delivered to the account designated by the Company. If the Company (or its transfer agent) shall default on its obligation to deliver the Securities on any Settlement Date, the Company shall (A) indemnify and hold the Sales Agent harmless against any loss, claim or damage arising from or as a result of such default by the Company and (B) pay the Sales Agent any commission to which it would otherwise be entitled absent such default. The Authorized Representatives, or any designees thereof as notified to the Sales Agent in writing, shall be the contact persons for the Company for all matters related to the settlement of the transfer of the Securities through DWAC for purposes of this </w:t>
      </w:r>
      <w:r>
        <w:rPr>
          <w:rFonts w:ascii="Times New Roman" w:hAnsi="Times New Roman"/>
          <w:sz w:val="20"/>
          <w:u w:val="single"/>
        </w:rPr>
        <w:t>Section 2(a)(vi)</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(vii) Any obligation of the Sales Agent to use its commercially reasonable efforts to sell the Securities on behalf of the Company shall be subject to the continuing accuracy of the representations and warranties of the Company, the Adviser and the Administrator, to the performance by the Company, the Adviser and the Administrator of their obligations hereunder and to the continuing satisfaction of the additional conditions specified in </w:t>
      </w:r>
      <w:r>
        <w:rPr>
          <w:rFonts w:ascii="Times New Roman" w:hAnsi="Times New Roman"/>
          <w:sz w:val="20"/>
          <w:u w:val="single"/>
        </w:rPr>
        <w:t>Section 3</w:t>
      </w:r>
      <w:r>
        <w:rPr>
          <w:rFonts w:ascii="Times New Roman" w:hAnsi="Times New Roman"/>
          <w:sz w:val="20"/>
        </w:rPr>
        <w:t xml:space="preserve"> of this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If the Company wishes to sell the Securities other than as set forth in </w:t>
      </w:r>
      <w:r>
        <w:rPr>
          <w:rFonts w:ascii="Times New Roman" w:hAnsi="Times New Roman"/>
          <w:sz w:val="20"/>
          <w:u w:val="single"/>
        </w:rPr>
        <w:t>Section 2(a)</w:t>
      </w:r>
      <w:r>
        <w:rPr>
          <w:rFonts w:ascii="Times New Roman" w:hAnsi="Times New Roman"/>
          <w:sz w:val="20"/>
        </w:rPr>
        <w:t xml:space="preserve"> of this Agreement, it may elect, in its sole discretion, to notify the Sales Agent of the proposed terms of such sale. If the Sales Agent, acting as principal, wishes to accept such proposed terms (which it may decline to do for any reason in its sole discretion) or, following discussions with the Company, wishes to accept amended terms, the Company will enter into a Terms Agreement setting forth the terms of such Placement. In the event of a conflict between the terms of this Agreement and the terms of any Terms Agreement, the terms of such Terms Agreement will control. For avoidance of doubt, nothing contained in this Agreement shall be construed to require the Company to engage the Sales Agent in connection with the offer and sale of any of its securities, including shares of the Common Stock, whether in connection with an underwritten offering or otherwise. </w:t>
      </w:r>
    </w:p>
    <w:p>
      <w:pPr>
        <w:pStyle w:val="TextBody"/>
        <w:spacing w:before="240" w:after="0"/>
        <w:jc w:val="left"/>
        <w:rPr>
          <w:rFonts w:ascii="Times New Roman" w:hAnsi="Times New Roman"/>
          <w:sz w:val="20"/>
        </w:rPr>
      </w:pPr>
      <w:r>
        <w:rPr>
          <w:rFonts w:ascii="Times New Roman" w:hAnsi="Times New Roman"/>
          <w:sz w:val="20"/>
        </w:rPr>
        <w:t xml:space="preserve">(c) In the event the Company engages the Sales Agent for a sale of Securities that would constitute the sale of a block under Rule 10b-18(a)(5) under the 1934 Act, or a distribution, within the meaning of Rule 100 of Regulation M under the 1934 Act, the Company and the Sales Agent will agree to compensation that is customary for the Sales Agent with respect to such transactions. </w:t>
      </w:r>
    </w:p>
    <w:p>
      <w:pPr>
        <w:pStyle w:val="TextBody"/>
        <w:spacing w:before="240" w:after="0"/>
        <w:jc w:val="left"/>
        <w:rPr>
          <w:rFonts w:ascii="Times New Roman" w:hAnsi="Times New Roman"/>
          <w:sz w:val="20"/>
        </w:rPr>
      </w:pPr>
      <w:r>
        <w:rPr>
          <w:rFonts w:ascii="Times New Roman" w:hAnsi="Times New Roman"/>
          <w:sz w:val="20"/>
        </w:rPr>
        <w:t xml:space="preserve">(d) Under no circumstances shall the Company cause or request the offer or sale of any Securities if, after giving effect to the sale of such Securities, the aggregate gross sales proceeds or the aggregate number of the Securities sold pursuant to this Agreement would exceed the amount available for offer and sale under the currently effective Registration Statement. </w:t>
      </w:r>
    </w:p>
    <w:p>
      <w:pPr>
        <w:pStyle w:val="TextBody"/>
        <w:spacing w:before="240" w:after="0"/>
        <w:jc w:val="left"/>
        <w:rPr>
          <w:rFonts w:ascii="Times New Roman" w:hAnsi="Times New Roman"/>
          <w:sz w:val="20"/>
        </w:rPr>
      </w:pPr>
      <w:r>
        <w:rPr>
          <w:rFonts w:ascii="Times New Roman" w:hAnsi="Times New Roman"/>
          <w:sz w:val="20"/>
        </w:rPr>
        <w:t xml:space="preserve">(e) If any party has reason to believe that the exemptive provisions set forth in Rule 101(c)(1) of Regulation M under the 1934 Act are not satisfied with respect to the Securities, it shall promptly notify the other parties and sales of the Securities under this Agreement shall be suspended until that or other exemptive provisions have been satisfied in the judgment of each party. Upon the reasonable request of the Company in writing to the Sales Agent (which such request may be by electronic mail), the Sales Agent shall promptly calculate and provide in writing to the Company a report setting forth, for the prior week, the average daily trading volume (as defined in Rule 100 of Regulation M under the 1934 Act) of the Common Stock. </w:t>
      </w:r>
    </w:p>
    <w:p>
      <w:pPr>
        <w:pStyle w:val="TextBody"/>
        <w:spacing w:before="240" w:after="0"/>
        <w:jc w:val="left"/>
        <w:rPr>
          <w:rFonts w:ascii="Times New Roman" w:hAnsi="Times New Roman"/>
          <w:sz w:val="20"/>
        </w:rPr>
      </w:pPr>
      <w:r>
        <w:rPr>
          <w:rFonts w:ascii="Times New Roman" w:hAnsi="Times New Roman"/>
          <w:sz w:val="20"/>
        </w:rPr>
        <w:t xml:space="preserve">(f) Each sale of the Securities to or through the Sales Agent shall be made in accordance with the terms of this Agreement or, if applicable, a Terms Agreement. The commitment of the Sales Agent to purchase the Securities pursuant to any Terms Agreement shall be deemed to have been made on the basis of the representations and warranties of the parties herein contained and shall be subject to the terms and conditions herein set forth. Each Terms Agreement shall specify the number of the Securities to be purchased by the Sales Agent pursuant thereto, the price to be paid to the Company for such Securities, any provisions relating to rights of, and default by, underwriters acting together with the Sales Agent in the reoffering of the Securities, any provisions relating to the granting of an option to purchase additional Securities for the purpose of covering over-allotments, and the time and date (each such time and date being referred to herein as a Date of Delivery) and place of delivery of and payment for such Securities. Such Terms Agreement shall also specify any requirements for opinions of counsel, accountants letters and officers certificates pursuant to </w:t>
      </w:r>
      <w:r>
        <w:rPr>
          <w:rFonts w:ascii="Times New Roman" w:hAnsi="Times New Roman"/>
          <w:sz w:val="20"/>
          <w:u w:val="single"/>
        </w:rPr>
        <w:t>Section 5</w:t>
      </w:r>
      <w:r>
        <w:rPr>
          <w:rFonts w:ascii="Times New Roman" w:hAnsi="Times New Roman"/>
          <w:sz w:val="20"/>
        </w:rPr>
        <w:t xml:space="preserve"> hereof and any other information or documents required by the Sales Agent.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 Subject to such further limitations on offers and sales of Securities or delivery of instructions to offer and sell Securities as are set forth herein and as may be mutually agreed upon by the Company and the Sales Agent offers and sales of Securities pursuant to this Agreement shall not be requested by the Company and need not be made by the Sales Agent at any time when or during any period in which the Company is in possession of material non-public information. </w:t>
      </w:r>
    </w:p>
    <w:p>
      <w:pPr>
        <w:pStyle w:val="TextBody"/>
        <w:spacing w:before="240" w:after="0"/>
        <w:jc w:val="left"/>
        <w:rPr>
          <w:rFonts w:ascii="Times New Roman" w:hAnsi="Times New Roman"/>
          <w:sz w:val="20"/>
        </w:rPr>
      </w:pPr>
      <w:r>
        <w:rPr>
          <w:rFonts w:ascii="Times New Roman" w:hAnsi="Times New Roman"/>
          <w:sz w:val="20"/>
        </w:rPr>
        <w:t xml:space="preserve">(h) The Company acknowledges and agrees that (A) there can be no assurance that the Sales Agent will be successful in selling the Securities, (B) the Sales Agent will not incur liability or obligation to the Company or any other person or entity if such Sales Agent does not sell Securities for any reason other than a failure by the Sales Agent to use its commercially reasonable efforts consistent with its normal trading and sales practices and applicable law and regulations to sell such Securities in accordance with the terms of this Agreement and (C) the Sales Agent shall not be under any obligation to purchase Securities on a principal basis pursuant to this Agreement, except as otherwise specifically agreed in writing by the Sales Agent and the Company. For purposes of clarification, the Sales Agent shall only be deemed to be acting as a sales agent under this Agreement during the period beginning with the delivery of a Placement Notice from the Company to the Sales Agent and ending upon the suspension or termination of such Placement Notice. </w:t>
      </w:r>
    </w:p>
    <w:p>
      <w:pPr>
        <w:pStyle w:val="TextBody"/>
        <w:spacing w:before="240" w:after="0"/>
        <w:jc w:val="left"/>
        <w:rPr>
          <w:rFonts w:ascii="Times New Roman" w:hAnsi="Times New Roman"/>
          <w:sz w:val="20"/>
        </w:rPr>
      </w:pPr>
      <w:r>
        <w:rPr>
          <w:rFonts w:ascii="Times New Roman" w:hAnsi="Times New Roman"/>
          <w:sz w:val="20"/>
        </w:rPr>
        <w:t xml:space="preserve">(i) The Company agrees that, during the term of this Agreement, any offer to sell, any solicitation of an offer to buy, or any sales of Securities or sales of Common Stock pursuant to any At the Market Offering (as defined herein and within the meaning of Rule 415(a)(4) under the 1933 Act) shall only be effected by or through the Sales Agent or any Other Agent. Notwithstanding the foregoing or anything to the contrary in this Agreement, during the term of this Agreement, any offer to sell, any solicitation of an offer to buy, or any sales of Securities or sales of Common Stock that do not constitute an At the Market Offering (as defined herein and within the meaning of Rule 415(a)(4) under the 1933 Act), including any underwritten offering or private placement transaction exempt from the requirements of the 1933 Act, may be effected by the Company by or through any person or entity in the Companys sole discretion. </w:t>
      </w:r>
    </w:p>
    <w:p>
      <w:pPr>
        <w:pStyle w:val="TextBody"/>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Covenants of the Company</w:t>
      </w:r>
      <w:r>
        <w:rPr>
          <w:rFonts w:ascii="Times New Roman" w:hAnsi="Times New Roman"/>
          <w:sz w:val="20"/>
        </w:rPr>
        <w:t xml:space="preserve">. The Company covenants with the Sales Agent as follows: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with Securities Regulations and Commission Requests</w:t>
      </w:r>
      <w:r>
        <w:rPr>
          <w:rFonts w:ascii="Times New Roman" w:hAnsi="Times New Roman"/>
          <w:sz w:val="20"/>
        </w:rPr>
        <w:t xml:space="preserve">. The Company, subject to </w:t>
      </w:r>
      <w:r>
        <w:rPr>
          <w:rFonts w:ascii="Times New Roman" w:hAnsi="Times New Roman"/>
          <w:sz w:val="20"/>
          <w:u w:val="single"/>
        </w:rPr>
        <w:t>Section 3(c)</w:t>
      </w:r>
      <w:r>
        <w:rPr>
          <w:rFonts w:ascii="Times New Roman" w:hAnsi="Times New Roman"/>
          <w:sz w:val="20"/>
        </w:rPr>
        <w:t xml:space="preserve">, will comply with the requirements of Rule 415, Rule 430B, Rule 497 and Rule 424(b), and will notify the Sales Agent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and Rule 497 within the time period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required by Rule 424(b) or Rule 497, as applicable, and will take such steps as it deems necessary 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Filing of Amendments</w:t>
      </w:r>
      <w:r>
        <w:rPr>
          <w:rFonts w:ascii="Times New Roman" w:hAnsi="Times New Roman"/>
          <w:sz w:val="20"/>
        </w:rPr>
        <w:t xml:space="preserve">. The Company will give the Sales Agent notice of its intention to file or prepare any amendment to the Registration Statement (including any filing under Rule 462(b)) or to the Prospectus and will furnish the Sales Agent with copies of any such documents within a reasonable amount of time prior to such proposed filing or use, as the case may be, and will not file or use any such document to which the Sales Agent or counsel for the Sales Agent shall object. The Company shall give the Sales Agent notice of its intention to make any filings pursuant to the 1934 Act or the 1934 Rules and Regulations within 48 hours prior to the Applicable Time and will furnish the Sales Agent with copies of any such documents a reasonable amount of time prior to such proposed filing, as the case may be, and will not file or use any such document to which the Sales Agent or counsel for the Sales Agent shall reasonably object.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Continued Compliance with Securities Laws</w:t>
      </w:r>
      <w:r>
        <w:rPr>
          <w:rFonts w:ascii="Times New Roman" w:hAnsi="Times New Roman"/>
          <w:sz w:val="20"/>
        </w:rPr>
        <w:t xml:space="preserve">. The Company will use its commercially reasonable efforts to comply with the 1933 Act and the 1933 Act Regulations so as to permit the completion of the distribution of the Securities as contemplated in this Agreement and in the Registration Statement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Sales Agent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Prospectus in order that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Prospectus, as the case may be, in order to comply with the requirements of the 1933 Act or the 1933 Act Regulations, the Company will promptly (A) give the Sales Agent notice of such event, (B) prepare any amendment or supplement as may be necessary to correct such statement or omission or to make the Registration Statement or the Prospectus comply with such requirements and, a reasonable amount of time prior to any proposed filing or use, furnish the Sales Agent with copies of any such amendment or supplement and (C) file with the Commission any such amendment or supplement. The Company will furnish to the Sales Agent such number of copies of such amendment or supplement as the Sales Agent may reasonably request. The Company has given the Sales Agent notice of any filings made pursuant to the 1934 Act or 1934 Act Regulations within 48 hours prior to the Applicable Time; the Company shall give the Sales Agent notice of its intention to make any such filing and shall furnish the Sales Agent with copies of any such documents a reasonable amount of time prior to such proposed filing or use, as the case may be.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Delivery of Commission Filings</w:t>
      </w:r>
      <w:r>
        <w:rPr>
          <w:rFonts w:ascii="Times New Roman" w:hAnsi="Times New Roman"/>
          <w:sz w:val="20"/>
        </w:rPr>
        <w:t xml:space="preserve">. The Company has furnished or, upon written request of the Sales Agent, shall deliver to the Sales Agent and counsel for the Sales Agent, without charge, conformed copies of the Registration Statement, as originally filed, and of each amendment thereto (including exhibits filed therewith) and conformed copies of all consents and certificates of experts, and will also deliver to the Sales Agent, without charge, a conformed copy of the Registration Statement as originally filed and of each amendment thereto (without exhibits) for the Sales Agent. The copies of the Registration Statement and each amendment thereto furnished to the Sales Agent will be identical to the electronically transmitted copies thereof filed with the Commission pursuant to EDGAR, except to the extent permitted by Regulation S-T.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Delivery of Prospectuses</w:t>
      </w:r>
      <w:r>
        <w:rPr>
          <w:rFonts w:ascii="Times New Roman" w:hAnsi="Times New Roman"/>
          <w:sz w:val="20"/>
        </w:rPr>
        <w:t xml:space="preserve">. The Company will furnish to the Sales Agent, without charge, during the period when a prospectus relating to the Securities is required to be delivered under the 1933 Act, such number of copies of the Prospectus (as amended or supplemented) as the Sales Agent may reasonably request. The Prospectus and any amendments or supplements thereto furnished to the Sales Agent will be identical to the electronically transmitted copies thereof filed with the Commission pursuant to EDGAR, except to the extent permitted by Regulation S-T.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Blue Sky Qualifications</w:t>
      </w:r>
      <w:r>
        <w:rPr>
          <w:rFonts w:ascii="Times New Roman" w:hAnsi="Times New Roman"/>
          <w:sz w:val="20"/>
        </w:rPr>
        <w:t xml:space="preserve">. The Company will use its commercially reasonable efforts, in cooperation with the Sales Agent, to qualify the Securities for offering and sale under the applicable securities laws of such states and other jurisdictions (domestic or foreign) as the Sales Agent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p>
      <w:pPr>
        <w:pStyle w:val="TextBody"/>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Rule</w:t>
      </w:r>
      <w:r>
        <w:rPr>
          <w:rFonts w:ascii="Times New Roman" w:hAnsi="Times New Roman"/>
          <w:sz w:val="20"/>
        </w:rPr>
        <w:t> </w:t>
      </w:r>
      <w:r>
        <w:rPr>
          <w:rFonts w:ascii="Times New Roman" w:hAnsi="Times New Roman"/>
          <w:i/>
          <w:sz w:val="20"/>
        </w:rPr>
        <w:t>158</w:t>
      </w:r>
      <w:r>
        <w:rPr>
          <w:rFonts w:ascii="Times New Roman" w:hAnsi="Times New Roman"/>
          <w:sz w:val="20"/>
        </w:rPr>
        <w:t xml:space="preserve">. The Company will make generally available to its securityholders as soon as practicable an earnings statement that satisfies the provisions 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 </w:t>
      </w:r>
    </w:p>
    <w:p>
      <w:pPr>
        <w:pStyle w:val="TextBody"/>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Listing</w:t>
      </w:r>
      <w:r>
        <w:rPr>
          <w:rFonts w:ascii="Times New Roman" w:hAnsi="Times New Roman"/>
          <w:sz w:val="20"/>
        </w:rPr>
        <w:t xml:space="preserve">. The Company will use its commercially reasonable best efforts to maintain the listing of the Common Stock (including the Securities) on the New York Stock Exchange. </w:t>
      </w:r>
    </w:p>
    <w:p>
      <w:pPr>
        <w:pStyle w:val="TextBody"/>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DTC. </w:t>
      </w:r>
      <w:r>
        <w:rPr>
          <w:rFonts w:ascii="Times New Roman" w:hAnsi="Times New Roman"/>
          <w:sz w:val="20"/>
        </w:rPr>
        <w:t xml:space="preserve">The Company will cooperate with the Sales Agent and use its commercially reasonable efforts to permit the offered Securities to be eligible for clearance and settlement through the facilities of DTC. </w:t>
      </w:r>
    </w:p>
    <w:p>
      <w:pPr>
        <w:pStyle w:val="TextBody"/>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Use of Proceeds; OFAC</w:t>
      </w:r>
      <w:r>
        <w:rPr>
          <w:rFonts w:ascii="Times New Roman" w:hAnsi="Times New Roman"/>
          <w:sz w:val="20"/>
        </w:rPr>
        <w:t xml:space="preserve">. The Company will use the net proceeds received by it from the sale of the Securities in the manner specified in the Registration Statement and the Prospectus under Use of Proceeds. The Company will not directly or, to its knowledge, indirectly, use the proceeds of the sale of the Securities, or lend, contribute or otherwise make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available such proceeds to any subsidiaries, joint venture partners or other Person, to fund any activities of or business with any Person, or in any country or territory, that, at the time of such 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 </w:t>
      </w:r>
    </w:p>
    <w:p>
      <w:pPr>
        <w:pStyle w:val="TextBody"/>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Reporting Requirements</w:t>
      </w:r>
      <w:r>
        <w:rPr>
          <w:rFonts w:ascii="Times New Roman" w:hAnsi="Times New Roman"/>
          <w:sz w:val="20"/>
        </w:rPr>
        <w:t xml:space="preserve">. The Company, during the period when a Prospectus relating to the Securities is required to be delivered under the 1933 Act, will file all documents required to be filed with the Commission pursuant to the 1934 Act within the time periods required by the 1934 Act and 1934 Act Regulations. </w:t>
      </w:r>
    </w:p>
    <w:p>
      <w:pPr>
        <w:pStyle w:val="TextBody"/>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Business Development Company Status</w:t>
      </w:r>
      <w:r>
        <w:rPr>
          <w:rFonts w:ascii="Times New Roman" w:hAnsi="Times New Roman"/>
          <w:sz w:val="20"/>
        </w:rPr>
        <w:t xml:space="preserve">. The Company will use its commercially reasonable efforts to maintain its status as a business development company; provided, however, the Company may cease to be, or withdraw its election as, a business development company, with the approval of the board of directors and a vote of stockholders as required by Section 58 of the 1940 Act or any successor provision. </w:t>
      </w:r>
    </w:p>
    <w:p>
      <w:pPr>
        <w:pStyle w:val="TextBody"/>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Regulated Investment Company Status</w:t>
      </w:r>
      <w:r>
        <w:rPr>
          <w:rFonts w:ascii="Times New Roman" w:hAnsi="Times New Roman"/>
          <w:sz w:val="20"/>
        </w:rPr>
        <w:t xml:space="preserve">. The Company will use its commercially reasonable efforts to maintain its qualification as a regulated investment company under Subchapter M of the Code for each full fiscal year during which it is a business development company under the 1940 Act. </w:t>
      </w:r>
    </w:p>
    <w:p>
      <w:pPr>
        <w:pStyle w:val="TextBody"/>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Annual Compliance Reviews</w:t>
      </w:r>
      <w:r>
        <w:rPr>
          <w:rFonts w:ascii="Times New Roman" w:hAnsi="Times New Roman"/>
          <w:sz w:val="20"/>
        </w:rPr>
        <w:t xml:space="preserve">. The Company will retain qualified accountants and qualified tax experts to (i) test procedures and conduct annual 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 </w:t>
      </w:r>
    </w:p>
    <w:p>
      <w:pPr>
        <w:pStyle w:val="TextBody"/>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Accounting Controls</w:t>
      </w:r>
      <w:r>
        <w:rPr>
          <w:rFonts w:ascii="Times New Roman" w:hAnsi="Times New Roman"/>
          <w:sz w:val="20"/>
        </w:rPr>
        <w:t xml:space="preserve">. The Company will use commercially reasonable efforts to establish and maintain a system of internal accounting controls 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Disclosure Controls</w:t>
      </w:r>
      <w:r>
        <w:rPr>
          <w:rFonts w:ascii="Times New Roman" w:hAnsi="Times New Roman"/>
          <w:sz w:val="20"/>
        </w:rPr>
        <w:t xml:space="preserve">. The Company will use commercially reasonable efforts to establish and employ disclosure controls and procedures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w:t>
      </w:r>
    </w:p>
    <w:p>
      <w:pPr>
        <w:pStyle w:val="TextBody"/>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Issuer Free Writing Prospectus</w:t>
      </w:r>
      <w:r>
        <w:rPr>
          <w:rFonts w:ascii="Times New Roman" w:hAnsi="Times New Roman"/>
          <w:sz w:val="20"/>
        </w:rPr>
        <w:t xml:space="preserve">. The Company represents and agrees that, without the prior consent of the Sales Agent (i) it will not distribute any offering material other than the Registration Statement or the Prospectus, and (ii) it has not made and will not make any offer relating to the Securities that would constitute a free writing prospectus as defined in Rule 405 under the 1933 Act,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 </w:t>
      </w:r>
    </w:p>
    <w:p>
      <w:pPr>
        <w:pStyle w:val="TextBody"/>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Due Diligence Matters. </w:t>
      </w:r>
      <w:r>
        <w:rPr>
          <w:rFonts w:ascii="Times New Roman" w:hAnsi="Times New Roman"/>
          <w:sz w:val="20"/>
        </w:rPr>
        <w:t xml:space="preserve">The Company will cooperate with any reasonable due diligence review conducted by the Sales Agent or its respective agents in connection with the transactions contemplated hereby, including, without limitation, providing information and making available documents and senior officers, during regular business hours and at the Companys principal offices, as either Agent may reasonably request. The parties acknowledge that the due diligence review contemplated by this Section 2(r) will include, without limitation, during the term of this Agreement a quarterly diligence conference to occur within five business days after each 10-Q filing or 10-K filing whereby the Company will make its senior corporate officers available to address diligence inquiries of the Sales Agent and will provide such additional information and documents as the Sales Agent may reasonably request. </w:t>
      </w:r>
    </w:p>
    <w:p>
      <w:pPr>
        <w:pStyle w:val="TextBody"/>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No Stabilization. </w:t>
      </w:r>
      <w:r>
        <w:rPr>
          <w:rFonts w:ascii="Times New Roman" w:hAnsi="Times New Roman"/>
          <w:sz w:val="20"/>
        </w:rPr>
        <w:t xml:space="preserve">The Company will not take, directly or indirectly, any action designed to or that could reasonably be expected to cause or result in any stabilization or manipulation of the price of the Securities. </w:t>
      </w:r>
    </w:p>
    <w:p>
      <w:pPr>
        <w:pStyle w:val="TextBody"/>
        <w:spacing w:before="240" w:after="0"/>
        <w:jc w:val="left"/>
        <w:rPr>
          <w:rFonts w:ascii="Times New Roman" w:hAnsi="Times New Roman"/>
          <w:sz w:val="20"/>
        </w:rPr>
      </w:pPr>
      <w:r>
        <w:rPr>
          <w:rFonts w:ascii="Times New Roman" w:hAnsi="Times New Roman"/>
          <w:sz w:val="20"/>
        </w:rPr>
        <w:t xml:space="preserve">(t) The Company agrees that any offer to sell, any solicitation of an offer to buy, or any sales of Securities pursuant to this Agreement, the Sales Agreement or any Terms Agreement shall only be effected by or through only one of Agent or any Other Agent, as applicable, at any given time as determined by the Company, but in no event by more than one of them, and the Company shall in no event request that more than one of Agent or any Other Agent sell Securities during such time period. </w:t>
      </w:r>
    </w:p>
    <w:p>
      <w:pPr>
        <w:pStyle w:val="TextBody"/>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 of Expenses</w:t>
      </w:r>
      <w:r>
        <w:rPr>
          <w:rFonts w:ascii="Times New Roman" w:hAnsi="Times New Roman"/>
          <w:sz w:val="20"/>
        </w:rPr>
        <w:t xml:space="preserve">. The Company shall pay or cause to be paid all expenses incident to the performance of its obligations under this Agreement, including (i) the preparation and filing of the Registration Statement, the Prospectus and any amendments or supplements thereto, and the printing and furnishing of copies of each thereof to the Sales Agent (including costs of mailing and shipment), (ii) the printing and delivery to the Sales Agent of this Agreement and such other documents as may be required in connection with the offering,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purchase, sale or delivery of the Securities, (iii) the delivery of Securities to the Sales Agent, including any stock or other transfer taxes and any stamp or other duties payable upon the sale or delivery of the Securities to the Sales Agent, (iv) the fees and disbursements of the Companys counsel, accountants and other advisors, (v) the qualification of the Securities under securities laws in accordance with the provisions of this Agreement, including filing fees and the reasonable fees and disbursements of counsel for the Sales Agent in connection therewith and in connection with the preparation of blue sky surveys and any supplement thereto, (vi) the printing and delivery to the Sales Agent of copies of the Prospectus and any amendments or supplements thereto, (vii) the preparation and delivery to the Sales Agent of copies of the blue sky survey, if any, and any supplement thereto, (viii) the fees and expenses of any transfer agent or registrar for the Securities, (ix) the reasonable legal fees and expenses of counsel to the Sales Agent in connection with their performance under this Agreement, in an aggregate amount of $40,000 in connection with the entry into this Agreement and the Sales Agreement and up to $7,500 per fiscal quarter during the term of this Agreement and the Sales Agreement, which amount shall include legal fees and expenses relating to the review by FINRA of the terms of the sale of the Securities and (x) the filing fees incident to the review by FINRA of the terms of the sale of the Securities. Except as set forth herein, the Sales Agent will pay all of its other out-of-pocket costs and expenses incurred in connection with entering into this Agreement and the transactions contemplated by this Agreement, including, without limitation, travel and similar expenses, whether or not the transactions contemplated hereby are consummated or this Agreement is terminated. </w:t>
      </w:r>
    </w:p>
    <w:p>
      <w:pPr>
        <w:pStyle w:val="TextBody"/>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Conditions of the Sales Agents Obligations</w:t>
      </w:r>
      <w:r>
        <w:rPr>
          <w:rFonts w:ascii="Times New Roman" w:hAnsi="Times New Roman"/>
          <w:sz w:val="20"/>
        </w:rPr>
        <w:t xml:space="preserve">. The obligations of the Sales Agent hereunder are subject to the accuracy of the representations and warranties of the Company, the Adviser and the Administrator contained herein or in certificates of any officer of the Company, any of the Subsidiaries, the Adviser or the Administrator delivered pursuant to the provisions hereof, to the performance by the Company, the Adviser and the Administrator of their respective covenants and other obligations hereunder, and to the following further conditions: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Statement</w:t>
      </w:r>
      <w:r>
        <w:rPr>
          <w:rFonts w:ascii="Times New Roman" w:hAnsi="Times New Roman"/>
          <w:sz w:val="20"/>
        </w:rPr>
        <w:t xml:space="preserve">. No stop order suspending the effectiveness of the Registration Statement or any post-effective amendment thereto has been issued under the 1933 Act, no order preventing or suspending the use of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 Rule 433(d).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Opinions of Counsel for the Company, the Adviser and the Administrator</w:t>
      </w:r>
      <w:r>
        <w:rPr>
          <w:rFonts w:ascii="Times New Roman" w:hAnsi="Times New Roman"/>
          <w:sz w:val="20"/>
        </w:rPr>
        <w:t xml:space="preserve">. Within five business days after (i) each date on which the Company files a quarterly report on Form 10-Q or an annual report on Form 10-K, (ii) each date on which Securities are delivered to the Sales Agent pursuant to a Terms Agreement, or (iii) such date as the Sales Agent may reasonably request (the date of commencement of the offering of the Securities under this Agreement, the date of commencement of the offering of the Securities under this Agreement following the termination of a Suspension Period and each date referred to in subclauses (i), (ii) and (iii) above, each a Representation Date), the Sales Agent shall have received the favorable opinions, dated the Representation Date, of Dechert LLP, counsel for the Company, the Adviser and the Administrator, and of Venable LLP, counsel for the Company, in form and substance reasonably satisfactory to counsel for the Sales Agent. Such counsels may state that insofar as such opinions involve factual matters, they have relied, to the extent they deem proper, upon certificates of officers of the Company and the Subsidiaries, the Adviser and the Administrator and certificates of public officials.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Opinion of Counsel for the Sales Agent</w:t>
      </w:r>
      <w:r>
        <w:rPr>
          <w:rFonts w:ascii="Times New Roman" w:hAnsi="Times New Roman"/>
          <w:sz w:val="20"/>
        </w:rPr>
        <w:t xml:space="preserve">. Within five business days after each Representation Date, the Sales Agent shall have received the favorable opinion, dated the Representation Date, of Kirkland &amp; Ellis LLP, counsel for the Sales Agent. Such counsel may also state that, insofar as such opinion involves factual matters, they have relied, to the extent they deem proper, upon certificates of officers and other representatives of the Company, the Subsidiaries, the Adviser and the Administrator and certificates of public officials.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Officers</w:t>
      </w:r>
      <w:r>
        <w:rPr>
          <w:rFonts w:ascii="Times New Roman" w:hAnsi="Times New Roman"/>
          <w:sz w:val="20"/>
        </w:rPr>
        <w:t xml:space="preserve"> </w:t>
      </w:r>
      <w:r>
        <w:rPr>
          <w:rFonts w:ascii="Times New Roman" w:hAnsi="Times New Roman"/>
          <w:i/>
          <w:sz w:val="20"/>
        </w:rPr>
        <w:t>Certificates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Within five business days after each Representation Date, there shall not have been, since the date hereof or since the respective dates as of which information is given in the Registration Statement, or the Prospectus, any material adverse change in the business, properties, management, financial condition, prospects or results of operations of the Company and the Subsidiaries considered as one enterprise, whether or not arising in the ordinary course of business, and the Sales Agent shall have received a certificate of the chief executive officer or the president of the Company and of the chief financial or chief accounting officer of the Company, dated the Representation Date, to the effect that (A) there has been no such material adverse change, (B) the representations and warranties of the Company in </w:t>
      </w:r>
      <w:r>
        <w:rPr>
          <w:rFonts w:ascii="Times New Roman" w:hAnsi="Times New Roman"/>
          <w:sz w:val="20"/>
          <w:u w:val="single"/>
        </w:rPr>
        <w:t>Section 1(a)</w:t>
      </w:r>
      <w:r>
        <w:rPr>
          <w:rFonts w:ascii="Times New Roman" w:hAnsi="Times New Roman"/>
          <w:sz w:val="20"/>
        </w:rPr>
        <w:t xml:space="preserve"> of this Agreement are true and correct with the same force and effect as though expressly made at and as of the Representation Date, (C) the Company has complied with all agreements and satisfied all conditions on its part to be performed or satisfied at or prior to the Representation Date, and (D) no stop order suspending the effectiveness of the Registration Statement under the 1933 Act has been issued, no order preventing or suspending the use of the Prospectus has been issued and no proceedings for any of those purposes have been instituted or are pending or, to their knowledge, contemplated by the Commission. </w:t>
      </w:r>
    </w:p>
    <w:p>
      <w:pPr>
        <w:pStyle w:val="TextBody"/>
        <w:spacing w:before="120" w:after="0"/>
        <w:jc w:val="left"/>
        <w:rPr>
          <w:rFonts w:ascii="Times New Roman" w:hAnsi="Times New Roman"/>
          <w:sz w:val="20"/>
        </w:rPr>
      </w:pPr>
      <w:r>
        <w:rPr>
          <w:rFonts w:ascii="Times New Roman" w:hAnsi="Times New Roman"/>
          <w:sz w:val="20"/>
        </w:rPr>
        <w:t xml:space="preserve">(ii) Within five business days after each Representation Date, there shall not have been, since the date hereof or since the respective dates as of which information is given in the Prospectus, an Adviser/Administrator Material Adverse Effect, and the Sales Agent shall have received certificates of the managing member of each of the Adviser and the Administrator, dated the Representation Date, to the effect that (A) there has been no such Adviser/Administrator Material Adverse Effect with respect to the Adviser or the Administrator, as applicable, (B) the representations and warranties of the Adviser or the Administrator, as applicable, in </w:t>
      </w:r>
      <w:r>
        <w:rPr>
          <w:rFonts w:ascii="Times New Roman" w:hAnsi="Times New Roman"/>
          <w:sz w:val="20"/>
          <w:u w:val="single"/>
        </w:rPr>
        <w:t>Section 1(b)</w:t>
      </w:r>
      <w:r>
        <w:rPr>
          <w:rFonts w:ascii="Times New Roman" w:hAnsi="Times New Roman"/>
          <w:sz w:val="20"/>
        </w:rPr>
        <w:t xml:space="preserve"> of this Agreement are true and correct with the same force and effect as though expressly made at and as of the Representation Date and (C) the Adviser or the Administrator, as applicable, has complied with all agreements and satisfied all conditions on their part to be performed or satisfied at or prior to the Representation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Accountants Comfort Letter</w:t>
      </w:r>
      <w:r>
        <w:rPr>
          <w:rFonts w:ascii="Times New Roman" w:hAnsi="Times New Roman"/>
          <w:sz w:val="20"/>
        </w:rPr>
        <w:t xml:space="preserve">. Within five business days after each Representation Date, the Sales Agent shall have received from RSM US LLP a letter, dated such date, in form and substance satisfactory to the Sales Agent, containing statements and information of the type ordinarily included in accountants comfort letters to underwriters with respect to the Companys financial statements and certain financial information included or incorporated by reference in the Registration Statement and the Prospectus.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Additional Documents</w:t>
      </w:r>
      <w:r>
        <w:rPr>
          <w:rFonts w:ascii="Times New Roman" w:hAnsi="Times New Roman"/>
          <w:sz w:val="20"/>
        </w:rPr>
        <w:t xml:space="preserve">. Within five business days after each Representation Date, counsel for the Sales Agent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the Adviser and the Administrator in connection with the issuance and sale of the Securities as herein contemplated shall be satisfactory in form and substance to the Sales Agent and counsel for the Sales Agent. </w:t>
      </w:r>
    </w:p>
    <w:p>
      <w:pPr>
        <w:pStyle w:val="TextBody"/>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Indemnification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Sales Agent by the Company, the Adviser and the Administrator</w:t>
      </w:r>
      <w:r>
        <w:rPr>
          <w:rFonts w:ascii="Times New Roman" w:hAnsi="Times New Roman"/>
          <w:sz w:val="20"/>
        </w:rPr>
        <w:t xml:space="preserve">. The Company, the Adviser and the Administrator, severally and not jointly, agree to indemnify and hold harmless the Sales Agent, its affiliates (as such term is defined in Rule 405 under the 1933 Act (each, an Affiliate)), its selling agents and each person, if any, who controls the Sales Agent within the meaning of Section 15 of the 1933 Act or Section 20 of the 1934 Act as follows: </w:t>
      </w:r>
    </w:p>
    <w:p>
      <w:pPr>
        <w:pStyle w:val="TextBody"/>
        <w:spacing w:before="120" w:after="0"/>
        <w:jc w:val="left"/>
        <w:rPr>
          <w:rFonts w:ascii="Times New Roman" w:hAnsi="Times New Roman"/>
          <w:sz w:val="20"/>
        </w:rPr>
      </w:pPr>
      <w:r>
        <w:rPr>
          <w:rFonts w:ascii="Times New Roman" w:hAnsi="Times New Roman"/>
          <w:sz w:val="20"/>
        </w:rPr>
        <w:t xml:space="preserve">(i) against any and all loss, liability, claim, damage and expense whatsoever, as incurred, arising out of any untrue statement or alleged untrue statement of a material fact contained in the Registration Statement (or any amendment thereto), including any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Issuer Free Writing Prospectus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Issuer Free Writing Prospectus, the Prospectus or any Marketing Materials of a material fact necessary in order to make the statements therein, in the light of the circumstances under which they were made, not misleading; </w:t>
      </w:r>
    </w:p>
    <w:p>
      <w:pPr>
        <w:pStyle w:val="TextBody"/>
        <w:spacing w:before="120" w:after="0"/>
        <w:jc w:val="left"/>
        <w:rPr>
          <w:rFonts w:ascii="Times New Roman" w:hAnsi="Times New Roman"/>
          <w:sz w:val="20"/>
        </w:rPr>
      </w:pPr>
      <w:r>
        <w:rPr>
          <w:rFonts w:ascii="Times New Roman" w:hAnsi="Times New Roman"/>
          <w:sz w:val="20"/>
        </w:rPr>
        <w:t xml:space="preserve">(ii)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 w:hAnsi="Times New Roman"/>
          <w:sz w:val="20"/>
          <w:u w:val="single"/>
        </w:rPr>
        <w:t>Section 6(d)</w:t>
      </w:r>
      <w:r>
        <w:rPr>
          <w:rFonts w:ascii="Times New Roman" w:hAnsi="Times New Roman"/>
          <w:sz w:val="20"/>
        </w:rPr>
        <w:t xml:space="preserve"> below) any such settlement is effected with the written consent of the Company;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(iii) against any and all expense whatsoever, as incurred (including the reasonably incurred and documented fees and disbursements of counsel chosen by the Sales Agent),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Rule 430B Information or the Prospectus (or any amendment or supplement thereto) in reliance upon and in conformity with the Sales Agent Information; and provided, further the Advisers indemnity shall only apply to statements described in (i) above regarding the Adviser and the Administrators indemnity shall apply only statements described in (i) above regarding the Administrator.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Company, Directors, Officers, Adviser and Administrator</w:t>
      </w:r>
      <w:r>
        <w:rPr>
          <w:rFonts w:ascii="Times New Roman" w:hAnsi="Times New Roman"/>
          <w:sz w:val="20"/>
        </w:rPr>
        <w:t xml:space="preserve">. The Sales Agent agrees to indemnify and hold harmless the Company, the Adviser, the Administrator their directors, each of the Companys officers who signed the Registration Statement and each person, if any, who controls the Company, the Adviser or the Administrator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Rule 430B Information, any Issuer Free Writing Prospectus or the Prospectus (or any amendment or supplement thereto) in reliance upon and in conformity with the Sales Agent Information.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Actions against Parties; Notification</w:t>
      </w:r>
      <w:r>
        <w:rPr>
          <w:rFonts w:ascii="Times New Roman" w:hAnsi="Times New Roman"/>
          <w:sz w:val="20"/>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w:t>
      </w:r>
      <w:r>
        <w:rPr>
          <w:rFonts w:ascii="Times New Roman" w:hAnsi="Times New Roman"/>
          <w:sz w:val="20"/>
          <w:u w:val="single"/>
        </w:rPr>
        <w:t>Section 6(a)</w:t>
      </w:r>
      <w:r>
        <w:rPr>
          <w:rFonts w:ascii="Times New Roman" w:hAnsi="Times New Roman"/>
          <w:sz w:val="20"/>
        </w:rPr>
        <w:t xml:space="preserve"> above, counsel to the indemnified parties shall be selected by the Sales Agent, and, in the case of parties indemnified pursuant to </w:t>
      </w:r>
      <w:r>
        <w:rPr>
          <w:rFonts w:ascii="Times New Roman" w:hAnsi="Times New Roman"/>
          <w:sz w:val="20"/>
          <w:u w:val="single"/>
        </w:rPr>
        <w:t>Section 6(b)</w:t>
      </w:r>
      <w:r>
        <w:rPr>
          <w:rFonts w:ascii="Times New Roman" w:hAnsi="Times New Roman"/>
          <w:sz w:val="20"/>
        </w:rPr>
        <w:t xml:space="preserve">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which indemnification or contribution could be sought under this </w:t>
      </w:r>
      <w:r>
        <w:rPr>
          <w:rFonts w:ascii="Times New Roman" w:hAnsi="Times New Roman"/>
          <w:sz w:val="20"/>
          <w:u w:val="single"/>
        </w:rPr>
        <w:t>Section 6</w:t>
      </w:r>
      <w:r>
        <w:rPr>
          <w:rFonts w:ascii="Times New Roman" w:hAnsi="Times New Roman"/>
          <w:sz w:val="20"/>
        </w:rPr>
        <w:t xml:space="preserve"> or </w:t>
      </w:r>
      <w:r>
        <w:rPr>
          <w:rFonts w:ascii="Times New Roman" w:hAnsi="Times New Roman"/>
          <w:sz w:val="20"/>
          <w:u w:val="single"/>
        </w:rPr>
        <w:t>Section 7</w:t>
      </w:r>
      <w:r>
        <w:rPr>
          <w:rFonts w:ascii="Times New Roman" w:hAnsi="Times New Roman"/>
          <w:sz w:val="20"/>
        </w:rPr>
        <w:t xml:space="preserve">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Settlement without Consent if Failure to Reimburse</w:t>
      </w:r>
      <w:r>
        <w:rPr>
          <w:rFonts w:ascii="Times New Roman" w:hAnsi="Times New Roman"/>
          <w:sz w:val="20"/>
        </w:rPr>
        <w:t xml:space="preserve">. If at any time an indemnified party shall have requested an indemnifying party to reimburse the indemnified party for fees and expenses of counsel, such indemnifying party agrees that it shall be liable for any settlement of the nature contemplated by </w:t>
      </w:r>
      <w:r>
        <w:rPr>
          <w:rFonts w:ascii="Times New Roman" w:hAnsi="Times New Roman"/>
          <w:sz w:val="20"/>
          <w:u w:val="single"/>
        </w:rPr>
        <w:t>Section 6(a)(ii)</w:t>
      </w:r>
      <w:r>
        <w:rPr>
          <w:rFonts w:ascii="Times New Roman" w:hAnsi="Times New Roman"/>
          <w:sz w:val="20"/>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w:t>
      </w:r>
    </w:p>
    <w:p>
      <w:pPr>
        <w:pStyle w:val="TextBody"/>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Contribution</w:t>
      </w:r>
      <w:r>
        <w:rPr>
          <w:rFonts w:ascii="Times New Roman" w:hAnsi="Times New Roman"/>
          <w:sz w:val="20"/>
        </w:rPr>
        <w:t xml:space="preserve">. If the indemnification provided for in </w:t>
      </w:r>
      <w:r>
        <w:rPr>
          <w:rFonts w:ascii="Times New Roman" w:hAnsi="Times New Roman"/>
          <w:sz w:val="20"/>
          <w:u w:val="single"/>
        </w:rPr>
        <w:t>Section 6</w:t>
      </w:r>
      <w:r>
        <w:rPr>
          <w:rFonts w:ascii="Times New Roman" w:hAnsi="Times New Roman"/>
          <w:sz w:val="20"/>
        </w:rPr>
        <w:t xml:space="preserve">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the Adviser and the Administrator, on the one hand, and the Sales Agent,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the Adviser and the Administrator, on the one hand, and of the Sales Agent, on the other hand, in connection with the statements or omissions which resulted in such losses, liabilities, claims, damages or expenses, as well as any other relevant equitable considerations. For the avoidance of doubt, the Advisers and the Administrators contribution agreement shall only apply to instances in which the Adviser or the Administrator has an indemnity obligation as described above in </w:t>
      </w:r>
      <w:r>
        <w:rPr>
          <w:rFonts w:ascii="Times New Roman" w:hAnsi="Times New Roman"/>
          <w:sz w:val="20"/>
          <w:u w:val="single"/>
        </w:rPr>
        <w:t>Section 6(a)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relative benefits received by the Company, the Adviser and the Administrator, on the one hand, and the Sales Agent,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commissions received by the Sales Agent, on the other hand, in each case as set forth on the cover of the Prospectus, bear to the aggregate Net Proceeds. </w:t>
      </w:r>
    </w:p>
    <w:p>
      <w:pPr>
        <w:pStyle w:val="TextBody"/>
        <w:spacing w:before="240" w:after="0"/>
        <w:jc w:val="left"/>
        <w:rPr>
          <w:rFonts w:ascii="Times New Roman" w:hAnsi="Times New Roman"/>
          <w:sz w:val="20"/>
        </w:rPr>
      </w:pPr>
      <w:r>
        <w:rPr>
          <w:rFonts w:ascii="Times New Roman" w:hAnsi="Times New Roman"/>
          <w:sz w:val="20"/>
        </w:rPr>
        <w:t xml:space="preserve">The relative fault of the Company, the Adviser and the Administrator, on the one hand, and the Sales Agent, on the other hand, shall be determined by reference to, among other things, whether any such untrue or alleged untrue statement of a material fact or omission or alleged omission to state a material fact relates to information supplied by the Company, the Adviser and the Administrator or by the Sales Agent and the parties relative intent, knowledge, access to information and opportunity to correct or prevent such statement or omission.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Company, the Adviser, the Administrator and the Sales Agent agree that it would not be just and equitable if contribution pursuant to this </w:t>
      </w:r>
      <w:r>
        <w:rPr>
          <w:rFonts w:ascii="Times New Roman" w:hAnsi="Times New Roman"/>
          <w:sz w:val="20"/>
          <w:u w:val="single"/>
        </w:rPr>
        <w:t>Section 7</w:t>
      </w:r>
      <w:r>
        <w:rPr>
          <w:rFonts w:ascii="Times New Roman" w:hAnsi="Times New Roman"/>
          <w:sz w:val="20"/>
        </w:rPr>
        <w:t xml:space="preserve"> were determined by pro rata allocation or by any other method of allocation which does not take account of the equitable considerations referred to above in this </w:t>
      </w:r>
      <w:r>
        <w:rPr>
          <w:rFonts w:ascii="Times New Roman" w:hAnsi="Times New Roman"/>
          <w:sz w:val="20"/>
          <w:u w:val="single"/>
        </w:rPr>
        <w:t>Section 7</w:t>
      </w:r>
      <w:r>
        <w:rPr>
          <w:rFonts w:ascii="Times New Roman" w:hAnsi="Times New Roman"/>
          <w:sz w:val="20"/>
        </w:rPr>
        <w:t xml:space="preserve">. The aggregate amount of losses, liabilities, claims, damages and expenses incurred by an indemnified party and referred to above in this </w:t>
      </w:r>
      <w:r>
        <w:rPr>
          <w:rFonts w:ascii="Times New Roman" w:hAnsi="Times New Roman"/>
          <w:sz w:val="20"/>
          <w:u w:val="single"/>
        </w:rPr>
        <w:t>Section 7</w:t>
      </w:r>
      <w:r>
        <w:rPr>
          <w:rFonts w:ascii="Times New Roman" w:hAnsi="Times New Roman"/>
          <w:sz w:val="20"/>
        </w:rPr>
        <w:t xml:space="preser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w:t>
      </w:r>
    </w:p>
    <w:p>
      <w:pPr>
        <w:pStyle w:val="TextBody"/>
        <w:spacing w:before="240" w:after="0"/>
        <w:jc w:val="left"/>
        <w:rPr>
          <w:rFonts w:ascii="Times New Roman" w:hAnsi="Times New Roman"/>
          <w:sz w:val="20"/>
        </w:rPr>
      </w:pPr>
      <w:r>
        <w:rPr>
          <w:rFonts w:ascii="Times New Roman" w:hAnsi="Times New Roman"/>
          <w:sz w:val="20"/>
        </w:rPr>
        <w:t xml:space="preserve">Notwithstanding the provisions of this </w:t>
      </w:r>
      <w:r>
        <w:rPr>
          <w:rFonts w:ascii="Times New Roman" w:hAnsi="Times New Roman"/>
          <w:sz w:val="20"/>
          <w:u w:val="single"/>
        </w:rPr>
        <w:t>Section 7</w:t>
      </w:r>
      <w:r>
        <w:rPr>
          <w:rFonts w:ascii="Times New Roman" w:hAnsi="Times New Roman"/>
          <w:sz w:val="20"/>
        </w:rPr>
        <w:t xml:space="preserve">, the Sales Agent shall not be required to contribute any amount in excess of the commissions received by the Sales Agent in connection with the Securities sold by it. </w:t>
      </w:r>
    </w:p>
    <w:p>
      <w:pPr>
        <w:pStyle w:val="TextBody"/>
        <w:spacing w:before="240" w:after="0"/>
        <w:jc w:val="left"/>
        <w:rPr>
          <w:rFonts w:ascii="Times New Roman" w:hAnsi="Times New Roman"/>
          <w:sz w:val="20"/>
        </w:rPr>
      </w:pPr>
      <w:r>
        <w:rPr>
          <w:rFonts w:ascii="Times New Roman" w:hAnsi="Times New Roman"/>
          <w:sz w:val="20"/>
        </w:rPr>
        <w:t xml:space="preserve">No person guilty of fraudulent misrepresentation (within the meaning of Section 11(f) of the 1933 Act) shall be entitled to contribution from any person who was not guilty of such fraudulent misrepresentation. </w:t>
      </w:r>
    </w:p>
    <w:p>
      <w:pPr>
        <w:pStyle w:val="TextBody"/>
        <w:spacing w:before="240" w:after="0"/>
        <w:jc w:val="left"/>
        <w:rPr>
          <w:rFonts w:ascii="Times New Roman" w:hAnsi="Times New Roman"/>
          <w:sz w:val="20"/>
        </w:rPr>
      </w:pPr>
      <w:r>
        <w:rPr>
          <w:rFonts w:ascii="Times New Roman" w:hAnsi="Times New Roman"/>
          <w:sz w:val="20"/>
        </w:rPr>
        <w:t xml:space="preserve">Notwithstanding anything in this Agreement to the contrary, any indemnification and contribution by the Company shall be subject to the requirements and limitations of Section 17(i) of the 1940 Act and any applicable guidance from the Commission or its staff thereunder. </w:t>
      </w:r>
    </w:p>
    <w:p>
      <w:pPr>
        <w:pStyle w:val="TextBody"/>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7</w:t>
      </w:r>
      <w:r>
        <w:rPr>
          <w:rFonts w:ascii="Times New Roman" w:hAnsi="Times New Roman"/>
          <w:sz w:val="20"/>
        </w:rPr>
        <w:t xml:space="preserve">, each person, if any, who controls the Sales Agent within the meaning of Section 15 of the 1933 Act or Section 20 of the 1934 Act and the Sales Agents Affiliates and selling agents shall have the same rights to contribution as the Sales Agent, and each director of the Company, each officer of the Company who signed the Registration Statement, and each person, if any, who controls the Company, the Adviser or the Administrator within the meaning of Section 15 of the 1933 Act or Section 20 of the 1934 Act shall have the same rights to contribution as the Company, the Adviser or the Administrator, as the case may be. </w:t>
      </w:r>
    </w:p>
    <w:p>
      <w:pPr>
        <w:pStyle w:val="TextBody"/>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Representations, Warranties and Agreements to Survive</w:t>
      </w:r>
      <w:r>
        <w:rPr>
          <w:rFonts w:ascii="Times New Roman" w:hAnsi="Times New Roman"/>
          <w:sz w:val="20"/>
        </w:rPr>
        <w:t xml:space="preserve">. All representations, warranties and agreements contained in this Agreement or in certificates of officers of the Company, any of the Subsidiaries, the Adviser or the Administrator submitted pursuant hereto, shall remain operative and in full force and effect regardless of (i) any investigation made by or on behalf of the Sales Agent or its Affiliates or selling agents, any person controlling the Sales Agent, its officers or directors or any person controlling the Company and (ii) delivery of and payment for the Securities. </w:t>
      </w:r>
    </w:p>
    <w:p>
      <w:pPr>
        <w:pStyle w:val="TextBody"/>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Termination of Agreement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Termination by the Company, the Adviser and the Administrator</w:t>
      </w:r>
      <w:r>
        <w:rPr>
          <w:rFonts w:ascii="Times New Roman" w:hAnsi="Times New Roman"/>
          <w:sz w:val="20"/>
        </w:rPr>
        <w:t xml:space="preserve">. The Company, the Adviser and the Administrator may terminate this Agreement, by giving one day advance notice to the Sales Agent, at any time.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by the Sales Agent</w:t>
      </w:r>
      <w:r>
        <w:rPr>
          <w:rFonts w:ascii="Times New Roman" w:hAnsi="Times New Roman"/>
          <w:sz w:val="20"/>
        </w:rPr>
        <w:t xml:space="preserve">. The Sales Agent may terminate this Agreement, by giving one day advance notice to the Company, at any time (i) if there has been, in the judgment of the Sales Agent, since the time of execution of this Agreement or since the respective dates as of which information is given in the Registration Statement or the Prospectus, any material adverse change in the business, properties, management, financial condition, prospects or results of operations of the Company and the Subsidiaries taken as one enterprise or the Adviser or the Administrator, whether or not arising in the ordinary course of business, which would make it impracticable or inadvisable to proceed with the public offering or the delivery of the Securities on the terms and in the manner contemplated in the Registration Statement and the Prospectus,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 impracticable or inadvisable to proceed with the completion of the offering or to enforce contracts for the sale of the Securities, (iii) if trading in any securities of the Company has been suspended or materially limited by the Commission or New York Stock Exchange, (iv) if trading generally on the NYSE Amex or The New York Stock Exchange or The Nasdaq Stock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Liabilities</w:t>
      </w:r>
      <w:r>
        <w:rPr>
          <w:rFonts w:ascii="Times New Roman" w:hAnsi="Times New Roman"/>
          <w:sz w:val="20"/>
        </w:rPr>
        <w:t xml:space="preserve">. If this Agreement is terminated pursuant to this Section, such termination shall be without liability of any party to any other party except as provided in </w:t>
      </w:r>
      <w:r>
        <w:rPr>
          <w:rFonts w:ascii="Times New Roman" w:hAnsi="Times New Roman"/>
          <w:sz w:val="20"/>
          <w:u w:val="single"/>
        </w:rPr>
        <w:t>Section 4</w:t>
      </w:r>
      <w:r>
        <w:rPr>
          <w:rFonts w:ascii="Times New Roman" w:hAnsi="Times New Roman"/>
          <w:sz w:val="20"/>
        </w:rPr>
        <w:t xml:space="preserve"> hereof, provided that </w:t>
      </w:r>
      <w:r>
        <w:rPr>
          <w:rFonts w:ascii="Times New Roman" w:hAnsi="Times New Roman"/>
          <w:sz w:val="20"/>
          <w:u w:val="single"/>
        </w:rPr>
        <w:t>Sections 1</w:t>
      </w:r>
      <w:r>
        <w:rPr>
          <w:rFonts w:ascii="Times New Roman" w:hAnsi="Times New Roman"/>
          <w:sz w:val="20"/>
        </w:rPr>
        <w:t xml:space="preserve">, </w:t>
      </w:r>
      <w:r>
        <w:rPr>
          <w:rFonts w:ascii="Times New Roman" w:hAnsi="Times New Roman"/>
          <w:sz w:val="20"/>
          <w:u w:val="single"/>
        </w:rPr>
        <w:t>6, 7</w:t>
      </w:r>
      <w:r>
        <w:rPr>
          <w:rFonts w:ascii="Times New Roman" w:hAnsi="Times New Roman"/>
          <w:sz w:val="20"/>
        </w:rPr>
        <w:t xml:space="preserve">, </w:t>
      </w:r>
      <w:r>
        <w:rPr>
          <w:rFonts w:ascii="Times New Roman" w:hAnsi="Times New Roman"/>
          <w:sz w:val="20"/>
          <w:u w:val="single"/>
        </w:rPr>
        <w:t>8</w:t>
      </w:r>
      <w:r>
        <w:rPr>
          <w:rFonts w:ascii="Times New Roman" w:hAnsi="Times New Roman"/>
          <w:sz w:val="20"/>
        </w:rPr>
        <w:t>,</w:t>
      </w:r>
      <w:r>
        <w:rPr>
          <w:rFonts w:ascii="Times New Roman" w:hAnsi="Times New Roman"/>
          <w:sz w:val="20"/>
          <w:u w:val="single"/>
        </w:rPr>
        <w:t xml:space="preserve"> 14</w:t>
      </w:r>
      <w:r>
        <w:rPr>
          <w:rFonts w:ascii="Times New Roman" w:hAnsi="Times New Roman"/>
          <w:sz w:val="20"/>
        </w:rPr>
        <w:t>,</w:t>
      </w:r>
      <w:r>
        <w:rPr>
          <w:rFonts w:ascii="Times New Roman" w:hAnsi="Times New Roman"/>
          <w:sz w:val="20"/>
          <w:u w:val="single"/>
        </w:rPr>
        <w:t xml:space="preserve"> 15</w:t>
      </w:r>
      <w:r>
        <w:rPr>
          <w:rFonts w:ascii="Times New Roman" w:hAnsi="Times New Roman"/>
          <w:sz w:val="20"/>
        </w:rPr>
        <w:t xml:space="preserve"> and </w:t>
      </w:r>
      <w:r>
        <w:rPr>
          <w:rFonts w:ascii="Times New Roman" w:hAnsi="Times New Roman"/>
          <w:sz w:val="20"/>
          <w:u w:val="single"/>
        </w:rPr>
        <w:t>16</w:t>
      </w:r>
      <w:r>
        <w:rPr>
          <w:rFonts w:ascii="Times New Roman" w:hAnsi="Times New Roman"/>
          <w:sz w:val="20"/>
        </w:rPr>
        <w:t xml:space="preserve"> shall survive such termination and remain in full force and effect. </w:t>
      </w:r>
    </w:p>
    <w:p>
      <w:pPr>
        <w:pStyle w:val="TextBody"/>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No Joint Venture</w:t>
      </w:r>
      <w:r>
        <w:rPr>
          <w:rFonts w:ascii="Times New Roman" w:hAnsi="Times New Roman"/>
          <w:sz w:val="20"/>
        </w:rPr>
        <w:t xml:space="preserve">. The Company, the Adviser, the Administrator and the Sales Agent expressly acknowledge, understand and agree that the Sales Agent and the Other Agents are not, and shall not be deemed for any purpose, to be acting as an joint venture or partner of one another and that neither the Sales Agent nor the Other Agents assume responsibility or liability, express or implied, for any actions or omissions of, or the performance of services by the Sales Agent or the Other Agents, respectively, in connection with the offering of the shares of Common Stock pursuant to this Agreement or the Sales Agreement, or otherwise. The obligations of the Sales Agent hereunder and of the Other Agents under the Sales Agreement shall be several and not joint. </w:t>
      </w:r>
    </w:p>
    <w:p>
      <w:pPr>
        <w:pStyle w:val="TextBody"/>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given if mailed or transmitted by any standard form of telecommunication. Notices to the Sales Agent shall be directed to JMP Securities LLC at 600 Montgomery Street, Suite 1100, San Francisco, California 94111, Facsimile: (415) 835-8920, Attention: Equity Securities, with a copy (which shall not constitute notice) to Kirkland &amp; Ellis LLP at 1301 Pennsylvania Ave., NW, Washington, D.C. 20004, Attention: William J. Tuttle, P.C. Notices to the Company, the Adviser and the Administrator shall be directed to them at 1691 Michigan Avenue, Miami Beach, Florida 33139, facsimile No. (212) 905-1075, Attention: Arthur Penn.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No Advisory or Fiduciary Relationship</w:t>
      </w:r>
      <w:r>
        <w:rPr>
          <w:rFonts w:ascii="Times New Roman" w:hAnsi="Times New Roman"/>
          <w:sz w:val="20"/>
        </w:rPr>
        <w:t xml:space="preserve">.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Sales Agent, on the other hand, (b) in connection with the offering of the Securities and the process leading thereto, the Sales Agent is and has been acting solely as a principal and is not the agent or fiduciary of the Company, any of the Subsidiaries or their respective stockholders, creditors, employees or any other party, (c) the Sales Agent has not assumed or will assume an advisory or fiduciary responsibility in favor of the Company with respect to the offering of the Securities or the process leading thereto (irrespective of whether the Sales Agent has advised or is currently advising the Company or any of its subsidiaries on other matters) and the Sales Agent has no obligation to the Company with respect to the offering of the Securities except the obligations expressly set forth in this Agreement, (d) the Sales Agent and its respective affiliates may be engaged in a broad range of transactions that involve interests that differ from those of the Company and (e) the Sales Agent has not provided any legal, accounting, regulatory or tax advice with respect to the offering of the Securities and the Company has consulted its own respective legal, accounting, regulatory and tax advisors to the extent it deemed appropriate. </w:t>
      </w:r>
    </w:p>
    <w:p>
      <w:pPr>
        <w:pStyle w:val="TextBody"/>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Parties</w:t>
      </w:r>
      <w:r>
        <w:rPr>
          <w:rFonts w:ascii="Times New Roman" w:hAnsi="Times New Roman"/>
          <w:sz w:val="20"/>
        </w:rPr>
        <w:t xml:space="preserve">. This Agreement shall each inure to the benefit of and be binding upon the Sales Agent, the Company, the Adviser, the Administrator and their respective successors. Nothing expressed or mentioned in this Agreement is intended or shall be construed to give any person, firm or corporation, other than the Sales Agent, the Company, the Adviser and the Administrator and their respective successors and the controlling persons and officers and directors referred to in </w:t>
      </w:r>
      <w:r>
        <w:rPr>
          <w:rFonts w:ascii="Times New Roman" w:hAnsi="Times New Roman"/>
          <w:sz w:val="20"/>
          <w:u w:val="single"/>
        </w:rPr>
        <w:t>Section 6</w:t>
      </w:r>
      <w:r>
        <w:rPr>
          <w:rFonts w:ascii="Times New Roman" w:hAnsi="Times New Roman"/>
          <w:sz w:val="20"/>
        </w:rPr>
        <w:t xml:space="preserve"> and </w:t>
      </w:r>
      <w:r>
        <w:rPr>
          <w:rFonts w:ascii="Times New Roman" w:hAnsi="Times New Roman"/>
          <w:sz w:val="20"/>
          <w:u w:val="single"/>
        </w:rPr>
        <w:t>7</w:t>
      </w:r>
      <w:r>
        <w:rPr>
          <w:rFonts w:ascii="Times New Roman" w:hAnsi="Times New Roman"/>
          <w:sz w:val="20"/>
        </w:rPr>
        <w:t xml:space="preserve">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 the Company, the Adviser and the Administrator and their respective successors, and said controlling persons and officers and directors and their heirs and legal representatives, and for the benefit of no other person, firm or corporation. No purchaser of Securities from the Sales Agent shall be deemed to be a successor by reason merely of such purchase. </w:t>
      </w:r>
    </w:p>
    <w:p>
      <w:pPr>
        <w:pStyle w:val="TextBody"/>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Trial by Jury</w:t>
      </w:r>
      <w:r>
        <w:rPr>
          <w:rFonts w:ascii="Times New Roman" w:hAnsi="Times New Roman"/>
          <w:sz w:val="20"/>
        </w:rPr>
        <w:t xml:space="preserve">. The Company (on its behalf and, to the extent permitted by applicable law, on behalf of its stockholders and affiliates), the Adviser, the Administrator and the Sales Agent hereby irrevocably waives, to the fullest extent permitted by applicable law, any and all right to trial by jury in any legal proceeding arising out of or relating to this Agreement or the transactions contemplated hereby. </w:t>
      </w:r>
    </w:p>
    <w:p>
      <w:pPr>
        <w:pStyle w:val="TextBody"/>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Consent to Jurisdiction; Waiver of Immunity</w:t>
      </w:r>
      <w:r>
        <w:rPr>
          <w:rFonts w:ascii="Times New Roman" w:hAnsi="Times New Roman"/>
          <w:sz w:val="20"/>
        </w:rPr>
        <w:t xml:space="preserve">.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TIME</w:t>
      </w:r>
      <w:r>
        <w:rPr>
          <w:rFonts w:ascii="Times New Roman" w:hAnsi="Times New Roman"/>
          <w:sz w:val="20"/>
        </w:rPr>
        <w:t xml:space="preserve">. TIME SHALL BE OF THE ESSENCE OF THIS AGREEMENT. EXCEPT AS OTHERWISE SET FORTH HEREIN, SPECIFIED TIMES OF DAY REFER TO NEW YORK CITY TIME. </w:t>
      </w:r>
    </w:p>
    <w:p>
      <w:pPr>
        <w:pStyle w:val="TextBody"/>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Counterparts</w:t>
      </w:r>
      <w:r>
        <w:rPr>
          <w:rFonts w:ascii="Times New Roman" w:hAnsi="Times New Roman"/>
          <w:sz w:val="20"/>
        </w:rPr>
        <w:t xml:space="preserve">.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affect the construction hereof. </w:t>
      </w:r>
    </w:p>
    <w:p>
      <w:pPr>
        <w:pStyle w:val="TextBody"/>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In the event that the Sales Agent that is a Covered Entity becomes subject to a proceeding under a U.S. Special Resolution Regime, the transfer from the Sales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spacing w:before="240" w:after="0"/>
        <w:jc w:val="left"/>
        <w:rPr>
          <w:rFonts w:ascii="Times New Roman" w:hAnsi="Times New Roman"/>
          <w:sz w:val="20"/>
        </w:rPr>
      </w:pPr>
      <w:r>
        <w:rPr>
          <w:rFonts w:ascii="Times New Roman" w:hAnsi="Times New Roman"/>
          <w:sz w:val="20"/>
        </w:rPr>
        <w:t xml:space="preserve">(b) In the event that the Sales Agent that is a Covered Entity or a BHC Act Affiliate of the Sales Agent becomes subject to a proceeding under a U.S. Special Resolution Regime, Default Rights under this Agreement that may be exercised against the Sales Agent are permitted to be exercised to no greater extent than such Default Rights could be exercised under the U.S. Special Resolution Regime if this Agreement were governed by the laws of the United States or a state of the United States.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For purposes of this </w:t>
      </w:r>
      <w:r>
        <w:rPr>
          <w:rFonts w:ascii="Times New Roman" w:hAnsi="Times New Roman"/>
          <w:sz w:val="20"/>
          <w:u w:val="single"/>
        </w:rPr>
        <w:t>Section 20</w:t>
      </w:r>
      <w:r>
        <w:rPr>
          <w:rFonts w:ascii="Times New Roman" w:hAnsi="Times New Roman"/>
          <w:sz w:val="20"/>
        </w:rPr>
        <w:t xml:space="preserve">,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the Company a counterpart hereof, whereupon this instrument, along with all counterparts, will become a binding agreement among the Sales Agent, the Company, the Adviser and the Administrator in accordance with its terms.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42"/>
        <w:gridCol w:w="101"/>
        <w:gridCol w:w="3339"/>
      </w:tblGrid>
      <w:tr>
        <w:trPr/>
        <w:tc>
          <w:tcPr>
            <w:tcW w:w="64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33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pPr>
            <w:r>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pPr>
            <w:r>
              <w:rPr/>
              <w:t>PENNANTPARK FLOATING RATE CAPITAL LTD.</w:t>
            </w:r>
          </w:p>
        </w:tc>
      </w:tr>
      <w:tr>
        <w:trPr>
          <w:trHeight w:val="240" w:hRule="atLeast"/>
        </w:trPr>
        <w:tc>
          <w:tcPr>
            <w:tcW w:w="642" w:type="dxa"/>
            <w:tcBorders/>
            <w:shd w:fill="auto" w:val="clear"/>
            <w:vAlign w:val="center"/>
          </w:tcPr>
          <w:p>
            <w:pPr>
              <w:pStyle w:val="TableContents"/>
              <w:spacing w:before="0" w:after="283"/>
              <w:rPr>
                <w:sz w:val="4"/>
                <w:szCs w:val="4"/>
              </w:rPr>
            </w:pPr>
            <w:r>
              <w:rPr>
                <w:sz w:val="4"/>
                <w:szCs w:val="4"/>
              </w:rPr>
            </w:r>
          </w:p>
        </w:tc>
        <w:tc>
          <w:tcPr>
            <w:tcW w:w="3440" w:type="dxa"/>
            <w:gridSpan w:val="2"/>
            <w:tcBorders/>
            <w:shd w:fill="auto" w:val="clear"/>
            <w:vAlign w:val="center"/>
          </w:tcPr>
          <w:p>
            <w:pPr>
              <w:pStyle w:val="TableContents"/>
              <w:spacing w:before="0" w:after="283"/>
              <w:rPr>
                <w:sz w:val="4"/>
                <w:szCs w:val="4"/>
              </w:rPr>
            </w:pPr>
            <w:r>
              <w:rPr>
                <w:sz w:val="4"/>
                <w:szCs w:val="4"/>
              </w:rPr>
            </w:r>
          </w:p>
        </w:tc>
      </w:tr>
      <w:tr>
        <w:trPr/>
        <w:tc>
          <w:tcPr>
            <w:tcW w:w="642" w:type="dxa"/>
            <w:tcBorders/>
            <w:shd w:fill="auto" w:val="clear"/>
            <w:vAlign w:val="bottom"/>
          </w:tcPr>
          <w:p>
            <w:pPr>
              <w:pStyle w:val="TableContents"/>
              <w:spacing w:before="0" w:after="283"/>
              <w:rPr/>
            </w:pPr>
            <w:r>
              <w:rPr/>
              <w:t>By:</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3339" w:type="dxa"/>
            <w:tcBorders>
              <w:bottom w:val="single" w:sz="2" w:space="0" w:color="000000"/>
            </w:tcBorders>
            <w:shd w:fill="auto" w:val="clear"/>
            <w:tcMar>
              <w:bottom w:w="28" w:type="dxa"/>
            </w:tcMar>
            <w:vAlign w:val="bottom"/>
          </w:tcPr>
          <w:p>
            <w:pPr>
              <w:pStyle w:val="TableContents"/>
              <w:spacing w:before="0" w:after="283"/>
              <w:rPr/>
            </w:pPr>
            <w:r>
              <w:rPr/>
              <w:t>/s/ Arthur H. Penn</w:t>
            </w:r>
          </w:p>
        </w:tc>
      </w:tr>
      <w:tr>
        <w:trPr/>
        <w:tc>
          <w:tcPr>
            <w:tcW w:w="642"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339" w:type="dxa"/>
            <w:tcBorders/>
            <w:shd w:fill="auto" w:val="clear"/>
            <w:vAlign w:val="bottom"/>
          </w:tcPr>
          <w:p>
            <w:pPr>
              <w:pStyle w:val="TableContents"/>
              <w:spacing w:before="0" w:after="283"/>
              <w:rPr/>
            </w:pPr>
            <w:r>
              <w:rPr/>
              <w:t>Name: Arthur H. Penn</w:t>
            </w:r>
          </w:p>
        </w:tc>
      </w:tr>
      <w:tr>
        <w:trPr/>
        <w:tc>
          <w:tcPr>
            <w:tcW w:w="642"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339" w:type="dxa"/>
            <w:tcBorders/>
            <w:shd w:fill="auto" w:val="clear"/>
            <w:vAlign w:val="bottom"/>
          </w:tcPr>
          <w:p>
            <w:pPr>
              <w:pStyle w:val="TableContents"/>
              <w:spacing w:before="0" w:after="283"/>
              <w:rPr/>
            </w:pPr>
            <w:r>
              <w:rPr/>
              <w:t>Title: Chief Executive Officer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PENNANTPARK INVESTMENT ADVISERS, LLC</w:t>
            </w:r>
          </w:p>
        </w:tc>
      </w:tr>
      <w:tr>
        <w:trPr>
          <w:trHeight w:val="240" w:hRule="atLeast"/>
        </w:trPr>
        <w:tc>
          <w:tcPr>
            <w:tcW w:w="642" w:type="dxa"/>
            <w:tcBorders/>
            <w:shd w:fill="auto" w:val="clear"/>
            <w:vAlign w:val="center"/>
          </w:tcPr>
          <w:p>
            <w:pPr>
              <w:pStyle w:val="TableContents"/>
              <w:spacing w:before="0" w:after="283"/>
              <w:rPr>
                <w:sz w:val="4"/>
                <w:szCs w:val="4"/>
              </w:rPr>
            </w:pPr>
            <w:r>
              <w:rPr>
                <w:sz w:val="4"/>
                <w:szCs w:val="4"/>
              </w:rPr>
            </w:r>
          </w:p>
        </w:tc>
        <w:tc>
          <w:tcPr>
            <w:tcW w:w="3440" w:type="dxa"/>
            <w:gridSpan w:val="2"/>
            <w:tcBorders/>
            <w:shd w:fill="auto" w:val="clear"/>
            <w:vAlign w:val="center"/>
          </w:tcPr>
          <w:p>
            <w:pPr>
              <w:pStyle w:val="TableContents"/>
              <w:spacing w:before="0" w:after="283"/>
              <w:rPr>
                <w:sz w:val="4"/>
                <w:szCs w:val="4"/>
              </w:rPr>
            </w:pPr>
            <w:r>
              <w:rPr>
                <w:sz w:val="4"/>
                <w:szCs w:val="4"/>
              </w:rPr>
            </w:r>
          </w:p>
        </w:tc>
      </w:tr>
      <w:tr>
        <w:trPr/>
        <w:tc>
          <w:tcPr>
            <w:tcW w:w="642" w:type="dxa"/>
            <w:tcBorders/>
            <w:shd w:fill="auto" w:val="clear"/>
          </w:tcPr>
          <w:p>
            <w:pPr>
              <w:pStyle w:val="TableContents"/>
              <w:spacing w:before="0" w:after="283"/>
              <w:rPr/>
            </w:pPr>
            <w:r>
              <w:rPr/>
              <w:t>By:</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3339" w:type="dxa"/>
            <w:tcBorders>
              <w:bottom w:val="single" w:sz="2" w:space="0" w:color="000000"/>
            </w:tcBorders>
            <w:shd w:fill="auto" w:val="clear"/>
            <w:tcMar>
              <w:bottom w:w="28" w:type="dxa"/>
            </w:tcMar>
          </w:tcPr>
          <w:p>
            <w:pPr>
              <w:pStyle w:val="TableContents"/>
              <w:spacing w:before="0" w:after="283"/>
              <w:rPr/>
            </w:pPr>
            <w:r>
              <w:rPr/>
              <w:t>/s/ Arthur H. Penn</w:t>
            </w:r>
          </w:p>
        </w:tc>
      </w:tr>
      <w:tr>
        <w:trPr/>
        <w:tc>
          <w:tcPr>
            <w:tcW w:w="642"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339" w:type="dxa"/>
            <w:tcBorders/>
            <w:shd w:fill="auto" w:val="clear"/>
          </w:tcPr>
          <w:p>
            <w:pPr>
              <w:pStyle w:val="TableContents"/>
              <w:spacing w:before="0" w:after="283"/>
              <w:rPr/>
            </w:pPr>
            <w:r>
              <w:rPr/>
              <w:t>Name: Arthur H. Penn</w:t>
            </w:r>
          </w:p>
        </w:tc>
      </w:tr>
      <w:tr>
        <w:trPr/>
        <w:tc>
          <w:tcPr>
            <w:tcW w:w="642"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339" w:type="dxa"/>
            <w:tcBorders/>
            <w:shd w:fill="auto" w:val="clear"/>
          </w:tcPr>
          <w:p>
            <w:pPr>
              <w:pStyle w:val="TableContents"/>
              <w:spacing w:before="0" w:after="283"/>
              <w:rPr/>
            </w:pPr>
            <w:r>
              <w:rPr/>
              <w:t>Title: Managing Member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PENNANTPARK INVESTMENT ADMINISTRATION, LLC</w:t>
            </w:r>
          </w:p>
        </w:tc>
      </w:tr>
      <w:tr>
        <w:trPr>
          <w:trHeight w:val="240" w:hRule="atLeast"/>
        </w:trPr>
        <w:tc>
          <w:tcPr>
            <w:tcW w:w="642" w:type="dxa"/>
            <w:tcBorders/>
            <w:shd w:fill="auto" w:val="clear"/>
            <w:vAlign w:val="center"/>
          </w:tcPr>
          <w:p>
            <w:pPr>
              <w:pStyle w:val="TableContents"/>
              <w:spacing w:before="0" w:after="283"/>
              <w:rPr>
                <w:sz w:val="4"/>
                <w:szCs w:val="4"/>
              </w:rPr>
            </w:pPr>
            <w:r>
              <w:rPr>
                <w:sz w:val="4"/>
                <w:szCs w:val="4"/>
              </w:rPr>
            </w:r>
          </w:p>
        </w:tc>
        <w:tc>
          <w:tcPr>
            <w:tcW w:w="3440" w:type="dxa"/>
            <w:gridSpan w:val="2"/>
            <w:tcBorders/>
            <w:shd w:fill="auto" w:val="clear"/>
            <w:vAlign w:val="center"/>
          </w:tcPr>
          <w:p>
            <w:pPr>
              <w:pStyle w:val="TableContents"/>
              <w:spacing w:before="0" w:after="283"/>
              <w:rPr>
                <w:sz w:val="4"/>
                <w:szCs w:val="4"/>
              </w:rPr>
            </w:pPr>
            <w:r>
              <w:rPr>
                <w:sz w:val="4"/>
                <w:szCs w:val="4"/>
              </w:rPr>
            </w:r>
          </w:p>
        </w:tc>
      </w:tr>
      <w:tr>
        <w:trPr/>
        <w:tc>
          <w:tcPr>
            <w:tcW w:w="642" w:type="dxa"/>
            <w:tcBorders/>
            <w:shd w:fill="auto" w:val="clear"/>
          </w:tcPr>
          <w:p>
            <w:pPr>
              <w:pStyle w:val="TableContents"/>
              <w:spacing w:before="0" w:after="283"/>
              <w:rPr/>
            </w:pPr>
            <w:r>
              <w:rPr/>
              <w:t>By:</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3339" w:type="dxa"/>
            <w:tcBorders>
              <w:bottom w:val="single" w:sz="2" w:space="0" w:color="000000"/>
            </w:tcBorders>
            <w:shd w:fill="auto" w:val="clear"/>
            <w:tcMar>
              <w:bottom w:w="28" w:type="dxa"/>
            </w:tcMar>
          </w:tcPr>
          <w:p>
            <w:pPr>
              <w:pStyle w:val="TableContents"/>
              <w:spacing w:before="0" w:after="283"/>
              <w:rPr/>
            </w:pPr>
            <w:r>
              <w:rPr/>
              <w:t>/s/ Arthur H. Penn</w:t>
            </w:r>
          </w:p>
        </w:tc>
      </w:tr>
      <w:tr>
        <w:trPr/>
        <w:tc>
          <w:tcPr>
            <w:tcW w:w="642"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339" w:type="dxa"/>
            <w:tcBorders/>
            <w:shd w:fill="auto" w:val="clear"/>
          </w:tcPr>
          <w:p>
            <w:pPr>
              <w:pStyle w:val="TableContents"/>
              <w:spacing w:before="0" w:after="283"/>
              <w:rPr/>
            </w:pPr>
            <w:r>
              <w:rPr/>
              <w:t>Name: Arthur H. Penn</w:t>
            </w:r>
          </w:p>
        </w:tc>
      </w:tr>
      <w:tr>
        <w:trPr/>
        <w:tc>
          <w:tcPr>
            <w:tcW w:w="642"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339" w:type="dxa"/>
            <w:tcBorders/>
            <w:shd w:fill="auto" w:val="clear"/>
          </w:tcPr>
          <w:p>
            <w:pPr>
              <w:pStyle w:val="TableContents"/>
              <w:spacing w:before="0" w:after="283"/>
              <w:rPr/>
            </w:pPr>
            <w:r>
              <w:rPr/>
              <w:t>Title: Managing Member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[Signature Page to Sales Agreement  JMP] </w:t>
      </w:r>
      <w:r>
        <w:br w:type="page"/>
      </w:r>
    </w:p>
    <w:p>
      <w:pPr>
        <w:pStyle w:val="HorizontalLine"/>
        <w:pBdr>
          <w:bottom w:val="double" w:sz="6" w:space="0" w:color="808080"/>
        </w:pBdr>
        <w:rPr/>
      </w:pPr>
      <w:r>
        <w:rPr/>
      </w:r>
    </w:p>
    <w:tbl>
      <w:tblPr>
        <w:tblW w:w="2000" w:type="pct"/>
        <w:jc w:val="left"/>
        <w:tblInd w:w="0" w:type="dxa"/>
        <w:tblCellMar>
          <w:top w:w="0" w:type="dxa"/>
          <w:left w:w="0" w:type="dxa"/>
          <w:bottom w:w="0" w:type="dxa"/>
          <w:right w:w="0" w:type="dxa"/>
        </w:tblCellMar>
      </w:tblPr>
      <w:tblGrid>
        <w:gridCol w:w="337"/>
        <w:gridCol w:w="60"/>
        <w:gridCol w:w="3685"/>
      </w:tblGrid>
      <w:tr>
        <w:trPr/>
        <w:tc>
          <w:tcPr>
            <w:tcW w:w="3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8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CONFIRMED AND ACCEPTED,</w:t>
            </w:r>
          </w:p>
          <w:p>
            <w:pPr>
              <w:pStyle w:val="TableContents"/>
              <w:spacing w:before="0" w:after="20"/>
              <w:rPr/>
            </w:pPr>
            <w:r>
              <w:rPr/>
              <w:t>        </w:t>
            </w:r>
            <w:r>
              <w:rPr>
                <w:rFonts w:ascii="Times New Roman" w:hAnsi="Times New Roman"/>
                <w:sz w:val="20"/>
              </w:rPr>
              <w:t>as of the date first above written:</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JMP SECURITIES LLC</w:t>
            </w:r>
          </w:p>
        </w:tc>
      </w:tr>
      <w:tr>
        <w:trPr>
          <w:trHeight w:val="240" w:hRule="atLeast"/>
        </w:trPr>
        <w:tc>
          <w:tcPr>
            <w:tcW w:w="337" w:type="dxa"/>
            <w:tcBorders/>
            <w:shd w:fill="auto" w:val="clear"/>
            <w:vAlign w:val="center"/>
          </w:tcPr>
          <w:p>
            <w:pPr>
              <w:pStyle w:val="TableContents"/>
              <w:spacing w:before="0" w:after="283"/>
              <w:rPr>
                <w:sz w:val="4"/>
                <w:szCs w:val="4"/>
              </w:rPr>
            </w:pPr>
            <w:r>
              <w:rPr>
                <w:sz w:val="4"/>
                <w:szCs w:val="4"/>
              </w:rPr>
            </w:r>
          </w:p>
        </w:tc>
        <w:tc>
          <w:tcPr>
            <w:tcW w:w="3745" w:type="dxa"/>
            <w:gridSpan w:val="2"/>
            <w:tcBorders/>
            <w:shd w:fill="auto" w:val="clear"/>
            <w:vAlign w:val="center"/>
          </w:tcPr>
          <w:p>
            <w:pPr>
              <w:pStyle w:val="TableContents"/>
              <w:spacing w:before="0" w:after="283"/>
              <w:rPr>
                <w:sz w:val="4"/>
                <w:szCs w:val="4"/>
              </w:rPr>
            </w:pPr>
            <w:r>
              <w:rPr>
                <w:sz w:val="4"/>
                <w:szCs w:val="4"/>
              </w:rPr>
            </w:r>
          </w:p>
        </w:tc>
      </w:tr>
      <w:tr>
        <w:trPr/>
        <w:tc>
          <w:tcPr>
            <w:tcW w:w="337" w:type="dxa"/>
            <w:tcBorders/>
            <w:shd w:fill="auto" w:val="clear"/>
            <w:vAlign w:val="bottom"/>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85" w:type="dxa"/>
            <w:tcBorders>
              <w:bottom w:val="single" w:sz="2" w:space="0" w:color="000000"/>
            </w:tcBorders>
            <w:shd w:fill="auto" w:val="clear"/>
            <w:tcMar>
              <w:bottom w:w="28" w:type="dxa"/>
            </w:tcMar>
            <w:vAlign w:val="bottom"/>
          </w:tcPr>
          <w:p>
            <w:pPr>
              <w:pStyle w:val="TableContents"/>
              <w:spacing w:before="0" w:after="283"/>
              <w:rPr/>
            </w:pPr>
            <w:r>
              <w:rPr/>
              <w:t>/s/ Jorge Solares-Parkhurst</w:t>
            </w:r>
          </w:p>
        </w:tc>
      </w:tr>
      <w:tr>
        <w:trPr/>
        <w:tc>
          <w:tcPr>
            <w:tcW w:w="33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85" w:type="dxa"/>
            <w:tcBorders/>
            <w:shd w:fill="auto" w:val="clear"/>
            <w:vAlign w:val="bottom"/>
          </w:tcPr>
          <w:p>
            <w:pPr>
              <w:pStyle w:val="TableContents"/>
              <w:spacing w:before="0" w:after="283"/>
              <w:rPr/>
            </w:pPr>
            <w:r>
              <w:rPr/>
              <w:t>Name: Jorge Solares-Parkhurst</w:t>
            </w:r>
          </w:p>
        </w:tc>
      </w:tr>
      <w:tr>
        <w:trPr/>
        <w:tc>
          <w:tcPr>
            <w:tcW w:w="33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85" w:type="dxa"/>
            <w:tcBorders/>
            <w:shd w:fill="auto" w:val="clear"/>
            <w:vAlign w:val="bottom"/>
          </w:tcPr>
          <w:p>
            <w:pPr>
              <w:pStyle w:val="TableContents"/>
              <w:spacing w:before="0" w:after="283"/>
              <w:rPr/>
            </w:pPr>
            <w:r>
              <w:rPr/>
              <w:t>Title: Managing Director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[Signature Page to Sales Agreement  JMP]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spacing w:before="240" w:after="0"/>
        <w:jc w:val="left"/>
        <w:rPr>
          <w:rFonts w:ascii="Times New Roman" w:hAnsi="Times New Roman"/>
          <w:sz w:val="20"/>
        </w:rPr>
      </w:pPr>
      <w:r>
        <w:rPr>
          <w:rFonts w:ascii="Times New Roman" w:hAnsi="Times New Roman"/>
          <w:sz w:val="20"/>
        </w:rPr>
        <w:t xml:space="preserve">Consolidated subsidiaries of the Company: </w:t>
      </w:r>
    </w:p>
    <w:p>
      <w:pPr>
        <w:pStyle w:val="TextBody"/>
        <w:spacing w:before="120" w:after="0"/>
        <w:jc w:val="left"/>
        <w:rPr>
          <w:rFonts w:ascii="Times New Roman" w:hAnsi="Times New Roman"/>
          <w:sz w:val="20"/>
        </w:rPr>
      </w:pPr>
      <w:r>
        <w:rPr>
          <w:rFonts w:ascii="Times New Roman" w:hAnsi="Times New Roman"/>
          <w:sz w:val="20"/>
        </w:rPr>
        <w:t xml:space="preserve">PennantPark Floating Rate Funding I, LLC </w:t>
      </w:r>
    </w:p>
    <w:p>
      <w:pPr>
        <w:pStyle w:val="TextBody"/>
        <w:spacing w:before="0" w:after="0"/>
        <w:jc w:val="left"/>
        <w:rPr>
          <w:rFonts w:ascii="Times New Roman" w:hAnsi="Times New Roman"/>
          <w:sz w:val="20"/>
        </w:rPr>
      </w:pPr>
      <w:r>
        <w:rPr>
          <w:rFonts w:ascii="Times New Roman" w:hAnsi="Times New Roman"/>
          <w:sz w:val="20"/>
        </w:rPr>
        <w:t xml:space="preserve">PennantPark Floating Rate Funding II, LLC </w:t>
      </w:r>
    </w:p>
    <w:p>
      <w:pPr>
        <w:pStyle w:val="TextBody"/>
        <w:spacing w:before="0" w:after="0"/>
        <w:jc w:val="left"/>
        <w:rPr>
          <w:rFonts w:ascii="Times New Roman" w:hAnsi="Times New Roman"/>
          <w:sz w:val="20"/>
        </w:rPr>
      </w:pPr>
      <w:r>
        <w:rPr>
          <w:rFonts w:ascii="Times New Roman" w:hAnsi="Times New Roman"/>
          <w:sz w:val="20"/>
        </w:rPr>
        <w:t xml:space="preserve">PennantPark CLO I, LLC </w:t>
      </w:r>
    </w:p>
    <w:p>
      <w:pPr>
        <w:pStyle w:val="TextBody"/>
        <w:spacing w:before="0" w:after="0"/>
        <w:jc w:val="left"/>
        <w:rPr>
          <w:rFonts w:ascii="Times New Roman" w:hAnsi="Times New Roman"/>
          <w:sz w:val="20"/>
        </w:rPr>
      </w:pPr>
      <w:r>
        <w:rPr>
          <w:rFonts w:ascii="Times New Roman" w:hAnsi="Times New Roman"/>
          <w:sz w:val="20"/>
        </w:rPr>
        <w:t xml:space="preserve">PennantPark CLO I, Ltd. </w:t>
      </w:r>
    </w:p>
    <w:p>
      <w:pPr>
        <w:pStyle w:val="TextBody"/>
        <w:spacing w:before="0" w:after="0"/>
        <w:jc w:val="left"/>
        <w:rPr>
          <w:rFonts w:ascii="Times New Roman" w:hAnsi="Times New Roman"/>
          <w:sz w:val="20"/>
        </w:rPr>
      </w:pPr>
      <w:r>
        <w:rPr>
          <w:rFonts w:ascii="Times New Roman" w:hAnsi="Times New Roman"/>
          <w:sz w:val="20"/>
        </w:rPr>
        <w:t xml:space="preserve">PennantPark CLO I Depositor, LLC </w:t>
      </w:r>
    </w:p>
    <w:p>
      <w:pPr>
        <w:pStyle w:val="TextBody"/>
        <w:spacing w:before="0" w:after="0"/>
        <w:jc w:val="left"/>
        <w:rPr>
          <w:rFonts w:ascii="Times New Roman" w:hAnsi="Times New Roman"/>
          <w:sz w:val="20"/>
        </w:rPr>
      </w:pPr>
      <w:r>
        <w:rPr>
          <w:rFonts w:ascii="Times New Roman" w:hAnsi="Times New Roman"/>
          <w:sz w:val="20"/>
        </w:rPr>
        <w:t xml:space="preserve">PFLT Investment Holdings, LLC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SCHEDULE B </w:t>
      </w:r>
    </w:p>
    <w:p>
      <w:pPr>
        <w:pStyle w:val="TextBody"/>
        <w:spacing w:before="240" w:after="0"/>
        <w:jc w:val="left"/>
        <w:rPr>
          <w:rFonts w:ascii="Times New Roman" w:hAnsi="Times New Roman"/>
          <w:b/>
          <w:sz w:val="20"/>
        </w:rPr>
      </w:pPr>
      <w:r>
        <w:rPr>
          <w:rFonts w:ascii="Times New Roman" w:hAnsi="Times New Roman"/>
          <w:b/>
          <w:sz w:val="20"/>
        </w:rPr>
        <w:t xml:space="preserve">Company Authorized Representatives </w:t>
      </w:r>
    </w:p>
    <w:p>
      <w:pPr>
        <w:pStyle w:val="TextBody"/>
        <w:spacing w:before="120" w:after="0"/>
        <w:jc w:val="left"/>
        <w:rPr>
          <w:rFonts w:ascii="Times New Roman" w:hAnsi="Times New Roman"/>
          <w:sz w:val="20"/>
        </w:rPr>
      </w:pPr>
      <w:r>
        <w:rPr>
          <w:rFonts w:ascii="Times New Roman" w:hAnsi="Times New Roman"/>
          <w:sz w:val="20"/>
        </w:rPr>
        <w:t xml:space="preserve">Arthur H. Penn </w:t>
      </w:r>
    </w:p>
    <w:p>
      <w:pPr>
        <w:pStyle w:val="TextBody"/>
        <w:spacing w:before="0" w:after="0"/>
        <w:jc w:val="left"/>
        <w:rPr>
          <w:rFonts w:ascii="Times New Roman" w:hAnsi="Times New Roman"/>
          <w:sz w:val="20"/>
        </w:rPr>
      </w:pPr>
      <w:r>
        <w:rPr>
          <w:rFonts w:ascii="Times New Roman" w:hAnsi="Times New Roman"/>
          <w:sz w:val="20"/>
        </w:rPr>
        <w:t xml:space="preserve">Richard Allorto </w:t>
      </w:r>
    </w:p>
    <w:p>
      <w:pPr>
        <w:pStyle w:val="TextBody"/>
        <w:spacing w:before="360" w:after="0"/>
        <w:jc w:val="left"/>
        <w:rPr>
          <w:rFonts w:ascii="Times New Roman" w:hAnsi="Times New Roman"/>
          <w:b/>
          <w:sz w:val="20"/>
        </w:rPr>
      </w:pPr>
      <w:r>
        <w:rPr>
          <w:rFonts w:ascii="Times New Roman" w:hAnsi="Times New Roman"/>
          <w:b/>
          <w:sz w:val="20"/>
        </w:rPr>
        <w:t xml:space="preserve">Sales Agent Authorized Representatives </w:t>
      </w:r>
    </w:p>
    <w:p>
      <w:pPr>
        <w:pStyle w:val="TextBody"/>
        <w:spacing w:before="120" w:after="0"/>
        <w:jc w:val="left"/>
        <w:rPr>
          <w:rFonts w:ascii="Times New Roman" w:hAnsi="Times New Roman"/>
          <w:sz w:val="20"/>
        </w:rPr>
      </w:pPr>
      <w:r>
        <w:rPr>
          <w:rFonts w:ascii="Times New Roman" w:hAnsi="Times New Roman"/>
          <w:sz w:val="20"/>
        </w:rPr>
        <w:t xml:space="preserve">Jorge Solares-Parkhurst </w:t>
      </w:r>
    </w:p>
    <w:p>
      <w:pPr>
        <w:pStyle w:val="TextBody"/>
        <w:spacing w:before="0" w:after="0"/>
        <w:jc w:val="left"/>
        <w:rPr>
          <w:rFonts w:ascii="Times New Roman" w:hAnsi="Times New Roman"/>
          <w:sz w:val="20"/>
        </w:rPr>
      </w:pPr>
      <w:r>
        <w:rPr>
          <w:rFonts w:ascii="Times New Roman" w:hAnsi="Times New Roman"/>
          <w:sz w:val="20"/>
        </w:rPr>
        <w:t xml:space="preserve">Aidan Whitehead </w:t>
      </w:r>
    </w:p>
    <w:p>
      <w:pPr>
        <w:pStyle w:val="TextBody"/>
        <w:spacing w:before="0" w:after="0"/>
        <w:jc w:val="left"/>
        <w:rPr>
          <w:rFonts w:ascii="Times New Roman" w:hAnsi="Times New Roman"/>
          <w:sz w:val="20"/>
        </w:rPr>
      </w:pPr>
      <w:r>
        <w:rPr>
          <w:rFonts w:ascii="Times New Roman" w:hAnsi="Times New Roman"/>
          <w:sz w:val="20"/>
        </w:rPr>
        <w:t xml:space="preserve">Walter Conroy </w:t>
      </w:r>
    </w:p>
    <w:p>
      <w:pPr>
        <w:pStyle w:val="TextBody"/>
        <w:spacing w:before="0" w:after="0"/>
        <w:jc w:val="left"/>
        <w:rPr>
          <w:rFonts w:ascii="Times New Roman" w:hAnsi="Times New Roman"/>
          <w:sz w:val="20"/>
        </w:rPr>
      </w:pPr>
      <w:r>
        <w:rPr>
          <w:rFonts w:ascii="Times New Roman" w:hAnsi="Times New Roman"/>
          <w:sz w:val="20"/>
        </w:rPr>
        <w:t xml:space="preserve">JMP Compliance </w:t>
      </w:r>
      <w:r>
        <w:br w:type="page"/>
      </w:r>
    </w:p>
    <w:p>
      <w:pPr>
        <w:pStyle w:val="TextBody"/>
        <w:spacing w:before="0" w:after="0"/>
        <w:jc w:val="right"/>
        <w:rPr>
          <w:rFonts w:ascii="Times New Roman" w:hAnsi="Times New Roman"/>
          <w:b/>
          <w:sz w:val="20"/>
        </w:rPr>
      </w:pPr>
      <w:bookmarkStart w:id="4" w:name="d495153dex12.htm"/>
      <w:bookmarkStart w:id="5" w:name="ksd495153dex12"/>
      <w:bookmarkEnd w:id="4"/>
      <w:bookmarkEnd w:id="5"/>
      <w:r>
        <w:rPr>
          <w:rFonts w:ascii="Times New Roman" w:hAnsi="Times New Roman"/>
          <w:b/>
          <w:sz w:val="20"/>
        </w:rPr>
        <w:t xml:space="preserve">Exhibit 1.2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480" w:after="0"/>
        <w:jc w:val="center"/>
        <w:rPr>
          <w:rFonts w:ascii="Times New Roman" w:hAnsi="Times New Roman"/>
          <w:sz w:val="20"/>
        </w:rPr>
      </w:pPr>
      <w:r>
        <w:rPr>
          <w:rFonts w:ascii="Times New Roman" w:hAnsi="Times New Roman"/>
          <w:sz w:val="20"/>
        </w:rPr>
        <w:t xml:space="preserve">PENNANTPARK FLOATING RATE CAPITAL LTD. </w:t>
      </w:r>
    </w:p>
    <w:p>
      <w:pPr>
        <w:pStyle w:val="TextBody"/>
        <w:spacing w:before="120" w:after="0"/>
        <w:jc w:val="center"/>
        <w:rPr>
          <w:rFonts w:ascii="Times New Roman" w:hAnsi="Times New Roman"/>
          <w:sz w:val="20"/>
        </w:rPr>
      </w:pPr>
      <w:r>
        <w:rPr>
          <w:rFonts w:ascii="Times New Roman" w:hAnsi="Times New Roman"/>
          <w:sz w:val="20"/>
        </w:rPr>
        <w:t xml:space="preserve">(a Maryland corporation) </w:t>
      </w:r>
    </w:p>
    <w:p>
      <w:pPr>
        <w:pStyle w:val="TextBody"/>
        <w:spacing w:before="240" w:after="0"/>
        <w:jc w:val="center"/>
        <w:rPr>
          <w:rFonts w:ascii="Times New Roman" w:hAnsi="Times New Roman"/>
          <w:sz w:val="20"/>
        </w:rPr>
      </w:pPr>
      <w:r>
        <w:rPr>
          <w:rFonts w:ascii="Times New Roman" w:hAnsi="Times New Roman"/>
          <w:sz w:val="20"/>
        </w:rPr>
        <w:t xml:space="preserve">Common Stock, Par Value $0.001 Per Share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EQUITY DISTRIBUTION AGREEMENT </w:t>
      </w:r>
    </w:p>
    <w:p>
      <w:pPr>
        <w:pStyle w:val="TextBody"/>
        <w:spacing w:before="240" w:after="0"/>
        <w:jc w:val="center"/>
        <w:rPr>
          <w:rFonts w:ascii="Times New Roman" w:hAnsi="Times New Roman"/>
          <w:sz w:val="20"/>
        </w:rPr>
      </w:pPr>
      <w:r>
        <w:rPr>
          <w:rFonts w:ascii="Times New Roman" w:hAnsi="Times New Roman"/>
          <w:sz w:val="20"/>
        </w:rPr>
        <w:t xml:space="preserve">Dated: March 31, 2023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PENNANTPARK FLOATING RATE CAPITAL LTD. </w:t>
      </w:r>
    </w:p>
    <w:p>
      <w:pPr>
        <w:pStyle w:val="TextBody"/>
        <w:spacing w:before="120" w:after="0"/>
        <w:jc w:val="center"/>
        <w:rPr>
          <w:rFonts w:ascii="Times New Roman" w:hAnsi="Times New Roman"/>
          <w:sz w:val="20"/>
        </w:rPr>
      </w:pPr>
      <w:r>
        <w:rPr>
          <w:rFonts w:ascii="Times New Roman" w:hAnsi="Times New Roman"/>
          <w:sz w:val="20"/>
        </w:rPr>
        <w:t xml:space="preserve">(a Maryland corporation) </w:t>
      </w:r>
    </w:p>
    <w:p>
      <w:pPr>
        <w:pStyle w:val="TextBody"/>
        <w:spacing w:before="120" w:after="0"/>
        <w:jc w:val="center"/>
        <w:rPr>
          <w:rFonts w:ascii="Times New Roman" w:hAnsi="Times New Roman"/>
          <w:sz w:val="20"/>
        </w:rPr>
      </w:pPr>
      <w:r>
        <w:rPr>
          <w:rFonts w:ascii="Times New Roman" w:hAnsi="Times New Roman"/>
          <w:sz w:val="20"/>
        </w:rPr>
        <w:t xml:space="preserve">Common Stock, Par Value $0.001 Per Share </w:t>
      </w:r>
    </w:p>
    <w:p>
      <w:pPr>
        <w:pStyle w:val="TextBody"/>
        <w:spacing w:before="0" w:after="0"/>
        <w:jc w:val="center"/>
        <w:rPr>
          <w:rFonts w:ascii="Times New Roman" w:hAnsi="Times New Roman"/>
          <w:sz w:val="20"/>
        </w:rPr>
      </w:pPr>
      <w:r>
        <w:rPr>
          <w:rFonts w:ascii="Times New Roman" w:hAnsi="Times New Roman"/>
          <w:sz w:val="20"/>
        </w:rPr>
        <w:t xml:space="preserve">EQUITY DISTRIBUTION AGREEMENT </w:t>
      </w:r>
    </w:p>
    <w:p>
      <w:pPr>
        <w:pStyle w:val="TextBody"/>
        <w:spacing w:before="240" w:after="0"/>
        <w:jc w:val="left"/>
        <w:rPr>
          <w:rFonts w:ascii="Times New Roman" w:hAnsi="Times New Roman"/>
          <w:sz w:val="20"/>
        </w:rPr>
      </w:pPr>
      <w:r>
        <w:rPr>
          <w:rFonts w:ascii="Times New Roman" w:hAnsi="Times New Roman"/>
          <w:sz w:val="20"/>
        </w:rPr>
        <w:t xml:space="preserve">Raymond James &amp; Associates, Inc. </w:t>
      </w:r>
    </w:p>
    <w:p>
      <w:pPr>
        <w:pStyle w:val="TextBody"/>
        <w:spacing w:before="0" w:after="0"/>
        <w:jc w:val="left"/>
        <w:rPr>
          <w:rFonts w:ascii="Times New Roman" w:hAnsi="Times New Roman"/>
          <w:sz w:val="20"/>
        </w:rPr>
      </w:pPr>
      <w:r>
        <w:rPr>
          <w:rFonts w:ascii="Times New Roman" w:hAnsi="Times New Roman"/>
          <w:sz w:val="20"/>
        </w:rPr>
        <w:t xml:space="preserve">880 Carillon Parkway </w:t>
      </w:r>
    </w:p>
    <w:p>
      <w:pPr>
        <w:pStyle w:val="TextBody"/>
        <w:spacing w:before="0" w:after="0"/>
        <w:jc w:val="left"/>
        <w:rPr>
          <w:rFonts w:ascii="Times New Roman" w:hAnsi="Times New Roman"/>
          <w:sz w:val="20"/>
        </w:rPr>
      </w:pPr>
      <w:r>
        <w:rPr>
          <w:rFonts w:ascii="Times New Roman" w:hAnsi="Times New Roman"/>
          <w:sz w:val="20"/>
        </w:rPr>
        <w:t xml:space="preserve">St. Petersburg, Florida 33716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 xml:space="preserve">PennantPark Floating Rate Capital Ltd., a Maryland corporation (the Company), PennantPark Investment Advisers, LLC, a Delaware limited liability company (the Adviser) and PennantPark Investment Administration, LLC, a Delaware limited liability company (the Administrator), each confirms its agreement with Raymond James &amp; Associates, Inc. (the Sales Agent) with respect to the sale by the Company of shares of common stock, par value $0.001 per share, of the Company (Common Stock), having an aggregate offering price of up to $100 million. The shares of Common Stock to be sold by the Sales Agent are herein called, collectively, the Securities. The Company, the Adviser and the Administrator have also entered into sales agreements (collectively the Sales Agreement) in substantially similar form to this Agreement, dated of even date herewith, with JMP Securities LLC and Truist Securities, Inc. (each, an Other Agent). The aggregate amount of Securities that may be sold collectively pursuant to this Agreement and the Sales Agreement shall not exceed the lesser of $100 million and the dollar amount of Securities permitted to be sold under the Registration Statement (as defined below). </w:t>
      </w:r>
    </w:p>
    <w:p>
      <w:pPr>
        <w:pStyle w:val="TextBody"/>
        <w:spacing w:before="240" w:after="0"/>
        <w:jc w:val="left"/>
        <w:rPr>
          <w:rFonts w:ascii="Times New Roman" w:hAnsi="Times New Roman"/>
          <w:sz w:val="20"/>
        </w:rPr>
      </w:pPr>
      <w:r>
        <w:rPr>
          <w:rFonts w:ascii="Times New Roman" w:hAnsi="Times New Roman"/>
          <w:sz w:val="20"/>
        </w:rPr>
        <w:t xml:space="preserve">The Company has filed with the Securities and Exchange Commission (the Commission) a shelf registration statement on Form N-2 (File No. 333-268813), relating to the registration of the Securities and certain of the Companys other securities under the Securities Act of 1933, as amended (the 1933 Act), which registration statement was most declared effective by the Commission on January 9, 2023. The Company has also filed with the Commission a prospectus supplement, dated the date hereof, as such prospectus supplement may be amended (the Prospectus), which contains a base prospectus, dated January 9, 2023, in accordance with the provisions of Rule 430B (Rule 430B) of the rules and regulations of the Commission promulgated under the 1933 Act (such provisions, the 1933 Act Regulations) and Rule 424(b) (Rule 424(b)) of the 1933 Act Regulations.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and deemed to be part of the registration statement and also including any registration statement filed pursuant to Rule 462(b) of the 1933 Act Regulations, is herein called the Registration Statement. All references in this Agreement to amendments or supplements to the Registration Statement or the Prospectus, including those made pursuant to Rule 424(b) under the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the Prospectus or any amendment or supplement to any of the foregoing shall be deemed to include the copy filed with the Commission pursuant to its Electronic Data Gathering, Analysis and Retrieval system or any successor system (EDGAR). </w:t>
      </w:r>
    </w:p>
    <w:p>
      <w:pPr>
        <w:pStyle w:val="TextBody"/>
        <w:spacing w:before="240" w:after="0"/>
        <w:jc w:val="left"/>
        <w:rPr>
          <w:rFonts w:ascii="Times New Roman" w:hAnsi="Times New Roman"/>
          <w:sz w:val="20"/>
        </w:rPr>
      </w:pPr>
      <w:r>
        <w:rPr>
          <w:rFonts w:ascii="Times New Roman" w:hAnsi="Times New Roman"/>
          <w:sz w:val="20"/>
        </w:rPr>
        <w:t xml:space="preserve">A Form N-54A Notification of Election to be Subject to Sections 55 through 65 of the Investment Company Act of 1940 Filed Pursuant to Section 54(a) of the Investment Company Act (File No. 814-00743) was filed with the Commission on April 7, 2011 under the Investment Company Act of 1940, as amended (the 1940 Act), and the rules and regulations and any applicable guidance and/or interpretation of the Commission or its staff thereunder (the 1940 Act Regulations). </w:t>
      </w:r>
    </w:p>
    <w:p>
      <w:pPr>
        <w:pStyle w:val="TextBody"/>
        <w:spacing w:before="240" w:after="0"/>
        <w:jc w:val="left"/>
        <w:rPr>
          <w:rFonts w:ascii="Times New Roman" w:hAnsi="Times New Roman"/>
          <w:sz w:val="20"/>
        </w:rPr>
      </w:pPr>
      <w:r>
        <w:rPr>
          <w:rFonts w:ascii="Times New Roman" w:hAnsi="Times New Roman"/>
          <w:sz w:val="20"/>
        </w:rPr>
        <w:t xml:space="preserve">The Company has entered into that certain Second Amended and Restated Investment Advisory Agreement, dated as of February 2, 2016 (the Investment Management Agreement), with the Adviser. The Company has entered into that certain Amended and Restated Administration Agreement, dated as of July 1, 2022 (the Administration Agreement), with the Administrator. </w:t>
      </w:r>
    </w:p>
    <w:p>
      <w:pPr>
        <w:pStyle w:val="TextBody"/>
        <w:spacing w:before="240" w:after="0"/>
        <w:jc w:val="left"/>
        <w:rPr>
          <w:rFonts w:ascii="Times New Roman" w:hAnsi="Times New Roman"/>
          <w:sz w:val="20"/>
        </w:rPr>
      </w:pPr>
      <w:r>
        <w:rPr>
          <w:rFonts w:ascii="Times New Roman" w:hAnsi="Times New Roman"/>
          <w:sz w:val="20"/>
        </w:rPr>
        <w:t xml:space="preserve">As used in this Agreement, Applicable Time means the time of each sale of the applicable Securities pursuant to this Agreement. </w:t>
      </w:r>
    </w:p>
    <w:p>
      <w:pPr>
        <w:pStyle w:val="TextBody"/>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 by the Company</w:t>
      </w:r>
      <w:r>
        <w:rPr>
          <w:rFonts w:ascii="Times New Roman" w:hAnsi="Times New Roman"/>
          <w:sz w:val="20"/>
        </w:rPr>
        <w:t xml:space="preserve">. The Company represents and warrants to the Sales Agent as of the date hereof, the Applicable Time, each Representation Date (as defined below) and any Date of Delivery (as defined below) and agrees with the Sales Agent, and the Adviser and the Administrator, jointly and severally, represent and warrant to and agree with the Sales Agent as of the date hereof, the Applicable Time, each Representation Date (as defined below) and any Date of Delivery Time (as defined below), as follows: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Statement and Prospectuses</w:t>
      </w:r>
      <w:r>
        <w:rPr>
          <w:rFonts w:ascii="Times New Roman" w:hAnsi="Times New Roman"/>
          <w:sz w:val="20"/>
        </w:rPr>
        <w:t xml:space="preserve">.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Each of the Registration Statement and any post-effective amendment thereto, at the time it became effective, complied in all material respects with the requirements of the 1933 Act, the 1933 Act Regulations, the 1940 Act and the 1940 Act Regulations. The Prospectus and any amendment or supplement thereto, at the time each was filed with the Commission, complied in all material respects with the requirements of the 1933 Act, the 1933 Act Regulations, the 1940 Act and the 1940 Act Regulations. The Prospectus delivered to the Sales Agent for use in connection with this offering was or will be identical to the electronically transmitted copies thereof filed with the Commission pursuant to EDGAR, except to the extent permitted by Regulation S-T. </w:t>
      </w:r>
    </w:p>
    <w:p>
      <w:pPr>
        <w:pStyle w:val="TextBody"/>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Issuer Free Writing Prospectus</w:t>
      </w:r>
      <w:r>
        <w:rPr>
          <w:rFonts w:ascii="Times New Roman" w:hAnsi="Times New Roman"/>
          <w:sz w:val="20"/>
        </w:rPr>
        <w:t xml:space="preserve">. The Company (including its agents and representatives, other than the Sales Agent in its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 (iii) and (iv) below) an Issuer Free Writing Prospectus) other than (i) any document not constituting a prospectus pursuant to Section 2(a)(10)(a) of the 1933 Act or Rule 134 under the 1933 Act, (ii) the Registration Statement, (iii) the Prospectus, and (iv) any electronic road show or other written communications, in each case approved in writing in advance by the Sales Agent, such approval not to be unreasonably withheld. Each such Issuer Free Writing Prospectus, if any, complies in all material respects with the 1933 Act, has been or will be (within the time period specified in Rule 433) filed in accordance with the 1933 Act (to the extent required thereby). No Issuer Free Writing Prospectus conflicts or will conflict with the information contained in the Registration Statement or the Prospectus that has not been superseded or modified. </w:t>
      </w:r>
    </w:p>
    <w:p>
      <w:pPr>
        <w:pStyle w:val="TextBody"/>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Documents Incorporated by Reference</w:t>
      </w:r>
      <w:r>
        <w:rPr>
          <w:rFonts w:ascii="Times New Roman" w:hAnsi="Times New Roman"/>
          <w:sz w:val="20"/>
        </w:rPr>
        <w:t xml:space="preserve">. The documents incorporated by reference in each of the Registration Statement, the Prospectus, when they were filed or when they will be filed with the Commission, as the case may be, conformed or will conform in all material respects to the requirements of the 1934 Act. </w:t>
      </w:r>
    </w:p>
    <w:p>
      <w:pPr>
        <w:pStyle w:val="TextBody"/>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Accurate Disclosure</w:t>
      </w:r>
      <w:r>
        <w:rPr>
          <w:rFonts w:ascii="Times New Roman" w:hAnsi="Times New Roman"/>
          <w:sz w:val="20"/>
        </w:rPr>
        <w:t xml:space="preserve">. Neither the Registration Statement nor any amendment thereto, at its effective time, at the Applicable Time or at any Date of Delivery, contained, contains or will contain an untrue statement of a material fact or omitted, omits or will omit to state a material fact required to be stated therein or necessary to make the statements therein, not misleading. Neither the Prospectus nor any amendment or supplement thereto, as of their respective date(s), at the time of any filing with the Commission pursuant to Rule 424(b)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w:t>
      </w:r>
    </w:p>
    <w:p>
      <w:pPr>
        <w:pStyle w:val="TextBody"/>
        <w:spacing w:before="120" w:after="0"/>
        <w:jc w:val="left"/>
        <w:rPr>
          <w:rFonts w:ascii="Times New Roman" w:hAnsi="Times New Roman"/>
          <w:sz w:val="20"/>
        </w:rPr>
      </w:pPr>
      <w:r>
        <w:rPr>
          <w:rFonts w:ascii="Times New Roman" w:hAnsi="Times New Roman"/>
          <w:sz w:val="20"/>
        </w:rPr>
        <w:t xml:space="preserve">The representations and warranties in this subsection shall not apply to statements in or omissions from the Registration Statement (or any amendment thereto) or the Prospectus (or any amendment or supplement thereto) made in reliance upon and in conformity with written information furnished to the Company by the Sales Agent expressly for use therein (collectively, the Sales Agent Information). For purposes of this Agreement, the only Sales Agent Information shall be the final paragraph of the Plan of Distribution in the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Company Not Ineligible Issuer</w:t>
      </w:r>
      <w:r>
        <w:rPr>
          <w:rFonts w:ascii="Times New Roman" w:hAnsi="Times New Roman"/>
          <w:sz w:val="20"/>
        </w:rPr>
        <w:t xml:space="preserve">.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 </w:t>
      </w:r>
    </w:p>
    <w:p>
      <w:pPr>
        <w:pStyle w:val="TextBody"/>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Independent Accountants of the Company</w:t>
      </w:r>
      <w:r>
        <w:rPr>
          <w:rFonts w:ascii="Times New Roman" w:hAnsi="Times New Roman"/>
          <w:sz w:val="20"/>
        </w:rPr>
        <w:t xml:space="preserve">. The accountants who audited or reviewed the financial statements and supporting schedules of the Company included or incorporated by reference in the Registration Statement and the Prospectus are independent registered public accountants with respect to the Company within the applicable rules and regulations of the Commission and the Public Company Accounting Oversight Board (United States) and as required by the 1933 Act. </w:t>
      </w:r>
    </w:p>
    <w:p>
      <w:pPr>
        <w:pStyle w:val="TextBody"/>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Financial Statements</w:t>
      </w:r>
      <w:r>
        <w:rPr>
          <w:rFonts w:ascii="Times New Roman" w:hAnsi="Times New Roman"/>
          <w:sz w:val="20"/>
        </w:rPr>
        <w:t xml:space="preserve">. The financial statements included or incorporated by reference in the Registration Statement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or the Prospectus under the 1933 Act or the 1933 Act Regulations. </w:t>
      </w:r>
    </w:p>
    <w:p>
      <w:pPr>
        <w:pStyle w:val="TextBody"/>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No Material Adverse Change in Business</w:t>
      </w:r>
      <w:r>
        <w:rPr>
          <w:rFonts w:ascii="Times New Roman" w:hAnsi="Times New Roman"/>
          <w:sz w:val="20"/>
        </w:rPr>
        <w:t xml:space="preserve">. Except as otherwise stated therein, since the respective dates as of which information is given in the Registration Statement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Good Standing of the Company</w:t>
      </w:r>
      <w:r>
        <w:rPr>
          <w:rFonts w:ascii="Times New Roman" w:hAnsi="Times New Roman"/>
          <w:sz w:val="20"/>
        </w:rPr>
        <w:t xml:space="preserve">.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and the Prospectus and to enter into this Agreement and perform its obligations under this Agreement, the Investment Management Agreement, the Administration Agreement and the Securities;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Subsidiaries of the Company; Portfolio Companies</w:t>
      </w:r>
      <w:r>
        <w:rPr>
          <w:rFonts w:ascii="Times New Roman" w:hAnsi="Times New Roman"/>
          <w:sz w:val="20"/>
        </w:rPr>
        <w:t>. The Companys only subsidiaries that were consolidated with the Company for financial reporting purposes under GAAP as of December 31, 2022 are those listed on</w:t>
      </w:r>
      <w:r>
        <w:rPr>
          <w:rFonts w:ascii="Times New Roman" w:hAnsi="Times New Roman"/>
          <w:sz w:val="20"/>
          <w:u w:val="single"/>
        </w:rPr>
        <w:t xml:space="preserve"> Schedule A</w:t>
      </w:r>
      <w:r>
        <w:rPr>
          <w:rFonts w:ascii="Times New Roman" w:hAnsi="Times New Roman"/>
          <w:sz w:val="20"/>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and the Prospectus under the caption Portfolio Companies (each a Portfolio Company and collectively the Portfolio Companies). Except as otherwise disclosed in the Prospectus, the Company does not control (as such term is defined in Section 2(a)(9) of the 1940 Act), any of the Portfolio Companies or any corporation or other entity in which it invested since the most recent quarter end.</w:t>
      </w:r>
    </w:p>
    <w:p>
      <w:pPr>
        <w:pStyle w:val="TextBody"/>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Capitalization</w:t>
      </w:r>
      <w:r>
        <w:rPr>
          <w:rFonts w:ascii="Times New Roman" w:hAnsi="Times New Roman"/>
          <w:sz w:val="20"/>
        </w:rPr>
        <w:t xml:space="preserve">. The authorized shares of capital stock of the Company are as set forth in the Registration Statement and the Prospectus under the caption Description of Our Capital Stock. The total issued and outstanding shares of capital stock of the Company as of March 30, 2023 are as set forth in the Prospectus Supplement under the caption The Offering. The outstanding shares of capital stock of the Company have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 </w:t>
      </w:r>
    </w:p>
    <w:p>
      <w:pPr>
        <w:pStyle w:val="TextBody"/>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Authorization of Agreement</w:t>
      </w:r>
      <w:r>
        <w:rPr>
          <w:rFonts w:ascii="Times New Roman" w:hAnsi="Times New Roman"/>
          <w:sz w:val="20"/>
        </w:rPr>
        <w:t xml:space="preserve">. This Agreement has been duly authorized, executed and delivered by the Company. </w:t>
      </w:r>
    </w:p>
    <w:p>
      <w:pPr>
        <w:pStyle w:val="TextBody"/>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Authorization and Description of Securities</w:t>
      </w:r>
      <w:r>
        <w:rPr>
          <w:rFonts w:ascii="Times New Roman" w:hAnsi="Times New Roman"/>
          <w:sz w:val="20"/>
        </w:rPr>
        <w:t xml:space="preserve">. The Securities to be issued and sold by the Company hereunder have been duly authorized and when issued and paid for as contemplated herein will be validly issued, fully paid and non-assessable; and no preemptive rights of stockholders exist with respect to any of the Securities or the issue and sale thereof. The Common Stock conforms to all statements relating thereto contained in the Registration Statement and the Prospectus and such description conforms to the rights set forth in the instruments defining the same. No holder of the Common Stock will be subject to personal liability by reason of being such a holder. The Company acknowledges and agrees that all stock-related numbers contained in this Agreement shall be adjusted to take into account any stock split, stock dividend or similar event effected with respect to the Securities. </w:t>
      </w:r>
    </w:p>
    <w:p>
      <w:pPr>
        <w:pStyle w:val="TextBody"/>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Registration Rights</w:t>
      </w:r>
      <w:r>
        <w:rPr>
          <w:rFonts w:ascii="Times New Roman" w:hAnsi="Times New Roman"/>
          <w:sz w:val="20"/>
        </w:rPr>
        <w:t xml:space="preserve">. There are no persons with registration rights or other similar rights to have any securities registered for sale pursuant to the Registration Statement or otherwise registered for sale or sold by the Company under the 1933 Act pursuant to this Agreement. </w:t>
      </w:r>
    </w:p>
    <w:p>
      <w:pPr>
        <w:pStyle w:val="TextBody"/>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Absence of Violations and Defaults</w:t>
      </w:r>
      <w:r>
        <w:rPr>
          <w:rFonts w:ascii="Times New Roman" w:hAnsi="Times New Roman"/>
          <w:sz w:val="20"/>
        </w:rPr>
        <w:t xml:space="preserve">. Neither the Company nor any of the Subsidiaries is (A) in violation of its charter, bylaws or similar organizational document, each as amended or supplemented from time to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Absence of Conflicts</w:t>
      </w:r>
      <w:r>
        <w:rPr>
          <w:rFonts w:ascii="Times New Roman" w:hAnsi="Times New Roman"/>
          <w:sz w:val="20"/>
        </w:rPr>
        <w:t xml:space="preserve">.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 </w:t>
      </w:r>
    </w:p>
    <w:p>
      <w:pPr>
        <w:pStyle w:val="TextBody"/>
        <w:spacing w:before="12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Employees</w:t>
      </w:r>
      <w:r>
        <w:rPr>
          <w:rFonts w:ascii="Times New Roman" w:hAnsi="Times New Roman"/>
          <w:sz w:val="20"/>
        </w:rPr>
        <w:t xml:space="preserve">. Neither the Company nor any of the Subsidiaries has any employees. </w:t>
      </w:r>
    </w:p>
    <w:p>
      <w:pPr>
        <w:pStyle w:val="TextBody"/>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Absence of Proceedings</w:t>
      </w:r>
      <w:r>
        <w:rPr>
          <w:rFonts w:ascii="Times New Roman" w:hAnsi="Times New Roman"/>
          <w:sz w:val="20"/>
        </w:rPr>
        <w:t xml:space="preserve">. Except as disclosed in the Registration Statement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Administration Agreement or the performance by the Company of its obligations hereunder or thereunder. </w:t>
      </w:r>
    </w:p>
    <w:p>
      <w:pPr>
        <w:pStyle w:val="TextBody"/>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Accuracy of Exhibits</w:t>
      </w:r>
      <w:r>
        <w:rPr>
          <w:rFonts w:ascii="Times New Roman" w:hAnsi="Times New Roman"/>
          <w:sz w:val="20"/>
        </w:rPr>
        <w:t xml:space="preserve">. There are no contracts or documents which are required to be described in the Registration Statement or the Prospectus or to be filed as exhibits to the Registration Statement which have not been so described and filed as required. </w:t>
      </w:r>
    </w:p>
    <w:p>
      <w:pPr>
        <w:pStyle w:val="TextBody"/>
        <w:spacing w:before="12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except (A) such as have been already made or obtained, including under the 1933 Act, the 1933 Act Regulations, the 1940 Act, the 1940 Act Regulations,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 </w:t>
      </w:r>
    </w:p>
    <w:p>
      <w:pPr>
        <w:pStyle w:val="TextBody"/>
        <w:spacing w:before="120" w:after="0"/>
        <w:jc w:val="left"/>
        <w:rPr>
          <w:rFonts w:ascii="Times New Roman" w:hAnsi="Times New Roman"/>
          <w:sz w:val="20"/>
        </w:rPr>
      </w:pPr>
      <w:r>
        <w:rPr>
          <w:rFonts w:ascii="Times New Roman" w:hAnsi="Times New Roman"/>
          <w:sz w:val="20"/>
        </w:rPr>
        <w:t xml:space="preserve">(xxi) </w:t>
      </w:r>
      <w:r>
        <w:rPr>
          <w:rFonts w:ascii="Times New Roman" w:hAnsi="Times New Roman"/>
          <w:sz w:val="20"/>
          <w:u w:val="single"/>
        </w:rPr>
        <w:t>Possession of Licenses and Permits</w:t>
      </w:r>
      <w:r>
        <w:rPr>
          <w:rFonts w:ascii="Times New Roman" w:hAnsi="Times New Roman"/>
          <w:sz w:val="20"/>
        </w:rPr>
        <w:t xml:space="preserve">.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(xxii) </w:t>
      </w:r>
      <w:r>
        <w:rPr>
          <w:rFonts w:ascii="Times New Roman" w:hAnsi="Times New Roman"/>
          <w:sz w:val="20"/>
          <w:u w:val="single"/>
        </w:rPr>
        <w:t>Title to Property</w:t>
      </w:r>
      <w:r>
        <w:rPr>
          <w:rFonts w:ascii="Times New Roman" w:hAnsi="Times New Roman"/>
          <w:sz w:val="20"/>
        </w:rPr>
        <w:t xml:space="preserve">.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w:t>
      </w:r>
    </w:p>
    <w:p>
      <w:pPr>
        <w:pStyle w:val="TextBody"/>
        <w:spacing w:before="120" w:after="0"/>
        <w:jc w:val="left"/>
        <w:rPr>
          <w:rFonts w:ascii="Times New Roman" w:hAnsi="Times New Roman"/>
          <w:sz w:val="20"/>
        </w:rPr>
      </w:pPr>
      <w:r>
        <w:rPr>
          <w:rFonts w:ascii="Times New Roman" w:hAnsi="Times New Roman"/>
          <w:sz w:val="20"/>
        </w:rPr>
        <w:t xml:space="preserve">(xxiii) </w:t>
      </w:r>
      <w:r>
        <w:rPr>
          <w:rFonts w:ascii="Times New Roman" w:hAnsi="Times New Roman"/>
          <w:sz w:val="20"/>
          <w:u w:val="single"/>
        </w:rPr>
        <w:t>Possession of Intellectual Property</w:t>
      </w:r>
      <w:r>
        <w:rPr>
          <w:rFonts w:ascii="Times New Roman" w:hAnsi="Times New Roman"/>
          <w:sz w:val="20"/>
        </w:rPr>
        <w:t xml:space="preserve">.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(xxiv) </w:t>
      </w:r>
      <w:r>
        <w:rPr>
          <w:rFonts w:ascii="Times New Roman" w:hAnsi="Times New Roman"/>
          <w:sz w:val="20"/>
          <w:u w:val="single"/>
        </w:rPr>
        <w:t>Accounting Controls</w:t>
      </w:r>
      <w:r>
        <w:rPr>
          <w:rFonts w:ascii="Times New Roman" w:hAnsi="Times New Roman"/>
          <w:sz w:val="20"/>
        </w:rPr>
        <w:t xml:space="preserve">.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 as amended). </w:t>
      </w:r>
    </w:p>
    <w:p>
      <w:pPr>
        <w:pStyle w:val="TextBody"/>
        <w:spacing w:before="120" w:after="0"/>
        <w:jc w:val="left"/>
        <w:rPr>
          <w:rFonts w:ascii="Times New Roman" w:hAnsi="Times New Roman"/>
          <w:sz w:val="20"/>
        </w:rPr>
      </w:pPr>
      <w:r>
        <w:rPr>
          <w:rFonts w:ascii="Times New Roman" w:hAnsi="Times New Roman"/>
          <w:sz w:val="20"/>
        </w:rPr>
        <w:t xml:space="preserve">(xxv) </w:t>
      </w:r>
      <w:r>
        <w:rPr>
          <w:rFonts w:ascii="Times New Roman" w:hAnsi="Times New Roman"/>
          <w:sz w:val="20"/>
          <w:u w:val="single"/>
        </w:rPr>
        <w:t>Taxes and Tax Returns</w:t>
      </w:r>
      <w:r>
        <w:rPr>
          <w:rFonts w:ascii="Times New Roman" w:hAnsi="Times New Roman"/>
          <w:sz w:val="20"/>
        </w:rPr>
        <w:t xml:space="preserve">.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2021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(xxvi) </w:t>
      </w:r>
      <w:r>
        <w:rPr>
          <w:rFonts w:ascii="Times New Roman" w:hAnsi="Times New Roman"/>
          <w:sz w:val="20"/>
          <w:u w:val="single"/>
        </w:rPr>
        <w:t>Insurance</w:t>
      </w:r>
      <w:r>
        <w:rPr>
          <w:rFonts w:ascii="Times New Roman" w:hAnsi="Times New Roman"/>
          <w:sz w:val="20"/>
        </w:rPr>
        <w:t xml:space="preserve">.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(xxvii) </w:t>
      </w:r>
      <w:r>
        <w:rPr>
          <w:rFonts w:ascii="Times New Roman" w:hAnsi="Times New Roman"/>
          <w:sz w:val="20"/>
          <w:u w:val="single"/>
        </w:rPr>
        <w:t>Investment Company Act</w:t>
      </w:r>
      <w:r>
        <w:rPr>
          <w:rFonts w:ascii="Times New Roman" w:hAnsi="Times New Roman"/>
          <w:sz w:val="20"/>
        </w:rPr>
        <w:t xml:space="preserve">. The Company is not required and, upon the issuance and sale of the Securities as herein contemplated and the application of the net proceeds therefrom as described in the Prospectus, will not be required to register as an investment company as such term is used in the 1940 Act. </w:t>
      </w:r>
    </w:p>
    <w:p>
      <w:pPr>
        <w:pStyle w:val="TextBody"/>
        <w:spacing w:before="120" w:after="0"/>
        <w:jc w:val="left"/>
        <w:rPr>
          <w:rFonts w:ascii="Times New Roman" w:hAnsi="Times New Roman"/>
          <w:sz w:val="20"/>
        </w:rPr>
      </w:pPr>
      <w:r>
        <w:rPr>
          <w:rFonts w:ascii="Times New Roman" w:hAnsi="Times New Roman"/>
          <w:sz w:val="20"/>
        </w:rPr>
        <w:t xml:space="preserve">(xxviii) </w:t>
      </w:r>
      <w:r>
        <w:rPr>
          <w:rFonts w:ascii="Times New Roman" w:hAnsi="Times New Roman"/>
          <w:sz w:val="20"/>
          <w:u w:val="single"/>
        </w:rPr>
        <w:t>Stabilization and Manipulation</w:t>
      </w:r>
      <w:r>
        <w:rPr>
          <w:rFonts w:ascii="Times New Roman" w:hAnsi="Times New Roman"/>
          <w:sz w:val="20"/>
        </w:rPr>
        <w:t xml:space="preserve">. The Company has not taken, nor will it take, directly or indirectly, without giving effect to any activities by the Sales Agent, any action designed, or that would reasonably be expected, to cause or result in, or that constitutes, any stabilization or manipulation of the price of the Securities, other than activity permitted pursuant to Rule 10b-18 under the 1934 Act. </w:t>
      </w:r>
    </w:p>
    <w:p>
      <w:pPr>
        <w:pStyle w:val="TextBody"/>
        <w:spacing w:before="120" w:after="0"/>
        <w:jc w:val="left"/>
        <w:rPr>
          <w:rFonts w:ascii="Times New Roman" w:hAnsi="Times New Roman"/>
          <w:sz w:val="20"/>
        </w:rPr>
      </w:pPr>
      <w:r>
        <w:rPr>
          <w:rFonts w:ascii="Times New Roman" w:hAnsi="Times New Roman"/>
          <w:sz w:val="20"/>
        </w:rPr>
        <w:t xml:space="preserve">(xxix) </w:t>
      </w:r>
      <w:r>
        <w:rPr>
          <w:rFonts w:ascii="Times New Roman" w:hAnsi="Times New Roman"/>
          <w:sz w:val="20"/>
          <w:u w:val="single"/>
        </w:rPr>
        <w:t>Foreign Corrupt Practices Act</w:t>
      </w:r>
      <w:r>
        <w:rPr>
          <w:rFonts w:ascii="Times New Roman" w:hAnsi="Times New Roman"/>
          <w:sz w:val="20"/>
        </w:rPr>
        <w:t xml:space="preserve">.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 </w:t>
      </w:r>
    </w:p>
    <w:p>
      <w:pPr>
        <w:pStyle w:val="TextBody"/>
        <w:spacing w:before="120" w:after="0"/>
        <w:jc w:val="left"/>
        <w:rPr>
          <w:rFonts w:ascii="Times New Roman" w:hAnsi="Times New Roman"/>
          <w:sz w:val="20"/>
        </w:rPr>
      </w:pPr>
      <w:r>
        <w:rPr>
          <w:rFonts w:ascii="Times New Roman" w:hAnsi="Times New Roman"/>
          <w:sz w:val="20"/>
        </w:rPr>
        <w:t xml:space="preserve">(xxx) </w:t>
      </w:r>
      <w:r>
        <w:rPr>
          <w:rFonts w:ascii="Times New Roman" w:hAnsi="Times New Roman"/>
          <w:sz w:val="20"/>
          <w:u w:val="single"/>
        </w:rPr>
        <w:t>Anti-Money Laundering Laws</w:t>
      </w:r>
      <w:r>
        <w:rPr>
          <w:rFonts w:ascii="Times New Roman" w:hAnsi="Times New Roman"/>
          <w:sz w:val="20"/>
        </w:rPr>
        <w:t xml:space="preserve">. The operations of the Company and the Subsidiaries are and have been conducted at all times in compliance with applicable financial recordkeeping and reporting requirements of the Currency and Foreign Transactions Reporting Act of 1970, as amended, the applicable anti-money laundering statutes of the jurisdictions in which the Company and the Subsidiaries conduct business, the rules and regulations thereunder and any other relevant laws, rules, regulations or guidelines, issued, administered or enforced by any Governmental Entity (collectively, the Anti-Money Laundering Laws); and no action, suit or proceeding by or before any Governmental Entity involving the Company or any of the Subsidiaries with respect to the Anti-Money Laundering Laws is pending or, to the best knowledge of the Company, threatened.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(xxxi) </w:t>
      </w:r>
      <w:r>
        <w:rPr>
          <w:rFonts w:ascii="Times New Roman" w:hAnsi="Times New Roman"/>
          <w:sz w:val="20"/>
          <w:u w:val="single"/>
        </w:rPr>
        <w:t>OFAC</w:t>
      </w:r>
      <w:r>
        <w:rPr>
          <w:rFonts w:ascii="Times New Roman" w:hAnsi="Times New Roman"/>
          <w:sz w:val="20"/>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 by a Person that is, (i) currently the subject or target of any sanctions administered or enforced by the United States Government, including the U.S. Department of the Treasurys Office of Foreign Assets Control (OFAC), the United Nations Security Council, the European Union, His Majestys Treasury,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pStyle w:val="TextBody"/>
        <w:spacing w:before="120" w:after="0"/>
        <w:jc w:val="left"/>
        <w:rPr>
          <w:rFonts w:ascii="Times New Roman" w:hAnsi="Times New Roman"/>
          <w:sz w:val="20"/>
        </w:rPr>
      </w:pPr>
      <w:r>
        <w:rPr>
          <w:rFonts w:ascii="Times New Roman" w:hAnsi="Times New Roman"/>
          <w:sz w:val="20"/>
        </w:rPr>
        <w:t xml:space="preserve">(xxxii) </w:t>
      </w:r>
      <w:r>
        <w:rPr>
          <w:rFonts w:ascii="Times New Roman" w:hAnsi="Times New Roman"/>
          <w:sz w:val="20"/>
          <w:u w:val="single"/>
        </w:rPr>
        <w:t>Lending Relationship</w:t>
      </w:r>
      <w:r>
        <w:rPr>
          <w:rFonts w:ascii="Times New Roman" w:hAnsi="Times New Roman"/>
          <w:sz w:val="20"/>
        </w:rPr>
        <w:t xml:space="preserve">. Except as disclosed in the Registration Statement and the Prospectus, the Company (i) does not have any material lending or other relationship with any bank or lending affiliate of the Sales Agent and (ii) does not intend to use any of the proceeds from the sale of the Securities to repay any outstanding debt owed to any affiliate of the Sales Agent. </w:t>
      </w:r>
    </w:p>
    <w:p>
      <w:pPr>
        <w:pStyle w:val="TextBody"/>
        <w:spacing w:before="120" w:after="0"/>
        <w:jc w:val="left"/>
        <w:rPr>
          <w:rFonts w:ascii="Times New Roman" w:hAnsi="Times New Roman"/>
          <w:sz w:val="20"/>
        </w:rPr>
      </w:pPr>
      <w:r>
        <w:rPr>
          <w:rFonts w:ascii="Times New Roman" w:hAnsi="Times New Roman"/>
          <w:sz w:val="20"/>
        </w:rPr>
        <w:t xml:space="preserve">(xxxiii) </w:t>
      </w:r>
      <w:r>
        <w:rPr>
          <w:rFonts w:ascii="Times New Roman" w:hAnsi="Times New Roman"/>
          <w:sz w:val="20"/>
          <w:u w:val="single"/>
        </w:rPr>
        <w:t>Statistical and Market-Related Data</w:t>
      </w:r>
      <w:r>
        <w:rPr>
          <w:rFonts w:ascii="Times New Roman" w:hAnsi="Times New Roman"/>
          <w:sz w:val="20"/>
        </w:rPr>
        <w:t xml:space="preserve">. Any statistical and market-related data included or incorporated by reference in the Registration Statement or the Prospectus are based on or derived from sources that the Company believes to be reliable and accurate and, to the extent required, the Company has obtained the written consent to the use of such data from such sources. </w:t>
      </w:r>
    </w:p>
    <w:p>
      <w:pPr>
        <w:pStyle w:val="TextBody"/>
        <w:spacing w:before="120" w:after="0"/>
        <w:jc w:val="left"/>
        <w:rPr>
          <w:rFonts w:ascii="Times New Roman" w:hAnsi="Times New Roman"/>
          <w:sz w:val="20"/>
        </w:rPr>
      </w:pPr>
      <w:r>
        <w:rPr>
          <w:rFonts w:ascii="Times New Roman" w:hAnsi="Times New Roman"/>
          <w:sz w:val="20"/>
        </w:rPr>
        <w:t xml:space="preserve">(xxxiv) </w:t>
      </w:r>
      <w:r>
        <w:rPr>
          <w:rFonts w:ascii="Times New Roman" w:hAnsi="Times New Roman"/>
          <w:sz w:val="20"/>
          <w:u w:val="single"/>
        </w:rPr>
        <w:t>Related Party Transactions</w:t>
      </w:r>
      <w:r>
        <w:rPr>
          <w:rFonts w:ascii="Times New Roman" w:hAnsi="Times New Roman"/>
          <w:sz w:val="20"/>
        </w:rPr>
        <w:t xml:space="preserve">. There are no business relationships or related party transactions involving the Company, any of the Subsidiaries or any other person required to be described in the Registration Statement or the Prospectus which have not been described as required. </w:t>
      </w:r>
    </w:p>
    <w:p>
      <w:pPr>
        <w:pStyle w:val="TextBody"/>
        <w:spacing w:before="120" w:after="0"/>
        <w:jc w:val="left"/>
        <w:rPr>
          <w:rFonts w:ascii="Times New Roman" w:hAnsi="Times New Roman"/>
          <w:sz w:val="20"/>
        </w:rPr>
      </w:pPr>
      <w:r>
        <w:rPr>
          <w:rFonts w:ascii="Times New Roman" w:hAnsi="Times New Roman"/>
          <w:sz w:val="20"/>
        </w:rPr>
        <w:t xml:space="preserve">(xxxv) </w:t>
      </w:r>
      <w:r>
        <w:rPr>
          <w:rFonts w:ascii="Times New Roman" w:hAnsi="Times New Roman"/>
          <w:sz w:val="20"/>
          <w:u w:val="single"/>
        </w:rPr>
        <w:t>Notification of Election</w:t>
      </w:r>
      <w:r>
        <w:rPr>
          <w:rFonts w:ascii="Times New Roman" w:hAnsi="Times New Roman"/>
          <w:sz w:val="20"/>
        </w:rPr>
        <w:t xml:space="preserve">.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 </w:t>
      </w:r>
    </w:p>
    <w:p>
      <w:pPr>
        <w:pStyle w:val="TextBody"/>
        <w:spacing w:before="120" w:after="0"/>
        <w:jc w:val="left"/>
        <w:rPr>
          <w:rFonts w:ascii="Times New Roman" w:hAnsi="Times New Roman"/>
          <w:sz w:val="20"/>
        </w:rPr>
      </w:pPr>
      <w:r>
        <w:rPr>
          <w:rFonts w:ascii="Times New Roman" w:hAnsi="Times New Roman"/>
          <w:sz w:val="20"/>
        </w:rPr>
        <w:t xml:space="preserve">(xxxvi) </w:t>
      </w:r>
      <w:r>
        <w:rPr>
          <w:rFonts w:ascii="Times New Roman" w:hAnsi="Times New Roman"/>
          <w:sz w:val="20"/>
          <w:u w:val="single"/>
        </w:rPr>
        <w:t>Investment Management Agreement and Administration Agreement</w:t>
      </w:r>
      <w:r>
        <w:rPr>
          <w:rFonts w:ascii="Times New Roman" w:hAnsi="Times New Roman"/>
          <w:sz w:val="20"/>
        </w:rPr>
        <w:t xml:space="preserve">.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and the Administration Agreement have been made in accordance with the requirements of Section 15(a) and (c) of the 1940 Act and the 1940 Act Regulations applicable to companies that have elected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 </w:t>
      </w:r>
    </w:p>
    <w:p>
      <w:pPr>
        <w:pStyle w:val="TextBody"/>
        <w:spacing w:before="120" w:after="0"/>
        <w:jc w:val="left"/>
        <w:rPr>
          <w:rFonts w:ascii="Times New Roman" w:hAnsi="Times New Roman"/>
          <w:sz w:val="20"/>
        </w:rPr>
      </w:pPr>
      <w:r>
        <w:rPr>
          <w:rFonts w:ascii="Times New Roman" w:hAnsi="Times New Roman"/>
          <w:sz w:val="20"/>
        </w:rPr>
        <w:t xml:space="preserve">(xxxvii) </w:t>
      </w:r>
      <w:r>
        <w:rPr>
          <w:rFonts w:ascii="Times New Roman" w:hAnsi="Times New Roman"/>
          <w:sz w:val="20"/>
          <w:u w:val="single"/>
        </w:rPr>
        <w:t>Interested Persons</w:t>
      </w:r>
      <w:r>
        <w:rPr>
          <w:rFonts w:ascii="Times New Roman" w:hAnsi="Times New Roman"/>
          <w:sz w:val="20"/>
        </w:rPr>
        <w:t xml:space="preserve">. Except as disclosed in the Registration Statement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the Sales Agent. </w:t>
      </w:r>
    </w:p>
    <w:p>
      <w:pPr>
        <w:pStyle w:val="TextBody"/>
        <w:spacing w:before="120" w:after="0"/>
        <w:jc w:val="left"/>
        <w:rPr>
          <w:rFonts w:ascii="Times New Roman" w:hAnsi="Times New Roman"/>
          <w:sz w:val="20"/>
        </w:rPr>
      </w:pPr>
      <w:r>
        <w:rPr>
          <w:rFonts w:ascii="Times New Roman" w:hAnsi="Times New Roman"/>
          <w:sz w:val="20"/>
        </w:rPr>
        <w:t xml:space="preserve">(xxxviii) </w:t>
      </w:r>
      <w:r>
        <w:rPr>
          <w:rFonts w:ascii="Times New Roman" w:hAnsi="Times New Roman"/>
          <w:sz w:val="20"/>
          <w:u w:val="single"/>
        </w:rPr>
        <w:t>Business Development Company</w:t>
      </w:r>
      <w:r>
        <w:rPr>
          <w:rFonts w:ascii="Times New Roman" w:hAnsi="Times New Roman"/>
          <w:sz w:val="20"/>
        </w:rPr>
        <w:t xml:space="preserve">.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 </w:t>
      </w:r>
    </w:p>
    <w:p>
      <w:pPr>
        <w:pStyle w:val="TextBody"/>
        <w:spacing w:before="120" w:after="0"/>
        <w:jc w:val="left"/>
        <w:rPr>
          <w:rFonts w:ascii="Times New Roman" w:hAnsi="Times New Roman"/>
          <w:sz w:val="20"/>
        </w:rPr>
      </w:pPr>
      <w:r>
        <w:rPr>
          <w:rFonts w:ascii="Times New Roman" w:hAnsi="Times New Roman"/>
          <w:sz w:val="20"/>
        </w:rPr>
        <w:t xml:space="preserve">(xxxix) </w:t>
      </w:r>
      <w:r>
        <w:rPr>
          <w:rFonts w:ascii="Times New Roman" w:hAnsi="Times New Roman"/>
          <w:sz w:val="20"/>
          <w:u w:val="single"/>
        </w:rPr>
        <w:t>No Extension of Credit</w:t>
      </w:r>
      <w:r>
        <w:rPr>
          <w:rFonts w:ascii="Times New Roman" w:hAnsi="Times New Roman"/>
          <w:sz w:val="20"/>
        </w:rPr>
        <w:t xml:space="preserve">.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 </w:t>
      </w:r>
    </w:p>
    <w:p>
      <w:pPr>
        <w:pStyle w:val="TextBody"/>
        <w:spacing w:before="120" w:after="0"/>
        <w:jc w:val="left"/>
        <w:rPr>
          <w:rFonts w:ascii="Times New Roman" w:hAnsi="Times New Roman"/>
          <w:sz w:val="20"/>
        </w:rPr>
      </w:pPr>
      <w:r>
        <w:rPr>
          <w:rFonts w:ascii="Times New Roman" w:hAnsi="Times New Roman"/>
          <w:sz w:val="20"/>
        </w:rPr>
        <w:t xml:space="preserve">(xl) </w:t>
      </w:r>
      <w:r>
        <w:rPr>
          <w:rFonts w:ascii="Times New Roman" w:hAnsi="Times New Roman"/>
          <w:sz w:val="20"/>
          <w:u w:val="single"/>
        </w:rPr>
        <w:t>Regulated Investment Company</w:t>
      </w:r>
      <w:r>
        <w:rPr>
          <w:rFonts w:ascii="Times New Roman" w:hAnsi="Times New Roman"/>
          <w:sz w:val="20"/>
        </w:rPr>
        <w:t xml:space="preserve">.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 </w:t>
      </w:r>
    </w:p>
    <w:p>
      <w:pPr>
        <w:pStyle w:val="TextBody"/>
        <w:spacing w:before="120" w:after="0"/>
        <w:jc w:val="left"/>
        <w:rPr>
          <w:rFonts w:ascii="Times New Roman" w:hAnsi="Times New Roman"/>
          <w:sz w:val="20"/>
        </w:rPr>
      </w:pPr>
      <w:r>
        <w:rPr>
          <w:rFonts w:ascii="Times New Roman" w:hAnsi="Times New Roman"/>
          <w:sz w:val="20"/>
        </w:rPr>
        <w:t xml:space="preserve">(xli) </w:t>
      </w:r>
      <w:r>
        <w:rPr>
          <w:rFonts w:ascii="Times New Roman" w:hAnsi="Times New Roman"/>
          <w:sz w:val="20"/>
          <w:u w:val="single"/>
        </w:rPr>
        <w:t>Sarbanes-Oxley Act</w:t>
      </w:r>
      <w:r>
        <w:rPr>
          <w:rFonts w:ascii="Times New Roman" w:hAnsi="Times New Roman"/>
          <w:sz w:val="20"/>
        </w:rPr>
        <w:t xml:space="preserve">.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(xlii) </w:t>
      </w:r>
      <w:r>
        <w:rPr>
          <w:rFonts w:ascii="Times New Roman" w:hAnsi="Times New Roman"/>
          <w:sz w:val="20"/>
          <w:u w:val="single"/>
        </w:rPr>
        <w:t>Forward-Looking Statements</w:t>
      </w:r>
      <w:r>
        <w:rPr>
          <w:rFonts w:ascii="Times New Roman" w:hAnsi="Times New Roman"/>
          <w:i/>
          <w:sz w:val="20"/>
        </w:rPr>
        <w:t>.</w:t>
      </w:r>
      <w:r>
        <w:rPr>
          <w:rFonts w:ascii="Times New Roman" w:hAnsi="Times New Roman"/>
          <w:sz w:val="20"/>
        </w:rPr>
        <w:t xml:space="preserve"> No forward-looking statement (within the meaning of Section 27A of the 1933 Act and Section 21E of the 1934 Act) contained in the Registration Statement or the Prospectus has been made or reaffirmed without a reasonable basis or has been disclosed other than in good faith. </w:t>
      </w:r>
    </w:p>
    <w:p>
      <w:pPr>
        <w:pStyle w:val="TextBody"/>
        <w:spacing w:before="120" w:after="0"/>
        <w:jc w:val="left"/>
        <w:rPr>
          <w:rFonts w:ascii="Times New Roman" w:hAnsi="Times New Roman"/>
          <w:sz w:val="20"/>
        </w:rPr>
      </w:pPr>
      <w:r>
        <w:rPr>
          <w:rFonts w:ascii="Times New Roman" w:hAnsi="Times New Roman"/>
          <w:sz w:val="20"/>
        </w:rPr>
        <w:t xml:space="preserve">(xliii) </w:t>
      </w:r>
      <w:r>
        <w:rPr>
          <w:rFonts w:ascii="Times New Roman" w:hAnsi="Times New Roman"/>
          <w:sz w:val="20"/>
          <w:u w:val="single"/>
        </w:rPr>
        <w:t>IT Systems</w:t>
      </w:r>
      <w:r>
        <w:rPr>
          <w:rFonts w:ascii="Times New Roman" w:hAnsi="Times New Roman"/>
          <w:sz w:val="20"/>
        </w:rPr>
        <w:t xml:space="preserve">.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 by the Adviser and the Administrator</w:t>
      </w:r>
      <w:r>
        <w:rPr>
          <w:rFonts w:ascii="Times New Roman" w:hAnsi="Times New Roman"/>
          <w:sz w:val="20"/>
        </w:rPr>
        <w:t xml:space="preserve">. The Adviser and the Administrator, jointly and severally, represent to the Sales Agent as of the date hereof, the Applicable Time, each Representation Date (as defined below) and any Date of Delivery (as defined below), and agrees with the Sales Agent, as follows: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Material Adverse Change in Business</w:t>
      </w:r>
      <w:r>
        <w:rPr>
          <w:rFonts w:ascii="Times New Roman" w:hAnsi="Times New Roman"/>
          <w:sz w:val="20"/>
        </w:rPr>
        <w:t xml:space="preserve">. Except as otherwise stated therein, since the respective dates as of which information is given or incorporated by reference in the Registration Statement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Good Standing</w:t>
      </w:r>
      <w:r>
        <w:rPr>
          <w:rFonts w:ascii="Times New Roman" w:hAnsi="Times New Roman"/>
          <w:sz w:val="20"/>
        </w:rPr>
        <w:t xml:space="preserve">. Each of the Adviser and the Administrator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Adviser/Administrator Material Adverse Effect. </w:t>
      </w:r>
    </w:p>
    <w:p>
      <w:pPr>
        <w:pStyle w:val="TextBody"/>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Registration Under Advisers Act</w:t>
      </w:r>
      <w:r>
        <w:rPr>
          <w:rFonts w:ascii="Times New Roman" w:hAnsi="Times New Roman"/>
          <w:sz w:val="20"/>
        </w:rPr>
        <w:t xml:space="preserve">. The Adviser is duly registered with the Commission as an investment adviser under the Advisers Act and is not prohibited by the Advisers Act or the 1940 Act from acting under the Investment Management Agreement for the Company as contemplated by the Registration Statement and the Prospectus. There does not exist any proceeding or, to the Advisers knowledge, any facts or circumstances the existence of which could lead to any proceeding which might adversely affect the registration of the Adviser with the Commission. </w:t>
      </w:r>
    </w:p>
    <w:p>
      <w:pPr>
        <w:pStyle w:val="TextBody"/>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Absence of Proceedings</w:t>
      </w:r>
      <w:r>
        <w:rPr>
          <w:rFonts w:ascii="Times New Roman" w:hAnsi="Times New Roman"/>
          <w:sz w:val="20"/>
        </w:rPr>
        <w:t xml:space="preserve">. Except as disclosed in the Registration Statement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Investment Management Agreement or the Administration Agreement or the performance by the Adviser or the Administrator of its obligations hereunder or thereunder. </w:t>
      </w:r>
    </w:p>
    <w:p>
      <w:pPr>
        <w:pStyle w:val="TextBody"/>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Absence of Violations and Defaults</w:t>
      </w:r>
      <w:r>
        <w:rPr>
          <w:rFonts w:ascii="Times New Roman" w:hAnsi="Times New Roman"/>
          <w:sz w:val="20"/>
        </w:rPr>
        <w:t xml:space="preserve">.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the Adviser/Administrator Agreements and Instruments), except for such defaults that 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Absence of Conflicts</w:t>
      </w:r>
      <w:r>
        <w:rPr>
          <w:rFonts w:ascii="Times New Roman" w:hAnsi="Times New Roman"/>
          <w:sz w:val="20"/>
        </w:rPr>
        <w:t xml:space="preserve">.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Adviser and 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 (b)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 </w:t>
      </w:r>
    </w:p>
    <w:p>
      <w:pPr>
        <w:pStyle w:val="TextBody"/>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Authorization of this Agreement</w:t>
      </w:r>
      <w:r>
        <w:rPr>
          <w:rFonts w:ascii="Times New Roman" w:hAnsi="Times New Roman"/>
          <w:sz w:val="20"/>
        </w:rPr>
        <w:t xml:space="preserve">. This Agreement has been duly authorized, executed and delivered by each of the Adviser and the Administrator. </w:t>
      </w:r>
    </w:p>
    <w:p>
      <w:pPr>
        <w:pStyle w:val="TextBody"/>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Investment Management Agreement and Administration Agreement</w:t>
      </w:r>
      <w:r>
        <w:rPr>
          <w:rFonts w:ascii="Times New Roman" w:hAnsi="Times New Roman"/>
          <w:sz w:val="20"/>
        </w:rPr>
        <w:t xml:space="preserve">.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 </w:t>
      </w:r>
    </w:p>
    <w:p>
      <w:pPr>
        <w:pStyle w:val="TextBody"/>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made or obtained, including under the 1933 Act, the 1933 Act Regulations,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 </w:t>
      </w:r>
    </w:p>
    <w:p>
      <w:pPr>
        <w:pStyle w:val="TextBody"/>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Descriptions of Adviser and Administrator</w:t>
      </w:r>
      <w:r>
        <w:rPr>
          <w:rFonts w:ascii="Times New Roman" w:hAnsi="Times New Roman"/>
          <w:sz w:val="20"/>
        </w:rPr>
        <w:t xml:space="preserve">. The descriptions of the Adviser and the Administrator contained in the Registration Statement and the Prospectus does not contain any untrue statement of a material fact or omit to state a material fact required to be stated therein or necessary to make the statements therein, in the light of the circumstances under which they were made, not misleading. </w:t>
      </w:r>
    </w:p>
    <w:p>
      <w:pPr>
        <w:pStyle w:val="TextBody"/>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Possession of Licenses and Permits</w:t>
      </w:r>
      <w:r>
        <w:rPr>
          <w:rFonts w:ascii="Times New Roman" w:hAnsi="Times New Roman"/>
          <w:sz w:val="20"/>
        </w:rPr>
        <w:t xml:space="preserve">.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 Each of the Adviser and the Administrator is in compliance with the terms and conditions of all such Governmental Licenses, except where the failure so to comply would not reasonably be expected, singly or in the aggregate, to result in an 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 </w:t>
      </w:r>
    </w:p>
    <w:p>
      <w:pPr>
        <w:pStyle w:val="TextBody"/>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Stabilization and Manipulation</w:t>
      </w:r>
      <w:r>
        <w:rPr>
          <w:rFonts w:ascii="Times New Roman" w:hAnsi="Times New Roman"/>
          <w:sz w:val="20"/>
        </w:rPr>
        <w:t xml:space="preserve">. Neither the Adviser nor the Administrator has taken, nor will take, directly or indirectly, without giving effect to any activities by the Sales Agent, any action designed, or that would reasonably be expected, to cause or result in, or which constitutes, the stabilization or manipulation of the price of the Securities, other than activity permitted pursuant to Rule 10b-18 under the 1934 Act. </w:t>
      </w:r>
    </w:p>
    <w:p>
      <w:pPr>
        <w:pStyle w:val="TextBody"/>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Foreign Corrupt Practices Act</w:t>
      </w:r>
      <w:r>
        <w:rPr>
          <w:rFonts w:ascii="Times New Roman" w:hAnsi="Times New Roman"/>
          <w:sz w:val="20"/>
        </w:rPr>
        <w:t xml:space="preserve">. None of the Adviser, the Administrator or, to the knowledge of the Adviser or the Administrator, any director, officer or employee of the Adviser or the Administrator or any agent, controlled affiliate or other person acting on behalf of the Adviser or the Administrator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or the Administrator, the Adviser and the Administrator have conducted its business, in relation to the Company, in compliance with the FCPA and has instituted and maintain policies and procedures designed to ensure, and which are reasonably expected to continue to ensure, continued compliance therewith. </w:t>
      </w:r>
    </w:p>
    <w:p>
      <w:pPr>
        <w:pStyle w:val="TextBody"/>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Anti-Money Laundering Laws</w:t>
      </w:r>
      <w:r>
        <w:rPr>
          <w:rFonts w:ascii="Times New Roman" w:hAnsi="Times New Roman"/>
          <w:sz w:val="20"/>
        </w:rPr>
        <w:t xml:space="preserve">. The operations of the Adviser and the Administrator are and have been conducted at all times in compliance with applicable financial recordkeeping and reporting requirements of the Anti-Money Laundering Laws; and no action, suit or proceeding by or before any arbitrator, court, governmental body, regulatory body, administrative agency or other authority, body or agency having jurisdiction over the Adviser and the Administrator or any of their properties, assets or operations involving the Adviser or the Administrator with respect to the Anti-Money Laundering Laws is pending or, to the best knowledge of the Adviser or the Administrator, threatened.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OFAC</w:t>
      </w:r>
      <w:r>
        <w:rPr>
          <w:rFonts w:ascii="Times New Roman" w:hAnsi="Times New Roman"/>
          <w:sz w:val="20"/>
        </w:rPr>
        <w:t xml:space="preserve">. None of the Adviser, the Administrator or, to the knowledge of the Adviser or the Administrator, any director, officer or employee of the Adviser or the Administrator or any agent, controlled affiliate or other person acting on behalf of the Adviser or the Administrator is a Person, or is controlled by a Person that is, (i) currently the subject or target of Sanctions, or (ii) located, organized or resident in a country or territory that is itself the subject of comprehensive Sanctions (currently Belarus, Cuba, Iran, North Korea, Russia, Syria and Crimea, Donetsk and Luhansk regions of Ukraine). During the last five years, neither the Adviser nor the Administrator has knowingly engaged in, and is not now knowingly engaged in, any unauthorized dealings or transactions with any Person that at the time of the dealing or transaction is or was the subject or target of Sanctions. </w:t>
      </w:r>
    </w:p>
    <w:p>
      <w:pPr>
        <w:pStyle w:val="TextBody"/>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Key Employees</w:t>
      </w:r>
      <w:r>
        <w:rPr>
          <w:rFonts w:ascii="Times New Roman" w:hAnsi="Times New Roman"/>
          <w:sz w:val="20"/>
        </w:rPr>
        <w:t xml:space="preserve">.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 </w:t>
      </w:r>
    </w:p>
    <w:p>
      <w:pPr>
        <w:pStyle w:val="TextBody"/>
        <w:spacing w:before="12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No Labor Disputes</w:t>
      </w:r>
      <w:r>
        <w:rPr>
          <w:rFonts w:ascii="Times New Roman" w:hAnsi="Times New Roman"/>
          <w:sz w:val="20"/>
        </w:rPr>
        <w:t xml:space="preserve">.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Accounting Controls</w:t>
      </w:r>
      <w:r>
        <w:rPr>
          <w:rFonts w:ascii="Times New Roman" w:hAnsi="Times New Roman"/>
          <w:sz w:val="20"/>
        </w:rPr>
        <w:t xml:space="preserve">.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 </w:t>
      </w:r>
    </w:p>
    <w:p>
      <w:pPr>
        <w:pStyle w:val="TextBody"/>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Financial Resources</w:t>
      </w:r>
      <w:r>
        <w:rPr>
          <w:rFonts w:ascii="Times New Roman" w:hAnsi="Times New Roman"/>
          <w:sz w:val="20"/>
        </w:rPr>
        <w:t xml:space="preserve">. Each of the Adviser and the Administrator has the financial resources available to it necessary for the performance of its services and obligations as contemplated by the Registration Statement, the Prospectus and the Investment Management Agreement.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Officers Certificates</w:t>
      </w:r>
      <w:r>
        <w:rPr>
          <w:rFonts w:ascii="Times New Roman" w:hAnsi="Times New Roman"/>
          <w:sz w:val="20"/>
        </w:rPr>
        <w:t xml:space="preserve">. Any certificate signed by any officer of the Company, any of the Subsidiaries, the Adviser or the Administrator delivered to the Sales Agent or to counsel for the Sales Agent shall be deemed a representation and warranty by the Company, the Adviser or the Administrator, as applicable, to the Sales Agent as to the matters covered thereby. </w:t>
      </w:r>
    </w:p>
    <w:p>
      <w:pPr>
        <w:pStyle w:val="TextBody"/>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Sale and Delivery of Securities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On the basis of the representations, warranties and agreements herein contained, but subject to the terms and conditions herein set forth, the Company agrees to sell Securities from time to time through the Sales Agent, and the Sales Agent agrees to use its commercially reasonable efforts to sell, as sales agent for the Company, the Securities on the following terms. </w:t>
      </w:r>
    </w:p>
    <w:p>
      <w:pPr>
        <w:pStyle w:val="TextBody"/>
        <w:spacing w:before="120" w:after="0"/>
        <w:jc w:val="left"/>
        <w:rPr>
          <w:rFonts w:ascii="Times New Roman" w:hAnsi="Times New Roman"/>
          <w:sz w:val="20"/>
        </w:rPr>
      </w:pPr>
      <w:r>
        <w:rPr>
          <w:rFonts w:ascii="Times New Roman" w:hAnsi="Times New Roman"/>
          <w:sz w:val="20"/>
        </w:rPr>
        <w:t xml:space="preserve">(i) Each time that the Company wishes to sell Securities on any day that is a trading day for the New York Stock Exchange (a Trading Day) (other than a Trading Day on which the New York Stock Exchange is scheduled to close prior to its regular weekday closing time) pursuant to this Agreement (each, a Placement), the Company will instruct the Sales Agent in writing of the parameters in accordance with which it desires Securities to be sold, which shall at a minimum include the number of Securities to be offered, the time period during which sales are requested to be made, the minimum price below which sales may not be made and any limitation on the number of Securities that may be sold in any one day (a Placement Notice). The Sales Agent will, prior to 4:30 p.m. (New York City time) or, if later, within three hours after receipt of the Placement Notice, on the same business day (as defined below) on which such Placement Notice is delivered to the Sales Agent, issue to the Company a notice by email addressed to all of the Authorized Representatives (as defined below) confirming all of the parameters of the Placement. The Placement Notice shall be effective upon receipt by any of the Authorized Representatives of the email notice from the Sales Agent, unless and until (i) the entire amount of the Securities covered by the Placement Notice have been sold, (ii) in accordance with </w:t>
      </w:r>
      <w:r>
        <w:rPr>
          <w:rFonts w:ascii="Times New Roman" w:hAnsi="Times New Roman"/>
          <w:sz w:val="20"/>
          <w:u w:val="single"/>
        </w:rPr>
        <w:t>Section 2(a)(ii)</w:t>
      </w:r>
      <w:r>
        <w:rPr>
          <w:rFonts w:ascii="Times New Roman" w:hAnsi="Times New Roman"/>
          <w:sz w:val="20"/>
        </w:rPr>
        <w:t xml:space="preserve"> hereof, the Company or the Sales Agent suspends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or terminates the Placement Notice, (iii) the Company issues a subsequent Placement Notice with parameters superseding those on the earlier dated Placement Notice, or (iv) this Agreement has been terminated under the provisions of </w:t>
      </w:r>
      <w:r>
        <w:rPr>
          <w:rFonts w:ascii="Times New Roman" w:hAnsi="Times New Roman"/>
          <w:sz w:val="20"/>
          <w:u w:val="single"/>
        </w:rPr>
        <w:t>Section 9</w:t>
      </w:r>
      <w:r>
        <w:rPr>
          <w:rFonts w:ascii="Times New Roman" w:hAnsi="Times New Roman"/>
          <w:sz w:val="20"/>
        </w:rPr>
        <w:t xml:space="preserve">. Subject to the terms and conditions hereof, the Sales Agent shall use its commercially reasonable efforts to offer and sell all of the Securities designated in the Placement Notice; provided, however, that the Sales Agent shall have no obligation to offer or sell any Securities, and the Company acknowledges and agrees that the Sales Agent shall have no such obligation in the event an offer or sale of the Securities on behalf of the Company may in the judgment of the Sales Agent constitute the sale of a block under Rule 10b-18(a)(5) under the 1934 Act, or a distribution within the meaning of Rule 100 of Regulation M under the 1934 Act or the Sales Agent reasonably believes it may be deemed an underwriter under the 1933 Act in a transaction that is other than (A) by means of ordinary brokers transactions between members of the New York Stock Exchange that qualify for delivery of a Prospectus to the New York Stock Exchange in accordance with Rule 153 under the 1933 Act or (B) directly on or through an electronic communication network, a dark pool or any similar market venue (the transactions described in (A) and (B) are hereinafter referred to as At the Market Offerings). In the event of a conflict between the terms of this Agreement and the terms of any Placement Notice, the terms of such Placement Notice will control. </w:t>
      </w:r>
    </w:p>
    <w:p>
      <w:pPr>
        <w:pStyle w:val="TextBody"/>
        <w:spacing w:before="120" w:after="0"/>
        <w:jc w:val="left"/>
        <w:rPr>
          <w:rFonts w:ascii="Times New Roman" w:hAnsi="Times New Roman"/>
          <w:sz w:val="20"/>
        </w:rPr>
      </w:pPr>
      <w:r>
        <w:rPr>
          <w:rFonts w:ascii="Times New Roman" w:hAnsi="Times New Roman"/>
          <w:sz w:val="20"/>
        </w:rPr>
        <w:t xml:space="preserve">(ii) Notwithstanding the foregoing, the Company or the Sales Agent may, upon notice to the other party by telephone (confirmed promptly by electronic mail from such party), suspend the offering of the Securities pursuant to this Agreement or suspend or terminate a previously issued Placement Notice; provided, however, that such suspension or termination shall not affect or impair the parties respective obligations with respect to the Securities sold hereunder prior to the giving of such notice. Each of the parties agrees that no such notice shall be effective against the other unless it is made to one of its authorized representatives as set forth on Schedule B hereto (the Authorized Representatives), as such Schedule may be amended from time to time. </w:t>
      </w:r>
    </w:p>
    <w:p>
      <w:pPr>
        <w:pStyle w:val="TextBody"/>
        <w:spacing w:before="120" w:after="0"/>
        <w:jc w:val="left"/>
        <w:rPr>
          <w:rFonts w:ascii="Times New Roman" w:hAnsi="Times New Roman"/>
          <w:sz w:val="20"/>
        </w:rPr>
      </w:pPr>
      <w:r>
        <w:rPr>
          <w:rFonts w:ascii="Times New Roman" w:hAnsi="Times New Roman"/>
          <w:sz w:val="20"/>
        </w:rPr>
        <w:t xml:space="preserve">(iii) The Sales Agent hereby covenants and agrees not to make any sales of the Securities on behalf of the Company, pursuant to this </w:t>
      </w:r>
      <w:r>
        <w:rPr>
          <w:rFonts w:ascii="Times New Roman" w:hAnsi="Times New Roman"/>
          <w:sz w:val="20"/>
          <w:u w:val="single"/>
        </w:rPr>
        <w:t>Section 2(a)</w:t>
      </w:r>
      <w:r>
        <w:rPr>
          <w:rFonts w:ascii="Times New Roman" w:hAnsi="Times New Roman"/>
          <w:sz w:val="20"/>
        </w:rPr>
        <w:t xml:space="preserve">, other than (A) by means of At the Market Offerings and (B) such other sales of the Securities on behalf of the Company in its capacity as agent of the Company as shall be agreed by the Company and the Sales Agent. </w:t>
      </w:r>
    </w:p>
    <w:p>
      <w:pPr>
        <w:pStyle w:val="TextBody"/>
        <w:spacing w:before="120" w:after="0"/>
        <w:jc w:val="left"/>
        <w:rPr>
          <w:rFonts w:ascii="Times New Roman" w:hAnsi="Times New Roman"/>
          <w:sz w:val="20"/>
        </w:rPr>
      </w:pPr>
      <w:r>
        <w:rPr>
          <w:rFonts w:ascii="Times New Roman" w:hAnsi="Times New Roman"/>
          <w:sz w:val="20"/>
        </w:rPr>
        <w:t xml:space="preserve">(iv) The gross sales price of any Securities sold pursuant to this Agreement by the Sales Agent, as an agent of the Company, shall be the market price prevailing at the time of sale for Securities sold by the Sales Agent on the New York Stock Exchange or otherwise, at prices related to prevailing market prices or, subject to specific instructions of the Company, at negotiated prices. The compensation to the Sales Agent, as an agent of the Company, for sales of the Securities shall be at a mutually agreed rate up to 2.0% of the gross sales price of the Securities sold pursuant to this </w:t>
      </w:r>
      <w:r>
        <w:rPr>
          <w:rFonts w:ascii="Times New Roman" w:hAnsi="Times New Roman"/>
          <w:sz w:val="20"/>
          <w:u w:val="single"/>
        </w:rPr>
        <w:t>Section 2(a)</w:t>
      </w:r>
      <w:r>
        <w:rPr>
          <w:rFonts w:ascii="Times New Roman" w:hAnsi="Times New Roman"/>
          <w:sz w:val="20"/>
        </w:rPr>
        <w:t xml:space="preserve">. The foregoing rate of compensation shall not apply when the Sales Agent acts as principal, in which case the Company may sell Securities to the Sales Agent as principal at a price agreed upon at the relevant applicable time pursuant to a separate agreement (each, a Terms Agreement) relating to such sale. The remaining proceeds, after further deduction for any transaction fees imposed by any governmental or self-regulatory organization in connection with such sales, shall constitute the net proceeds to the Company for such Securities (the Net Proceeds). The Sales Agent shall notify the Company as promptly as practicable if any deduction referenced in the preceding sentence will be made.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 The Sales Agent shall provide written confirmation to the Company as soon as practicable following the close of trading on the New York Stock Exchange each day on which the Securities are sold under this </w:t>
      </w:r>
      <w:r>
        <w:rPr>
          <w:rFonts w:ascii="Times New Roman" w:hAnsi="Times New Roman"/>
          <w:sz w:val="20"/>
          <w:u w:val="single"/>
        </w:rPr>
        <w:t>Section 2(a)</w:t>
      </w:r>
      <w:r>
        <w:rPr>
          <w:rFonts w:ascii="Times New Roman" w:hAnsi="Times New Roman"/>
          <w:sz w:val="20"/>
        </w:rPr>
        <w:t xml:space="preserve"> setting forth the aggregate amount of the Securities sold on such day, the aggregate Net Proceeds to the Company, and the aggregate compensation payable by the Company to the Sales Agent with respect to such sales. </w:t>
      </w:r>
    </w:p>
    <w:p>
      <w:pPr>
        <w:pStyle w:val="TextBody"/>
        <w:spacing w:before="120" w:after="0"/>
        <w:jc w:val="left"/>
        <w:rPr>
          <w:rFonts w:ascii="Times New Roman" w:hAnsi="Times New Roman"/>
          <w:sz w:val="20"/>
        </w:rPr>
      </w:pPr>
      <w:r>
        <w:rPr>
          <w:rFonts w:ascii="Times New Roman" w:hAnsi="Times New Roman"/>
          <w:sz w:val="20"/>
        </w:rPr>
        <w:t xml:space="preserve">(vi) Settlement for sales of the Securities pursuant to this </w:t>
      </w:r>
      <w:r>
        <w:rPr>
          <w:rFonts w:ascii="Times New Roman" w:hAnsi="Times New Roman"/>
          <w:sz w:val="20"/>
          <w:u w:val="single"/>
        </w:rPr>
        <w:t>Section 2(a)</w:t>
      </w:r>
      <w:r>
        <w:rPr>
          <w:rFonts w:ascii="Times New Roman" w:hAnsi="Times New Roman"/>
          <w:sz w:val="20"/>
        </w:rPr>
        <w:t xml:space="preserve"> will occur on the second Trading Day following the date on which such sales are made, unless another date shall be agreed upon by the Company and the Sales Agent (provided that, if such Trading Day is not a business day, then settlement will occur on the next succeeding Trading Day that is also a business day) (each such date, a Settlement Date). As used herein, the term business day means any day other than a Saturday, Sunday or other day on which commercial banks in The City of New York are authorized or required by law, regulation or executive order to close. On each Settlement Date, the Securities sold through the Sales Agent for settlement on such date shall be delivered by the Company (through its transfer agent) to the Sales Agent against payment of the Net Proceeds for the sale of such Securities. Settlement for all such Securities shall be effected by electronically transferring the Securities by the Company to the Sales Agents account, or to the account of the Sales Agents designee, at DTC through its Deposit and Withdrawal at Custodian System (DWAC) or by such other means of delivery as may be mutually agreed upon by the Company and the Sales Agent, which in all cases shall be freely tradable, transferable, registered shares eligible for delivery through DTC, in return for payments in same day funds delivered to the account designated by the Company. If the Company (or its transfer agent) shall default on its obligation to deliver the Securities on any Settlement Date, the Company shall (A) indemnify and hold the Sales Agent harmless against any loss, claim or damage arising from or as a result of such default by the Company and (B) pay the Sales Agent any commission to which it would otherwise be entitled absent such default. The Authorized Representatives, or any designees thereof as notified to the Sales Agent in writing, shall be the contact persons for the Company for all matters related to the settlement of the transfer of the Securities through DWAC for purposes of this </w:t>
      </w:r>
      <w:r>
        <w:rPr>
          <w:rFonts w:ascii="Times New Roman" w:hAnsi="Times New Roman"/>
          <w:sz w:val="20"/>
          <w:u w:val="single"/>
        </w:rPr>
        <w:t>Section 2(a)(vi)</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(vii) Any obligation of the Sales Agent to use its commercially reasonable efforts to sell the Securities on behalf of the Company shall be subject to the continuing accuracy of the representations and warranties of the Company, the Adviser and the Administrator, to the performance by the Company, the Adviser and the Administrator of their obligations hereunder and to the continuing satisfaction of the additional conditions specified in </w:t>
      </w:r>
      <w:r>
        <w:rPr>
          <w:rFonts w:ascii="Times New Roman" w:hAnsi="Times New Roman"/>
          <w:sz w:val="20"/>
          <w:u w:val="single"/>
        </w:rPr>
        <w:t>Section 3</w:t>
      </w:r>
      <w:r>
        <w:rPr>
          <w:rFonts w:ascii="Times New Roman" w:hAnsi="Times New Roman"/>
          <w:sz w:val="20"/>
        </w:rPr>
        <w:t xml:space="preserve"> of this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If the Company wishes to sell the Securities other than as set forth in </w:t>
      </w:r>
      <w:r>
        <w:rPr>
          <w:rFonts w:ascii="Times New Roman" w:hAnsi="Times New Roman"/>
          <w:sz w:val="20"/>
          <w:u w:val="single"/>
        </w:rPr>
        <w:t>Section 2(a)</w:t>
      </w:r>
      <w:r>
        <w:rPr>
          <w:rFonts w:ascii="Times New Roman" w:hAnsi="Times New Roman"/>
          <w:sz w:val="20"/>
        </w:rPr>
        <w:t xml:space="preserve"> of this Agreement, it may elect, in its sole discretion, to notify the Sales Agent of the proposed terms of such sale. If the Sales Agent, acting as principal, wishes to accept such proposed terms (which it may decline to do for any reason in its sole discretion) or, following discussions with the Company, wishes to accept amended terms, the Company will enter into a Terms Agreement setting forth the terms of such Placement. In the event of a conflict between the terms of this Agreement and the terms of any Terms Agreement, the terms of such Terms Agreement will control. For avoidance of doubt, nothing contained in this Agreement shall be construed to require the Company to engage the Sales Agent in connection with the offer and sale of any of its securities, including shares of the Common Stock, whether in connection with an underwritten offering or otherwise. </w:t>
      </w:r>
    </w:p>
    <w:p>
      <w:pPr>
        <w:pStyle w:val="TextBody"/>
        <w:spacing w:before="240" w:after="0"/>
        <w:jc w:val="left"/>
        <w:rPr>
          <w:rFonts w:ascii="Times New Roman" w:hAnsi="Times New Roman"/>
          <w:sz w:val="20"/>
        </w:rPr>
      </w:pPr>
      <w:r>
        <w:rPr>
          <w:rFonts w:ascii="Times New Roman" w:hAnsi="Times New Roman"/>
          <w:sz w:val="20"/>
        </w:rPr>
        <w:t xml:space="preserve">(c) In the event the Company engages the Sales Agent for a sale of Securities that would constitute the sale of a block under Rule 10b-18(a)(5) under the 1934 Act, or a distribution, within the meaning of Rule 100 of Regulation M under the 1934 Act, the Company and the Sales Agent will agree to compensation that is customary for the Sales Agent with respect to such transactions. </w:t>
      </w:r>
    </w:p>
    <w:p>
      <w:pPr>
        <w:pStyle w:val="TextBody"/>
        <w:spacing w:before="240" w:after="0"/>
        <w:jc w:val="left"/>
        <w:rPr>
          <w:rFonts w:ascii="Times New Roman" w:hAnsi="Times New Roman"/>
          <w:sz w:val="20"/>
        </w:rPr>
      </w:pPr>
      <w:r>
        <w:rPr>
          <w:rFonts w:ascii="Times New Roman" w:hAnsi="Times New Roman"/>
          <w:sz w:val="20"/>
        </w:rPr>
        <w:t xml:space="preserve">(d) Under no circumstances shall the Company cause or request the offer or sale of any Securities if, after giving effect to the sale of such Securities, the aggregate gross sales proceeds or the aggregate number of the Securities sold pursuant to this Agreement would exceed the amount available for offer and sale under the currently effective Registration Statement. </w:t>
      </w:r>
    </w:p>
    <w:p>
      <w:pPr>
        <w:pStyle w:val="TextBody"/>
        <w:spacing w:before="240" w:after="0"/>
        <w:jc w:val="left"/>
        <w:rPr>
          <w:rFonts w:ascii="Times New Roman" w:hAnsi="Times New Roman"/>
          <w:sz w:val="20"/>
        </w:rPr>
      </w:pPr>
      <w:r>
        <w:rPr>
          <w:rFonts w:ascii="Times New Roman" w:hAnsi="Times New Roman"/>
          <w:sz w:val="20"/>
        </w:rPr>
        <w:t xml:space="preserve">(e) If any party has reason to believe that the exemptive provisions set forth in Rule 101(c)(1) of Regulation M under the 1934 Act are not satisfied with respect to the Securities, it shall promptly notify the other parties and sales of the Securities under this Agreement shall be suspended until that or other exemptive provisions have been satisfied in the judgment of each party. Upon the reasonable request of the Company in writing to the Sales Agent (which such request may be by electronic mail), the Sales Agent shall promptly calculate and provide in writing to the Company a report setting forth, for the prior week, the average daily trading volume (as defined in Rule 100 of Regulation M under the 1934 Act) of the Common Stock. </w:t>
      </w:r>
    </w:p>
    <w:p>
      <w:pPr>
        <w:pStyle w:val="TextBody"/>
        <w:spacing w:before="240" w:after="0"/>
        <w:jc w:val="left"/>
        <w:rPr>
          <w:rFonts w:ascii="Times New Roman" w:hAnsi="Times New Roman"/>
          <w:sz w:val="20"/>
        </w:rPr>
      </w:pPr>
      <w:r>
        <w:rPr>
          <w:rFonts w:ascii="Times New Roman" w:hAnsi="Times New Roman"/>
          <w:sz w:val="20"/>
        </w:rPr>
        <w:t xml:space="preserve">(f) Each sale of the Securities to or through the Sales Agent shall be made in accordance with the terms of this Agreement or, if applicable, a Terms Agreement. The commitment of the Sales Agent to purchase the Securities pursuant to any Terms Agreement shall be deemed to have been made on the basis of the representations and warranties of the parties herein contained and shall be subject to the terms and conditions herein set forth. Each Terms Agreement shall specify the number of the Securities to be purchased by the Sales Agent pursuant thereto, the price to be paid to the Company for such Securities, any provisions relating to rights of, and default by, underwriters acting together with the Sales Agent in the reoffering of the Securities, any provisions relating to the granting of an option to purchase additional Securities for the purpose of covering over-allotments, and the time and date (each such time and date being referred to herein as a Date of Delivery) and place of delivery of and payment for such Securities. Such Terms Agreement shall also specify any requirements for opinions of counsel, accountants letters and officers certificates pursuant to </w:t>
      </w:r>
      <w:r>
        <w:rPr>
          <w:rFonts w:ascii="Times New Roman" w:hAnsi="Times New Roman"/>
          <w:sz w:val="20"/>
          <w:u w:val="single"/>
        </w:rPr>
        <w:t>Section 5</w:t>
      </w:r>
      <w:r>
        <w:rPr>
          <w:rFonts w:ascii="Times New Roman" w:hAnsi="Times New Roman"/>
          <w:sz w:val="20"/>
        </w:rPr>
        <w:t xml:space="preserve"> hereof and any other information or documents required by the Sales Agent.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 Subject to such further limitations on offers and sales of Securities or delivery of instructions to offer and sell Securities as are set forth herein and as may be mutually agreed upon by the Company and the Sales Agent offers and sales of Securities pursuant to this Agreement shall not be requested by the Company and need not be made by the Sales Agent at any time when or during any period in which the Company is in possession of material non-public information. </w:t>
      </w:r>
    </w:p>
    <w:p>
      <w:pPr>
        <w:pStyle w:val="TextBody"/>
        <w:spacing w:before="240" w:after="0"/>
        <w:jc w:val="left"/>
        <w:rPr>
          <w:rFonts w:ascii="Times New Roman" w:hAnsi="Times New Roman"/>
          <w:sz w:val="20"/>
        </w:rPr>
      </w:pPr>
      <w:r>
        <w:rPr>
          <w:rFonts w:ascii="Times New Roman" w:hAnsi="Times New Roman"/>
          <w:sz w:val="20"/>
        </w:rPr>
        <w:t xml:space="preserve">(h) The Company acknowledges and agrees that (A) there can be no assurance that the Sales Agent will be successful in selling the Securities, (B) the Sales Agent will not incur liability or obligation to the Company or any other person or entity if such Sales Agent does not sell Securities for any reason other than a failure by the Sales Agent to use its commercially reasonable efforts consistent with its normal trading and sales practices and applicable law and regulations to sell such Securities in accordance with the terms of this Agreement and (C) the Sales Agent shall not be under any obligation to purchase Securities on a principal basis pursuant to this Agreement, except as otherwise specifically agreed in writing by the Sales Agent and the Company. For purposes of clarification, the Sales Agent shall only be deemed to be acting as a sales agent under this Agreement during the period beginning with the delivery of a Placement Notice from the Company to the Sales Agent and ending upon the suspension or termination of such Placement Notice. </w:t>
      </w:r>
    </w:p>
    <w:p>
      <w:pPr>
        <w:pStyle w:val="TextBody"/>
        <w:spacing w:before="240" w:after="0"/>
        <w:jc w:val="left"/>
        <w:rPr>
          <w:rFonts w:ascii="Times New Roman" w:hAnsi="Times New Roman"/>
          <w:sz w:val="20"/>
        </w:rPr>
      </w:pPr>
      <w:r>
        <w:rPr>
          <w:rFonts w:ascii="Times New Roman" w:hAnsi="Times New Roman"/>
          <w:sz w:val="20"/>
        </w:rPr>
        <w:t xml:space="preserve">(i) The Company agrees that, during the term of this Agreement, any offer to sell, any solicitation of an offer to buy, or any sales of Securities or sales of Common Stock pursuant to any At the Market Offering (as defined herein and within the meaning of Rule 415(a)(4) under the 1933 Act) shall only be effected by or through the Sales Agent or any Other Agent. Notwithstanding the foregoing or anything to the contrary in this Agreement, during the term of this Agreement, any offer to sell, any solicitation of an offer to buy, or any sales of Securities or sales of Common Stock that do not constitute an At the Market Offering (as defined herein and within the meaning of Rule 415(a)(4) under the 1933 Act), including any underwritten offering or private placement transaction exempt from the requirements of the 1933 Act, may be effected by the Company by or through any person or entity in the Companys sole discretion. </w:t>
      </w:r>
    </w:p>
    <w:p>
      <w:pPr>
        <w:pStyle w:val="TextBody"/>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Covenants of the Company</w:t>
      </w:r>
      <w:r>
        <w:rPr>
          <w:rFonts w:ascii="Times New Roman" w:hAnsi="Times New Roman"/>
          <w:sz w:val="20"/>
        </w:rPr>
        <w:t xml:space="preserve">. The Company covenants with the Sales Agent as follows: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with Securities Regulations and Commission Requests</w:t>
      </w:r>
      <w:r>
        <w:rPr>
          <w:rFonts w:ascii="Times New Roman" w:hAnsi="Times New Roman"/>
          <w:sz w:val="20"/>
        </w:rPr>
        <w:t xml:space="preserve">. The Company, subject to </w:t>
      </w:r>
      <w:r>
        <w:rPr>
          <w:rFonts w:ascii="Times New Roman" w:hAnsi="Times New Roman"/>
          <w:sz w:val="20"/>
          <w:u w:val="single"/>
        </w:rPr>
        <w:t>Section 3(c)</w:t>
      </w:r>
      <w:r>
        <w:rPr>
          <w:rFonts w:ascii="Times New Roman" w:hAnsi="Times New Roman"/>
          <w:sz w:val="20"/>
        </w:rPr>
        <w:t xml:space="preserve">, will comply with the requirements of Rule 415, Rule 430B, Rule 497 and Rule 424(b), and will notify the Sales Agent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and Rule 497 within the time period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required by Rule 424(b) or Rule 497, as applicable, and will take such steps as it deems necessary 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Filing of Amendments</w:t>
      </w:r>
      <w:r>
        <w:rPr>
          <w:rFonts w:ascii="Times New Roman" w:hAnsi="Times New Roman"/>
          <w:sz w:val="20"/>
        </w:rPr>
        <w:t xml:space="preserve">. The Company will give the Sales Agent notice of its intention to file or prepare any amendment to the Registration Statement (including any filing under Rule 462(b)) or to the Prospectus and will furnish the Sales Agent with copies of any such documents within a reasonable amount of time prior to such proposed filing or use, as the case may be, and will not file or use any such document to which the Sales Agent or counsel for the Sales Agent shall object. The Company shall give the Sales Agent notice of its intention to make any filings pursuant to the 1934 Act or the 1934 Rules and Regulations within 48 hours prior to the Applicable Time and will furnish the Sales Agent with copies of any such documents a reasonable amount of time prior to such proposed filing, as the case may be, and will not file or use any such document to which the Sales Agent or counsel for the Sales Agent shall reasonably object.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Continued Compliance with Securities Laws</w:t>
      </w:r>
      <w:r>
        <w:rPr>
          <w:rFonts w:ascii="Times New Roman" w:hAnsi="Times New Roman"/>
          <w:sz w:val="20"/>
        </w:rPr>
        <w:t xml:space="preserve">. The Company will use its commercially reasonable efforts to comply with the 1933 Act and the 1933 Act Regulations so as to permit the completion of the distribution of the Securities as contemplated in this Agreement and in the Registration Statement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Sales Agent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Prospectus in order that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Prospectus, as the case may be, in order to comply with the requirements of the 1933 Act or the 1933 Act Regulations, the Company will promptly (A) give the Sales Agent notice of such event, (B) prepare any amendment or supplement as may be necessary to correct such statement or omission or to make the Registration Statement or the Prospectus comply with such requirements and, a reasonable amount of time prior to any proposed filing or use, furnish the Sales Agent with copies of any such amendment or supplement and (C) file with the Commission any such amendment or supplement. The Company will furnish to the Sales Agent such number of copies of such amendment or supplement as the Sales Agent may reasonably request. The Company has given the Sales Agent notice of any filings made pursuant to the 1934 Act or 1934 Act Regulations within 48 hours prior to the Applicable Time; the Company shall give the Sales Agent notice of its intention to make any such filing and shall furnish the Sales Agent with copies of any such documents a reasonable amount of time prior to such proposed filing or use, as the case may be.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Delivery of Commission Filings</w:t>
      </w:r>
      <w:r>
        <w:rPr>
          <w:rFonts w:ascii="Times New Roman" w:hAnsi="Times New Roman"/>
          <w:sz w:val="20"/>
        </w:rPr>
        <w:t xml:space="preserve">. The Company has furnished or, upon written request of the Sales Agent, shall deliver to the Sales Agent and counsel for the Sales Agent, without charge, conformed copies of the Registration Statement, as originally filed, and of each amendment thereto (including exhibits filed therewith) and conformed copies of all consents and certificates of experts, and will also deliver to the Sales Agent, without charge, a conformed copy of the Registration Statement as originally filed and of each amendment thereto (without exhibits) for the Sales Agent. The copies of the Registration Statement and each amendment thereto furnished to the Sales Agent will be identical to the electronically transmitted copies thereof filed with the Commission pursuant to EDGAR, except to the extent permitted by Regulation S-T.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Delivery of Prospectuses</w:t>
      </w:r>
      <w:r>
        <w:rPr>
          <w:rFonts w:ascii="Times New Roman" w:hAnsi="Times New Roman"/>
          <w:sz w:val="20"/>
        </w:rPr>
        <w:t xml:space="preserve">. The Company will furnish to the Sales Agent, without charge, during the period when a prospectus relating to the Securities is required to be delivered under the 1933 Act, such number of copies of the Prospectus (as amended or supplemented) as the Sales Agent may reasonably request. The Prospectus and any amendments or supplements thereto furnished to the Sales Agent will be identical to the electronically transmitted copies thereof filed with the Commission pursuant to EDGAR, except to the extent permitted by Regulation S-T.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Blue Sky Qualifications</w:t>
      </w:r>
      <w:r>
        <w:rPr>
          <w:rFonts w:ascii="Times New Roman" w:hAnsi="Times New Roman"/>
          <w:sz w:val="20"/>
        </w:rPr>
        <w:t xml:space="preserve">. The Company will use its commercially reasonable efforts, in cooperation with the Sales Agent, to qualify the Securities for offering and sale under the applicable securities laws of such states and other jurisdictions (domestic or foreign) as the Sales Agent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p>
      <w:pPr>
        <w:pStyle w:val="TextBody"/>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Rule</w:t>
      </w:r>
      <w:r>
        <w:rPr>
          <w:rFonts w:ascii="Times New Roman" w:hAnsi="Times New Roman"/>
          <w:sz w:val="20"/>
        </w:rPr>
        <w:t> </w:t>
      </w:r>
      <w:r>
        <w:rPr>
          <w:rFonts w:ascii="Times New Roman" w:hAnsi="Times New Roman"/>
          <w:i/>
          <w:sz w:val="20"/>
        </w:rPr>
        <w:t>158</w:t>
      </w:r>
      <w:r>
        <w:rPr>
          <w:rFonts w:ascii="Times New Roman" w:hAnsi="Times New Roman"/>
          <w:sz w:val="20"/>
        </w:rPr>
        <w:t xml:space="preserve">. The Company will make generally available to its securityholders as soon as practicable an earnings statement that satisfies the provisions 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 </w:t>
      </w:r>
    </w:p>
    <w:p>
      <w:pPr>
        <w:pStyle w:val="TextBody"/>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Listing</w:t>
      </w:r>
      <w:r>
        <w:rPr>
          <w:rFonts w:ascii="Times New Roman" w:hAnsi="Times New Roman"/>
          <w:sz w:val="20"/>
        </w:rPr>
        <w:t xml:space="preserve">. The Company will use its commercially reasonable best efforts to maintain the listing of the Common Stock (including the Securities) on the New York Stock Exchange. </w:t>
      </w:r>
    </w:p>
    <w:p>
      <w:pPr>
        <w:pStyle w:val="TextBody"/>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DTC. </w:t>
      </w:r>
      <w:r>
        <w:rPr>
          <w:rFonts w:ascii="Times New Roman" w:hAnsi="Times New Roman"/>
          <w:sz w:val="20"/>
        </w:rPr>
        <w:t xml:space="preserve">The Company will cooperate with the Sales Agent and use its commercially reasonable efforts to permit the offered Securities to be eligible for clearance and settlement through the facilities of DTC.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Use of Proceeds; OFAC</w:t>
      </w:r>
      <w:r>
        <w:rPr>
          <w:rFonts w:ascii="Times New Roman" w:hAnsi="Times New Roman"/>
          <w:sz w:val="20"/>
        </w:rPr>
        <w:t xml:space="preserve">. The Company will use the net proceeds received by it from the sale of the Securities in the manner specified in the Registration Statement and the Prospectus under Use of Proceeds. The Company will not directly or, to its knowledge,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 </w:t>
      </w:r>
    </w:p>
    <w:p>
      <w:pPr>
        <w:pStyle w:val="TextBody"/>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Reporting Requirements</w:t>
      </w:r>
      <w:r>
        <w:rPr>
          <w:rFonts w:ascii="Times New Roman" w:hAnsi="Times New Roman"/>
          <w:sz w:val="20"/>
        </w:rPr>
        <w:t xml:space="preserve">. The Company, during the period when a Prospectus relating to the Securities is required to be delivered under the 1933 Act, will file all documents required to be filed with the Commission pursuant to the 1934 Act within the time periods required by the 1934 Act and 1934 Act Regulations. </w:t>
      </w:r>
    </w:p>
    <w:p>
      <w:pPr>
        <w:pStyle w:val="TextBody"/>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Business Development Company Status</w:t>
      </w:r>
      <w:r>
        <w:rPr>
          <w:rFonts w:ascii="Times New Roman" w:hAnsi="Times New Roman"/>
          <w:sz w:val="20"/>
        </w:rPr>
        <w:t xml:space="preserve">. The Company will use its commercially reasonable efforts to maintain its status as a business development company; provided, however, the Company may cease to be, or withdraw its election as, a business development company, with the approval of the board of directors and a vote of stockholders as required by Section 58 of the 1940 Act or any successor provision. </w:t>
      </w:r>
    </w:p>
    <w:p>
      <w:pPr>
        <w:pStyle w:val="TextBody"/>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Regulated Investment Company Status</w:t>
      </w:r>
      <w:r>
        <w:rPr>
          <w:rFonts w:ascii="Times New Roman" w:hAnsi="Times New Roman"/>
          <w:sz w:val="20"/>
        </w:rPr>
        <w:t xml:space="preserve">. The Company will use its commercially reasonable efforts to maintain its qualification as a regulated investment company under Subchapter M of the Code for each full fiscal year during which it is a business development company under the 1940 Act. </w:t>
      </w:r>
    </w:p>
    <w:p>
      <w:pPr>
        <w:pStyle w:val="TextBody"/>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Annual Compliance Reviews</w:t>
      </w:r>
      <w:r>
        <w:rPr>
          <w:rFonts w:ascii="Times New Roman" w:hAnsi="Times New Roman"/>
          <w:sz w:val="20"/>
        </w:rPr>
        <w:t xml:space="preserve">. The Company will retain qualified accountants and qualified tax experts to (i) test procedures and conduct annual 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 </w:t>
      </w:r>
    </w:p>
    <w:p>
      <w:pPr>
        <w:pStyle w:val="TextBody"/>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Accounting Controls</w:t>
      </w:r>
      <w:r>
        <w:rPr>
          <w:rFonts w:ascii="Times New Roman" w:hAnsi="Times New Roman"/>
          <w:sz w:val="20"/>
        </w:rPr>
        <w:t xml:space="preserve">. The Company will use commercially reasonable efforts to establish and maintain a system of internal accounting controls 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Disclosure Controls</w:t>
      </w:r>
      <w:r>
        <w:rPr>
          <w:rFonts w:ascii="Times New Roman" w:hAnsi="Times New Roman"/>
          <w:sz w:val="20"/>
        </w:rPr>
        <w:t xml:space="preserve">. The Company will use commercially reasonable efforts to establish and employ disclosure controls and procedures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w:t>
      </w:r>
    </w:p>
    <w:p>
      <w:pPr>
        <w:pStyle w:val="TextBody"/>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Issuer Free Writing Prospectus</w:t>
      </w:r>
      <w:r>
        <w:rPr>
          <w:rFonts w:ascii="Times New Roman" w:hAnsi="Times New Roman"/>
          <w:sz w:val="20"/>
        </w:rPr>
        <w:t xml:space="preserve">. The Company represents and agrees that, without the prior consent of the Sales Agent (i) it will not distribute any offering material other than the Registration Statement or the Prospectus, and (ii) it has not made and will not make any offer relating to the Securities that would constitute a free writing prospectus as defined in Rule 405 under the 1933 Act,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 </w:t>
      </w:r>
    </w:p>
    <w:p>
      <w:pPr>
        <w:pStyle w:val="TextBody"/>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Due Diligence Matters. </w:t>
      </w:r>
      <w:r>
        <w:rPr>
          <w:rFonts w:ascii="Times New Roman" w:hAnsi="Times New Roman"/>
          <w:sz w:val="20"/>
        </w:rPr>
        <w:t xml:space="preserve">The Company will cooperate with any reasonable due diligence review conducted by the Sales Agent or its respective agents in connection with the transactions contemplated hereby, including, without limitation, providing information and making available documents and senior officers, during regular business hours and at the Companys principal offices, as either Agent may reasonably request. The parties acknowledge that the due diligence review contemplated by this Section 2(r) will include, without limitation, during the term of this Agreement a quarterly diligence conference to occur within five business days after each 10-Q filing or 10-K filing whereby the Company will make its senior corporate officers available to address diligence inquiries of the Sales Agent and will provide such additional information and documents as the Sales Agent may reasonably request. </w:t>
      </w:r>
    </w:p>
    <w:p>
      <w:pPr>
        <w:pStyle w:val="TextBody"/>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No Stabilization. </w:t>
      </w:r>
      <w:r>
        <w:rPr>
          <w:rFonts w:ascii="Times New Roman" w:hAnsi="Times New Roman"/>
          <w:sz w:val="20"/>
        </w:rPr>
        <w:t xml:space="preserve">The Company will not take, directly or indirectly, any action designed to or that could reasonably be expected to cause or result in any stabilization or manipulation of the price of the Securities. </w:t>
      </w:r>
    </w:p>
    <w:p>
      <w:pPr>
        <w:pStyle w:val="TextBody"/>
        <w:spacing w:before="240" w:after="0"/>
        <w:jc w:val="left"/>
        <w:rPr>
          <w:rFonts w:ascii="Times New Roman" w:hAnsi="Times New Roman"/>
          <w:sz w:val="20"/>
        </w:rPr>
      </w:pPr>
      <w:r>
        <w:rPr>
          <w:rFonts w:ascii="Times New Roman" w:hAnsi="Times New Roman"/>
          <w:sz w:val="20"/>
        </w:rPr>
        <w:t xml:space="preserve">(t) The Company agrees that any offer to sell, any solicitation of an offer to buy, or any sales of Securities pursuant to this Agreement, the Sales Agreement or any Terms Agreement shall only be effected by or through only one of Agent or any Other Agent, as applicable, at any given time as determined by the Company, but in no event by more than one of them, and the Company shall in no event request that more than one of Agent or any Other Agent sell Securities during such time period. </w:t>
      </w:r>
    </w:p>
    <w:p>
      <w:pPr>
        <w:pStyle w:val="TextBody"/>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 of Expenses</w:t>
      </w:r>
      <w:r>
        <w:rPr>
          <w:rFonts w:ascii="Times New Roman" w:hAnsi="Times New Roman"/>
          <w:sz w:val="20"/>
        </w:rPr>
        <w:t xml:space="preserve">. The Company shall pay or cause to be paid all expenses incident to the performance of its obligations under this Agreement, including (i) the preparation and filing of the Registration Statement, the Prospectus and any amendments or supplements thereto, and the printing and furnishing of copies of each thereof to the Sales Agent (including costs of mailing and shipment), (ii) the printing and delivery to the Sales Agent of this Agreement and such other documents as may be required in connection with the offering,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purchase, sale or delivery of the Securities, (iii) the delivery of Securities to the Sales Agent, including any stock or other transfer taxes and any stamp or other duties payable upon the sale or delivery of the Securities to the Sales Agent, (iv) the fees and disbursements of the Companys counsel, accountants and other advisors, (v) the qualification of the Securities under securities laws in accordance with the provisions of this Agreement, including filing fees and the reasonable fees and disbursements of counsel for the Sales Agent in connection therewith and in connection with the preparation of blue sky surveys and any supplement thereto, (vi) the printing and delivery to the Sales Agent of copies of the Prospectus and any amendments or supplements thereto, (vii) the preparation and delivery to the Sales Agent of copies of the blue sky survey, if any, and any supplement thereto, (viii) the fees and expenses of any transfer agent or registrar for the Securities, (ix) the reasonable legal fees and expenses of counsel to the Sales Agent in connection with their performance under this Agreement, in an aggregate amount of $40,000 in connection with the entry into this Agreement and the Sales Agreement and up to $7,500 per fiscal quarter during the term of this Agreement and the Sales Agreement, which amount shall include legal fees and expenses relating to the review by FINRA of the terms of the sale of the Securities and (x) the filing fees incident to the review by FINRA of the terms of the sale of the Securities. Except as set forth herein, the Sales Agent will pay all of its other out-of-pocket costs and expenses incurred in connection with entering into this Agreement and the transactions contemplated by this Agreement, including, without limitation, travel and similar expenses, whether or not the transactions contemplated hereby are consummated or this Agreement is terminated. </w:t>
      </w:r>
    </w:p>
    <w:p>
      <w:pPr>
        <w:pStyle w:val="TextBody"/>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Conditions of the Sales Agents Obligations</w:t>
      </w:r>
      <w:r>
        <w:rPr>
          <w:rFonts w:ascii="Times New Roman" w:hAnsi="Times New Roman"/>
          <w:sz w:val="20"/>
        </w:rPr>
        <w:t xml:space="preserve">. The obligations of the Sales Agent hereunder are subject to the accuracy of the representations and warranties of the Company, the Adviser and the Administrator contained herein or in certificates of any officer of the Company, any of the Subsidiaries, the Adviser or the Administrator delivered pursuant to the provisions hereof, to the performance by the Company, the Adviser and the Administrator of their respective covenants and other obligations hereunder, and to the following further conditions: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Statement</w:t>
      </w:r>
      <w:r>
        <w:rPr>
          <w:rFonts w:ascii="Times New Roman" w:hAnsi="Times New Roman"/>
          <w:sz w:val="20"/>
        </w:rPr>
        <w:t xml:space="preserve">. No stop order suspending the effectiveness of the Registration Statement or any post-effective amendment thereto has been issued under the 1933 Act, no order preventing or suspending the use of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 Rule 433(d).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Opinions of Counsel for the Company, the Adviser and the Administrator</w:t>
      </w:r>
      <w:r>
        <w:rPr>
          <w:rFonts w:ascii="Times New Roman" w:hAnsi="Times New Roman"/>
          <w:sz w:val="20"/>
        </w:rPr>
        <w:t xml:space="preserve">. Within five business days after (i) each date on which the Company files a quarterly report on Form 10-Q or an annual report on Form 10-K, (ii) each date on which Securities are delivered to the Sales Agent pursuant to a Terms Agreement, or (iii) such date as the Sales Agent may reasonably request (the date of commencement of the offering of the Securities under this Agreement, the date of commencement of the offering of the Securities under this Agreement following the termination of a Suspension Period and each date referred to in subclauses (i), (ii) and (iii) above, each a Representation Date), the Sales Agent shall have received the favorable opinions, dated the Representation Date, of Dechert LLP, counsel for the Company, the Adviser and the Administrator, and of Venable LLP, counsel for the Company, in form and substance reasonably satisfactory to counsel for the Sales Agent. Such counsels may state that insofar as such opinions involve factual matters, they have relied, to the extent they deem proper, upon certificates of officers of the Company and the Subsidiaries, the Adviser and the Administrator and certificates of public officials.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Opinion of Counsel for the Sales Agent</w:t>
      </w:r>
      <w:r>
        <w:rPr>
          <w:rFonts w:ascii="Times New Roman" w:hAnsi="Times New Roman"/>
          <w:sz w:val="20"/>
        </w:rPr>
        <w:t xml:space="preserve">. Within five business days after each Representation Date, the Sales Agent shall have received the favorable opinion, dated the Representation Date, of Kirkland &amp; Ellis LLP, counsel for the Sales Agent. Such counsel may also state that, insofar as such opinion involves factual matters, they have relied, to the extent they deem proper, upon certificates of officers and other representatives of the Company, the Subsidiaries, the Adviser and the Administrator and certificates of public officials.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Officers</w:t>
      </w:r>
      <w:r>
        <w:rPr>
          <w:rFonts w:ascii="Times New Roman" w:hAnsi="Times New Roman"/>
          <w:sz w:val="20"/>
        </w:rPr>
        <w:t xml:space="preserve"> </w:t>
      </w:r>
      <w:r>
        <w:rPr>
          <w:rFonts w:ascii="Times New Roman" w:hAnsi="Times New Roman"/>
          <w:i/>
          <w:sz w:val="20"/>
        </w:rPr>
        <w:t>Certificates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Within five business days after each Representation Date, there shall not have been, since the date hereof or since the respective dates as of which information is given in the Registration Statement, or the Prospectus, any material adverse change in the business, properties, management, financial condition, prospects or results of operations of the Company and the Subsidiaries considered as one enterprise, whether or not arising in the ordinary course of business, and the Sales Agent shall have received a certificate of the chief executive officer or the president of the Company and of the chief financial or chief accounting officer of the Company, dated the Representation Date, to the effect that (A) there has been no such material adverse change, (B) the representations and warranties of the Company in </w:t>
      </w:r>
      <w:r>
        <w:rPr>
          <w:rFonts w:ascii="Times New Roman" w:hAnsi="Times New Roman"/>
          <w:sz w:val="20"/>
          <w:u w:val="single"/>
        </w:rPr>
        <w:t>Section 1(a)</w:t>
      </w:r>
      <w:r>
        <w:rPr>
          <w:rFonts w:ascii="Times New Roman" w:hAnsi="Times New Roman"/>
          <w:sz w:val="20"/>
        </w:rPr>
        <w:t xml:space="preserve"> of this Agreement are true and correct with the same force and effect as though expressly made at and as of the Representation Date, (C) the Company has complied with all agreements and satisfied all conditions on its part to be performed or satisfied at or prior to the Representation Date, and (D) no stop order suspending the effectiveness of the Registration Statement under the 1933 Act has been issued, no order preventing or suspending the use of the Prospectus has been issued and no proceedings for any of those purposes have been instituted or are pending or, to their knowledge, contemplated by the Commission. </w:t>
      </w:r>
    </w:p>
    <w:p>
      <w:pPr>
        <w:pStyle w:val="TextBody"/>
        <w:spacing w:before="120" w:after="0"/>
        <w:jc w:val="left"/>
        <w:rPr>
          <w:rFonts w:ascii="Times New Roman" w:hAnsi="Times New Roman"/>
          <w:sz w:val="20"/>
        </w:rPr>
      </w:pPr>
      <w:r>
        <w:rPr>
          <w:rFonts w:ascii="Times New Roman" w:hAnsi="Times New Roman"/>
          <w:sz w:val="20"/>
        </w:rPr>
        <w:t xml:space="preserve">(ii) Within five business days after each Representation Date, there shall not have been, since the date hereof or since the respective dates as of which information is given in the Prospectus, an Adviser/Administrator Material Adverse Effect, and the Sales Agent shall have received certificates of the managing member of each of the Adviser and the Administrator, dated the Representation Date, to the effect that (A) there has been no such Adviser/Administrator Material Adverse Effect with respect to the Adviser or the Administrator, as applicable, (B) the representations and warranties of the Adviser or the Administrator, as applicable, in </w:t>
      </w:r>
      <w:r>
        <w:rPr>
          <w:rFonts w:ascii="Times New Roman" w:hAnsi="Times New Roman"/>
          <w:sz w:val="20"/>
          <w:u w:val="single"/>
        </w:rPr>
        <w:t>Section 1(b)</w:t>
      </w:r>
      <w:r>
        <w:rPr>
          <w:rFonts w:ascii="Times New Roman" w:hAnsi="Times New Roman"/>
          <w:sz w:val="20"/>
        </w:rPr>
        <w:t xml:space="preserve"> of this Agreement are true and correct with the same force and effect as though expressly made at and as of the Representation Date and (C) the Adviser or the Administrator, as applicable, has complied with all agreements and satisfied all conditions on their part to be performed or satisfied at or prior to the Representation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Accountants Comfort Letter</w:t>
      </w:r>
      <w:r>
        <w:rPr>
          <w:rFonts w:ascii="Times New Roman" w:hAnsi="Times New Roman"/>
          <w:sz w:val="20"/>
        </w:rPr>
        <w:t xml:space="preserve">. Within five business days after each Representation Date, the Sales Agent shall have received from RSM US LLP a letter, dated such date, in form and substance satisfactory to the Sales Agent, containing statements and information of the type ordinarily included in accountants comfort letters to underwriters with respect to the Companys financial statements and certain financial information included or incorporated by reference in the Registration Statement and the Prospectus.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Additional Documents</w:t>
      </w:r>
      <w:r>
        <w:rPr>
          <w:rFonts w:ascii="Times New Roman" w:hAnsi="Times New Roman"/>
          <w:sz w:val="20"/>
        </w:rPr>
        <w:t xml:space="preserve">. Within five business days after each Representation Date, counsel for the Sales Agent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the Adviser and the Administrator in connection with the issuance and sale of the Securities as herein contemplated shall be satisfactory in form and substance to the Sales Agent and counsel for the Sales Agent. </w:t>
      </w:r>
    </w:p>
    <w:p>
      <w:pPr>
        <w:pStyle w:val="TextBody"/>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Indemnification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Sales Agent by the Company, the Adviser and the Administrator</w:t>
      </w:r>
      <w:r>
        <w:rPr>
          <w:rFonts w:ascii="Times New Roman" w:hAnsi="Times New Roman"/>
          <w:sz w:val="20"/>
        </w:rPr>
        <w:t xml:space="preserve">. The Company, the Adviser and the Administrator, severally and not jointly, agree to indemnify and hold harmless the Sales Agent, its affiliates (as such term is defined in Rule 405 under the 1933 Act (each, an Affiliate)), its selling agents and each person, if any, who controls the Sales Agent within the meaning of Section 15 of the 1933 Act or Section 20 of the 1934 Act as follows: </w:t>
      </w:r>
    </w:p>
    <w:p>
      <w:pPr>
        <w:pStyle w:val="TextBody"/>
        <w:spacing w:before="120" w:after="0"/>
        <w:jc w:val="left"/>
        <w:rPr>
          <w:rFonts w:ascii="Times New Roman" w:hAnsi="Times New Roman"/>
          <w:sz w:val="20"/>
        </w:rPr>
      </w:pPr>
      <w:r>
        <w:rPr>
          <w:rFonts w:ascii="Times New Roman" w:hAnsi="Times New Roman"/>
          <w:sz w:val="20"/>
        </w:rPr>
        <w:t xml:space="preserve">(i) against any and all loss, liability, claim, damage and expense whatsoever, as incurred, arising out of any untrue statement or alleged untrue statement of a material fact contained in the Registration Statement (or any amendment thereto), including any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Issuer Free Writing Prospectus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Issuer Free Writing Prospectus, the Prospectus or any Marketing Materials of a material fact necessary in order to make the statements therein, in the light of the circumstances under which they were made, not misleading; </w:t>
      </w:r>
    </w:p>
    <w:p>
      <w:pPr>
        <w:pStyle w:val="TextBody"/>
        <w:spacing w:before="120" w:after="0"/>
        <w:jc w:val="left"/>
        <w:rPr>
          <w:rFonts w:ascii="Times New Roman" w:hAnsi="Times New Roman"/>
          <w:sz w:val="20"/>
        </w:rPr>
      </w:pPr>
      <w:r>
        <w:rPr>
          <w:rFonts w:ascii="Times New Roman" w:hAnsi="Times New Roman"/>
          <w:sz w:val="20"/>
        </w:rPr>
        <w:t xml:space="preserve">(ii)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 w:hAnsi="Times New Roman"/>
          <w:sz w:val="20"/>
          <w:u w:val="single"/>
        </w:rPr>
        <w:t>Section 6(d)</w:t>
      </w:r>
      <w:r>
        <w:rPr>
          <w:rFonts w:ascii="Times New Roman" w:hAnsi="Times New Roman"/>
          <w:sz w:val="20"/>
        </w:rPr>
        <w:t xml:space="preserve"> below) any such settlement is effected with the written consent of the Company;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(iii) against any and all expense whatsoever, as incurred (including the reasonably incurred and documented fees and disbursements of counsel chosen by the Sales Agent),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Rule 430B Information or the Prospectus (or any amendment or supplement thereto) in reliance upon and in conformity with the Sales Agent Information; and provided, further the Advisers indemnity shall only apply to statements described in (i) above regarding the Adviser and the Administrators indemnity shall apply only statements described in (i) above regarding the Administrator.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Company, Directors, Officers, Adviser and Administrator</w:t>
      </w:r>
      <w:r>
        <w:rPr>
          <w:rFonts w:ascii="Times New Roman" w:hAnsi="Times New Roman"/>
          <w:sz w:val="20"/>
        </w:rPr>
        <w:t xml:space="preserve">. The Sales Agent agrees to indemnify and hold harmless the Company, the Adviser, the Administrator their directors, each of the Companys officers who signed the Registration Statement and each person, if any, who controls the Company, the Adviser or the Administrator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Rule 430B Information, any Issuer Free Writing Prospectus or the Prospectus (or any amendment or supplement thereto) in reliance upon and in conformity with the Sales Agent Information.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Actions against Parties; Notification</w:t>
      </w:r>
      <w:r>
        <w:rPr>
          <w:rFonts w:ascii="Times New Roman" w:hAnsi="Times New Roman"/>
          <w:sz w:val="20"/>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w:t>
      </w:r>
      <w:r>
        <w:rPr>
          <w:rFonts w:ascii="Times New Roman" w:hAnsi="Times New Roman"/>
          <w:sz w:val="20"/>
          <w:u w:val="single"/>
        </w:rPr>
        <w:t>Section 6(a)</w:t>
      </w:r>
      <w:r>
        <w:rPr>
          <w:rFonts w:ascii="Times New Roman" w:hAnsi="Times New Roman"/>
          <w:sz w:val="20"/>
        </w:rPr>
        <w:t xml:space="preserve"> above, counsel to the indemnified parties shall be selected by the Sales Agent, and, in the case of parties indemnified pursuant to </w:t>
      </w:r>
      <w:r>
        <w:rPr>
          <w:rFonts w:ascii="Times New Roman" w:hAnsi="Times New Roman"/>
          <w:sz w:val="20"/>
          <w:u w:val="single"/>
        </w:rPr>
        <w:t>Section 6(b)</w:t>
      </w:r>
      <w:r>
        <w:rPr>
          <w:rFonts w:ascii="Times New Roman" w:hAnsi="Times New Roman"/>
          <w:sz w:val="20"/>
        </w:rPr>
        <w:t xml:space="preserve">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which indemnification or contribution could be sought under this </w:t>
      </w:r>
      <w:r>
        <w:rPr>
          <w:rFonts w:ascii="Times New Roman" w:hAnsi="Times New Roman"/>
          <w:sz w:val="20"/>
          <w:u w:val="single"/>
        </w:rPr>
        <w:t>Section 6</w:t>
      </w:r>
      <w:r>
        <w:rPr>
          <w:rFonts w:ascii="Times New Roman" w:hAnsi="Times New Roman"/>
          <w:sz w:val="20"/>
        </w:rPr>
        <w:t xml:space="preserve"> or </w:t>
      </w:r>
      <w:r>
        <w:rPr>
          <w:rFonts w:ascii="Times New Roman" w:hAnsi="Times New Roman"/>
          <w:sz w:val="20"/>
          <w:u w:val="single"/>
        </w:rPr>
        <w:t>Section 7</w:t>
      </w:r>
      <w:r>
        <w:rPr>
          <w:rFonts w:ascii="Times New Roman" w:hAnsi="Times New Roman"/>
          <w:sz w:val="20"/>
        </w:rPr>
        <w:t xml:space="preserve">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Settlement without Consent if Failure to Reimburse</w:t>
      </w:r>
      <w:r>
        <w:rPr>
          <w:rFonts w:ascii="Times New Roman" w:hAnsi="Times New Roman"/>
          <w:sz w:val="20"/>
        </w:rPr>
        <w:t xml:space="preserve">. If at any time an indemnified party shall have requested an indemnifying party to reimburse the indemnified party for fees and expenses of counsel, such indemnifying party agrees that it shall be liable for any settlement of the nature contemplated by </w:t>
      </w:r>
      <w:r>
        <w:rPr>
          <w:rFonts w:ascii="Times New Roman" w:hAnsi="Times New Roman"/>
          <w:sz w:val="20"/>
          <w:u w:val="single"/>
        </w:rPr>
        <w:t>Section 6(a)(ii)</w:t>
      </w:r>
      <w:r>
        <w:rPr>
          <w:rFonts w:ascii="Times New Roman" w:hAnsi="Times New Roman"/>
          <w:sz w:val="20"/>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w:t>
      </w:r>
    </w:p>
    <w:p>
      <w:pPr>
        <w:pStyle w:val="TextBody"/>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Contribution</w:t>
      </w:r>
      <w:r>
        <w:rPr>
          <w:rFonts w:ascii="Times New Roman" w:hAnsi="Times New Roman"/>
          <w:sz w:val="20"/>
        </w:rPr>
        <w:t xml:space="preserve">. If the indemnification provided for in </w:t>
      </w:r>
      <w:r>
        <w:rPr>
          <w:rFonts w:ascii="Times New Roman" w:hAnsi="Times New Roman"/>
          <w:sz w:val="20"/>
          <w:u w:val="single"/>
        </w:rPr>
        <w:t>Section 6</w:t>
      </w:r>
      <w:r>
        <w:rPr>
          <w:rFonts w:ascii="Times New Roman" w:hAnsi="Times New Roman"/>
          <w:sz w:val="20"/>
        </w:rPr>
        <w:t xml:space="preserve">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the Adviser and the Administrator, on the one hand, and the Sales Agent,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the Adviser and the Administrator, on the one hand, and of the Sales Agent, on the other hand, in connection with the statements or omissions which resulted in such losses, liabilities, claims, damages or expenses, as well as any other relevant equitable considerations. For the avoidance of doubt, the Advisers and the Administrators contribution agreement shall only apply to instances in which the Adviser or the Administrator has an indemnity obligation as described above in </w:t>
      </w:r>
      <w:r>
        <w:rPr>
          <w:rFonts w:ascii="Times New Roman" w:hAnsi="Times New Roman"/>
          <w:sz w:val="20"/>
          <w:u w:val="single"/>
        </w:rPr>
        <w:t>Section 6(a)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relative benefits received by the Company, the Adviser and the Administrator, on the one hand, and the Sales Agent,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commissions received by the Sales Agent, on the other hand, in each case as set forth on the cover of the Prospectus, bear to the aggregate Net Proceeds. </w:t>
      </w:r>
    </w:p>
    <w:p>
      <w:pPr>
        <w:pStyle w:val="TextBody"/>
        <w:spacing w:before="240" w:after="0"/>
        <w:jc w:val="left"/>
        <w:rPr>
          <w:rFonts w:ascii="Times New Roman" w:hAnsi="Times New Roman"/>
          <w:sz w:val="20"/>
        </w:rPr>
      </w:pPr>
      <w:r>
        <w:rPr>
          <w:rFonts w:ascii="Times New Roman" w:hAnsi="Times New Roman"/>
          <w:sz w:val="20"/>
        </w:rPr>
        <w:t xml:space="preserve">The relative fault of the Company, the Adviser and the Administrator, on the one hand, and the Sales Agent, on the other hand, shall be determined by reference to, among other things, whether any such untrue or alleged untrue statement of a material fact or omission or alleged omission to state a material fact relates to information supplied by the Company, the Adviser and the Administrator or by the Sales Agent and the parties relative intent, knowledge, access to information and opportunity to correct or prevent such statement or omission.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Company, the Adviser, the Administrator and the Sales Agent agree that it would not be just and equitable if contribution pursuant to this </w:t>
      </w:r>
      <w:r>
        <w:rPr>
          <w:rFonts w:ascii="Times New Roman" w:hAnsi="Times New Roman"/>
          <w:sz w:val="20"/>
          <w:u w:val="single"/>
        </w:rPr>
        <w:t>Section 7</w:t>
      </w:r>
      <w:r>
        <w:rPr>
          <w:rFonts w:ascii="Times New Roman" w:hAnsi="Times New Roman"/>
          <w:sz w:val="20"/>
        </w:rPr>
        <w:t xml:space="preserve"> were determined by pro rata allocation or by any other method of allocation which does not take account of the equitable considerations referred to above in this </w:t>
      </w:r>
      <w:r>
        <w:rPr>
          <w:rFonts w:ascii="Times New Roman" w:hAnsi="Times New Roman"/>
          <w:sz w:val="20"/>
          <w:u w:val="single"/>
        </w:rPr>
        <w:t>Section 7</w:t>
      </w:r>
      <w:r>
        <w:rPr>
          <w:rFonts w:ascii="Times New Roman" w:hAnsi="Times New Roman"/>
          <w:sz w:val="20"/>
        </w:rPr>
        <w:t xml:space="preserve">. The aggregate amount of losses, liabilities, claims, damages and expenses incurred by an indemnified party and referred to above in this </w:t>
      </w:r>
      <w:r>
        <w:rPr>
          <w:rFonts w:ascii="Times New Roman" w:hAnsi="Times New Roman"/>
          <w:sz w:val="20"/>
          <w:u w:val="single"/>
        </w:rPr>
        <w:t>Section 7</w:t>
      </w:r>
      <w:r>
        <w:rPr>
          <w:rFonts w:ascii="Times New Roman" w:hAnsi="Times New Roman"/>
          <w:sz w:val="20"/>
        </w:rPr>
        <w:t xml:space="preser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w:t>
      </w:r>
    </w:p>
    <w:p>
      <w:pPr>
        <w:pStyle w:val="TextBody"/>
        <w:spacing w:before="240" w:after="0"/>
        <w:jc w:val="left"/>
        <w:rPr>
          <w:rFonts w:ascii="Times New Roman" w:hAnsi="Times New Roman"/>
          <w:sz w:val="20"/>
        </w:rPr>
      </w:pPr>
      <w:r>
        <w:rPr>
          <w:rFonts w:ascii="Times New Roman" w:hAnsi="Times New Roman"/>
          <w:sz w:val="20"/>
        </w:rPr>
        <w:t xml:space="preserve">Notwithstanding the provisions of this </w:t>
      </w:r>
      <w:r>
        <w:rPr>
          <w:rFonts w:ascii="Times New Roman" w:hAnsi="Times New Roman"/>
          <w:sz w:val="20"/>
          <w:u w:val="single"/>
        </w:rPr>
        <w:t>Section 7</w:t>
      </w:r>
      <w:r>
        <w:rPr>
          <w:rFonts w:ascii="Times New Roman" w:hAnsi="Times New Roman"/>
          <w:sz w:val="20"/>
        </w:rPr>
        <w:t xml:space="preserve">, the Sales Agent shall not be required to contribute any amount in excess of the commissions received by the Sales Agent in connection with the Securities sold by it. </w:t>
      </w:r>
    </w:p>
    <w:p>
      <w:pPr>
        <w:pStyle w:val="TextBody"/>
        <w:spacing w:before="240" w:after="0"/>
        <w:jc w:val="left"/>
        <w:rPr>
          <w:rFonts w:ascii="Times New Roman" w:hAnsi="Times New Roman"/>
          <w:sz w:val="20"/>
        </w:rPr>
      </w:pPr>
      <w:r>
        <w:rPr>
          <w:rFonts w:ascii="Times New Roman" w:hAnsi="Times New Roman"/>
          <w:sz w:val="20"/>
        </w:rPr>
        <w:t xml:space="preserve">No person guilty of fraudulent misrepresentation (within the meaning of Section 11(f) of the 1933 Act) shall be entitled to contribution from any person who was not guilty of such fraudulent misrepresentation. </w:t>
      </w:r>
    </w:p>
    <w:p>
      <w:pPr>
        <w:pStyle w:val="TextBody"/>
        <w:spacing w:before="240" w:after="0"/>
        <w:jc w:val="left"/>
        <w:rPr>
          <w:rFonts w:ascii="Times New Roman" w:hAnsi="Times New Roman"/>
          <w:sz w:val="20"/>
        </w:rPr>
      </w:pPr>
      <w:r>
        <w:rPr>
          <w:rFonts w:ascii="Times New Roman" w:hAnsi="Times New Roman"/>
          <w:sz w:val="20"/>
        </w:rPr>
        <w:t xml:space="preserve">Notwithstanding anything in this Agreement to the contrary, any indemnification and contribution by the Company shall be subject to the requirements and limitations of Section 17(i) of the 1940 Act and any applicable guidance from the Commission or its staff thereunder. </w:t>
      </w:r>
    </w:p>
    <w:p>
      <w:pPr>
        <w:pStyle w:val="TextBody"/>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7</w:t>
      </w:r>
      <w:r>
        <w:rPr>
          <w:rFonts w:ascii="Times New Roman" w:hAnsi="Times New Roman"/>
          <w:sz w:val="20"/>
        </w:rPr>
        <w:t xml:space="preserve">, each person, if any, who controls the Sales Agent within the meaning of Section 15 of the 1933 Act or Section 20 of the 1934 Act and the Sales Agents Affiliates and selling agents shall have the same rights to contribution as the Sales Agent, and each director of the Company, each officer of the Company who signed the Registration Statement, and each person, if any, who controls the Company, the Adviser or the Administrator within the meaning of Section 15 of the 1933 Act or Section 20 of the 1934 Act shall have the same rights to contribution as the Company, the Adviser or the Administrator, as the case may be. </w:t>
      </w:r>
    </w:p>
    <w:p>
      <w:pPr>
        <w:pStyle w:val="TextBody"/>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Representations, Warranties and Agreements to Survive</w:t>
      </w:r>
      <w:r>
        <w:rPr>
          <w:rFonts w:ascii="Times New Roman" w:hAnsi="Times New Roman"/>
          <w:sz w:val="20"/>
        </w:rPr>
        <w:t xml:space="preserve">. All representations, warranties and agreements contained in this Agreement or in certificates of officers of the Company, any of the Subsidiaries, the Adviser or the Administrator submitted pursuant hereto, shall remain operative and in full force and effect regardless of (i) any investigation made by or on behalf of the Sales Agent or its Affiliates or selling agents, any person controlling the Sales Agent, its officers or directors or any person controlling the Company and (ii) delivery of and payment for the Securities. </w:t>
      </w:r>
    </w:p>
    <w:p>
      <w:pPr>
        <w:pStyle w:val="TextBody"/>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Termination of Agreement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Termination by the Company, the Adviser and the Administrator</w:t>
      </w:r>
      <w:r>
        <w:rPr>
          <w:rFonts w:ascii="Times New Roman" w:hAnsi="Times New Roman"/>
          <w:sz w:val="20"/>
        </w:rPr>
        <w:t xml:space="preserve">. The Company, the Adviser and the Administrator may terminate this Agreement, by giving one day advance notice to the Sales Agent, at any time.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by the Sales Agent</w:t>
      </w:r>
      <w:r>
        <w:rPr>
          <w:rFonts w:ascii="Times New Roman" w:hAnsi="Times New Roman"/>
          <w:sz w:val="20"/>
        </w:rPr>
        <w:t xml:space="preserve">. The Sales Agent may terminate this Agreement, by giving one day advance notice to the Company, at any time (i) if there has been, in the judgment of the Sales Agent, since the time of execution of this Agreement or since the respective dates as of which information is given in the Registration Statement or the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any material adverse change in the business, properties, management, financial condition, prospects or results of operations of the Company and the Subsidiaries taken as one enterprise or the Adviser or the Administrator, whether or not arising in the ordinary course of business, which would make it impracticable or inadvisable to proceed with the public offering or the delivery of the Securities on the terms and in the manner contemplated in the Registration Statement and the Prospectus,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 impracticable or inadvisable to proceed with the completion of the offering or to enforce contracts for the sale of the Securities, (iii) if trading in any securities of the Company has been suspended or materially limited by the Commission or New York Stock Exchange, (iv) if trading generally on the NYSE Amex or The New York Stock Exchange or The Nasdaq Stock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Liabilities</w:t>
      </w:r>
      <w:r>
        <w:rPr>
          <w:rFonts w:ascii="Times New Roman" w:hAnsi="Times New Roman"/>
          <w:sz w:val="20"/>
        </w:rPr>
        <w:t xml:space="preserve">. If this Agreement is terminated pursuant to this Section, such termination shall be without liability of any party to any other party except as provided in </w:t>
      </w:r>
      <w:r>
        <w:rPr>
          <w:rFonts w:ascii="Times New Roman" w:hAnsi="Times New Roman"/>
          <w:sz w:val="20"/>
          <w:u w:val="single"/>
        </w:rPr>
        <w:t>Section 4</w:t>
      </w:r>
      <w:r>
        <w:rPr>
          <w:rFonts w:ascii="Times New Roman" w:hAnsi="Times New Roman"/>
          <w:sz w:val="20"/>
        </w:rPr>
        <w:t xml:space="preserve"> hereof, provided that </w:t>
      </w:r>
      <w:r>
        <w:rPr>
          <w:rFonts w:ascii="Times New Roman" w:hAnsi="Times New Roman"/>
          <w:sz w:val="20"/>
          <w:u w:val="single"/>
        </w:rPr>
        <w:t>Sections 1</w:t>
      </w:r>
      <w:r>
        <w:rPr>
          <w:rFonts w:ascii="Times New Roman" w:hAnsi="Times New Roman"/>
          <w:sz w:val="20"/>
        </w:rPr>
        <w:t xml:space="preserve">, </w:t>
      </w:r>
      <w:r>
        <w:rPr>
          <w:rFonts w:ascii="Times New Roman" w:hAnsi="Times New Roman"/>
          <w:sz w:val="20"/>
          <w:u w:val="single"/>
        </w:rPr>
        <w:t>6, 7</w:t>
      </w:r>
      <w:r>
        <w:rPr>
          <w:rFonts w:ascii="Times New Roman" w:hAnsi="Times New Roman"/>
          <w:sz w:val="20"/>
        </w:rPr>
        <w:t xml:space="preserve">, </w:t>
      </w:r>
      <w:r>
        <w:rPr>
          <w:rFonts w:ascii="Times New Roman" w:hAnsi="Times New Roman"/>
          <w:sz w:val="20"/>
          <w:u w:val="single"/>
        </w:rPr>
        <w:t>8</w:t>
      </w:r>
      <w:r>
        <w:rPr>
          <w:rFonts w:ascii="Times New Roman" w:hAnsi="Times New Roman"/>
          <w:sz w:val="20"/>
        </w:rPr>
        <w:t>,</w:t>
      </w:r>
      <w:r>
        <w:rPr>
          <w:rFonts w:ascii="Times New Roman" w:hAnsi="Times New Roman"/>
          <w:sz w:val="20"/>
          <w:u w:val="single"/>
        </w:rPr>
        <w:t xml:space="preserve"> 14</w:t>
      </w:r>
      <w:r>
        <w:rPr>
          <w:rFonts w:ascii="Times New Roman" w:hAnsi="Times New Roman"/>
          <w:sz w:val="20"/>
        </w:rPr>
        <w:t>,</w:t>
      </w:r>
      <w:r>
        <w:rPr>
          <w:rFonts w:ascii="Times New Roman" w:hAnsi="Times New Roman"/>
          <w:sz w:val="20"/>
          <w:u w:val="single"/>
        </w:rPr>
        <w:t xml:space="preserve"> 15</w:t>
      </w:r>
      <w:r>
        <w:rPr>
          <w:rFonts w:ascii="Times New Roman" w:hAnsi="Times New Roman"/>
          <w:sz w:val="20"/>
        </w:rPr>
        <w:t xml:space="preserve"> and </w:t>
      </w:r>
      <w:r>
        <w:rPr>
          <w:rFonts w:ascii="Times New Roman" w:hAnsi="Times New Roman"/>
          <w:sz w:val="20"/>
          <w:u w:val="single"/>
        </w:rPr>
        <w:t>16</w:t>
      </w:r>
      <w:r>
        <w:rPr>
          <w:rFonts w:ascii="Times New Roman" w:hAnsi="Times New Roman"/>
          <w:sz w:val="20"/>
        </w:rPr>
        <w:t xml:space="preserve"> shall survive such termination and remain in full force and effect. </w:t>
      </w:r>
    </w:p>
    <w:p>
      <w:pPr>
        <w:pStyle w:val="TextBody"/>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No Joint Venture</w:t>
      </w:r>
      <w:r>
        <w:rPr>
          <w:rFonts w:ascii="Times New Roman" w:hAnsi="Times New Roman"/>
          <w:sz w:val="20"/>
        </w:rPr>
        <w:t xml:space="preserve">. The Company, the Adviser, the Administrator and the Sales Agent expressly acknowledge, understand and agree that the Sales Agent and the Other Agents are not, and shall not be deemed for any purpose, to be acting as an joint venture or partner of one another and that neither the Sales Agent nor the Other Agents assume responsibility or liability, express or implied, for any actions or omissions of, or the performance of services by the Sales Agent or the Other Agents, respectively, in connection with the offering of the shares of Common Stock pursuant to this Agreement or the Sales Agreement, or otherwise. The obligations of the Sales Agent hereunder and of the Other Agents under the Sales Agreement shall be several and not joint. </w:t>
      </w:r>
    </w:p>
    <w:p>
      <w:pPr>
        <w:pStyle w:val="TextBody"/>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given if mailed or transmitted by any standard form of telecommunication. Notices to the Sales Agent shall be directed to Raymond James &amp; Associates, Inc. at 880 Carillon Parkway, St. Petersburg, Florida 33716, GEIBLegal@raymondjames.com, Attention: Larry M. Herman, Managing Director/Financial Services Investment Banking and Thomas Donegan, General Counsel/Global Equities &amp; Investment Banking, with a copy (which shall not constitute notice) to Kirkland &amp; Ellis LLP at 1301 Pennsylvania Ave., NW, Washington, D.C. 20004, Attention: William J. Tuttle, P.C. Notices to the Company, the Adviser and the Administrator shall be directed to them at 1691 Michigan Avenue, Miami Beach, Florida 33139, facsimile No. (212) 905-1075, Attention: Arthur Penn.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No Advisory or Fiduciary Relationship</w:t>
      </w:r>
      <w:r>
        <w:rPr>
          <w:rFonts w:ascii="Times New Roman" w:hAnsi="Times New Roman"/>
          <w:sz w:val="20"/>
        </w:rPr>
        <w:t xml:space="preserve">.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Sales Agent, on the other hand, (b) in connection with the offering of the Securities and the process leading thereto, the Sales Agent is and has been acting solely as a principal and is not the agent or fiduciary of the Company, any of the Subsidiaries or their respective stockholders, creditors, employees or any other party, (c) the Sales Agent has not assumed or will assume an advisory or fiduciary responsibility in favor of the Company with respect to the offering of the Securities or the process leading thereto (irrespective of whether the Sales Agent has advised or is currently advising the Company or any of its subsidiaries on other matters) and the Sales Agent has no obligation to the Company with respect to the offering of the Securities except the obligations expressly set forth in this Agreement, (d) the Sales Agent and its respective affiliates may be engaged in a broad range of transactions that involve interests that differ from those of the Company and (e) the Sales Agent has not provided any legal, accounting, regulatory or tax advice with respect to the offering of the Securities and the Company has consulted its own respective legal, accounting, regulatory and tax advisors to the extent it deemed appropriate. </w:t>
      </w:r>
    </w:p>
    <w:p>
      <w:pPr>
        <w:pStyle w:val="TextBody"/>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Parties</w:t>
      </w:r>
      <w:r>
        <w:rPr>
          <w:rFonts w:ascii="Times New Roman" w:hAnsi="Times New Roman"/>
          <w:sz w:val="20"/>
        </w:rPr>
        <w:t xml:space="preserve">. This Agreement shall each inure to the benefit of and be binding upon the Sales Agent, the Company, the Adviser, the Administrator and their respective successors. Nothing expressed or mentioned in this Agreement is intended or shall be construed to give any person, firm or corporation, other than the Sales Agent, the Company, the Adviser and the Administrator and their respective successors and the controlling persons and officers and directors referred to in </w:t>
      </w:r>
      <w:r>
        <w:rPr>
          <w:rFonts w:ascii="Times New Roman" w:hAnsi="Times New Roman"/>
          <w:sz w:val="20"/>
          <w:u w:val="single"/>
        </w:rPr>
        <w:t>Section 6</w:t>
      </w:r>
      <w:r>
        <w:rPr>
          <w:rFonts w:ascii="Times New Roman" w:hAnsi="Times New Roman"/>
          <w:sz w:val="20"/>
        </w:rPr>
        <w:t xml:space="preserve"> and </w:t>
      </w:r>
      <w:r>
        <w:rPr>
          <w:rFonts w:ascii="Times New Roman" w:hAnsi="Times New Roman"/>
          <w:sz w:val="20"/>
          <w:u w:val="single"/>
        </w:rPr>
        <w:t>7</w:t>
      </w:r>
      <w:r>
        <w:rPr>
          <w:rFonts w:ascii="Times New Roman" w:hAnsi="Times New Roman"/>
          <w:sz w:val="20"/>
        </w:rPr>
        <w:t xml:space="preserve">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 the Company, the Adviser and the Administrator and their respective successors, and said controlling persons and officers and directors and their heirs and legal representatives, and for the benefit of no other person, firm or corporation. No purchaser of Securities from the Sales Agent shall be deemed to be a successor by reason merely of such purchase. </w:t>
      </w:r>
    </w:p>
    <w:p>
      <w:pPr>
        <w:pStyle w:val="TextBody"/>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Trial by Jury</w:t>
      </w:r>
      <w:r>
        <w:rPr>
          <w:rFonts w:ascii="Times New Roman" w:hAnsi="Times New Roman"/>
          <w:sz w:val="20"/>
        </w:rPr>
        <w:t xml:space="preserve">. The Company (on its behalf and, to the extent permitted by applicable law, on behalf of its stockholders and affiliates), the Adviser, the Administrator and the Sales Agent hereby irrevocably waives, to the fullest extent permitted by applicable law, any and all right to trial by jury in any legal proceeding arising out of or relating to this Agreement or the transactions contemplated hereby.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p>
    <w:p>
      <w:pPr>
        <w:pStyle w:val="TextBody"/>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Consent to Jurisdiction; Waiver of Immunity</w:t>
      </w:r>
      <w:r>
        <w:rPr>
          <w:rFonts w:ascii="Times New Roman" w:hAnsi="Times New Roman"/>
          <w:sz w:val="20"/>
        </w:rPr>
        <w:t xml:space="preserve">.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TIME</w:t>
      </w:r>
      <w:r>
        <w:rPr>
          <w:rFonts w:ascii="Times New Roman" w:hAnsi="Times New Roman"/>
          <w:sz w:val="20"/>
        </w:rPr>
        <w:t xml:space="preserve">. TIME SHALL BE OF THE ESSENCE OF THIS AGREEMENT. EXCEPT AS OTHERWISE SET FORTH HEREIN, SPECIFIED TIMES OF DAY REFER TO NEW YORK CITY TIME. </w:t>
      </w:r>
    </w:p>
    <w:p>
      <w:pPr>
        <w:pStyle w:val="TextBody"/>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Counterparts</w:t>
      </w:r>
      <w:r>
        <w:rPr>
          <w:rFonts w:ascii="Times New Roman" w:hAnsi="Times New Roman"/>
          <w:sz w:val="20"/>
        </w:rPr>
        <w:t xml:space="preserve">.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affect the construction hereof. </w:t>
      </w:r>
    </w:p>
    <w:p>
      <w:pPr>
        <w:pStyle w:val="TextBody"/>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In the event that the Sales Agent that is a Covered Entity becomes subject to a proceeding under a U.S. Special Resolution Regime, the transfer from the Sales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spacing w:before="240" w:after="0"/>
        <w:jc w:val="left"/>
        <w:rPr>
          <w:rFonts w:ascii="Times New Roman" w:hAnsi="Times New Roman"/>
          <w:sz w:val="20"/>
        </w:rPr>
      </w:pPr>
      <w:r>
        <w:rPr>
          <w:rFonts w:ascii="Times New Roman" w:hAnsi="Times New Roman"/>
          <w:sz w:val="20"/>
        </w:rPr>
        <w:t xml:space="preserve">(b) In the event that the Sales Agent that is a Covered Entity or a BHC Act Affiliate of the Sales Agent becomes subject to a proceeding under a U.S. Special Resolution Regime, Default Rights under this Agreement that may be exercised against the Sales Agent are permitted to be exercised to no greater extent than such Default Rights could be exercised under the U.S. Special Resolution Regime if this Agreement were governed by the laws of the United States or a state of the United States.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For purposes of this </w:t>
      </w:r>
      <w:r>
        <w:rPr>
          <w:rFonts w:ascii="Times New Roman" w:hAnsi="Times New Roman"/>
          <w:sz w:val="20"/>
          <w:u w:val="single"/>
        </w:rPr>
        <w:t>Section 20</w:t>
      </w:r>
      <w:r>
        <w:rPr>
          <w:rFonts w:ascii="Times New Roman" w:hAnsi="Times New Roman"/>
          <w:sz w:val="20"/>
        </w:rPr>
        <w:t xml:space="preserve">,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the Company a counterpart hereof, whereupon this instrument, along with all counterparts, will become a binding agreement among the Sales Agent, the Company, the Adviser and the Administrator in accordance with its terms.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42"/>
        <w:gridCol w:w="101"/>
        <w:gridCol w:w="3339"/>
      </w:tblGrid>
      <w:tr>
        <w:trPr/>
        <w:tc>
          <w:tcPr>
            <w:tcW w:w="64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33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PENNANTPARK FLOATING RATE CAPITAL LTD.</w:t>
            </w:r>
          </w:p>
        </w:tc>
      </w:tr>
      <w:tr>
        <w:trPr>
          <w:trHeight w:val="240" w:hRule="atLeast"/>
        </w:trPr>
        <w:tc>
          <w:tcPr>
            <w:tcW w:w="642" w:type="dxa"/>
            <w:tcBorders/>
            <w:shd w:fill="auto" w:val="clear"/>
            <w:vAlign w:val="center"/>
          </w:tcPr>
          <w:p>
            <w:pPr>
              <w:pStyle w:val="TableContents"/>
              <w:spacing w:before="0" w:after="283"/>
              <w:rPr>
                <w:sz w:val="4"/>
                <w:szCs w:val="4"/>
              </w:rPr>
            </w:pPr>
            <w:r>
              <w:rPr>
                <w:sz w:val="4"/>
                <w:szCs w:val="4"/>
              </w:rPr>
            </w:r>
          </w:p>
        </w:tc>
        <w:tc>
          <w:tcPr>
            <w:tcW w:w="3440" w:type="dxa"/>
            <w:gridSpan w:val="2"/>
            <w:tcBorders/>
            <w:shd w:fill="auto" w:val="clear"/>
            <w:vAlign w:val="center"/>
          </w:tcPr>
          <w:p>
            <w:pPr>
              <w:pStyle w:val="TableContents"/>
              <w:spacing w:before="0" w:after="283"/>
              <w:rPr>
                <w:sz w:val="4"/>
                <w:szCs w:val="4"/>
              </w:rPr>
            </w:pPr>
            <w:r>
              <w:rPr>
                <w:sz w:val="4"/>
                <w:szCs w:val="4"/>
              </w:rPr>
            </w:r>
          </w:p>
        </w:tc>
      </w:tr>
      <w:tr>
        <w:trPr/>
        <w:tc>
          <w:tcPr>
            <w:tcW w:w="642" w:type="dxa"/>
            <w:tcBorders/>
            <w:shd w:fill="auto" w:val="clear"/>
          </w:tcPr>
          <w:p>
            <w:pPr>
              <w:pStyle w:val="TableContents"/>
              <w:spacing w:before="0" w:after="283"/>
              <w:rPr/>
            </w:pPr>
            <w:r>
              <w:rPr/>
              <w:t>By:</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3339" w:type="dxa"/>
            <w:tcBorders>
              <w:bottom w:val="single" w:sz="2" w:space="0" w:color="000000"/>
            </w:tcBorders>
            <w:shd w:fill="auto" w:val="clear"/>
            <w:tcMar>
              <w:bottom w:w="28" w:type="dxa"/>
            </w:tcMar>
          </w:tcPr>
          <w:p>
            <w:pPr>
              <w:pStyle w:val="TableContents"/>
              <w:spacing w:before="0" w:after="283"/>
              <w:rPr/>
            </w:pPr>
            <w:r>
              <w:rPr/>
              <w:t>/s/ Arthur H. Penn</w:t>
            </w:r>
          </w:p>
        </w:tc>
      </w:tr>
      <w:tr>
        <w:trPr/>
        <w:tc>
          <w:tcPr>
            <w:tcW w:w="642"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339" w:type="dxa"/>
            <w:tcBorders/>
            <w:shd w:fill="auto" w:val="clear"/>
            <w:vAlign w:val="bottom"/>
          </w:tcPr>
          <w:p>
            <w:pPr>
              <w:pStyle w:val="TableContents"/>
              <w:spacing w:before="0" w:after="283"/>
              <w:rPr/>
            </w:pPr>
            <w:r>
              <w:rPr/>
              <w:t>Name: Arthur H. Penn</w:t>
            </w:r>
          </w:p>
        </w:tc>
      </w:tr>
      <w:tr>
        <w:trPr/>
        <w:tc>
          <w:tcPr>
            <w:tcW w:w="642"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339" w:type="dxa"/>
            <w:tcBorders/>
            <w:shd w:fill="auto" w:val="clear"/>
            <w:vAlign w:val="bottom"/>
          </w:tcPr>
          <w:p>
            <w:pPr>
              <w:pStyle w:val="TableContents"/>
              <w:spacing w:before="0" w:after="283"/>
              <w:rPr/>
            </w:pPr>
            <w:r>
              <w:rPr/>
              <w:t>Title: Chief Executive Officer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PENNANTPARK INVESTMENT ADVISERS, LLC</w:t>
            </w:r>
          </w:p>
        </w:tc>
      </w:tr>
      <w:tr>
        <w:trPr>
          <w:trHeight w:val="240" w:hRule="atLeast"/>
        </w:trPr>
        <w:tc>
          <w:tcPr>
            <w:tcW w:w="642" w:type="dxa"/>
            <w:tcBorders/>
            <w:shd w:fill="auto" w:val="clear"/>
            <w:vAlign w:val="center"/>
          </w:tcPr>
          <w:p>
            <w:pPr>
              <w:pStyle w:val="TableContents"/>
              <w:spacing w:before="0" w:after="283"/>
              <w:rPr>
                <w:sz w:val="4"/>
                <w:szCs w:val="4"/>
              </w:rPr>
            </w:pPr>
            <w:r>
              <w:rPr>
                <w:sz w:val="4"/>
                <w:szCs w:val="4"/>
              </w:rPr>
            </w:r>
          </w:p>
        </w:tc>
        <w:tc>
          <w:tcPr>
            <w:tcW w:w="3440" w:type="dxa"/>
            <w:gridSpan w:val="2"/>
            <w:tcBorders/>
            <w:shd w:fill="auto" w:val="clear"/>
            <w:vAlign w:val="center"/>
          </w:tcPr>
          <w:p>
            <w:pPr>
              <w:pStyle w:val="TableContents"/>
              <w:spacing w:before="0" w:after="283"/>
              <w:rPr>
                <w:sz w:val="4"/>
                <w:szCs w:val="4"/>
              </w:rPr>
            </w:pPr>
            <w:r>
              <w:rPr>
                <w:sz w:val="4"/>
                <w:szCs w:val="4"/>
              </w:rPr>
            </w:r>
          </w:p>
        </w:tc>
      </w:tr>
      <w:tr>
        <w:trPr/>
        <w:tc>
          <w:tcPr>
            <w:tcW w:w="642" w:type="dxa"/>
            <w:tcBorders/>
            <w:shd w:fill="auto" w:val="clear"/>
          </w:tcPr>
          <w:p>
            <w:pPr>
              <w:pStyle w:val="TableContents"/>
              <w:spacing w:before="0" w:after="283"/>
              <w:rPr/>
            </w:pPr>
            <w:r>
              <w:rPr/>
              <w:t>By:</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3339" w:type="dxa"/>
            <w:tcBorders>
              <w:bottom w:val="single" w:sz="2" w:space="0" w:color="000000"/>
            </w:tcBorders>
            <w:shd w:fill="auto" w:val="clear"/>
            <w:tcMar>
              <w:bottom w:w="28" w:type="dxa"/>
            </w:tcMar>
            <w:vAlign w:val="bottom"/>
          </w:tcPr>
          <w:p>
            <w:pPr>
              <w:pStyle w:val="TableContents"/>
              <w:spacing w:before="0" w:after="283"/>
              <w:rPr/>
            </w:pPr>
            <w:r>
              <w:rPr/>
              <w:t>/s/ Arthur H. Penn</w:t>
            </w:r>
          </w:p>
        </w:tc>
      </w:tr>
      <w:tr>
        <w:trPr/>
        <w:tc>
          <w:tcPr>
            <w:tcW w:w="642"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339" w:type="dxa"/>
            <w:tcBorders/>
            <w:shd w:fill="auto" w:val="clear"/>
            <w:vAlign w:val="bottom"/>
          </w:tcPr>
          <w:p>
            <w:pPr>
              <w:pStyle w:val="TableContents"/>
              <w:spacing w:before="0" w:after="283"/>
              <w:rPr/>
            </w:pPr>
            <w:r>
              <w:rPr/>
              <w:t>Name: Arthur H. Penn</w:t>
            </w:r>
          </w:p>
        </w:tc>
      </w:tr>
      <w:tr>
        <w:trPr/>
        <w:tc>
          <w:tcPr>
            <w:tcW w:w="642"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339" w:type="dxa"/>
            <w:tcBorders/>
            <w:shd w:fill="auto" w:val="clear"/>
            <w:vAlign w:val="bottom"/>
          </w:tcPr>
          <w:p>
            <w:pPr>
              <w:pStyle w:val="TableContents"/>
              <w:spacing w:before="0" w:after="283"/>
              <w:rPr/>
            </w:pPr>
            <w:r>
              <w:rPr/>
              <w:t>Title: Managing Member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PENNANTPARK INVESTMENT ADMINISTRATION, LLC</w:t>
            </w:r>
          </w:p>
        </w:tc>
      </w:tr>
      <w:tr>
        <w:trPr>
          <w:trHeight w:val="240" w:hRule="atLeast"/>
        </w:trPr>
        <w:tc>
          <w:tcPr>
            <w:tcW w:w="642" w:type="dxa"/>
            <w:tcBorders/>
            <w:shd w:fill="auto" w:val="clear"/>
            <w:vAlign w:val="center"/>
          </w:tcPr>
          <w:p>
            <w:pPr>
              <w:pStyle w:val="TableContents"/>
              <w:spacing w:before="0" w:after="283"/>
              <w:rPr>
                <w:sz w:val="4"/>
                <w:szCs w:val="4"/>
              </w:rPr>
            </w:pPr>
            <w:r>
              <w:rPr>
                <w:sz w:val="4"/>
                <w:szCs w:val="4"/>
              </w:rPr>
            </w:r>
          </w:p>
        </w:tc>
        <w:tc>
          <w:tcPr>
            <w:tcW w:w="3440" w:type="dxa"/>
            <w:gridSpan w:val="2"/>
            <w:tcBorders/>
            <w:shd w:fill="auto" w:val="clear"/>
            <w:vAlign w:val="center"/>
          </w:tcPr>
          <w:p>
            <w:pPr>
              <w:pStyle w:val="TableContents"/>
              <w:spacing w:before="0" w:after="283"/>
              <w:rPr>
                <w:sz w:val="4"/>
                <w:szCs w:val="4"/>
              </w:rPr>
            </w:pPr>
            <w:r>
              <w:rPr>
                <w:sz w:val="4"/>
                <w:szCs w:val="4"/>
              </w:rPr>
            </w:r>
          </w:p>
        </w:tc>
      </w:tr>
      <w:tr>
        <w:trPr/>
        <w:tc>
          <w:tcPr>
            <w:tcW w:w="642" w:type="dxa"/>
            <w:tcBorders/>
            <w:shd w:fill="auto" w:val="clear"/>
          </w:tcPr>
          <w:p>
            <w:pPr>
              <w:pStyle w:val="TableContents"/>
              <w:spacing w:before="0" w:after="283"/>
              <w:rPr/>
            </w:pPr>
            <w:r>
              <w:rPr/>
              <w:t>By:</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3339" w:type="dxa"/>
            <w:tcBorders>
              <w:bottom w:val="single" w:sz="2" w:space="0" w:color="000000"/>
            </w:tcBorders>
            <w:shd w:fill="auto" w:val="clear"/>
            <w:tcMar>
              <w:bottom w:w="28" w:type="dxa"/>
            </w:tcMar>
            <w:vAlign w:val="bottom"/>
          </w:tcPr>
          <w:p>
            <w:pPr>
              <w:pStyle w:val="TableContents"/>
              <w:spacing w:before="0" w:after="283"/>
              <w:rPr/>
            </w:pPr>
            <w:r>
              <w:rPr/>
              <w:t>/s/ Arthur H. Penn</w:t>
            </w:r>
          </w:p>
        </w:tc>
      </w:tr>
      <w:tr>
        <w:trPr/>
        <w:tc>
          <w:tcPr>
            <w:tcW w:w="642"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339" w:type="dxa"/>
            <w:tcBorders/>
            <w:shd w:fill="auto" w:val="clear"/>
            <w:vAlign w:val="bottom"/>
          </w:tcPr>
          <w:p>
            <w:pPr>
              <w:pStyle w:val="TableContents"/>
              <w:spacing w:before="0" w:after="283"/>
              <w:rPr/>
            </w:pPr>
            <w:r>
              <w:rPr/>
              <w:t>Name: Arthur H. Penn</w:t>
            </w:r>
          </w:p>
        </w:tc>
      </w:tr>
      <w:tr>
        <w:trPr/>
        <w:tc>
          <w:tcPr>
            <w:tcW w:w="642"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339" w:type="dxa"/>
            <w:tcBorders/>
            <w:shd w:fill="auto" w:val="clear"/>
            <w:vAlign w:val="bottom"/>
          </w:tcPr>
          <w:p>
            <w:pPr>
              <w:pStyle w:val="TableContents"/>
              <w:spacing w:before="0" w:after="283"/>
              <w:rPr/>
            </w:pPr>
            <w:r>
              <w:rPr/>
              <w:t>Title: Managing Member</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[Signature Page to Sales Agreement Raymond James] </w:t>
      </w:r>
      <w:r>
        <w:br w:type="page"/>
      </w:r>
    </w:p>
    <w:p>
      <w:pPr>
        <w:pStyle w:val="HorizontalLine"/>
        <w:pBdr>
          <w:bottom w:val="double" w:sz="6" w:space="0" w:color="808080"/>
        </w:pBdr>
        <w:rPr/>
      </w:pPr>
      <w:r>
        <w:rPr/>
      </w:r>
    </w:p>
    <w:tbl>
      <w:tblPr>
        <w:tblW w:w="2000" w:type="pct"/>
        <w:jc w:val="left"/>
        <w:tblInd w:w="0" w:type="dxa"/>
        <w:tblCellMar>
          <w:top w:w="0" w:type="dxa"/>
          <w:left w:w="0" w:type="dxa"/>
          <w:bottom w:w="0" w:type="dxa"/>
          <w:right w:w="0" w:type="dxa"/>
        </w:tblCellMar>
      </w:tblPr>
      <w:tblGrid>
        <w:gridCol w:w="352"/>
        <w:gridCol w:w="60"/>
        <w:gridCol w:w="3670"/>
      </w:tblGrid>
      <w:tr>
        <w:trPr/>
        <w:tc>
          <w:tcPr>
            <w:tcW w:w="3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7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CONFIRMED AND ACCEPTED,</w:t>
            </w:r>
          </w:p>
          <w:p>
            <w:pPr>
              <w:pStyle w:val="TableContents"/>
              <w:spacing w:before="0" w:after="20"/>
              <w:rPr/>
            </w:pPr>
            <w:r>
              <w:rPr/>
              <w:t>        </w:t>
            </w:r>
            <w:r>
              <w:rPr>
                <w:rFonts w:ascii="Times New Roman" w:hAnsi="Times New Roman"/>
                <w:sz w:val="20"/>
              </w:rPr>
              <w:t>as of the date first above written:</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RAYMOND JAMES &amp; ASSOCIATES, INC.</w:t>
            </w:r>
          </w:p>
        </w:tc>
      </w:tr>
      <w:tr>
        <w:trPr>
          <w:trHeight w:val="240" w:hRule="atLeast"/>
        </w:trPr>
        <w:tc>
          <w:tcPr>
            <w:tcW w:w="352" w:type="dxa"/>
            <w:tcBorders/>
            <w:shd w:fill="auto" w:val="clear"/>
            <w:vAlign w:val="center"/>
          </w:tcPr>
          <w:p>
            <w:pPr>
              <w:pStyle w:val="TableContents"/>
              <w:spacing w:before="0" w:after="283"/>
              <w:rPr>
                <w:sz w:val="4"/>
                <w:szCs w:val="4"/>
              </w:rPr>
            </w:pPr>
            <w:r>
              <w:rPr>
                <w:sz w:val="4"/>
                <w:szCs w:val="4"/>
              </w:rPr>
            </w:r>
          </w:p>
        </w:tc>
        <w:tc>
          <w:tcPr>
            <w:tcW w:w="3730" w:type="dxa"/>
            <w:gridSpan w:val="2"/>
            <w:tcBorders/>
            <w:shd w:fill="auto" w:val="clear"/>
            <w:vAlign w:val="center"/>
          </w:tcPr>
          <w:p>
            <w:pPr>
              <w:pStyle w:val="TableContents"/>
              <w:spacing w:before="0" w:after="283"/>
              <w:rPr>
                <w:sz w:val="4"/>
                <w:szCs w:val="4"/>
              </w:rPr>
            </w:pPr>
            <w:r>
              <w:rPr>
                <w:sz w:val="4"/>
                <w:szCs w:val="4"/>
              </w:rPr>
            </w:r>
          </w:p>
        </w:tc>
      </w:tr>
      <w:tr>
        <w:trPr/>
        <w:tc>
          <w:tcPr>
            <w:tcW w:w="352" w:type="dxa"/>
            <w:tcBorders/>
            <w:shd w:fill="auto" w:val="clear"/>
            <w:vAlign w:val="bottom"/>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70" w:type="dxa"/>
            <w:tcBorders>
              <w:bottom w:val="single" w:sz="2" w:space="0" w:color="000000"/>
            </w:tcBorders>
            <w:shd w:fill="auto" w:val="clear"/>
            <w:tcMar>
              <w:bottom w:w="28" w:type="dxa"/>
            </w:tcMar>
            <w:vAlign w:val="bottom"/>
          </w:tcPr>
          <w:p>
            <w:pPr>
              <w:pStyle w:val="TableContents"/>
              <w:spacing w:before="0" w:after="283"/>
              <w:rPr/>
            </w:pPr>
            <w:r>
              <w:rPr/>
              <w:t>/s/ Larry Herman</w:t>
            </w:r>
          </w:p>
        </w:tc>
      </w:tr>
      <w:tr>
        <w:trPr/>
        <w:tc>
          <w:tcPr>
            <w:tcW w:w="35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70" w:type="dxa"/>
            <w:tcBorders/>
            <w:shd w:fill="auto" w:val="clear"/>
            <w:vAlign w:val="bottom"/>
          </w:tcPr>
          <w:p>
            <w:pPr>
              <w:pStyle w:val="TableContents"/>
              <w:spacing w:before="0" w:after="283"/>
              <w:rPr/>
            </w:pPr>
            <w:r>
              <w:rPr/>
              <w:t>Name: Larry Herman</w:t>
            </w:r>
          </w:p>
        </w:tc>
      </w:tr>
      <w:tr>
        <w:trPr/>
        <w:tc>
          <w:tcPr>
            <w:tcW w:w="35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70" w:type="dxa"/>
            <w:tcBorders/>
            <w:shd w:fill="auto" w:val="clear"/>
            <w:vAlign w:val="bottom"/>
          </w:tcPr>
          <w:p>
            <w:pPr>
              <w:pStyle w:val="TableContents"/>
              <w:spacing w:before="0" w:after="283"/>
              <w:rPr/>
            </w:pPr>
            <w:r>
              <w:rPr/>
              <w:t>Title: Managing Director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[Signature Page to Sales Agreement Raymond James]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spacing w:before="240" w:after="0"/>
        <w:jc w:val="left"/>
        <w:rPr>
          <w:rFonts w:ascii="Times New Roman" w:hAnsi="Times New Roman"/>
          <w:sz w:val="20"/>
        </w:rPr>
      </w:pPr>
      <w:r>
        <w:rPr>
          <w:rFonts w:ascii="Times New Roman" w:hAnsi="Times New Roman"/>
          <w:sz w:val="20"/>
        </w:rPr>
        <w:t xml:space="preserve">Consolidated subsidiaries of the Company: </w:t>
      </w:r>
    </w:p>
    <w:p>
      <w:pPr>
        <w:pStyle w:val="TextBody"/>
        <w:spacing w:before="120" w:after="0"/>
        <w:jc w:val="left"/>
        <w:rPr>
          <w:rFonts w:ascii="Times New Roman" w:hAnsi="Times New Roman"/>
          <w:sz w:val="20"/>
        </w:rPr>
      </w:pPr>
      <w:r>
        <w:rPr>
          <w:rFonts w:ascii="Times New Roman" w:hAnsi="Times New Roman"/>
          <w:sz w:val="20"/>
        </w:rPr>
        <w:t xml:space="preserve">PennantPark Floating Rate Funding I, LLC </w:t>
      </w:r>
    </w:p>
    <w:p>
      <w:pPr>
        <w:pStyle w:val="TextBody"/>
        <w:spacing w:before="0" w:after="0"/>
        <w:jc w:val="left"/>
        <w:rPr>
          <w:rFonts w:ascii="Times New Roman" w:hAnsi="Times New Roman"/>
          <w:sz w:val="20"/>
        </w:rPr>
      </w:pPr>
      <w:r>
        <w:rPr>
          <w:rFonts w:ascii="Times New Roman" w:hAnsi="Times New Roman"/>
          <w:sz w:val="20"/>
        </w:rPr>
        <w:t xml:space="preserve">PennantPark Floating Rate Funding II, LLC </w:t>
      </w:r>
    </w:p>
    <w:p>
      <w:pPr>
        <w:pStyle w:val="TextBody"/>
        <w:spacing w:before="0" w:after="0"/>
        <w:jc w:val="left"/>
        <w:rPr>
          <w:rFonts w:ascii="Times New Roman" w:hAnsi="Times New Roman"/>
          <w:sz w:val="20"/>
        </w:rPr>
      </w:pPr>
      <w:r>
        <w:rPr>
          <w:rFonts w:ascii="Times New Roman" w:hAnsi="Times New Roman"/>
          <w:sz w:val="20"/>
        </w:rPr>
        <w:t xml:space="preserve">PennantPark CLO I, LLC </w:t>
      </w:r>
    </w:p>
    <w:p>
      <w:pPr>
        <w:pStyle w:val="TextBody"/>
        <w:spacing w:before="0" w:after="0"/>
        <w:jc w:val="left"/>
        <w:rPr>
          <w:rFonts w:ascii="Times New Roman" w:hAnsi="Times New Roman"/>
          <w:sz w:val="20"/>
        </w:rPr>
      </w:pPr>
      <w:r>
        <w:rPr>
          <w:rFonts w:ascii="Times New Roman" w:hAnsi="Times New Roman"/>
          <w:sz w:val="20"/>
        </w:rPr>
        <w:t xml:space="preserve">PennantPark CLO I, Ltd. </w:t>
      </w:r>
    </w:p>
    <w:p>
      <w:pPr>
        <w:pStyle w:val="TextBody"/>
        <w:spacing w:before="0" w:after="0"/>
        <w:jc w:val="left"/>
        <w:rPr>
          <w:rFonts w:ascii="Times New Roman" w:hAnsi="Times New Roman"/>
          <w:sz w:val="20"/>
        </w:rPr>
      </w:pPr>
      <w:r>
        <w:rPr>
          <w:rFonts w:ascii="Times New Roman" w:hAnsi="Times New Roman"/>
          <w:sz w:val="20"/>
        </w:rPr>
        <w:t xml:space="preserve">PennantPark CLO I Depositor, LLC </w:t>
      </w:r>
    </w:p>
    <w:p>
      <w:pPr>
        <w:pStyle w:val="TextBody"/>
        <w:spacing w:before="0" w:after="0"/>
        <w:jc w:val="left"/>
        <w:rPr>
          <w:rFonts w:ascii="Times New Roman" w:hAnsi="Times New Roman"/>
          <w:sz w:val="20"/>
        </w:rPr>
      </w:pPr>
      <w:r>
        <w:rPr>
          <w:rFonts w:ascii="Times New Roman" w:hAnsi="Times New Roman"/>
          <w:sz w:val="20"/>
        </w:rPr>
        <w:t xml:space="preserve">PFLT Investment Holdings, LLC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SCHEDULE B </w:t>
      </w:r>
    </w:p>
    <w:p>
      <w:pPr>
        <w:pStyle w:val="TextBody"/>
        <w:spacing w:before="240" w:after="0"/>
        <w:jc w:val="left"/>
        <w:rPr>
          <w:rFonts w:ascii="Times New Roman" w:hAnsi="Times New Roman"/>
          <w:b/>
          <w:sz w:val="20"/>
        </w:rPr>
      </w:pPr>
      <w:r>
        <w:rPr>
          <w:rFonts w:ascii="Times New Roman" w:hAnsi="Times New Roman"/>
          <w:b/>
          <w:sz w:val="20"/>
        </w:rPr>
        <w:t xml:space="preserve">Company Authorized Representatives </w:t>
      </w:r>
    </w:p>
    <w:p>
      <w:pPr>
        <w:pStyle w:val="TextBody"/>
        <w:spacing w:before="240" w:after="0"/>
        <w:jc w:val="left"/>
        <w:rPr>
          <w:rFonts w:ascii="Times New Roman" w:hAnsi="Times New Roman"/>
          <w:sz w:val="20"/>
        </w:rPr>
      </w:pPr>
      <w:r>
        <w:rPr>
          <w:rFonts w:ascii="Times New Roman" w:hAnsi="Times New Roman"/>
          <w:sz w:val="20"/>
        </w:rPr>
        <w:t xml:space="preserve">Arthur H. Penn </w:t>
      </w:r>
    </w:p>
    <w:p>
      <w:pPr>
        <w:pStyle w:val="TextBody"/>
        <w:spacing w:before="0" w:after="0"/>
        <w:jc w:val="left"/>
        <w:rPr>
          <w:rFonts w:ascii="Times New Roman" w:hAnsi="Times New Roman"/>
          <w:sz w:val="20"/>
        </w:rPr>
      </w:pPr>
      <w:r>
        <w:rPr>
          <w:rFonts w:ascii="Times New Roman" w:hAnsi="Times New Roman"/>
          <w:sz w:val="20"/>
        </w:rPr>
        <w:t xml:space="preserve">Richard Allorto </w:t>
      </w:r>
    </w:p>
    <w:p>
      <w:pPr>
        <w:pStyle w:val="TextBody"/>
        <w:spacing w:before="240" w:after="0"/>
        <w:jc w:val="left"/>
        <w:rPr>
          <w:rFonts w:ascii="Times New Roman" w:hAnsi="Times New Roman"/>
          <w:b/>
          <w:sz w:val="20"/>
        </w:rPr>
      </w:pPr>
      <w:r>
        <w:rPr>
          <w:rFonts w:ascii="Times New Roman" w:hAnsi="Times New Roman"/>
          <w:b/>
          <w:sz w:val="20"/>
        </w:rPr>
        <w:t xml:space="preserve">Sales Agent Authorized Representatives </w:t>
      </w:r>
    </w:p>
    <w:p>
      <w:pPr>
        <w:pStyle w:val="TextBody"/>
        <w:spacing w:before="240" w:after="0"/>
        <w:jc w:val="left"/>
        <w:rPr>
          <w:rFonts w:ascii="Times New Roman" w:hAnsi="Times New Roman"/>
          <w:sz w:val="20"/>
        </w:rPr>
      </w:pPr>
      <w:r>
        <w:rPr>
          <w:rFonts w:ascii="Times New Roman" w:hAnsi="Times New Roman"/>
          <w:sz w:val="20"/>
        </w:rPr>
        <w:t xml:space="preserve">Jeff Fordham </w:t>
      </w:r>
    </w:p>
    <w:p>
      <w:pPr>
        <w:pStyle w:val="TextBody"/>
        <w:spacing w:before="0" w:after="0"/>
        <w:jc w:val="left"/>
        <w:rPr>
          <w:rFonts w:ascii="Times New Roman" w:hAnsi="Times New Roman"/>
          <w:sz w:val="20"/>
        </w:rPr>
      </w:pPr>
      <w:r>
        <w:rPr>
          <w:rFonts w:ascii="Times New Roman" w:hAnsi="Times New Roman"/>
          <w:sz w:val="20"/>
        </w:rPr>
        <w:t xml:space="preserve">Jeanna Bryan </w:t>
      </w:r>
      <w:r>
        <w:br w:type="page"/>
      </w:r>
    </w:p>
    <w:p>
      <w:pPr>
        <w:pStyle w:val="TextBody"/>
        <w:spacing w:before="0" w:after="0"/>
        <w:jc w:val="right"/>
        <w:rPr>
          <w:rFonts w:ascii="Times New Roman" w:hAnsi="Times New Roman"/>
          <w:b/>
          <w:sz w:val="20"/>
        </w:rPr>
      </w:pPr>
      <w:bookmarkStart w:id="6" w:name="d495153dex13.htm"/>
      <w:bookmarkStart w:id="7" w:name="ksd495153dex13"/>
      <w:bookmarkEnd w:id="6"/>
      <w:bookmarkEnd w:id="7"/>
      <w:r>
        <w:rPr>
          <w:rFonts w:ascii="Times New Roman" w:hAnsi="Times New Roman"/>
          <w:b/>
          <w:sz w:val="20"/>
        </w:rPr>
        <w:t xml:space="preserve">Exhibit 1.3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480" w:after="0"/>
        <w:jc w:val="center"/>
        <w:rPr>
          <w:rFonts w:ascii="Times New Roman" w:hAnsi="Times New Roman"/>
          <w:sz w:val="20"/>
        </w:rPr>
      </w:pPr>
      <w:r>
        <w:rPr>
          <w:rFonts w:ascii="Times New Roman" w:hAnsi="Times New Roman"/>
          <w:sz w:val="20"/>
        </w:rPr>
        <w:t xml:space="preserve">PENNANTPARK FLOATING RATE CAPITAL LTD. </w:t>
      </w:r>
    </w:p>
    <w:p>
      <w:pPr>
        <w:pStyle w:val="TextBody"/>
        <w:spacing w:before="120" w:after="0"/>
        <w:jc w:val="center"/>
        <w:rPr>
          <w:rFonts w:ascii="Times New Roman" w:hAnsi="Times New Roman"/>
          <w:sz w:val="20"/>
        </w:rPr>
      </w:pPr>
      <w:r>
        <w:rPr>
          <w:rFonts w:ascii="Times New Roman" w:hAnsi="Times New Roman"/>
          <w:sz w:val="20"/>
        </w:rPr>
        <w:t xml:space="preserve">(a Maryland corporation) </w:t>
      </w:r>
    </w:p>
    <w:p>
      <w:pPr>
        <w:pStyle w:val="TextBody"/>
        <w:spacing w:before="240" w:after="0"/>
        <w:jc w:val="center"/>
        <w:rPr>
          <w:rFonts w:ascii="Times New Roman" w:hAnsi="Times New Roman"/>
          <w:sz w:val="20"/>
        </w:rPr>
      </w:pPr>
      <w:r>
        <w:rPr>
          <w:rFonts w:ascii="Times New Roman" w:hAnsi="Times New Roman"/>
          <w:sz w:val="20"/>
        </w:rPr>
        <w:t xml:space="preserve">Common Stock, Par Value $0.001 Per Share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EQUITY DISTRIBUTION AGREEMENT </w:t>
      </w:r>
    </w:p>
    <w:p>
      <w:pPr>
        <w:pStyle w:val="TextBody"/>
        <w:spacing w:before="240" w:after="0"/>
        <w:jc w:val="center"/>
        <w:rPr>
          <w:rFonts w:ascii="Times New Roman" w:hAnsi="Times New Roman"/>
          <w:sz w:val="20"/>
        </w:rPr>
      </w:pPr>
      <w:r>
        <w:rPr>
          <w:rFonts w:ascii="Times New Roman" w:hAnsi="Times New Roman"/>
          <w:sz w:val="20"/>
        </w:rPr>
        <w:t xml:space="preserve">Dated: March 31, 2023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PENNANTPARK FLOATING RATE CAPITAL LTD. </w:t>
      </w:r>
    </w:p>
    <w:p>
      <w:pPr>
        <w:pStyle w:val="TextBody"/>
        <w:spacing w:before="240" w:after="0"/>
        <w:jc w:val="center"/>
        <w:rPr>
          <w:rFonts w:ascii="Times New Roman" w:hAnsi="Times New Roman"/>
          <w:sz w:val="20"/>
        </w:rPr>
      </w:pPr>
      <w:r>
        <w:rPr>
          <w:rFonts w:ascii="Times New Roman" w:hAnsi="Times New Roman"/>
          <w:sz w:val="20"/>
        </w:rPr>
        <w:t xml:space="preserve">(a Maryland corporation) </w:t>
      </w:r>
    </w:p>
    <w:p>
      <w:pPr>
        <w:pStyle w:val="TextBody"/>
        <w:spacing w:before="240" w:after="0"/>
        <w:jc w:val="center"/>
        <w:rPr>
          <w:rFonts w:ascii="Times New Roman" w:hAnsi="Times New Roman"/>
          <w:sz w:val="20"/>
        </w:rPr>
      </w:pPr>
      <w:r>
        <w:rPr>
          <w:rFonts w:ascii="Times New Roman" w:hAnsi="Times New Roman"/>
          <w:sz w:val="20"/>
        </w:rPr>
        <w:t xml:space="preserve">Common Stock, Par Value $0.001 Per Share </w:t>
      </w:r>
    </w:p>
    <w:p>
      <w:pPr>
        <w:pStyle w:val="TextBody"/>
        <w:spacing w:before="0" w:after="0"/>
        <w:jc w:val="center"/>
        <w:rPr>
          <w:rFonts w:ascii="Times New Roman" w:hAnsi="Times New Roman"/>
          <w:sz w:val="20"/>
        </w:rPr>
      </w:pPr>
      <w:r>
        <w:rPr>
          <w:rFonts w:ascii="Times New Roman" w:hAnsi="Times New Roman"/>
          <w:sz w:val="20"/>
        </w:rPr>
        <w:t xml:space="preserve">EQUITY DISTRIBUTION AGREEMENT </w:t>
      </w:r>
    </w:p>
    <w:p>
      <w:pPr>
        <w:pStyle w:val="TextBody"/>
        <w:spacing w:before="240" w:after="0"/>
        <w:jc w:val="left"/>
        <w:rPr>
          <w:rFonts w:ascii="Times New Roman" w:hAnsi="Times New Roman"/>
          <w:sz w:val="20"/>
        </w:rPr>
      </w:pPr>
      <w:r>
        <w:rPr>
          <w:rFonts w:ascii="Times New Roman" w:hAnsi="Times New Roman"/>
          <w:sz w:val="20"/>
        </w:rPr>
        <w:t xml:space="preserve">Truist Securities, Inc. </w:t>
      </w:r>
    </w:p>
    <w:p>
      <w:pPr>
        <w:pStyle w:val="TextBody"/>
        <w:spacing w:before="0" w:after="0"/>
        <w:jc w:val="left"/>
        <w:rPr>
          <w:rFonts w:ascii="Times New Roman" w:hAnsi="Times New Roman"/>
          <w:sz w:val="20"/>
        </w:rPr>
      </w:pPr>
      <w:r>
        <w:rPr>
          <w:rFonts w:ascii="Times New Roman" w:hAnsi="Times New Roman"/>
          <w:sz w:val="20"/>
        </w:rPr>
        <w:t xml:space="preserve">3333 Peachtree Road, NE </w:t>
      </w:r>
    </w:p>
    <w:p>
      <w:pPr>
        <w:pStyle w:val="TextBody"/>
        <w:spacing w:before="0" w:after="0"/>
        <w:jc w:val="left"/>
        <w:rPr>
          <w:rFonts w:ascii="Times New Roman" w:hAnsi="Times New Roman"/>
          <w:sz w:val="20"/>
        </w:rPr>
      </w:pPr>
      <w:r>
        <w:rPr>
          <w:rFonts w:ascii="Times New Roman" w:hAnsi="Times New Roman"/>
          <w:sz w:val="20"/>
        </w:rPr>
        <w:t xml:space="preserve">Atlanta, Georgia 30326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 xml:space="preserve">PennantPark Floating Rate Capital Ltd., a Maryland corporation (the Company), PennantPark Investment Advisers, LLC, a Delaware limited liability company (the Adviser) and PennantPark Investment Administration, LLC, a Delaware limited liability company (the Administrator), each confirms its agreement with Truist Securities, Inc. (the Sales Agent) with respect to the sale by the Company of shares of common stock, par value $0.001 per share, of the Company (Common Stock), having an aggregate offering price of up to $100 million. The shares of Common Stock to be sold by the Sales Agent are herein called, collectively, the Securities. The Company, the Adviser and the Administrator have also entered into sales agreements (collectively the Sales Agreement) in substantially similar form to this Agreement, dated of even date herewith, with JMP Securities LLC and Raymond James &amp; Associates, Inc. (each, an Other Agent). The aggregate amount of Securities that may be sold collectively pursuant to this Agreement and the Sales Agreement shall not exceed the lesser of $100 million and the dollar amount of Securities permitted to be sold under the Registration Statement (as defined below). </w:t>
      </w:r>
    </w:p>
    <w:p>
      <w:pPr>
        <w:pStyle w:val="TextBody"/>
        <w:spacing w:before="240" w:after="0"/>
        <w:jc w:val="left"/>
        <w:rPr>
          <w:rFonts w:ascii="Times New Roman" w:hAnsi="Times New Roman"/>
          <w:sz w:val="20"/>
        </w:rPr>
      </w:pPr>
      <w:r>
        <w:rPr>
          <w:rFonts w:ascii="Times New Roman" w:hAnsi="Times New Roman"/>
          <w:sz w:val="20"/>
        </w:rPr>
        <w:t xml:space="preserve">The Company has filed with the Securities and Exchange Commission (the Commission) a shelf registration statement on Form N-2 (File No. 333-268813), relating to the registration of the Securities and certain of the Companys other securities under the Securities Act of 1933, as amended (the 1933 Act), which registration statement was most declared effective by the Commission on January 9, 2023. The Company has also filed with the Commission a prospectus supplement, dated the date hereof, as such prospectus supplement may be amended (the Prospectus), which contains a base prospectus, dated January 9, 2023, in accordance with the provisions of Rule 430B (Rule 430B) of the rules and regulations of the Commission promulgated under the 1933 Act (such provisions, the 1933 Act Regulations) and Rule 424(b) (Rule 424(b)) of the 1933 Act Regulations.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and deemed to be part of the registration statement and also including any registration statement filed pursuant to Rule 462(b) of the 1933 Act Regulations, is herein called the Registration Statement. All references in this Agreement to amendments or supplements to the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Registration Statement or the Prospectus, including those made pursuant to Rule 424(b) under the 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the Prospectus or any amendment or supplement to any of the foregoing shall be deemed to include the copy filed with the Commission pursuant to its Electronic Data Gathering, Analysis and Retrieval system or any successor system (EDGAR). </w:t>
      </w:r>
    </w:p>
    <w:p>
      <w:pPr>
        <w:pStyle w:val="TextBody"/>
        <w:spacing w:before="240" w:after="0"/>
        <w:jc w:val="left"/>
        <w:rPr>
          <w:rFonts w:ascii="Times New Roman" w:hAnsi="Times New Roman"/>
          <w:sz w:val="20"/>
        </w:rPr>
      </w:pPr>
      <w:r>
        <w:rPr>
          <w:rFonts w:ascii="Times New Roman" w:hAnsi="Times New Roman"/>
          <w:sz w:val="20"/>
        </w:rPr>
        <w:t xml:space="preserve">A Form N-54A Notification of Election to be Subject to Sections 55 through 65 of the Investment Company Act of 1940 Filed Pursuant to Section 54(a) of the Investment Company Act (File No. 814-00743) was filed with the Commission on April 7, 2011 under the Investment Company Act of 1940, as amended (the 1940 Act), and the rules and regulations and any applicable guidance and/or interpretation of the Commission or its staff thereunder (the 1940 Act Regulations). </w:t>
      </w:r>
    </w:p>
    <w:p>
      <w:pPr>
        <w:pStyle w:val="TextBody"/>
        <w:spacing w:before="240" w:after="0"/>
        <w:jc w:val="left"/>
        <w:rPr>
          <w:rFonts w:ascii="Times New Roman" w:hAnsi="Times New Roman"/>
          <w:sz w:val="20"/>
        </w:rPr>
      </w:pPr>
      <w:r>
        <w:rPr>
          <w:rFonts w:ascii="Times New Roman" w:hAnsi="Times New Roman"/>
          <w:sz w:val="20"/>
        </w:rPr>
        <w:t xml:space="preserve">The Company has entered into that certain Second Amended and Restated Investment Advisory Agreement, dated as of February 2, 2016 (the Investment Management Agreement), with the Adviser. The Company has entered into that certain Amended and Restated Administration Agreement, dated as of July 1, 2022 (the Administration Agreement), with the Administrator. </w:t>
      </w:r>
    </w:p>
    <w:p>
      <w:pPr>
        <w:pStyle w:val="TextBody"/>
        <w:spacing w:before="240" w:after="0"/>
        <w:jc w:val="left"/>
        <w:rPr>
          <w:rFonts w:ascii="Times New Roman" w:hAnsi="Times New Roman"/>
          <w:sz w:val="20"/>
        </w:rPr>
      </w:pPr>
      <w:r>
        <w:rPr>
          <w:rFonts w:ascii="Times New Roman" w:hAnsi="Times New Roman"/>
          <w:sz w:val="20"/>
        </w:rPr>
        <w:t xml:space="preserve">As used in this Agreement, Applicable Time means the time of each sale of the applicable Securities pursuant to this Agreement. </w:t>
      </w:r>
    </w:p>
    <w:p>
      <w:pPr>
        <w:pStyle w:val="TextBody"/>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 by the Company</w:t>
      </w:r>
      <w:r>
        <w:rPr>
          <w:rFonts w:ascii="Times New Roman" w:hAnsi="Times New Roman"/>
          <w:sz w:val="20"/>
        </w:rPr>
        <w:t xml:space="preserve">. The Company represents and warrants to the Sales Agent as of the date hereof, the Applicable Time, each Representation Date (as defined below) and any Date of Delivery (as defined below) and agrees with the Sales Agent, and the Adviser and the Administrator, jointly and severally, represent and warrant to and agree with the Sales Agent as of the date hereof, the Applicable Time, each Representation Date (as defined below) and any Date of Delivery Time (as defined below), as follows: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Statement and Prospectuses</w:t>
      </w:r>
      <w:r>
        <w:rPr>
          <w:rFonts w:ascii="Times New Roman" w:hAnsi="Times New Roman"/>
          <w:sz w:val="20"/>
        </w:rPr>
        <w:t xml:space="preserve">.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Each of the Registration Statement and any post-effective amendment thereto, at the time it became effective, complied in all material respects with the requirements of the 1933 Act, the 1933 Act Regulations, the 1940 Act and the 1940 Act Regulations. The Prospectus and any amendment or supplement thereto, at the time each was filed with the Commission, complied in all material respects with the requirements of the 1933 Act, the 1933 Act Regulations, the 1940 Act and the 1940 Act Regulations. The Prospectus delivered to the Sales Agent for use in connection with this offering was or will be identical to the electronically transmitted copies thereof filed with the Commission pursuant to EDGAR, except to the extent permitted by Regulation S-T. </w:t>
      </w:r>
    </w:p>
    <w:p>
      <w:pPr>
        <w:pStyle w:val="TextBody"/>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Issuer Free Writing Prospectus</w:t>
      </w:r>
      <w:r>
        <w:rPr>
          <w:rFonts w:ascii="Times New Roman" w:hAnsi="Times New Roman"/>
          <w:sz w:val="20"/>
        </w:rPr>
        <w:t xml:space="preserve">. The Company (including its agents and representatives, other than the Sales Agent in its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 (iii) and (iv) below) an Issuer Free Writing Prospectus) other than (i) any document not constituting a prospectus pursuant to Section 2(a)(10)(a) of the 1933 Act or Rule 134 under the 1933 Act, (ii) the Registration Statement, (iii) the Prospectus, and (iv) any electronic road show or other written communications, in each case approved in writing in advance by the Sales Agent, such approval not to be unreasonably withheld. Each such Issuer Free Writing Prospectus, if any, complies in all material respects with the 1933 Act, has been or will be (within the time period specified in Rule 433) filed in accordance with the 1933 Act (to the extent required thereby). No Issuer Free Writing Prospectus conflicts or will conflict with the information contained in the Registration Statement or the Prospectus that has not been superseded or modified. </w:t>
      </w:r>
    </w:p>
    <w:p>
      <w:pPr>
        <w:pStyle w:val="TextBody"/>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Documents Incorporated by Reference</w:t>
      </w:r>
      <w:r>
        <w:rPr>
          <w:rFonts w:ascii="Times New Roman" w:hAnsi="Times New Roman"/>
          <w:sz w:val="20"/>
        </w:rPr>
        <w:t xml:space="preserve">. The documents incorporated by reference in each of the Registration Statement, the Prospectus, when they were filed or when they will be filed with the Commission, as the case may be, conformed or will conform in all material respects to the requirements of the 1934 Act. </w:t>
      </w:r>
    </w:p>
    <w:p>
      <w:pPr>
        <w:pStyle w:val="TextBody"/>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Accurate Disclosure</w:t>
      </w:r>
      <w:r>
        <w:rPr>
          <w:rFonts w:ascii="Times New Roman" w:hAnsi="Times New Roman"/>
          <w:sz w:val="20"/>
        </w:rPr>
        <w:t xml:space="preserve">. Neither the Registration Statement nor any amendment thereto, at its effective time, at the Applicable Time or at any Date of Delivery, contained, contains or will contain an untrue statement of a material fact or omitted, omits or will omit to state a material fact required to be stated therein or necessary to make the statements therein, not misleading. Neither the Prospectus nor any amendment or supplement thereto, as of their respective date(s), at the time of any filing with the Commission pursuant to Rule 424(b)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w:t>
      </w:r>
    </w:p>
    <w:p>
      <w:pPr>
        <w:pStyle w:val="TextBody"/>
        <w:spacing w:before="120" w:after="0"/>
        <w:jc w:val="left"/>
        <w:rPr>
          <w:rFonts w:ascii="Times New Roman" w:hAnsi="Times New Roman"/>
          <w:sz w:val="20"/>
        </w:rPr>
      </w:pPr>
      <w:r>
        <w:rPr>
          <w:rFonts w:ascii="Times New Roman" w:hAnsi="Times New Roman"/>
          <w:sz w:val="20"/>
        </w:rPr>
        <w:t xml:space="preserve">The representations and warranties in this subsection shall not apply to statements in or omissions from the Registration Statement (or any amendment thereto) or the Prospectus (or any amendment or supplement thereto) made in reliance upon and in conformity with written information furnished to the Company by the Sales Agent expressly for use therein (collectively, the Sales Agent Information). For purposes of this Agreement, the only Sales Agent Information shall be the final paragraph of the Plan of Distribution in the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Company Not Ineligible Issuer</w:t>
      </w:r>
      <w:r>
        <w:rPr>
          <w:rFonts w:ascii="Times New Roman" w:hAnsi="Times New Roman"/>
          <w:sz w:val="20"/>
        </w:rPr>
        <w:t xml:space="preserve">.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 </w:t>
      </w:r>
    </w:p>
    <w:p>
      <w:pPr>
        <w:pStyle w:val="TextBody"/>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Independent Accountants of the Company</w:t>
      </w:r>
      <w:r>
        <w:rPr>
          <w:rFonts w:ascii="Times New Roman" w:hAnsi="Times New Roman"/>
          <w:sz w:val="20"/>
        </w:rPr>
        <w:t xml:space="preserve">. The accountants who audited or reviewed the financial statements and supporting schedules of the Company included or incorporated by reference in the Registration Statement and the Prospectus are independent registered public accountants with respect to the Company within the applicable rules and regulations of the Commission and the Public Company Accounting Oversight Board (United States) and as required by the 1933 Act. </w:t>
      </w:r>
    </w:p>
    <w:p>
      <w:pPr>
        <w:pStyle w:val="TextBody"/>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Financial Statements</w:t>
      </w:r>
      <w:r>
        <w:rPr>
          <w:rFonts w:ascii="Times New Roman" w:hAnsi="Times New Roman"/>
          <w:sz w:val="20"/>
        </w:rPr>
        <w:t xml:space="preserve">. The financial statements included or incorporated by reference in the Registration Statement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or the Prospectus under the 1933 Act or the 1933 Act Regulations. </w:t>
      </w:r>
    </w:p>
    <w:p>
      <w:pPr>
        <w:pStyle w:val="TextBody"/>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No Material Adverse Change in Business</w:t>
      </w:r>
      <w:r>
        <w:rPr>
          <w:rFonts w:ascii="Times New Roman" w:hAnsi="Times New Roman"/>
          <w:sz w:val="20"/>
        </w:rPr>
        <w:t xml:space="preserve">. Except as otherwise stated therein, since the respective dates as of which information is given in the Registration Statement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Good Standing of the Company</w:t>
      </w:r>
      <w:r>
        <w:rPr>
          <w:rFonts w:ascii="Times New Roman" w:hAnsi="Times New Roman"/>
          <w:sz w:val="20"/>
        </w:rPr>
        <w:t xml:space="preserve">.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and the Prospectus and to enter into this Agreement and perform its obligations under this Agreement, the Investment Management Agreement, the Administration Agreement and the Securities;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Subsidiaries of the Company; Portfolio Companies</w:t>
      </w:r>
      <w:r>
        <w:rPr>
          <w:rFonts w:ascii="Times New Roman" w:hAnsi="Times New Roman"/>
          <w:sz w:val="20"/>
        </w:rPr>
        <w:t>. The Companys only subsidiaries that were consolidated with the Company for financial reporting purposes under GAAP as of December 31, 2022 are those listed on</w:t>
      </w:r>
      <w:r>
        <w:rPr>
          <w:rFonts w:ascii="Times New Roman" w:hAnsi="Times New Roman"/>
          <w:sz w:val="20"/>
          <w:u w:val="single"/>
        </w:rPr>
        <w:t xml:space="preserve"> Schedule A</w:t>
      </w:r>
      <w:r>
        <w:rPr>
          <w:rFonts w:ascii="Times New Roman" w:hAnsi="Times New Roman"/>
          <w:sz w:val="20"/>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and the Prospectus under the caption Portfolio Companies (each a Portfolio Company and collectively the Portfolio Companies). Except as otherwise disclosed in the Prospectus, the Company does not control (as such term is defined in Section 2(a)(9) of the 1940 Act), any of the Portfolio Companies or any corporation or other entity in which it invested since the most recent quarter end.</w:t>
      </w:r>
    </w:p>
    <w:p>
      <w:pPr>
        <w:pStyle w:val="TextBody"/>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Capitalization</w:t>
      </w:r>
      <w:r>
        <w:rPr>
          <w:rFonts w:ascii="Times New Roman" w:hAnsi="Times New Roman"/>
          <w:sz w:val="20"/>
        </w:rPr>
        <w:t xml:space="preserve">. The authorized shares of capital stock of the Company are as set forth in the Registration Statement and the Prospectus under the caption Description of Our Capital Stock. The total issued and outstanding shares of capital stock of the Company as of March 30, 2023 are as set forth in the Prospectus Supplement under the caption The Offering. The outstanding shares of capital stock of the Company have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 </w:t>
      </w:r>
    </w:p>
    <w:p>
      <w:pPr>
        <w:pStyle w:val="TextBody"/>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Authorization of Agreement</w:t>
      </w:r>
      <w:r>
        <w:rPr>
          <w:rFonts w:ascii="Times New Roman" w:hAnsi="Times New Roman"/>
          <w:sz w:val="20"/>
        </w:rPr>
        <w:t xml:space="preserve">. This Agreement has been duly authorized, executed and delivered by the Company. </w:t>
      </w:r>
    </w:p>
    <w:p>
      <w:pPr>
        <w:pStyle w:val="TextBody"/>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Authorization and Description of Securities</w:t>
      </w:r>
      <w:r>
        <w:rPr>
          <w:rFonts w:ascii="Times New Roman" w:hAnsi="Times New Roman"/>
          <w:sz w:val="20"/>
        </w:rPr>
        <w:t xml:space="preserve">. The Securities to be issued and sold by the Company hereunder have been duly authorized and when issued and paid for as contemplated herein will be validly issued, fully paid and non-assessable; and no preemptive rights of stockholders exist with respect to any of the Securities or the issue and sale thereof. The Common Stock conforms to all statements relating thereto contained in the Registration Statement and the Prospectus and such description conforms to the rights set forth in the instruments defining the same. No holder of the Common Stock will be subject to personal liability by reason of being such a holder. The Company acknowledges and agrees that all stock-related numbers contained in this Agreement shall be adjusted to take into account any stock split, stock dividend or similar event effected with respect to the Securities. </w:t>
      </w:r>
    </w:p>
    <w:p>
      <w:pPr>
        <w:pStyle w:val="TextBody"/>
        <w:spacing w:before="12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Registration Rights</w:t>
      </w:r>
      <w:r>
        <w:rPr>
          <w:rFonts w:ascii="Times New Roman" w:hAnsi="Times New Roman"/>
          <w:sz w:val="20"/>
        </w:rPr>
        <w:t xml:space="preserve">. There are no persons with registration rights or other similar rights to have any securities registered for sale pursuant to the Registration Statement or otherwise registered for sale or sold by the Company under the 1933 Act pursuant to this Agreement. </w:t>
      </w:r>
    </w:p>
    <w:p>
      <w:pPr>
        <w:pStyle w:val="TextBody"/>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Absence of Violations and Defaults</w:t>
      </w:r>
      <w:r>
        <w:rPr>
          <w:rFonts w:ascii="Times New Roman" w:hAnsi="Times New Roman"/>
          <w:sz w:val="20"/>
        </w:rPr>
        <w:t xml:space="preserve">. Neither the Company nor any of the Subsidiaries is (A) in violation of its charter, bylaws or similar organizational document, each as amended or supplemented from time to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Absence of Conflicts</w:t>
      </w:r>
      <w:r>
        <w:rPr>
          <w:rFonts w:ascii="Times New Roman" w:hAnsi="Times New Roman"/>
          <w:sz w:val="20"/>
        </w:rPr>
        <w:t xml:space="preserve">.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 </w:t>
      </w:r>
    </w:p>
    <w:p>
      <w:pPr>
        <w:pStyle w:val="TextBody"/>
        <w:spacing w:before="12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Employees</w:t>
      </w:r>
      <w:r>
        <w:rPr>
          <w:rFonts w:ascii="Times New Roman" w:hAnsi="Times New Roman"/>
          <w:sz w:val="20"/>
        </w:rPr>
        <w:t xml:space="preserve">. Neither the Company nor any of the Subsidiaries has any employees. </w:t>
      </w:r>
    </w:p>
    <w:p>
      <w:pPr>
        <w:pStyle w:val="TextBody"/>
        <w:spacing w:before="12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Absence of Proceedings</w:t>
      </w:r>
      <w:r>
        <w:rPr>
          <w:rFonts w:ascii="Times New Roman" w:hAnsi="Times New Roman"/>
          <w:sz w:val="20"/>
        </w:rPr>
        <w:t xml:space="preserve">. Except as disclosed in the Registration Statement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Administration Agreement or the performance by the Company of its obligations hereunder or thereunder. </w:t>
      </w:r>
    </w:p>
    <w:p>
      <w:pPr>
        <w:pStyle w:val="TextBody"/>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Accuracy of Exhibits</w:t>
      </w:r>
      <w:r>
        <w:rPr>
          <w:rFonts w:ascii="Times New Roman" w:hAnsi="Times New Roman"/>
          <w:sz w:val="20"/>
        </w:rPr>
        <w:t xml:space="preserve">. There are no contracts or documents which are required to be described in the Registration Statement or the Prospectus or to be filed as exhibits to the Registration Statement which have not been so described and filed as required. </w:t>
      </w:r>
    </w:p>
    <w:p>
      <w:pPr>
        <w:pStyle w:val="TextBody"/>
        <w:spacing w:before="12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except (A) such as have been already made or obtained, including under the 1933 Act, the 1933 Act Regulations, the 1940 Act, the 1940 Act Regulations,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 </w:t>
      </w:r>
    </w:p>
    <w:p>
      <w:pPr>
        <w:pStyle w:val="TextBody"/>
        <w:spacing w:before="120" w:after="0"/>
        <w:jc w:val="left"/>
        <w:rPr>
          <w:rFonts w:ascii="Times New Roman" w:hAnsi="Times New Roman"/>
          <w:sz w:val="20"/>
        </w:rPr>
      </w:pPr>
      <w:r>
        <w:rPr>
          <w:rFonts w:ascii="Times New Roman" w:hAnsi="Times New Roman"/>
          <w:sz w:val="20"/>
        </w:rPr>
        <w:t xml:space="preserve">(xxi) </w:t>
      </w:r>
      <w:r>
        <w:rPr>
          <w:rFonts w:ascii="Times New Roman" w:hAnsi="Times New Roman"/>
          <w:sz w:val="20"/>
          <w:u w:val="single"/>
        </w:rPr>
        <w:t>Possession of Licenses and Permits</w:t>
      </w:r>
      <w:r>
        <w:rPr>
          <w:rFonts w:ascii="Times New Roman" w:hAnsi="Times New Roman"/>
          <w:sz w:val="20"/>
        </w:rPr>
        <w:t xml:space="preserve">.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(xxii) </w:t>
      </w:r>
      <w:r>
        <w:rPr>
          <w:rFonts w:ascii="Times New Roman" w:hAnsi="Times New Roman"/>
          <w:sz w:val="20"/>
          <w:u w:val="single"/>
        </w:rPr>
        <w:t>Title to Property</w:t>
      </w:r>
      <w:r>
        <w:rPr>
          <w:rFonts w:ascii="Times New Roman" w:hAnsi="Times New Roman"/>
          <w:sz w:val="20"/>
        </w:rPr>
        <w:t xml:space="preserve">.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w:t>
      </w:r>
    </w:p>
    <w:p>
      <w:pPr>
        <w:pStyle w:val="TextBody"/>
        <w:spacing w:before="120" w:after="0"/>
        <w:jc w:val="left"/>
        <w:rPr>
          <w:rFonts w:ascii="Times New Roman" w:hAnsi="Times New Roman"/>
          <w:sz w:val="20"/>
        </w:rPr>
      </w:pPr>
      <w:r>
        <w:rPr>
          <w:rFonts w:ascii="Times New Roman" w:hAnsi="Times New Roman"/>
          <w:sz w:val="20"/>
        </w:rPr>
        <w:t xml:space="preserve">(xxiii) </w:t>
      </w:r>
      <w:r>
        <w:rPr>
          <w:rFonts w:ascii="Times New Roman" w:hAnsi="Times New Roman"/>
          <w:sz w:val="20"/>
          <w:u w:val="single"/>
        </w:rPr>
        <w:t>Possession of Intellectual Property</w:t>
      </w:r>
      <w:r>
        <w:rPr>
          <w:rFonts w:ascii="Times New Roman" w:hAnsi="Times New Roman"/>
          <w:sz w:val="20"/>
        </w:rPr>
        <w:t xml:space="preserve">.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(xxiv) </w:t>
      </w:r>
      <w:r>
        <w:rPr>
          <w:rFonts w:ascii="Times New Roman" w:hAnsi="Times New Roman"/>
          <w:sz w:val="20"/>
          <w:u w:val="single"/>
        </w:rPr>
        <w:t>Accounting Controls</w:t>
      </w:r>
      <w:r>
        <w:rPr>
          <w:rFonts w:ascii="Times New Roman" w:hAnsi="Times New Roman"/>
          <w:sz w:val="20"/>
        </w:rPr>
        <w:t xml:space="preserve">.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 as amended). </w:t>
      </w:r>
    </w:p>
    <w:p>
      <w:pPr>
        <w:pStyle w:val="TextBody"/>
        <w:spacing w:before="120" w:after="0"/>
        <w:jc w:val="left"/>
        <w:rPr>
          <w:rFonts w:ascii="Times New Roman" w:hAnsi="Times New Roman"/>
          <w:sz w:val="20"/>
        </w:rPr>
      </w:pPr>
      <w:r>
        <w:rPr>
          <w:rFonts w:ascii="Times New Roman" w:hAnsi="Times New Roman"/>
          <w:sz w:val="20"/>
        </w:rPr>
        <w:t xml:space="preserve">(xxv) </w:t>
      </w:r>
      <w:r>
        <w:rPr>
          <w:rFonts w:ascii="Times New Roman" w:hAnsi="Times New Roman"/>
          <w:sz w:val="20"/>
          <w:u w:val="single"/>
        </w:rPr>
        <w:t>Taxes and Tax Returns</w:t>
      </w:r>
      <w:r>
        <w:rPr>
          <w:rFonts w:ascii="Times New Roman" w:hAnsi="Times New Roman"/>
          <w:sz w:val="20"/>
        </w:rPr>
        <w:t xml:space="preserve">.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2021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(xxvi) </w:t>
      </w:r>
      <w:r>
        <w:rPr>
          <w:rFonts w:ascii="Times New Roman" w:hAnsi="Times New Roman"/>
          <w:sz w:val="20"/>
          <w:u w:val="single"/>
        </w:rPr>
        <w:t>Insurance</w:t>
      </w:r>
      <w:r>
        <w:rPr>
          <w:rFonts w:ascii="Times New Roman" w:hAnsi="Times New Roman"/>
          <w:sz w:val="20"/>
        </w:rPr>
        <w:t xml:space="preserve">.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w:t>
      </w:r>
    </w:p>
    <w:p>
      <w:pPr>
        <w:pStyle w:val="TextBody"/>
        <w:spacing w:before="120" w:after="0"/>
        <w:jc w:val="left"/>
        <w:rPr>
          <w:rFonts w:ascii="Times New Roman" w:hAnsi="Times New Roman"/>
          <w:sz w:val="20"/>
        </w:rPr>
      </w:pPr>
      <w:r>
        <w:rPr>
          <w:rFonts w:ascii="Times New Roman" w:hAnsi="Times New Roman"/>
          <w:sz w:val="20"/>
        </w:rPr>
        <w:t xml:space="preserve">(xxvii) </w:t>
      </w:r>
      <w:r>
        <w:rPr>
          <w:rFonts w:ascii="Times New Roman" w:hAnsi="Times New Roman"/>
          <w:sz w:val="20"/>
          <w:u w:val="single"/>
        </w:rPr>
        <w:t>Investment Company Act</w:t>
      </w:r>
      <w:r>
        <w:rPr>
          <w:rFonts w:ascii="Times New Roman" w:hAnsi="Times New Roman"/>
          <w:sz w:val="20"/>
        </w:rPr>
        <w:t xml:space="preserve">. The Company is not required and, upon the issuance and sale of the Securities as herein contemplated and the application of the net proceeds therefrom as described in the Prospectus, will not be required to register as an investment company as such term is used in the 1940 Act. </w:t>
      </w:r>
    </w:p>
    <w:p>
      <w:pPr>
        <w:pStyle w:val="TextBody"/>
        <w:spacing w:before="120" w:after="0"/>
        <w:jc w:val="left"/>
        <w:rPr>
          <w:rFonts w:ascii="Times New Roman" w:hAnsi="Times New Roman"/>
          <w:sz w:val="20"/>
        </w:rPr>
      </w:pPr>
      <w:r>
        <w:rPr>
          <w:rFonts w:ascii="Times New Roman" w:hAnsi="Times New Roman"/>
          <w:sz w:val="20"/>
        </w:rPr>
        <w:t xml:space="preserve">(xxviii) </w:t>
      </w:r>
      <w:r>
        <w:rPr>
          <w:rFonts w:ascii="Times New Roman" w:hAnsi="Times New Roman"/>
          <w:sz w:val="20"/>
          <w:u w:val="single"/>
        </w:rPr>
        <w:t>Stabilization and Manipulation</w:t>
      </w:r>
      <w:r>
        <w:rPr>
          <w:rFonts w:ascii="Times New Roman" w:hAnsi="Times New Roman"/>
          <w:sz w:val="20"/>
        </w:rPr>
        <w:t xml:space="preserve">. The Company has not taken, nor will it take, directly or indirectly, without giving effect to any activities by the Sales Agent, any action designed, or that would reasonably be expected, to cause or result in, or that constitutes, any stabilization or manipulation of the price of the Securities, other than activity permitted pursuant to Rule 10b-18 under the 1934 Act. </w:t>
      </w:r>
    </w:p>
    <w:p>
      <w:pPr>
        <w:pStyle w:val="TextBody"/>
        <w:spacing w:before="120" w:after="0"/>
        <w:jc w:val="left"/>
        <w:rPr>
          <w:rFonts w:ascii="Times New Roman" w:hAnsi="Times New Roman"/>
          <w:sz w:val="20"/>
        </w:rPr>
      </w:pPr>
      <w:r>
        <w:rPr>
          <w:rFonts w:ascii="Times New Roman" w:hAnsi="Times New Roman"/>
          <w:sz w:val="20"/>
        </w:rPr>
        <w:t xml:space="preserve">(xxix) </w:t>
      </w:r>
      <w:r>
        <w:rPr>
          <w:rFonts w:ascii="Times New Roman" w:hAnsi="Times New Roman"/>
          <w:sz w:val="20"/>
          <w:u w:val="single"/>
        </w:rPr>
        <w:t>Foreign Corrupt Practices Act</w:t>
      </w:r>
      <w:r>
        <w:rPr>
          <w:rFonts w:ascii="Times New Roman" w:hAnsi="Times New Roman"/>
          <w:sz w:val="20"/>
        </w:rPr>
        <w:t xml:space="preserve">.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 </w:t>
      </w:r>
    </w:p>
    <w:p>
      <w:pPr>
        <w:pStyle w:val="TextBody"/>
        <w:spacing w:before="120" w:after="0"/>
        <w:jc w:val="left"/>
        <w:rPr>
          <w:rFonts w:ascii="Times New Roman" w:hAnsi="Times New Roman"/>
          <w:sz w:val="20"/>
        </w:rPr>
      </w:pPr>
      <w:r>
        <w:rPr>
          <w:rFonts w:ascii="Times New Roman" w:hAnsi="Times New Roman"/>
          <w:sz w:val="20"/>
        </w:rPr>
        <w:t xml:space="preserve">(xxx) </w:t>
      </w:r>
      <w:r>
        <w:rPr>
          <w:rFonts w:ascii="Times New Roman" w:hAnsi="Times New Roman"/>
          <w:sz w:val="20"/>
          <w:u w:val="single"/>
        </w:rPr>
        <w:t>Anti-Money Laundering Laws</w:t>
      </w:r>
      <w:r>
        <w:rPr>
          <w:rFonts w:ascii="Times New Roman" w:hAnsi="Times New Roman"/>
          <w:sz w:val="20"/>
        </w:rPr>
        <w:t xml:space="preserve">. The operations of the Company and the Subsidiaries are and have been conducted at all times in compliance with applicable financial recordkeeping and reporting requirements of the Currency and Foreign Transactions Reporting Act of 1970, as amended, the applicable anti-money laundering statutes of the jurisdictions in which the Company and the Subsidiaries conduct business, the rules and regulations thereunder and any other relevant laws, rules, regulations or guidelines, issued, administered or enforced by any Governmental Entity (collectively, the Anti-Money Laundering Laws); and no action, suit or proceeding by or before any Governmental Entity involving the Company or any of the Subsidiaries with respect to the Anti-Money Laundering Laws is pending or, to the best knowledge of the Company, threatened.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(xxxi) </w:t>
      </w:r>
      <w:r>
        <w:rPr>
          <w:rFonts w:ascii="Times New Roman" w:hAnsi="Times New Roman"/>
          <w:sz w:val="20"/>
          <w:u w:val="single"/>
        </w:rPr>
        <w:t>OFAC</w:t>
      </w:r>
      <w:r>
        <w:rPr>
          <w:rFonts w:ascii="Times New Roman" w:hAnsi="Times New Roman"/>
          <w:sz w:val="20"/>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 by a Person that is, (i) currently the subject or target of any sanctions administered or enforced by the United States Government, including the U.S. Department of the Treasurys Office of Foreign Assets Control (OFAC), the United Nations Security Council, the European Union, His Majestys Treasury,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pStyle w:val="TextBody"/>
        <w:spacing w:before="120" w:after="0"/>
        <w:jc w:val="left"/>
        <w:rPr>
          <w:rFonts w:ascii="Times New Roman" w:hAnsi="Times New Roman"/>
          <w:sz w:val="20"/>
        </w:rPr>
      </w:pPr>
      <w:r>
        <w:rPr>
          <w:rFonts w:ascii="Times New Roman" w:hAnsi="Times New Roman"/>
          <w:sz w:val="20"/>
        </w:rPr>
        <w:t xml:space="preserve">(xxxii) </w:t>
      </w:r>
      <w:r>
        <w:rPr>
          <w:rFonts w:ascii="Times New Roman" w:hAnsi="Times New Roman"/>
          <w:sz w:val="20"/>
          <w:u w:val="single"/>
        </w:rPr>
        <w:t>Lending Relationship</w:t>
      </w:r>
      <w:r>
        <w:rPr>
          <w:rFonts w:ascii="Times New Roman" w:hAnsi="Times New Roman"/>
          <w:sz w:val="20"/>
        </w:rPr>
        <w:t xml:space="preserve">. Except as disclosed in the Registration Statement and the Prospectus, the Company (i) does not have any material lending or other relationship with any bank or lending affiliate of the Sales Agent and (ii) does not intend to use any of the proceeds from the sale of the Securities to repay any outstanding debt owed to any affiliate of the Sales Agent. </w:t>
      </w:r>
    </w:p>
    <w:p>
      <w:pPr>
        <w:pStyle w:val="TextBody"/>
        <w:spacing w:before="120" w:after="0"/>
        <w:jc w:val="left"/>
        <w:rPr>
          <w:rFonts w:ascii="Times New Roman" w:hAnsi="Times New Roman"/>
          <w:sz w:val="20"/>
        </w:rPr>
      </w:pPr>
      <w:r>
        <w:rPr>
          <w:rFonts w:ascii="Times New Roman" w:hAnsi="Times New Roman"/>
          <w:sz w:val="20"/>
        </w:rPr>
        <w:t xml:space="preserve">(xxxiii) </w:t>
      </w:r>
      <w:r>
        <w:rPr>
          <w:rFonts w:ascii="Times New Roman" w:hAnsi="Times New Roman"/>
          <w:sz w:val="20"/>
          <w:u w:val="single"/>
        </w:rPr>
        <w:t>Statistical and Market-Related Data</w:t>
      </w:r>
      <w:r>
        <w:rPr>
          <w:rFonts w:ascii="Times New Roman" w:hAnsi="Times New Roman"/>
          <w:sz w:val="20"/>
        </w:rPr>
        <w:t xml:space="preserve">. Any statistical and market-related data included or incorporated by reference in the Registration Statement or the Prospectus are based on or derived from sources that the Company believes to be reliable and accurate and, to the extent required, the Company has obtained the written consent to the use of such data from such sources. </w:t>
      </w:r>
    </w:p>
    <w:p>
      <w:pPr>
        <w:pStyle w:val="TextBody"/>
        <w:spacing w:before="120" w:after="0"/>
        <w:jc w:val="left"/>
        <w:rPr>
          <w:rFonts w:ascii="Times New Roman" w:hAnsi="Times New Roman"/>
          <w:sz w:val="20"/>
        </w:rPr>
      </w:pPr>
      <w:r>
        <w:rPr>
          <w:rFonts w:ascii="Times New Roman" w:hAnsi="Times New Roman"/>
          <w:sz w:val="20"/>
        </w:rPr>
        <w:t xml:space="preserve">(xxxiv) </w:t>
      </w:r>
      <w:r>
        <w:rPr>
          <w:rFonts w:ascii="Times New Roman" w:hAnsi="Times New Roman"/>
          <w:sz w:val="20"/>
          <w:u w:val="single"/>
        </w:rPr>
        <w:t>Related Party Transactions</w:t>
      </w:r>
      <w:r>
        <w:rPr>
          <w:rFonts w:ascii="Times New Roman" w:hAnsi="Times New Roman"/>
          <w:sz w:val="20"/>
        </w:rPr>
        <w:t xml:space="preserve">. There are no business relationships or related party transactions involving the Company, any of the Subsidiaries or any other person required to be described in the Registration Statement or the Prospectus which have not been described as required. </w:t>
      </w:r>
    </w:p>
    <w:p>
      <w:pPr>
        <w:pStyle w:val="TextBody"/>
        <w:spacing w:before="120" w:after="0"/>
        <w:jc w:val="left"/>
        <w:rPr>
          <w:rFonts w:ascii="Times New Roman" w:hAnsi="Times New Roman"/>
          <w:sz w:val="20"/>
        </w:rPr>
      </w:pPr>
      <w:r>
        <w:rPr>
          <w:rFonts w:ascii="Times New Roman" w:hAnsi="Times New Roman"/>
          <w:sz w:val="20"/>
        </w:rPr>
        <w:t xml:space="preserve">(xxxv) </w:t>
      </w:r>
      <w:r>
        <w:rPr>
          <w:rFonts w:ascii="Times New Roman" w:hAnsi="Times New Roman"/>
          <w:sz w:val="20"/>
          <w:u w:val="single"/>
        </w:rPr>
        <w:t>Notification of Election</w:t>
      </w:r>
      <w:r>
        <w:rPr>
          <w:rFonts w:ascii="Times New Roman" w:hAnsi="Times New Roman"/>
          <w:sz w:val="20"/>
        </w:rPr>
        <w:t xml:space="preserve">.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 </w:t>
      </w:r>
    </w:p>
    <w:p>
      <w:pPr>
        <w:pStyle w:val="TextBody"/>
        <w:spacing w:before="120" w:after="0"/>
        <w:jc w:val="left"/>
        <w:rPr>
          <w:rFonts w:ascii="Times New Roman" w:hAnsi="Times New Roman"/>
          <w:sz w:val="20"/>
        </w:rPr>
      </w:pPr>
      <w:r>
        <w:rPr>
          <w:rFonts w:ascii="Times New Roman" w:hAnsi="Times New Roman"/>
          <w:sz w:val="20"/>
        </w:rPr>
        <w:t xml:space="preserve">(xxxvi) </w:t>
      </w:r>
      <w:r>
        <w:rPr>
          <w:rFonts w:ascii="Times New Roman" w:hAnsi="Times New Roman"/>
          <w:sz w:val="20"/>
          <w:u w:val="single"/>
        </w:rPr>
        <w:t>Investment Management Agreement and Administration Agreement</w:t>
      </w:r>
      <w:r>
        <w:rPr>
          <w:rFonts w:ascii="Times New Roman" w:hAnsi="Times New Roman"/>
          <w:sz w:val="20"/>
        </w:rPr>
        <w:t xml:space="preserve">.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and the Administration Agreement have been made in accordance with the requirements of Section 15(a) and (c) of the 1940 Act and the 1940 Act Regulations applicable to companies that have elected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 </w:t>
      </w:r>
    </w:p>
    <w:p>
      <w:pPr>
        <w:pStyle w:val="TextBody"/>
        <w:spacing w:before="120" w:after="0"/>
        <w:jc w:val="left"/>
        <w:rPr>
          <w:rFonts w:ascii="Times New Roman" w:hAnsi="Times New Roman"/>
          <w:sz w:val="20"/>
        </w:rPr>
      </w:pPr>
      <w:r>
        <w:rPr>
          <w:rFonts w:ascii="Times New Roman" w:hAnsi="Times New Roman"/>
          <w:sz w:val="20"/>
        </w:rPr>
        <w:t xml:space="preserve">(xxxvii) </w:t>
      </w:r>
      <w:r>
        <w:rPr>
          <w:rFonts w:ascii="Times New Roman" w:hAnsi="Times New Roman"/>
          <w:sz w:val="20"/>
          <w:u w:val="single"/>
        </w:rPr>
        <w:t>Interested Persons</w:t>
      </w:r>
      <w:r>
        <w:rPr>
          <w:rFonts w:ascii="Times New Roman" w:hAnsi="Times New Roman"/>
          <w:sz w:val="20"/>
        </w:rPr>
        <w:t xml:space="preserve">. Except as disclosed in the Registration Statement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the Sales Agent. </w:t>
      </w:r>
    </w:p>
    <w:p>
      <w:pPr>
        <w:pStyle w:val="TextBody"/>
        <w:spacing w:before="120" w:after="0"/>
        <w:jc w:val="left"/>
        <w:rPr>
          <w:rFonts w:ascii="Times New Roman" w:hAnsi="Times New Roman"/>
          <w:sz w:val="20"/>
        </w:rPr>
      </w:pPr>
      <w:r>
        <w:rPr>
          <w:rFonts w:ascii="Times New Roman" w:hAnsi="Times New Roman"/>
          <w:sz w:val="20"/>
        </w:rPr>
        <w:t xml:space="preserve">(xxxviii) </w:t>
      </w:r>
      <w:r>
        <w:rPr>
          <w:rFonts w:ascii="Times New Roman" w:hAnsi="Times New Roman"/>
          <w:sz w:val="20"/>
          <w:u w:val="single"/>
        </w:rPr>
        <w:t>Business Development Company</w:t>
      </w:r>
      <w:r>
        <w:rPr>
          <w:rFonts w:ascii="Times New Roman" w:hAnsi="Times New Roman"/>
          <w:sz w:val="20"/>
        </w:rPr>
        <w:t xml:space="preserve">.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 </w:t>
      </w:r>
    </w:p>
    <w:p>
      <w:pPr>
        <w:pStyle w:val="TextBody"/>
        <w:spacing w:before="120" w:after="0"/>
        <w:jc w:val="left"/>
        <w:rPr>
          <w:rFonts w:ascii="Times New Roman" w:hAnsi="Times New Roman"/>
          <w:sz w:val="20"/>
        </w:rPr>
      </w:pPr>
      <w:r>
        <w:rPr>
          <w:rFonts w:ascii="Times New Roman" w:hAnsi="Times New Roman"/>
          <w:sz w:val="20"/>
        </w:rPr>
        <w:t xml:space="preserve">(xxxix) </w:t>
      </w:r>
      <w:r>
        <w:rPr>
          <w:rFonts w:ascii="Times New Roman" w:hAnsi="Times New Roman"/>
          <w:sz w:val="20"/>
          <w:u w:val="single"/>
        </w:rPr>
        <w:t>No Extension of Credit</w:t>
      </w:r>
      <w:r>
        <w:rPr>
          <w:rFonts w:ascii="Times New Roman" w:hAnsi="Times New Roman"/>
          <w:sz w:val="20"/>
        </w:rPr>
        <w:t xml:space="preserve">.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 </w:t>
      </w:r>
    </w:p>
    <w:p>
      <w:pPr>
        <w:pStyle w:val="TextBody"/>
        <w:spacing w:before="120" w:after="0"/>
        <w:jc w:val="left"/>
        <w:rPr>
          <w:rFonts w:ascii="Times New Roman" w:hAnsi="Times New Roman"/>
          <w:sz w:val="20"/>
        </w:rPr>
      </w:pPr>
      <w:r>
        <w:rPr>
          <w:rFonts w:ascii="Times New Roman" w:hAnsi="Times New Roman"/>
          <w:sz w:val="20"/>
        </w:rPr>
        <w:t xml:space="preserve">(xl) </w:t>
      </w:r>
      <w:r>
        <w:rPr>
          <w:rFonts w:ascii="Times New Roman" w:hAnsi="Times New Roman"/>
          <w:sz w:val="20"/>
          <w:u w:val="single"/>
        </w:rPr>
        <w:t>Regulated Investment Company</w:t>
      </w:r>
      <w:r>
        <w:rPr>
          <w:rFonts w:ascii="Times New Roman" w:hAnsi="Times New Roman"/>
          <w:sz w:val="20"/>
        </w:rPr>
        <w:t xml:space="preserve">.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 </w:t>
      </w:r>
    </w:p>
    <w:p>
      <w:pPr>
        <w:pStyle w:val="TextBody"/>
        <w:spacing w:before="120" w:after="0"/>
        <w:jc w:val="left"/>
        <w:rPr>
          <w:rFonts w:ascii="Times New Roman" w:hAnsi="Times New Roman"/>
          <w:sz w:val="20"/>
        </w:rPr>
      </w:pPr>
      <w:r>
        <w:rPr>
          <w:rFonts w:ascii="Times New Roman" w:hAnsi="Times New Roman"/>
          <w:sz w:val="20"/>
        </w:rPr>
        <w:t xml:space="preserve">(xli) </w:t>
      </w:r>
      <w:r>
        <w:rPr>
          <w:rFonts w:ascii="Times New Roman" w:hAnsi="Times New Roman"/>
          <w:sz w:val="20"/>
          <w:u w:val="single"/>
        </w:rPr>
        <w:t>Sarbanes-Oxley Act</w:t>
      </w:r>
      <w:r>
        <w:rPr>
          <w:rFonts w:ascii="Times New Roman" w:hAnsi="Times New Roman"/>
          <w:sz w:val="20"/>
        </w:rPr>
        <w:t xml:space="preserve">.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(xlii) </w:t>
      </w:r>
      <w:r>
        <w:rPr>
          <w:rFonts w:ascii="Times New Roman" w:hAnsi="Times New Roman"/>
          <w:sz w:val="20"/>
          <w:u w:val="single"/>
        </w:rPr>
        <w:t>Forward-Looking Statements</w:t>
      </w:r>
      <w:r>
        <w:rPr>
          <w:rFonts w:ascii="Times New Roman" w:hAnsi="Times New Roman"/>
          <w:i/>
          <w:sz w:val="20"/>
        </w:rPr>
        <w:t>.</w:t>
      </w:r>
      <w:r>
        <w:rPr>
          <w:rFonts w:ascii="Times New Roman" w:hAnsi="Times New Roman"/>
          <w:sz w:val="20"/>
        </w:rPr>
        <w:t xml:space="preserve"> No forward-looking statement (within the meaning of Section 27A of the 1933 Act and Section 21E of the 1934 Act) contained in the Registration Statement or the Prospectus has been made or reaffirmed without a reasonable basis or has been disclosed other than in good faith. </w:t>
      </w:r>
    </w:p>
    <w:p>
      <w:pPr>
        <w:pStyle w:val="TextBody"/>
        <w:spacing w:before="120" w:after="0"/>
        <w:jc w:val="left"/>
        <w:rPr>
          <w:rFonts w:ascii="Times New Roman" w:hAnsi="Times New Roman"/>
          <w:sz w:val="20"/>
        </w:rPr>
      </w:pPr>
      <w:r>
        <w:rPr>
          <w:rFonts w:ascii="Times New Roman" w:hAnsi="Times New Roman"/>
          <w:sz w:val="20"/>
        </w:rPr>
        <w:t xml:space="preserve">(xliii) </w:t>
      </w:r>
      <w:r>
        <w:rPr>
          <w:rFonts w:ascii="Times New Roman" w:hAnsi="Times New Roman"/>
          <w:sz w:val="20"/>
          <w:u w:val="single"/>
        </w:rPr>
        <w:t>IT Systems</w:t>
      </w:r>
      <w:r>
        <w:rPr>
          <w:rFonts w:ascii="Times New Roman" w:hAnsi="Times New Roman"/>
          <w:sz w:val="20"/>
        </w:rPr>
        <w:t xml:space="preserve">.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 by the Adviser and the Administrator</w:t>
      </w:r>
      <w:r>
        <w:rPr>
          <w:rFonts w:ascii="Times New Roman" w:hAnsi="Times New Roman"/>
          <w:sz w:val="20"/>
        </w:rPr>
        <w:t xml:space="preserve">. The Adviser and the Administrator, jointly and severally, represent to the Sales Agent as of the date hereof, the Applicable Time, each Representation Date (as defined below) and any Date of Delivery (as defined below), and agrees with the Sales Agent, as follows: </w:t>
      </w:r>
    </w:p>
    <w:p>
      <w:pPr>
        <w:pStyle w:val="TextBody"/>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Material Adverse Change in Business</w:t>
      </w:r>
      <w:r>
        <w:rPr>
          <w:rFonts w:ascii="Times New Roman" w:hAnsi="Times New Roman"/>
          <w:sz w:val="20"/>
        </w:rPr>
        <w:t xml:space="preserve">. Except as otherwise stated therein, since the respective dates as of which information is given or incorporated by reference in the Registration Statement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Good Standing</w:t>
      </w:r>
      <w:r>
        <w:rPr>
          <w:rFonts w:ascii="Times New Roman" w:hAnsi="Times New Roman"/>
          <w:sz w:val="20"/>
        </w:rPr>
        <w:t xml:space="preserve">. Each of the Adviser and the Administrator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Adviser/Administrator Material Adverse Effect. </w:t>
      </w:r>
    </w:p>
    <w:p>
      <w:pPr>
        <w:pStyle w:val="TextBody"/>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Registration Under Advisers Act</w:t>
      </w:r>
      <w:r>
        <w:rPr>
          <w:rFonts w:ascii="Times New Roman" w:hAnsi="Times New Roman"/>
          <w:sz w:val="20"/>
        </w:rPr>
        <w:t xml:space="preserve">. The Adviser is duly registered with the Commission as an investment adviser under the Advisers Act and is not prohibited by the Advisers Act or the 1940 Act from acting under the Investment Management Agreement for the Company as contemplated by the Registration Statement and the Prospectus. There does not exist any proceeding or, to the Advisers knowledge, any facts or circumstances the existence of which could lead to any proceeding which might adversely affect the registration of the Adviser with the Commission. </w:t>
      </w:r>
    </w:p>
    <w:p>
      <w:pPr>
        <w:pStyle w:val="TextBody"/>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Absence of Proceedings</w:t>
      </w:r>
      <w:r>
        <w:rPr>
          <w:rFonts w:ascii="Times New Roman" w:hAnsi="Times New Roman"/>
          <w:sz w:val="20"/>
        </w:rPr>
        <w:t xml:space="preserve">. Except as disclosed in the Registration Statement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Investment Management Agreement or the Administration Agreement or the performance by the Adviser or the Administrator of its obligations hereunder or thereunder. </w:t>
      </w:r>
    </w:p>
    <w:p>
      <w:pPr>
        <w:pStyle w:val="TextBody"/>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Absence of Violations and Defaults</w:t>
      </w:r>
      <w:r>
        <w:rPr>
          <w:rFonts w:ascii="Times New Roman" w:hAnsi="Times New Roman"/>
          <w:sz w:val="20"/>
        </w:rPr>
        <w:t xml:space="preserve">.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the Adviser/Administrator Agreements and Instruments), except for such defaults that 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Absence of Conflicts</w:t>
      </w:r>
      <w:r>
        <w:rPr>
          <w:rFonts w:ascii="Times New Roman" w:hAnsi="Times New Roman"/>
          <w:sz w:val="20"/>
        </w:rPr>
        <w:t xml:space="preserve">.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Adviser and 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 (b)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 </w:t>
      </w:r>
    </w:p>
    <w:p>
      <w:pPr>
        <w:pStyle w:val="TextBody"/>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Authorization of this Agreement</w:t>
      </w:r>
      <w:r>
        <w:rPr>
          <w:rFonts w:ascii="Times New Roman" w:hAnsi="Times New Roman"/>
          <w:sz w:val="20"/>
        </w:rPr>
        <w:t xml:space="preserve">. This Agreement has been duly authorized, executed and delivered by each of the Adviser and the Administrator. </w:t>
      </w:r>
    </w:p>
    <w:p>
      <w:pPr>
        <w:pStyle w:val="TextBody"/>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Investment Management Agreement and Administration Agreement</w:t>
      </w:r>
      <w:r>
        <w:rPr>
          <w:rFonts w:ascii="Times New Roman" w:hAnsi="Times New Roman"/>
          <w:sz w:val="20"/>
        </w:rPr>
        <w:t xml:space="preserve">.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 </w:t>
      </w:r>
    </w:p>
    <w:p>
      <w:pPr>
        <w:pStyle w:val="TextBody"/>
        <w:spacing w:before="12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Absence of Further Requirements</w:t>
      </w:r>
      <w:r>
        <w:rPr>
          <w:rFonts w:ascii="Times New Roman" w:hAnsi="Times New Roman"/>
          <w:sz w:val="20"/>
        </w:rPr>
        <w:t xml:space="preserve">.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made or obtained, including under the 1933 Act, the 1933 Act Regulations,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 </w:t>
      </w:r>
    </w:p>
    <w:p>
      <w:pPr>
        <w:pStyle w:val="TextBody"/>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Descriptions of Adviser and Administrator</w:t>
      </w:r>
      <w:r>
        <w:rPr>
          <w:rFonts w:ascii="Times New Roman" w:hAnsi="Times New Roman"/>
          <w:sz w:val="20"/>
        </w:rPr>
        <w:t xml:space="preserve">. The descriptions of the Adviser and the Administrator contained in the Registration Statement and the Prospectus does not contain any untrue statement of a material fact or omit to state a material fact required to be stated therein or necessary to make the statements therein, in the light of the circumstances under which they were made, not misleading. </w:t>
      </w:r>
    </w:p>
    <w:p>
      <w:pPr>
        <w:pStyle w:val="TextBody"/>
        <w:spacing w:before="120" w:after="0"/>
        <w:jc w:val="left"/>
        <w:rPr>
          <w:rFonts w:ascii="Times New Roman" w:hAnsi="Times New Roman"/>
          <w:sz w:val="20"/>
        </w:rPr>
      </w:pPr>
      <w:r>
        <w:rPr>
          <w:rFonts w:ascii="Times New Roman" w:hAnsi="Times New Roman"/>
          <w:sz w:val="20"/>
        </w:rPr>
        <w:t xml:space="preserve">(xi) </w:t>
      </w:r>
      <w:r>
        <w:rPr>
          <w:rFonts w:ascii="Times New Roman" w:hAnsi="Times New Roman"/>
          <w:sz w:val="20"/>
          <w:u w:val="single"/>
        </w:rPr>
        <w:t>Possession of Licenses and Permits</w:t>
      </w:r>
      <w:r>
        <w:rPr>
          <w:rFonts w:ascii="Times New Roman" w:hAnsi="Times New Roman"/>
          <w:sz w:val="20"/>
        </w:rPr>
        <w:t xml:space="preserve">.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 Each of the Adviser and the Administrator is in compliance with the terms and conditions of all such Governmental Licenses, except where the failure so to comply would not reasonably be expected, singly or in the aggregate, to result in an 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 </w:t>
      </w:r>
    </w:p>
    <w:p>
      <w:pPr>
        <w:pStyle w:val="TextBody"/>
        <w:spacing w:before="120" w:after="0"/>
        <w:jc w:val="left"/>
        <w:rPr>
          <w:rFonts w:ascii="Times New Roman" w:hAnsi="Times New Roman"/>
          <w:sz w:val="20"/>
        </w:rPr>
      </w:pPr>
      <w:r>
        <w:rPr>
          <w:rFonts w:ascii="Times New Roman" w:hAnsi="Times New Roman"/>
          <w:sz w:val="20"/>
        </w:rPr>
        <w:t xml:space="preserve">(xii) </w:t>
      </w:r>
      <w:r>
        <w:rPr>
          <w:rFonts w:ascii="Times New Roman" w:hAnsi="Times New Roman"/>
          <w:sz w:val="20"/>
          <w:u w:val="single"/>
        </w:rPr>
        <w:t>Stabilization and Manipulation</w:t>
      </w:r>
      <w:r>
        <w:rPr>
          <w:rFonts w:ascii="Times New Roman" w:hAnsi="Times New Roman"/>
          <w:sz w:val="20"/>
        </w:rPr>
        <w:t xml:space="preserve">. Neither the Adviser nor the Administrator has taken, nor will take, directly or indirectly, without giving effect to any activities by the Sales Agent, any action designed, or that would reasonably be expected, to cause or result in, or which constitutes, the stabilization or manipulation of the price of the Securities, other than activity permitted pursuant to Rule 10b-18 under the 1934 Act. </w:t>
      </w:r>
    </w:p>
    <w:p>
      <w:pPr>
        <w:pStyle w:val="TextBody"/>
        <w:spacing w:before="120" w:after="0"/>
        <w:jc w:val="left"/>
        <w:rPr>
          <w:rFonts w:ascii="Times New Roman" w:hAnsi="Times New Roman"/>
          <w:sz w:val="20"/>
        </w:rPr>
      </w:pPr>
      <w:r>
        <w:rPr>
          <w:rFonts w:ascii="Times New Roman" w:hAnsi="Times New Roman"/>
          <w:sz w:val="20"/>
        </w:rPr>
        <w:t xml:space="preserve">(xiii) </w:t>
      </w:r>
      <w:r>
        <w:rPr>
          <w:rFonts w:ascii="Times New Roman" w:hAnsi="Times New Roman"/>
          <w:sz w:val="20"/>
          <w:u w:val="single"/>
        </w:rPr>
        <w:t>Foreign Corrupt Practices Act</w:t>
      </w:r>
      <w:r>
        <w:rPr>
          <w:rFonts w:ascii="Times New Roman" w:hAnsi="Times New Roman"/>
          <w:sz w:val="20"/>
        </w:rPr>
        <w:t xml:space="preserve">. None of the Adviser, the Administrator or, to the knowledge of the Adviser or the Administrator, any director, officer or employee of the Adviser or the Administrator or any agent, controlled affiliate or other person acting on behalf of the Adviser or the Administrator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or the Administrator, the Adviser and the Administrator have conducted its business, in relation to the Company, in compliance with the FCPA and has instituted and maintain policies and procedures designed to ensure, and which are reasonably expected to continue to ensure, continued compliance therewith.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(xiv) </w:t>
      </w:r>
      <w:r>
        <w:rPr>
          <w:rFonts w:ascii="Times New Roman" w:hAnsi="Times New Roman"/>
          <w:sz w:val="20"/>
          <w:u w:val="single"/>
        </w:rPr>
        <w:t>Anti-Money Laundering Laws</w:t>
      </w:r>
      <w:r>
        <w:rPr>
          <w:rFonts w:ascii="Times New Roman" w:hAnsi="Times New Roman"/>
          <w:sz w:val="20"/>
        </w:rPr>
        <w:t xml:space="preserve">. The operations of the Adviser and the Administrator are and have been conducted at all times in compliance with applicable financial recordkeeping and reporting requirements of the Anti-Money Laundering Laws; and no action, suit or proceeding by or before any arbitrator, court, governmental body, regulatory body, administrative agency or other authority, body or agency having jurisdiction over the Adviser and the Administrator or any of their properties, assets or operations involving the Adviser or the Administrator with respect to the Anti-Money Laundering Laws is pending or, to the best knowledge of the Adviser or the Administrator, threatened. </w:t>
      </w:r>
    </w:p>
    <w:p>
      <w:pPr>
        <w:pStyle w:val="TextBody"/>
        <w:spacing w:before="120" w:after="0"/>
        <w:jc w:val="left"/>
        <w:rPr>
          <w:rFonts w:ascii="Times New Roman" w:hAnsi="Times New Roman"/>
          <w:sz w:val="20"/>
        </w:rPr>
      </w:pPr>
      <w:r>
        <w:rPr>
          <w:rFonts w:ascii="Times New Roman" w:hAnsi="Times New Roman"/>
          <w:sz w:val="20"/>
        </w:rPr>
        <w:t xml:space="preserve">(xv) </w:t>
      </w:r>
      <w:r>
        <w:rPr>
          <w:rFonts w:ascii="Times New Roman" w:hAnsi="Times New Roman"/>
          <w:sz w:val="20"/>
          <w:u w:val="single"/>
        </w:rPr>
        <w:t>OFAC</w:t>
      </w:r>
      <w:r>
        <w:rPr>
          <w:rFonts w:ascii="Times New Roman" w:hAnsi="Times New Roman"/>
          <w:sz w:val="20"/>
        </w:rPr>
        <w:t xml:space="preserve">. None of the Adviser, the Administrator or, to the knowledge of the Adviser or the Administrator, any director, officer or employee of the Adviser or the Administrator or any agent, controlled affiliate or other person acting on behalf of the Adviser or the Administrator is a Person, or is controlled by a Person that is, (i) currently the subject or target of Sanctions, or (ii) located, organized or resident in a country or territory that is itself the subject of comprehensive Sanctions (currently Belarus, Cuba, Iran, North Korea, Russia, Syria and Crimea, Donetsk and Luhansk regions of Ukraine). During the last five years, neither the Adviser nor the Administrator has knowingly engaged in, and is not now knowingly engaged in, any unauthorized dealings or transactions with any Person that at the time of the dealing or transaction is or was the subject or target of Sanctions. </w:t>
      </w:r>
    </w:p>
    <w:p>
      <w:pPr>
        <w:pStyle w:val="TextBody"/>
        <w:spacing w:before="120" w:after="0"/>
        <w:jc w:val="left"/>
        <w:rPr>
          <w:rFonts w:ascii="Times New Roman" w:hAnsi="Times New Roman"/>
          <w:sz w:val="20"/>
        </w:rPr>
      </w:pPr>
      <w:r>
        <w:rPr>
          <w:rFonts w:ascii="Times New Roman" w:hAnsi="Times New Roman"/>
          <w:sz w:val="20"/>
        </w:rPr>
        <w:t xml:space="preserve">(xvi) </w:t>
      </w:r>
      <w:r>
        <w:rPr>
          <w:rFonts w:ascii="Times New Roman" w:hAnsi="Times New Roman"/>
          <w:sz w:val="20"/>
          <w:u w:val="single"/>
        </w:rPr>
        <w:t>Key Employees</w:t>
      </w:r>
      <w:r>
        <w:rPr>
          <w:rFonts w:ascii="Times New Roman" w:hAnsi="Times New Roman"/>
          <w:sz w:val="20"/>
        </w:rPr>
        <w:t xml:space="preserve">.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 </w:t>
      </w:r>
    </w:p>
    <w:p>
      <w:pPr>
        <w:pStyle w:val="TextBody"/>
        <w:spacing w:before="120" w:after="0"/>
        <w:jc w:val="left"/>
        <w:rPr>
          <w:rFonts w:ascii="Times New Roman" w:hAnsi="Times New Roman"/>
          <w:sz w:val="20"/>
        </w:rPr>
      </w:pPr>
      <w:r>
        <w:rPr>
          <w:rFonts w:ascii="Times New Roman" w:hAnsi="Times New Roman"/>
          <w:sz w:val="20"/>
        </w:rPr>
        <w:t xml:space="preserve">(xvii) </w:t>
      </w:r>
      <w:r>
        <w:rPr>
          <w:rFonts w:ascii="Times New Roman" w:hAnsi="Times New Roman"/>
          <w:sz w:val="20"/>
          <w:u w:val="single"/>
        </w:rPr>
        <w:t>No Labor Disputes</w:t>
      </w:r>
      <w:r>
        <w:rPr>
          <w:rFonts w:ascii="Times New Roman" w:hAnsi="Times New Roman"/>
          <w:sz w:val="20"/>
        </w:rPr>
        <w:t xml:space="preserve">.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(xviii) </w:t>
      </w:r>
      <w:r>
        <w:rPr>
          <w:rFonts w:ascii="Times New Roman" w:hAnsi="Times New Roman"/>
          <w:sz w:val="20"/>
          <w:u w:val="single"/>
        </w:rPr>
        <w:t>Accounting Controls</w:t>
      </w:r>
      <w:r>
        <w:rPr>
          <w:rFonts w:ascii="Times New Roman" w:hAnsi="Times New Roman"/>
          <w:sz w:val="20"/>
        </w:rPr>
        <w:t xml:space="preserve">.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 </w:t>
      </w:r>
    </w:p>
    <w:p>
      <w:pPr>
        <w:pStyle w:val="TextBody"/>
        <w:spacing w:before="120" w:after="0"/>
        <w:jc w:val="left"/>
        <w:rPr>
          <w:rFonts w:ascii="Times New Roman" w:hAnsi="Times New Roman"/>
          <w:sz w:val="20"/>
        </w:rPr>
      </w:pPr>
      <w:r>
        <w:rPr>
          <w:rFonts w:ascii="Times New Roman" w:hAnsi="Times New Roman"/>
          <w:sz w:val="20"/>
        </w:rPr>
        <w:t xml:space="preserve">(xix) </w:t>
      </w:r>
      <w:r>
        <w:rPr>
          <w:rFonts w:ascii="Times New Roman" w:hAnsi="Times New Roman"/>
          <w:sz w:val="20"/>
          <w:u w:val="single"/>
        </w:rPr>
        <w:t>Financial Resources</w:t>
      </w:r>
      <w:r>
        <w:rPr>
          <w:rFonts w:ascii="Times New Roman" w:hAnsi="Times New Roman"/>
          <w:sz w:val="20"/>
        </w:rPr>
        <w:t xml:space="preserve">. Each of the Adviser and the Administrator has the financial resources available to it necessary for the performance of its services and obligations as contemplated by the Registration Statement, the Prospectus and the Investment Management Agreement.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Officers Certificates</w:t>
      </w:r>
      <w:r>
        <w:rPr>
          <w:rFonts w:ascii="Times New Roman" w:hAnsi="Times New Roman"/>
          <w:sz w:val="20"/>
        </w:rPr>
        <w:t xml:space="preserve">. Any certificate signed by any officer of the Company, any of the Subsidiaries, the Adviser or the Administrator delivered to the Sales Agent or to counsel for the Sales Agent shall be deemed a representation and warranty by the Company, the Adviser or the Administrator, as applicable, to the Sales Agent as to the matters covered thereby. </w:t>
      </w:r>
    </w:p>
    <w:p>
      <w:pPr>
        <w:pStyle w:val="TextBody"/>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Sale and Delivery of Securities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On the basis of the representations, warranties and agreements herein contained, but subject to the terms and conditions herein set forth, the Company agrees to sell Securities from time to time through the Sales Agent, and the Sales Agent agrees to use its commercially reasonable efforts to sell, as sales agent for the Company, the Securities on the following terms. </w:t>
      </w:r>
    </w:p>
    <w:p>
      <w:pPr>
        <w:pStyle w:val="TextBody"/>
        <w:spacing w:before="120" w:after="0"/>
        <w:jc w:val="left"/>
        <w:rPr>
          <w:rFonts w:ascii="Times New Roman" w:hAnsi="Times New Roman"/>
          <w:sz w:val="20"/>
        </w:rPr>
      </w:pPr>
      <w:r>
        <w:rPr>
          <w:rFonts w:ascii="Times New Roman" w:hAnsi="Times New Roman"/>
          <w:sz w:val="20"/>
        </w:rPr>
        <w:t xml:space="preserve">(i) Each time that the Company wishes to sell Securities on any day that is a trading day for the New York Stock Exchange (a Trading Day) (other than a Trading Day on which the New York Stock Exchange is scheduled to close prior to its regular weekday closing time) pursuant to this Agreement (each, a Placement), the Company will instruct the Sales Agent in writing of the parameters in accordance with which it desires Securities to be sold, which shall at a minimum include the number of Securities to be offered, the time period during which sales are requested to be made, the minimum price below which sales may not be made and any limitation on the number of Securities that may be sold in any one day (a Placement Notice). The Sales Agent will, prior to 4:30 p.m. (New York City time) or, if later, within three hours after receipt of the Placement Notice, on the same business day (as defined below) on which such Placement Notice is delivered to the Sales Agent, issue to the Company a notice by email addressed to all of the Authorized Representatives (as defined below) confirming all of the parameters of the Placement. The Placement Notice shall be effective upon receipt by any of the Authorized Representatives of the email notice from the Sales Agent, unless and until (i) the entire amount of the Securities covered by the Placement Notice have been sold, (ii) in accordance with </w:t>
      </w:r>
      <w:r>
        <w:rPr>
          <w:rFonts w:ascii="Times New Roman" w:hAnsi="Times New Roman"/>
          <w:sz w:val="20"/>
          <w:u w:val="single"/>
        </w:rPr>
        <w:t>Section 2(a)(ii)</w:t>
      </w:r>
      <w:r>
        <w:rPr>
          <w:rFonts w:ascii="Times New Roman" w:hAnsi="Times New Roman"/>
          <w:sz w:val="20"/>
        </w:rPr>
        <w:t xml:space="preserve"> hereof, the Company or the Sales Agent suspends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or terminates the Placement Notice, (iii) the Company issues a subsequent Placement Notice with parameters superseding those on the earlier dated Placement Notice, or (iv) this Agreement has been terminated under the provisions of </w:t>
      </w:r>
      <w:r>
        <w:rPr>
          <w:rFonts w:ascii="Times New Roman" w:hAnsi="Times New Roman"/>
          <w:sz w:val="20"/>
          <w:u w:val="single"/>
        </w:rPr>
        <w:t>Section 9</w:t>
      </w:r>
      <w:r>
        <w:rPr>
          <w:rFonts w:ascii="Times New Roman" w:hAnsi="Times New Roman"/>
          <w:sz w:val="20"/>
        </w:rPr>
        <w:t xml:space="preserve">. Subject to the terms and conditions hereof, the Sales Agent shall use its commercially reasonable efforts to offer and sell all of the Securities designated in the Placement Notice; provided, however, that the Sales Agent shall have no obligation to offer or sell any Securities, and the Company acknowledges and agrees that the Sales Agent shall have no such obligation in the event an offer or sale of the Securities on behalf of the Company may in the judgment of the Sales Agent constitute the sale of a block under Rule 10b-18(a)(5) under the 1934 Act, or a distribution within the meaning of Rule 100 of Regulation M under the 1934 Act or the Sales Agent reasonably believes it may be deemed an underwriter under the 1933 Act in a transaction that is other than (A) by means of ordinary brokers transactions between members of the New York Stock Exchange that qualify for delivery of a Prospectus to the New York Stock Exchange in accordance with Rule 153 under the 1933 Act or (B) directly on or through an electronic communication network, a dark pool or any similar market venue (the transactions described in (A) and (B) are hereinafter referred to as At the Market Offerings). In the event of a conflict between the terms of this Agreement and the terms of any Placement Notice, the terms of such Placement Notice will control. </w:t>
      </w:r>
    </w:p>
    <w:p>
      <w:pPr>
        <w:pStyle w:val="TextBody"/>
        <w:spacing w:before="120" w:after="0"/>
        <w:jc w:val="left"/>
        <w:rPr>
          <w:rFonts w:ascii="Times New Roman" w:hAnsi="Times New Roman"/>
          <w:sz w:val="20"/>
        </w:rPr>
      </w:pPr>
      <w:r>
        <w:rPr>
          <w:rFonts w:ascii="Times New Roman" w:hAnsi="Times New Roman"/>
          <w:sz w:val="20"/>
        </w:rPr>
        <w:t xml:space="preserve">(ii) Notwithstanding the foregoing, the Company or the Sales Agent may, upon notice to the other party by telephone (confirmed promptly by electronic mail from such party), suspend the offering of the Securities pursuant to this Agreement or suspend or terminate a previously issued Placement Notice; provided, however, that such suspension or termination shall not affect or impair the parties respective obligations with respect to the Securities sold hereunder prior to the giving of such notice. Each of the parties agrees that no such notice shall be effective against the other unless it is made to one of its authorized representatives as set forth on Schedule B hereto (the Authorized Representatives), as such Schedule may be amended from time to time. </w:t>
      </w:r>
    </w:p>
    <w:p>
      <w:pPr>
        <w:pStyle w:val="TextBody"/>
        <w:spacing w:before="120" w:after="0"/>
        <w:jc w:val="left"/>
        <w:rPr>
          <w:rFonts w:ascii="Times New Roman" w:hAnsi="Times New Roman"/>
          <w:sz w:val="20"/>
        </w:rPr>
      </w:pPr>
      <w:r>
        <w:rPr>
          <w:rFonts w:ascii="Times New Roman" w:hAnsi="Times New Roman"/>
          <w:sz w:val="20"/>
        </w:rPr>
        <w:t xml:space="preserve">(iii) The Sales Agent hereby covenants and agrees not to make any sales of the Securities on behalf of the Company, pursuant to this </w:t>
      </w:r>
      <w:r>
        <w:rPr>
          <w:rFonts w:ascii="Times New Roman" w:hAnsi="Times New Roman"/>
          <w:sz w:val="20"/>
          <w:u w:val="single"/>
        </w:rPr>
        <w:t>Section 2(a)</w:t>
      </w:r>
      <w:r>
        <w:rPr>
          <w:rFonts w:ascii="Times New Roman" w:hAnsi="Times New Roman"/>
          <w:sz w:val="20"/>
        </w:rPr>
        <w:t xml:space="preserve">, other than (A) by means of At the Market Offerings and (B) such other sales of the Securities on behalf of the Company in its capacity as agent of the Company as shall be agreed by the Company and the Sales Agent. </w:t>
      </w:r>
    </w:p>
    <w:p>
      <w:pPr>
        <w:pStyle w:val="TextBody"/>
        <w:spacing w:before="120" w:after="0"/>
        <w:jc w:val="left"/>
        <w:rPr>
          <w:rFonts w:ascii="Times New Roman" w:hAnsi="Times New Roman"/>
          <w:sz w:val="20"/>
        </w:rPr>
      </w:pPr>
      <w:r>
        <w:rPr>
          <w:rFonts w:ascii="Times New Roman" w:hAnsi="Times New Roman"/>
          <w:sz w:val="20"/>
        </w:rPr>
        <w:t xml:space="preserve">(iv) The gross sales price of any Securities sold pursuant to this Agreement by the Sales Agent, as an agent of the Company, shall be the market price prevailing at the time of sale for Securities sold by the Sales Agent on the New York Stock Exchange or otherwise, at prices related to prevailing market prices or, subject to specific instructions of the Company, at negotiated prices. The compensation to the Sales Agent, as an agent of the Company, for sales of the Securities shall be at a mutually agreed rate up to 2.0% of the gross sales price of the Securities sold pursuant to this </w:t>
      </w:r>
      <w:r>
        <w:rPr>
          <w:rFonts w:ascii="Times New Roman" w:hAnsi="Times New Roman"/>
          <w:sz w:val="20"/>
          <w:u w:val="single"/>
        </w:rPr>
        <w:t>Section 2(a)</w:t>
      </w:r>
      <w:r>
        <w:rPr>
          <w:rFonts w:ascii="Times New Roman" w:hAnsi="Times New Roman"/>
          <w:sz w:val="20"/>
        </w:rPr>
        <w:t xml:space="preserve">. The foregoing rate of compensation shall not apply when the Sales Agent acts as principal, in which case the Company may sell Securities to the Sales Agent as principal at a price agreed upon at the relevant applicable time pursuant to a separate agreement (each, a Terms Agreement) relating to such sale. The remaining proceeds, after further deduction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for any transaction fees imposed by any governmental or self-regulatory organization in connection with such sales, shall constitute the net proceeds to the Company for such Securities (the Net Proceeds). The Sales Agent shall notify the Company as promptly as practicable if any deduction referenced in the preceding sentence will be made. </w:t>
      </w:r>
    </w:p>
    <w:p>
      <w:pPr>
        <w:pStyle w:val="TextBody"/>
        <w:spacing w:before="120" w:after="0"/>
        <w:jc w:val="left"/>
        <w:rPr>
          <w:rFonts w:ascii="Times New Roman" w:hAnsi="Times New Roman"/>
          <w:sz w:val="20"/>
        </w:rPr>
      </w:pPr>
      <w:r>
        <w:rPr>
          <w:rFonts w:ascii="Times New Roman" w:hAnsi="Times New Roman"/>
          <w:sz w:val="20"/>
        </w:rPr>
        <w:t xml:space="preserve">(v) The Sales Agent shall provide written confirmation to the Company as soon as practicable following the close of trading on the New York Stock Exchange each day on which the Securities are sold under this </w:t>
      </w:r>
      <w:r>
        <w:rPr>
          <w:rFonts w:ascii="Times New Roman" w:hAnsi="Times New Roman"/>
          <w:sz w:val="20"/>
          <w:u w:val="single"/>
        </w:rPr>
        <w:t>Section 2(a)</w:t>
      </w:r>
      <w:r>
        <w:rPr>
          <w:rFonts w:ascii="Times New Roman" w:hAnsi="Times New Roman"/>
          <w:sz w:val="20"/>
        </w:rPr>
        <w:t xml:space="preserve"> setting forth the aggregate amount of the Securities sold on such day, the aggregate Net Proceeds to the Company, and the aggregate compensation payable by the Company to the Sales Agent with respect to such sales. </w:t>
      </w:r>
    </w:p>
    <w:p>
      <w:pPr>
        <w:pStyle w:val="TextBody"/>
        <w:spacing w:before="120" w:after="0"/>
        <w:jc w:val="left"/>
        <w:rPr>
          <w:rFonts w:ascii="Times New Roman" w:hAnsi="Times New Roman"/>
          <w:sz w:val="20"/>
        </w:rPr>
      </w:pPr>
      <w:r>
        <w:rPr>
          <w:rFonts w:ascii="Times New Roman" w:hAnsi="Times New Roman"/>
          <w:sz w:val="20"/>
        </w:rPr>
        <w:t xml:space="preserve">(vi) Settlement for sales of the Securities pursuant to this </w:t>
      </w:r>
      <w:r>
        <w:rPr>
          <w:rFonts w:ascii="Times New Roman" w:hAnsi="Times New Roman"/>
          <w:sz w:val="20"/>
          <w:u w:val="single"/>
        </w:rPr>
        <w:t>Section 2(a)</w:t>
      </w:r>
      <w:r>
        <w:rPr>
          <w:rFonts w:ascii="Times New Roman" w:hAnsi="Times New Roman"/>
          <w:sz w:val="20"/>
        </w:rPr>
        <w:t xml:space="preserve"> will occur on the second Trading Day following the date on which such sales are made, unless another date shall be agreed upon by the Company and the Sales Agent (provided that, if such Trading Day is not a business day, then settlement will occur on the next succeeding Trading Day that is also a business day) (each such date, a Settlement Date). As used herein, the term business day means any day other than a Saturday, Sunday or other day on which commercial banks in The City of New York are authorized or required by law, regulation or executive order to close. On each Settlement Date, the Securities sold through the Sales Agent for settlement on such date shall be delivered by the Company (through its transfer agent) to the Sales Agent against payment of the Net Proceeds for the sale of such Securities. Settlement for all such Securities shall be effected by electronically transferring the Securities by the Company to the Sales Agents account, or to the account of the Sales Agents designee, at DTC through its Deposit and Withdrawal at Custodian System (DWAC) or by such other means of delivery as may be mutually agreed upon by the Company and the Sales Agent, which in all cases shall be freely tradable, transferable, registered shares eligible for delivery through DTC, in return for payments in same day funds delivered to the account designated by the Company. If the Company (or its transfer agent) shall default on its obligation to deliver the Securities on any Settlement Date, the Company shall (A) indemnify and hold the Sales Agent harmless against any loss, claim or damage arising from or as a result of such default by the Company and (B) pay the Sales Agent any commission to which it would otherwise be entitled absent such default. The Authorized Representatives, or any designees thereof as notified to the Sales Agent in writing, shall be the contact persons for the Company for all matters related to the settlement of the transfer of the Securities through DWAC for purposes of this </w:t>
      </w:r>
      <w:r>
        <w:rPr>
          <w:rFonts w:ascii="Times New Roman" w:hAnsi="Times New Roman"/>
          <w:sz w:val="20"/>
          <w:u w:val="single"/>
        </w:rPr>
        <w:t>Section 2(a)(vi)</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(vii) Any obligation of the Sales Agent to use its commercially reasonable efforts to sell the Securities on behalf of the Company shall be subject to the continuing accuracy of the representations and warranties of the Company, the Adviser and the Administrator, to the performance by the Company, the Adviser and the Administrator of their obligations hereunder and to the continuing satisfaction of the additional conditions specified in </w:t>
      </w:r>
      <w:r>
        <w:rPr>
          <w:rFonts w:ascii="Times New Roman" w:hAnsi="Times New Roman"/>
          <w:sz w:val="20"/>
          <w:u w:val="single"/>
        </w:rPr>
        <w:t>Section 3</w:t>
      </w:r>
      <w:r>
        <w:rPr>
          <w:rFonts w:ascii="Times New Roman" w:hAnsi="Times New Roman"/>
          <w:sz w:val="20"/>
        </w:rPr>
        <w:t xml:space="preserve"> of this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If the Company wishes to sell the Securities other than as set forth in </w:t>
      </w:r>
      <w:r>
        <w:rPr>
          <w:rFonts w:ascii="Times New Roman" w:hAnsi="Times New Roman"/>
          <w:sz w:val="20"/>
          <w:u w:val="single"/>
        </w:rPr>
        <w:t>Section 2(a)</w:t>
      </w:r>
      <w:r>
        <w:rPr>
          <w:rFonts w:ascii="Times New Roman" w:hAnsi="Times New Roman"/>
          <w:sz w:val="20"/>
        </w:rPr>
        <w:t xml:space="preserve"> of this Agreement, it may elect, in its sole discretion, to notify the Sales Agent of the proposed terms of such sale. If the Sales Agent, acting as principal, wishes to accept such proposed terms (which it may decline to do for any reason in its sole discretion) or, following discussions with the Company, wishes to accept amended terms, the Company will enter into a Terms Agreement setting forth the terms of such Placement. In the event of a conflict between the terms of this Agreement and the terms of any Terms Agreement, the terms of such Terms Agreement will control. For avoidance of doubt, nothing contained in this Agreement shall be construed to require the Company to engage the Sales Agent in connection with the offer and sale of any of its securities, including shares of the Common Stock, whether in connection with an underwritten offering or otherwise. </w:t>
      </w:r>
    </w:p>
    <w:p>
      <w:pPr>
        <w:pStyle w:val="TextBody"/>
        <w:spacing w:before="240" w:after="0"/>
        <w:jc w:val="left"/>
        <w:rPr>
          <w:rFonts w:ascii="Times New Roman" w:hAnsi="Times New Roman"/>
          <w:sz w:val="20"/>
        </w:rPr>
      </w:pPr>
      <w:r>
        <w:rPr>
          <w:rFonts w:ascii="Times New Roman" w:hAnsi="Times New Roman"/>
          <w:sz w:val="20"/>
        </w:rPr>
        <w:t xml:space="preserve">(c) In the event the Company engages the Sales Agent for a sale of Securities that would constitute the sale of a block under Rule 10b-18(a)(5) under the 1934 Act, or a distribution, within the meaning of Rule 100 of Regulation M under the 1934 Act, the Company and the Sales Agent will agree to compensation that is customary for the Sales Agent with respect to such transactions. </w:t>
      </w:r>
    </w:p>
    <w:p>
      <w:pPr>
        <w:pStyle w:val="TextBody"/>
        <w:spacing w:before="240" w:after="0"/>
        <w:jc w:val="left"/>
        <w:rPr>
          <w:rFonts w:ascii="Times New Roman" w:hAnsi="Times New Roman"/>
          <w:sz w:val="20"/>
        </w:rPr>
      </w:pPr>
      <w:r>
        <w:rPr>
          <w:rFonts w:ascii="Times New Roman" w:hAnsi="Times New Roman"/>
          <w:sz w:val="20"/>
        </w:rPr>
        <w:t xml:space="preserve">(d) Under no circumstances shall the Company cause or request the offer or sale of any Securities if, after giving effect to the sale of such Securities, the aggregate gross sales proceeds or the aggregate number of the Securities sold pursuant to this Agreement would exceed the amount available for offer and sale under the currently effective Registration Statement. </w:t>
      </w:r>
    </w:p>
    <w:p>
      <w:pPr>
        <w:pStyle w:val="TextBody"/>
        <w:spacing w:before="240" w:after="0"/>
        <w:jc w:val="left"/>
        <w:rPr>
          <w:rFonts w:ascii="Times New Roman" w:hAnsi="Times New Roman"/>
          <w:sz w:val="20"/>
        </w:rPr>
      </w:pPr>
      <w:r>
        <w:rPr>
          <w:rFonts w:ascii="Times New Roman" w:hAnsi="Times New Roman"/>
          <w:sz w:val="20"/>
        </w:rPr>
        <w:t xml:space="preserve">(e) If any party has reason to believe that the exemptive provisions set forth in Rule 101(c)(1) of Regulation M under the 1934 Act are not satisfied with respect to the Securities, it shall promptly notify the other parties and sales of the Securities under this Agreement shall be suspended until that or other exemptive provisions have been satisfied in the judgment of each party. Upon the reasonable request of the Company in writing to the Sales Agent (which such request may be by electronic mail), the Sales Agent shall promptly calculate and provide in writing to the Company a report setting forth, for the prior week, the average daily trading volume (as defined in Rule 100 of Regulation M under the 1934 Act) of the Common Stock. </w:t>
      </w:r>
    </w:p>
    <w:p>
      <w:pPr>
        <w:pStyle w:val="TextBody"/>
        <w:spacing w:before="240" w:after="0"/>
        <w:jc w:val="left"/>
        <w:rPr>
          <w:rFonts w:ascii="Times New Roman" w:hAnsi="Times New Roman"/>
          <w:sz w:val="20"/>
        </w:rPr>
      </w:pPr>
      <w:r>
        <w:rPr>
          <w:rFonts w:ascii="Times New Roman" w:hAnsi="Times New Roman"/>
          <w:sz w:val="20"/>
        </w:rPr>
        <w:t xml:space="preserve">(f) Each sale of the Securities to or through the Sales Agent shall be made in accordance with the terms of this Agreement or, if applicable, a Terms Agreement. The commitment of the Sales Agent to purchase the Securities pursuant to any Terms Agreement shall be deemed to have been made on the basis of the representations and warranties of the parties herein contained and shall be subject to the terms and conditions herein set forth. Each Terms Agreement shall specify the number of the Securities to be purchased by the Sales Agent pursuant thereto, the price to be paid to the Company for such Securities, any provisions relating to rights of, and default by, underwriters acting together with the Sales Agent in the reoffering of the Securities, any provisions relating to the granting of an option to purchase additional Securities for the purpose of covering over-allotments, and the time and date (each such time and date being referred to herein as a Date of Delivery) and place of delivery of and payment for such Securities. Such Terms Agreement shall also specify any requirements for opinions of counsel, accountants letters and officers certificates pursuant to </w:t>
      </w:r>
      <w:r>
        <w:rPr>
          <w:rFonts w:ascii="Times New Roman" w:hAnsi="Times New Roman"/>
          <w:sz w:val="20"/>
          <w:u w:val="single"/>
        </w:rPr>
        <w:t>Section 5</w:t>
      </w:r>
      <w:r>
        <w:rPr>
          <w:rFonts w:ascii="Times New Roman" w:hAnsi="Times New Roman"/>
          <w:sz w:val="20"/>
        </w:rPr>
        <w:t xml:space="preserve"> hereof and any other information or documents required by the Sales Agent.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 Subject to such further limitations on offers and sales of Securities or delivery of instructions to offer and sell Securities as are set forth herein and as may be mutually agreed upon by the Company and the Sales Agent offers and sales of Securities pursuant to this Agreement shall not be requested by the Company and need not be made by the Sales Agent at any time when or during any period in which the Company is in possession of material non-public information. </w:t>
      </w:r>
    </w:p>
    <w:p>
      <w:pPr>
        <w:pStyle w:val="TextBody"/>
        <w:spacing w:before="240" w:after="0"/>
        <w:jc w:val="left"/>
        <w:rPr>
          <w:rFonts w:ascii="Times New Roman" w:hAnsi="Times New Roman"/>
          <w:sz w:val="20"/>
        </w:rPr>
      </w:pPr>
      <w:r>
        <w:rPr>
          <w:rFonts w:ascii="Times New Roman" w:hAnsi="Times New Roman"/>
          <w:sz w:val="20"/>
        </w:rPr>
        <w:t xml:space="preserve">(h) The Company acknowledges and agrees that (A) there can be no assurance that the Sales Agent will be successful in selling the Securities, (B) the Sales Agent will not incur liability or obligation to the Company or any other person or entity if such Sales Agent does not sell Securities for any reason other than a failure by the Sales Agent to use its commercially reasonable efforts consistent with its normal trading and sales practices and applicable law and regulations to sell such Securities in accordance with the terms of this Agreement and (C) the Sales Agent shall not be under any obligation to purchase Securities on a principal basis pursuant to this Agreement, except as otherwise specifically agreed in writing by the Sales Agent and the Company. For purposes of clarification, the Sales Agent shall only be deemed to be acting as a sales agent under this Agreement during the period beginning with the delivery of a Placement Notice from the Company to the Sales Agent and ending upon the suspension or termination of such Placement Notice. </w:t>
      </w:r>
    </w:p>
    <w:p>
      <w:pPr>
        <w:pStyle w:val="TextBody"/>
        <w:spacing w:before="240" w:after="0"/>
        <w:jc w:val="left"/>
        <w:rPr>
          <w:rFonts w:ascii="Times New Roman" w:hAnsi="Times New Roman"/>
          <w:sz w:val="20"/>
        </w:rPr>
      </w:pPr>
      <w:r>
        <w:rPr>
          <w:rFonts w:ascii="Times New Roman" w:hAnsi="Times New Roman"/>
          <w:sz w:val="20"/>
        </w:rPr>
        <w:t xml:space="preserve">(i) The Company agrees that, during the term of this Agreement, any offer to sell, any solicitation of an offer to buy, or any sales of Securities or sales of Common Stock pursuant to any At the Market Offering (as defined herein and within the meaning of Rule 415(a)(4) under the 1933 Act) shall only be effected by or through the Sales Agent or any Other Agent. Notwithstanding the foregoing or anything to the contrary in this Agreement, during the term of this Agreement, any offer to sell, any solicitation of an offer to buy, or any sales of Securities or sales of Common Stock that do not constitute an At the Market Offering (as defined herein and within the meaning of Rule 415(a)(4) under the 1933 Act), including any underwritten offering or private placement transaction exempt from the requirements of the 1933 Act, may be effected by the Company by or through any person or entity in the Companys sole discretion. </w:t>
      </w:r>
    </w:p>
    <w:p>
      <w:pPr>
        <w:pStyle w:val="TextBody"/>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Covenants of the Company</w:t>
      </w:r>
      <w:r>
        <w:rPr>
          <w:rFonts w:ascii="Times New Roman" w:hAnsi="Times New Roman"/>
          <w:sz w:val="20"/>
        </w:rPr>
        <w:t xml:space="preserve">. The Company covenants with the Sales Agent as follows: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with Securities Regulations and Commission Requests</w:t>
      </w:r>
      <w:r>
        <w:rPr>
          <w:rFonts w:ascii="Times New Roman" w:hAnsi="Times New Roman"/>
          <w:sz w:val="20"/>
        </w:rPr>
        <w:t xml:space="preserve">. The Company, subject to </w:t>
      </w:r>
      <w:r>
        <w:rPr>
          <w:rFonts w:ascii="Times New Roman" w:hAnsi="Times New Roman"/>
          <w:sz w:val="20"/>
          <w:u w:val="single"/>
        </w:rPr>
        <w:t>Section 3(c)</w:t>
      </w:r>
      <w:r>
        <w:rPr>
          <w:rFonts w:ascii="Times New Roman" w:hAnsi="Times New Roman"/>
          <w:sz w:val="20"/>
        </w:rPr>
        <w:t xml:space="preserve">, will comply with the requirements of Rule 415, Rule 430B, Rule 497 and Rule 424(b), and will notify the Sales Agent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and Rule 497 within the time period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required by Rule 424(b) or Rule 497, as applicable, and will take such steps as it deems necessary 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Filing of Amendments</w:t>
      </w:r>
      <w:r>
        <w:rPr>
          <w:rFonts w:ascii="Times New Roman" w:hAnsi="Times New Roman"/>
          <w:sz w:val="20"/>
        </w:rPr>
        <w:t xml:space="preserve">. The Company will give the Sales Agent notice of its intention to file or prepare any amendment to the Registration Statement (including any filing under Rule 462(b)) or to the Prospectus and will furnish the Sales Agent with copies of any such documents within a reasonable amount of time prior to such proposed filing or use, as the case may be, and will not file or use any such document to which the Sales Agent or counsel for the Sales Agent shall object. The Company shall give the Sales Agent notice of its intention to make any filings pursuant to the 1934 Act or the 1934 Rules and Regulations within 48 hours prior to the Applicable Time and will furnish the Sales Agent with copies of any such documents a reasonable amount of time prior to such proposed filing, as the case may be, and will not file or use any such document to which the Sales Agent or counsel for the Sales Agent shall reasonably object.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Continued Compliance with Securities Laws</w:t>
      </w:r>
      <w:r>
        <w:rPr>
          <w:rFonts w:ascii="Times New Roman" w:hAnsi="Times New Roman"/>
          <w:sz w:val="20"/>
        </w:rPr>
        <w:t xml:space="preserve">. The Company will use its commercially reasonable efforts to comply with the 1933 Act and the 1933 Act Regulations so as to permit the completion of the distribution of the Securities as contemplated in this Agreement and in the Registration Statement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Sales Agent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Prospectus in order that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Prospectus, as the case may be, in order to comply with the requirements of the 1933 Act or the 1933 Act Regulations, the Company will promptly (A) give the Sales Agent notice of such event, (B) prepare any amendment or supplement as may be necessary to correct such statement or omission or to make the Registration Statement or the Prospectus comply with such requirements and, a reasonable amount of time prior to any proposed filing or use, furnish the Sales Agent with copies of any such amendment or supplement and (C) file with the Commission any such amendment or supplement. The Company will furnish to the Sales Agent such number of copies of such amendment or supplement as the Sales Agent may reasonably request. The Company has given the Sales Agent notice of any filings made pursuant to the 1934 Act or 1934 Act Regulations within 48 hours prior to the Applicable Time; the Company shall give the Sales Agent notice of its intention to make any such filing and shall furnish the Sales Agent with copies of any such documents a reasonable amount of time prior to such proposed filing or use, as the case may be.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Delivery of Commission Filings</w:t>
      </w:r>
      <w:r>
        <w:rPr>
          <w:rFonts w:ascii="Times New Roman" w:hAnsi="Times New Roman"/>
          <w:sz w:val="20"/>
        </w:rPr>
        <w:t xml:space="preserve">. The Company has furnished or, upon written request of the Sales Agent, shall deliver to the Sales Agent and counsel for the Sales Agent, without charge, conformed copies of the Registration Statement, as originally filed, and of each amendment thereto (including exhibits filed therewith) and conformed copies of all consents and certificates of experts, and will also deliver to the Sales Agent, without charge, a conformed copy of the Registration Statement as originally filed and of each amendment thereto (without exhibits) for the Sales Agent. The copies of the Registration Statement and each amendment thereto furnished to the Sales Agent will be identical to the electronically transmitted copies thereof filed with the Commission pursuant to EDGAR, except to the extent permitted by Regulation S-T. </w:t>
      </w:r>
    </w:p>
    <w:p>
      <w:pPr>
        <w:pStyle w:val="TextBody"/>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Delivery of Prospectuses</w:t>
      </w:r>
      <w:r>
        <w:rPr>
          <w:rFonts w:ascii="Times New Roman" w:hAnsi="Times New Roman"/>
          <w:sz w:val="20"/>
        </w:rPr>
        <w:t xml:space="preserve">. The Company will furnish to the Sales Agent, without charge, during the period when a prospectus relating to the Securities is required to be delivered under the 1933 Act, such number of copies of the Prospectus (as amended or supplemented) as the Sales Agent may reasonably request. The Prospectus and any amendments or supplements thereto furnished to the Sales Agent will be identical to the electronically transmitted copies thereof filed with the Commission pursuant to EDGAR, except to the extent permitted by Regulation S-T.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Blue Sky Qualifications</w:t>
      </w:r>
      <w:r>
        <w:rPr>
          <w:rFonts w:ascii="Times New Roman" w:hAnsi="Times New Roman"/>
          <w:sz w:val="20"/>
        </w:rPr>
        <w:t xml:space="preserve">. The Company will use its commercially reasonable efforts, in cooperation with the Sales Agent, to qualify the Securities for offering and sale under the applicable securities laws of such states and other jurisdictions (domestic or foreign) as the Sales Agent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p>
      <w:pPr>
        <w:pStyle w:val="TextBody"/>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Rule</w:t>
      </w:r>
      <w:r>
        <w:rPr>
          <w:rFonts w:ascii="Times New Roman" w:hAnsi="Times New Roman"/>
          <w:sz w:val="20"/>
        </w:rPr>
        <w:t> </w:t>
      </w:r>
      <w:r>
        <w:rPr>
          <w:rFonts w:ascii="Times New Roman" w:hAnsi="Times New Roman"/>
          <w:i/>
          <w:sz w:val="20"/>
        </w:rPr>
        <w:t>158</w:t>
      </w:r>
      <w:r>
        <w:rPr>
          <w:rFonts w:ascii="Times New Roman" w:hAnsi="Times New Roman"/>
          <w:sz w:val="20"/>
        </w:rPr>
        <w:t xml:space="preserve">. The Company will make generally available to its securityholders as soon as practicable an earnings statement that satisfies the provisions 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 </w:t>
      </w:r>
    </w:p>
    <w:p>
      <w:pPr>
        <w:pStyle w:val="TextBody"/>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Listing</w:t>
      </w:r>
      <w:r>
        <w:rPr>
          <w:rFonts w:ascii="Times New Roman" w:hAnsi="Times New Roman"/>
          <w:sz w:val="20"/>
        </w:rPr>
        <w:t xml:space="preserve">. The Company will use its commercially reasonable best efforts to maintain the listing of the Common Stock (including the Securities) on the New York Stock Exchange. </w:t>
      </w:r>
    </w:p>
    <w:p>
      <w:pPr>
        <w:pStyle w:val="TextBody"/>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DTC. </w:t>
      </w:r>
      <w:r>
        <w:rPr>
          <w:rFonts w:ascii="Times New Roman" w:hAnsi="Times New Roman"/>
          <w:sz w:val="20"/>
        </w:rPr>
        <w:t xml:space="preserve">The Company will cooperate with the Sales Agent and use its commercially reasonable efforts to permit the offered Securities to be eligible for clearance and settlement through the facilities of DTC. </w:t>
      </w:r>
    </w:p>
    <w:p>
      <w:pPr>
        <w:pStyle w:val="TextBody"/>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Use of Proceeds; OFAC</w:t>
      </w:r>
      <w:r>
        <w:rPr>
          <w:rFonts w:ascii="Times New Roman" w:hAnsi="Times New Roman"/>
          <w:sz w:val="20"/>
        </w:rPr>
        <w:t xml:space="preserve">. The Company will use the net proceeds received by it from the sale of the Securities in the manner specified in the Registration Statement and the Prospectus under Use of Proceeds. The Company will not directly or, to its knowledge, indirectly, use the proceeds of the sale of the Securities, or lend, contribute or otherwise make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available such proceeds to any subsidiaries, joint venture partners or other Person, to fund any activities of or business with any Person, or in any country or territory, that, at the time of such 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 </w:t>
      </w:r>
    </w:p>
    <w:p>
      <w:pPr>
        <w:pStyle w:val="TextBody"/>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Reporting Requirements</w:t>
      </w:r>
      <w:r>
        <w:rPr>
          <w:rFonts w:ascii="Times New Roman" w:hAnsi="Times New Roman"/>
          <w:sz w:val="20"/>
        </w:rPr>
        <w:t xml:space="preserve">. The Company, during the period when a Prospectus relating to the Securities is required to be delivered under the 1933 Act, will file all documents required to be filed with the Commission pursuant to the 1934 Act within the time periods required by the 1934 Act and 1934 Act Regulations. </w:t>
      </w:r>
    </w:p>
    <w:p>
      <w:pPr>
        <w:pStyle w:val="TextBody"/>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Business Development Company Status</w:t>
      </w:r>
      <w:r>
        <w:rPr>
          <w:rFonts w:ascii="Times New Roman" w:hAnsi="Times New Roman"/>
          <w:sz w:val="20"/>
        </w:rPr>
        <w:t xml:space="preserve">. The Company will use its commercially reasonable efforts to maintain its status as a business development company; provided, however, the Company may cease to be, or withdraw its election as, a business development company, with the approval of the board of directors and a vote of stockholders as required by Section 58 of the 1940 Act or any successor provision. </w:t>
      </w:r>
    </w:p>
    <w:p>
      <w:pPr>
        <w:pStyle w:val="TextBody"/>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Regulated Investment Company Status</w:t>
      </w:r>
      <w:r>
        <w:rPr>
          <w:rFonts w:ascii="Times New Roman" w:hAnsi="Times New Roman"/>
          <w:sz w:val="20"/>
        </w:rPr>
        <w:t xml:space="preserve">. The Company will use its commercially reasonable efforts to maintain its qualification as a regulated investment company under Subchapter M of the Code for each full fiscal year during which it is a business development company under the 1940 Act. </w:t>
      </w:r>
    </w:p>
    <w:p>
      <w:pPr>
        <w:pStyle w:val="TextBody"/>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Annual Compliance Reviews</w:t>
      </w:r>
      <w:r>
        <w:rPr>
          <w:rFonts w:ascii="Times New Roman" w:hAnsi="Times New Roman"/>
          <w:sz w:val="20"/>
        </w:rPr>
        <w:t xml:space="preserve">. The Company will retain qualified accountants and qualified tax experts to (i) test procedures and conduct annual 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 </w:t>
      </w:r>
    </w:p>
    <w:p>
      <w:pPr>
        <w:pStyle w:val="TextBody"/>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Accounting Controls</w:t>
      </w:r>
      <w:r>
        <w:rPr>
          <w:rFonts w:ascii="Times New Roman" w:hAnsi="Times New Roman"/>
          <w:sz w:val="20"/>
        </w:rPr>
        <w:t xml:space="preserve">. The Company will use commercially reasonable efforts to establish and maintain a system of internal accounting controls 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Disclosure Controls</w:t>
      </w:r>
      <w:r>
        <w:rPr>
          <w:rFonts w:ascii="Times New Roman" w:hAnsi="Times New Roman"/>
          <w:sz w:val="20"/>
        </w:rPr>
        <w:t xml:space="preserve">. The Company will use commercially reasonable efforts to establish and employ disclosure controls and procedures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w:t>
      </w:r>
    </w:p>
    <w:p>
      <w:pPr>
        <w:pStyle w:val="TextBody"/>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Issuer Free Writing Prospectus</w:t>
      </w:r>
      <w:r>
        <w:rPr>
          <w:rFonts w:ascii="Times New Roman" w:hAnsi="Times New Roman"/>
          <w:sz w:val="20"/>
        </w:rPr>
        <w:t xml:space="preserve">. The Company represents and agrees that, without the prior consent of the Sales Agent (i) it will not distribute any offering material other than the Registration Statement or the Prospectus, and (ii) it has not made and will not make any offer relating to the Securities that would constitute a free writing prospectus as defined in Rule 405 under the 1933 Act,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 </w:t>
      </w:r>
    </w:p>
    <w:p>
      <w:pPr>
        <w:pStyle w:val="TextBody"/>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Due Diligence Matters. </w:t>
      </w:r>
      <w:r>
        <w:rPr>
          <w:rFonts w:ascii="Times New Roman" w:hAnsi="Times New Roman"/>
          <w:sz w:val="20"/>
        </w:rPr>
        <w:t xml:space="preserve">The Company will cooperate with any reasonable due diligence review conducted by the Sales Agent or its respective agents in connection with the transactions contemplated hereby, including, without limitation, providing information and making available documents and senior officers, during regular business hours and at the Companys principal offices, as either Agent may reasonably request. The parties acknowledge that the due diligence review contemplated by this Section 2(r) will include, without limitation, during the term of this Agreement a quarterly diligence conference to occur within five business days after each 10-Q filing or 10-K filing whereby the Company will make its senior corporate officers available to address diligence inquiries of the Sales Agent and will provide such additional information and documents as the Sales Agent may reasonably request. </w:t>
      </w:r>
    </w:p>
    <w:p>
      <w:pPr>
        <w:pStyle w:val="TextBody"/>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No Stabilization. </w:t>
      </w:r>
      <w:r>
        <w:rPr>
          <w:rFonts w:ascii="Times New Roman" w:hAnsi="Times New Roman"/>
          <w:sz w:val="20"/>
        </w:rPr>
        <w:t xml:space="preserve">The Company will not take, directly or indirectly, any action designed to or that could reasonably be expected to cause or result in any stabilization or manipulation of the price of the Securities. </w:t>
      </w:r>
    </w:p>
    <w:p>
      <w:pPr>
        <w:pStyle w:val="TextBody"/>
        <w:spacing w:before="240" w:after="0"/>
        <w:jc w:val="left"/>
        <w:rPr>
          <w:rFonts w:ascii="Times New Roman" w:hAnsi="Times New Roman"/>
          <w:sz w:val="20"/>
        </w:rPr>
      </w:pPr>
      <w:r>
        <w:rPr>
          <w:rFonts w:ascii="Times New Roman" w:hAnsi="Times New Roman"/>
          <w:sz w:val="20"/>
        </w:rPr>
        <w:t xml:space="preserve">(t) The Company agrees that any offer to sell, any solicitation of an offer to buy, or any sales of Securities pursuant to this Agreement, the Sales Agreement or any Terms Agreement shall only be effected by or through only one of Agent or any Other Agent, as applicable, at any given time as determined by the Company, but in no event by more than one of them, and the Company shall in no event request that more than one of Agent or any Other Agent sell Securities during such time period. </w:t>
      </w:r>
    </w:p>
    <w:p>
      <w:pPr>
        <w:pStyle w:val="TextBody"/>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 of Expenses</w:t>
      </w:r>
      <w:r>
        <w:rPr>
          <w:rFonts w:ascii="Times New Roman" w:hAnsi="Times New Roman"/>
          <w:sz w:val="20"/>
        </w:rPr>
        <w:t xml:space="preserve">. The Company shall pay or cause to be paid all expenses incident to the performance of its obligations under this Agreement, including (i) the preparation and filing of the Registration Statement, the Prospectus and any amendments or supplements thereto, and the printing and furnishing of copies of each thereof to the Sales Agent (including costs of mailing and shipment), (ii) the printing and delivery to the Sales Agent of this Agreement and such other documents as may be required in connection with the offering,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purchase, sale or delivery of the Securities, (iii) the delivery of Securities to the Sales Agent, including any stock or other transfer taxes and any stamp or other duties payable upon the sale or delivery of the Securities to the Sales Agent, (iv) the fees and disbursements of the Companys counsel, accountants and other advisors, (v) the qualification of the Securities under securities laws in accordance with the provisions of this Agreement, including filing fees and the reasonable fees and disbursements of counsel for the Sales Agent in connection therewith and in connection with the preparation of blue sky surveys and any supplement thereto, (vi) the printing and delivery to the Sales Agent of copies of the Prospectus and any amendments or supplements thereto, (vii) the preparation and delivery to the Sales Agent of copies of the blue sky survey, if any, and any supplement thereto, (viii) the fees and expenses of any transfer agent or registrar for the Securities, (ix) the reasonable legal fees and expenses of counsel to the Sales Agent in connection with their performance under this Agreement, in an aggregate amount of $40,000 in connection with the entry into this Agreement and the Sales Agreement and up to $7,500 per fiscal quarter during the term of this Agreement and the Sales Agreement, which amount shall include legal fees and expenses relating to the review by FINRA of the terms of the sale of the Securities and (x) the filing fees incident to the review by FINRA of the terms of the sale of the Securities. Except as set forth herein, the Sales Agent will pay all of its other out-of-pocket costs and expenses incurred in connection with entering into this Agreement and the transactions contemplated by this Agreement, including, without limitation, travel and similar expenses, whether or not the transactions contemplated hereby are consummated or this Agreement is terminated. </w:t>
      </w:r>
    </w:p>
    <w:p>
      <w:pPr>
        <w:pStyle w:val="TextBody"/>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Conditions of the Sales Agents Obligations</w:t>
      </w:r>
      <w:r>
        <w:rPr>
          <w:rFonts w:ascii="Times New Roman" w:hAnsi="Times New Roman"/>
          <w:sz w:val="20"/>
        </w:rPr>
        <w:t xml:space="preserve">. The obligations of the Sales Agent hereunder are subject to the accuracy of the representations and warranties of the Company, the Adviser and the Administrator contained herein or in certificates of any officer of the Company, any of the Subsidiaries, the Adviser or the Administrator delivered pursuant to the provisions hereof, to the performance by the Company, the Adviser and the Administrator of their respective covenants and other obligations hereunder, and to the following further conditions: </w:t>
      </w:r>
    </w:p>
    <w:p>
      <w:pPr>
        <w:pStyle w:val="TextBody"/>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Statement</w:t>
      </w:r>
      <w:r>
        <w:rPr>
          <w:rFonts w:ascii="Times New Roman" w:hAnsi="Times New Roman"/>
          <w:sz w:val="20"/>
        </w:rPr>
        <w:t xml:space="preserve">. No stop order suspending the effectiveness of the Registration Statement or any post-effective amendment thereto has been issued under the 1933 Act, no order preventing or suspending the use of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 Rule 433(d).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Opinions of Counsel for the Company, the Adviser and the Administrator</w:t>
      </w:r>
      <w:r>
        <w:rPr>
          <w:rFonts w:ascii="Times New Roman" w:hAnsi="Times New Roman"/>
          <w:sz w:val="20"/>
        </w:rPr>
        <w:t xml:space="preserve">. Within five business days after (i) each date on which the Company files a quarterly report on Form 10-Q or an annual report on Form 10-K, (ii) each date on which Securities are delivered to the Sales Agent pursuant to a Terms Agreement, or (iii) such date as the Sales Agent may reasonably request (the date of commencement of the offering of the Securities under this Agreement, the date of commencement of the offering of the Securities under this Agreement following the termination of a Suspension Period and each date referred to in subclauses (i), (ii) and (iii) above, each a Representation Date), the Sales Agent shall have received the favorable opinions, dated the Representation Date, of Dechert LLP, counsel for the Company, the Adviser and the Administrator, and of Venable LLP, counsel for the Company, in form and substance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reasonably satisfactory to counsel for the Sales Agent. Such counsels may state that insofar as such opinions involve factual matters, they have relied, to the extent they deem proper, upon certificates of officers of the Company and the Subsidiaries, the Adviser and the Administrator and certificates of public officials.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Opinion of Counsel for the Sales Agent</w:t>
      </w:r>
      <w:r>
        <w:rPr>
          <w:rFonts w:ascii="Times New Roman" w:hAnsi="Times New Roman"/>
          <w:sz w:val="20"/>
        </w:rPr>
        <w:t xml:space="preserve">. Within five business days after each Representation Date, the Sales Agent shall have received the favorable opinion, dated the Representation Date, of Kirkland &amp; Ellis LLP, counsel for the Sales Agent. Such counsel may also state that, insofar as such opinion involves factual matters, they have relied, to the extent they deem proper, upon certificates of officers and other representatives of the Company, the Subsidiaries, the Adviser and the Administrator and certificates of public officials.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Officers</w:t>
      </w:r>
      <w:r>
        <w:rPr>
          <w:rFonts w:ascii="Times New Roman" w:hAnsi="Times New Roman"/>
          <w:sz w:val="20"/>
        </w:rPr>
        <w:t xml:space="preserve"> </w:t>
      </w:r>
      <w:r>
        <w:rPr>
          <w:rFonts w:ascii="Times New Roman" w:hAnsi="Times New Roman"/>
          <w:i/>
          <w:sz w:val="20"/>
        </w:rPr>
        <w:t>Certificates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 Within five business days after each Representation Date, there shall not have been, since the date hereof or since the respective dates as of which information is given in the Registration Statement, or the Prospectus, any material adverse change in the business, properties, management, financial condition, prospects or results of operations of the Company and the Subsidiaries considered as one enterprise, whether or not arising in the ordinary course of business, and the Sales Agent shall have received a certificate of the chief executive officer or the president of the Company and of the chief financial or chief accounting officer of the Company, dated the Representation Date, to the effect that (A) there has been no such material adverse change, (B) the representations and warranties of the Company in </w:t>
      </w:r>
      <w:r>
        <w:rPr>
          <w:rFonts w:ascii="Times New Roman" w:hAnsi="Times New Roman"/>
          <w:sz w:val="20"/>
          <w:u w:val="single"/>
        </w:rPr>
        <w:t>Section 1(a)</w:t>
      </w:r>
      <w:r>
        <w:rPr>
          <w:rFonts w:ascii="Times New Roman" w:hAnsi="Times New Roman"/>
          <w:sz w:val="20"/>
        </w:rPr>
        <w:t xml:space="preserve"> of this Agreement are true and correct with the same force and effect as though expressly made at and as of the Representation Date, (C) the Company has complied with all agreements and satisfied all conditions on its part to be performed or satisfied at or prior to the Representation Date, and (D) no stop order suspending the effectiveness of the Registration Statement under the 1933 Act has been issued, no order preventing or suspending the use of the Prospectus has been issued and no proceedings for any of those purposes have been instituted or are pending or, to their knowledge, contemplated by the Commission. </w:t>
      </w:r>
    </w:p>
    <w:p>
      <w:pPr>
        <w:pStyle w:val="TextBody"/>
        <w:spacing w:before="120" w:after="0"/>
        <w:jc w:val="left"/>
        <w:rPr>
          <w:rFonts w:ascii="Times New Roman" w:hAnsi="Times New Roman"/>
          <w:sz w:val="20"/>
        </w:rPr>
      </w:pPr>
      <w:r>
        <w:rPr>
          <w:rFonts w:ascii="Times New Roman" w:hAnsi="Times New Roman"/>
          <w:sz w:val="20"/>
        </w:rPr>
        <w:t xml:space="preserve">(ii) Within five business days after each Representation Date, there shall not have been, since the date hereof or since the respective dates as of which information is given in the Prospectus, an Adviser/Administrator Material Adverse Effect, and the Sales Agent shall have received certificates of the managing member of each of the Adviser and the Administrator, dated the Representation Date, to the effect that (A) there has been no such Adviser/Administrator Material Adverse Effect with respect to the Adviser or the Administrator, as applicable, (B) the representations and warranties of the Adviser or the Administrator, as applicable, in </w:t>
      </w:r>
      <w:r>
        <w:rPr>
          <w:rFonts w:ascii="Times New Roman" w:hAnsi="Times New Roman"/>
          <w:sz w:val="20"/>
          <w:u w:val="single"/>
        </w:rPr>
        <w:t>Section 1(b)</w:t>
      </w:r>
      <w:r>
        <w:rPr>
          <w:rFonts w:ascii="Times New Roman" w:hAnsi="Times New Roman"/>
          <w:sz w:val="20"/>
        </w:rPr>
        <w:t xml:space="preserve"> of this Agreement are true and correct with the same force and effect as though expressly made at and as of the Representation Date and (C) the Adviser or the Administrator, as applicable, has complied with all agreements and satisfied all conditions on their part to be performed or satisfied at or prior to the Representation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Accountants Comfort Letter</w:t>
      </w:r>
      <w:r>
        <w:rPr>
          <w:rFonts w:ascii="Times New Roman" w:hAnsi="Times New Roman"/>
          <w:sz w:val="20"/>
        </w:rPr>
        <w:t xml:space="preserve">. Within five business days after each Representation Date, the Sales Agent shall have received from RSM US LLP a letter, dated such date, in form and substance satisfactory to the Sales Agent, containing statements and information of the type ordinarily included in accountants comfort letters to underwriters with respect to the Companys financial statements and certain financial information included or incorporated by reference in the Registration Statement and the Prospectus. </w:t>
      </w:r>
    </w:p>
    <w:p>
      <w:pPr>
        <w:pStyle w:val="TextBody"/>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Additional Documents</w:t>
      </w:r>
      <w:r>
        <w:rPr>
          <w:rFonts w:ascii="Times New Roman" w:hAnsi="Times New Roman"/>
          <w:sz w:val="20"/>
        </w:rPr>
        <w:t xml:space="preserve">. Within five business days after each Representation Date, counsel for the Sales Agent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the Adviser and the Administrator in connection with the issuance and sale of the Securities as herein contemplated shall be satisfactory in form and substance to the Sales Agent and counsel for the Sales Agent. </w:t>
      </w:r>
    </w:p>
    <w:p>
      <w:pPr>
        <w:pStyle w:val="TextBody"/>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Indemnification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Sales Agent by the Company, the Adviser and the Administrator</w:t>
      </w:r>
      <w:r>
        <w:rPr>
          <w:rFonts w:ascii="Times New Roman" w:hAnsi="Times New Roman"/>
          <w:sz w:val="20"/>
        </w:rPr>
        <w:t xml:space="preserve">. The Company, the Adviser and the Administrator, severally and not jointly, agree to indemnify and hold harmless the Sales Agent, its affiliates (as such term is defined in Rule 405 under the 1933 Act (each, an Affiliate)), its selling agents and each person, if any, who controls the Sales Agent within the meaning of Section 15 of the 1933 Act or Section 20 of the 1934 Act as follows: </w:t>
      </w:r>
    </w:p>
    <w:p>
      <w:pPr>
        <w:pStyle w:val="TextBody"/>
        <w:spacing w:before="120" w:after="0"/>
        <w:jc w:val="left"/>
        <w:rPr>
          <w:rFonts w:ascii="Times New Roman" w:hAnsi="Times New Roman"/>
          <w:sz w:val="20"/>
        </w:rPr>
      </w:pPr>
      <w:r>
        <w:rPr>
          <w:rFonts w:ascii="Times New Roman" w:hAnsi="Times New Roman"/>
          <w:sz w:val="20"/>
        </w:rPr>
        <w:t xml:space="preserve">(i) against any and all loss, liability, claim, damage and expense whatsoever, as incurred, arising out of any untrue statement or alleged untrue statement of a material fact contained in the Registration Statement (or any amendment thereto), including any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Issuer Free Writing Prospectus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Issuer Free Writing Prospectus, the Prospectus or any Marketing Materials of a material fact necessary in order to make the statements therein, in the light of the circumstances under which they were made, not misleading; </w:t>
      </w:r>
    </w:p>
    <w:p>
      <w:pPr>
        <w:pStyle w:val="TextBody"/>
        <w:spacing w:before="120" w:after="0"/>
        <w:jc w:val="left"/>
        <w:rPr>
          <w:rFonts w:ascii="Times New Roman" w:hAnsi="Times New Roman"/>
          <w:sz w:val="20"/>
        </w:rPr>
      </w:pPr>
      <w:r>
        <w:rPr>
          <w:rFonts w:ascii="Times New Roman" w:hAnsi="Times New Roman"/>
          <w:sz w:val="20"/>
        </w:rPr>
        <w:t xml:space="preserve">(ii)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 w:hAnsi="Times New Roman"/>
          <w:sz w:val="20"/>
          <w:u w:val="single"/>
        </w:rPr>
        <w:t>Section 6(d)</w:t>
      </w:r>
      <w:r>
        <w:rPr>
          <w:rFonts w:ascii="Times New Roman" w:hAnsi="Times New Roman"/>
          <w:sz w:val="20"/>
        </w:rPr>
        <w:t xml:space="preserve"> below) any such settlement is effected with the written consent of the Company;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(iii) against any and all expense whatsoever, as incurred (including the reasonably incurred and documented fees and disbursements of counsel chosen by the Sales Agent),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Rule 430B Information or the Prospectus (or any amendment or supplement thereto) in reliance upon and in conformity with the Sales Agent Information; and provided, further the Advisers indemnity shall only apply to statements described in (i) above regarding the Adviser and the Administrators indemnity shall apply only statements described in (i) above regarding the Administrator.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Company, Directors, Officers, Adviser and Administrator</w:t>
      </w:r>
      <w:r>
        <w:rPr>
          <w:rFonts w:ascii="Times New Roman" w:hAnsi="Times New Roman"/>
          <w:sz w:val="20"/>
        </w:rPr>
        <w:t xml:space="preserve">. The Sales Agent agrees to indemnify and hold harmless the Company, the Adviser, the Administrator their directors, each of the Companys officers who signed the Registration Statement and each person, if any, who controls the Company, the Adviser or the Administrator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Rule 430B Information, any Issuer Free Writing Prospectus or the Prospectus (or any amendment or supplement thereto) in reliance upon and in conformity with the Sales Agent Information.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Actions against Parties; Notification</w:t>
      </w:r>
      <w:r>
        <w:rPr>
          <w:rFonts w:ascii="Times New Roman" w:hAnsi="Times New Roman"/>
          <w:sz w:val="20"/>
        </w:rPr>
        <w:t xml:space="preserve">.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w:t>
      </w:r>
      <w:r>
        <w:rPr>
          <w:rFonts w:ascii="Times New Roman" w:hAnsi="Times New Roman"/>
          <w:sz w:val="20"/>
          <w:u w:val="single"/>
        </w:rPr>
        <w:t>Section 6(a)</w:t>
      </w:r>
      <w:r>
        <w:rPr>
          <w:rFonts w:ascii="Times New Roman" w:hAnsi="Times New Roman"/>
          <w:sz w:val="20"/>
        </w:rPr>
        <w:t xml:space="preserve"> above, counsel to the indemnified parties shall be selected by the Sales Agent, and, in the case of parties indemnified pursuant to </w:t>
      </w:r>
      <w:r>
        <w:rPr>
          <w:rFonts w:ascii="Times New Roman" w:hAnsi="Times New Roman"/>
          <w:sz w:val="20"/>
          <w:u w:val="single"/>
        </w:rPr>
        <w:t>Section 6(b)</w:t>
      </w:r>
      <w:r>
        <w:rPr>
          <w:rFonts w:ascii="Times New Roman" w:hAnsi="Times New Roman"/>
          <w:sz w:val="20"/>
        </w:rPr>
        <w:t xml:space="preserve">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which indemnification or contribution could be sought under this </w:t>
      </w:r>
      <w:r>
        <w:rPr>
          <w:rFonts w:ascii="Times New Roman" w:hAnsi="Times New Roman"/>
          <w:sz w:val="20"/>
          <w:u w:val="single"/>
        </w:rPr>
        <w:t>Section 6</w:t>
      </w:r>
      <w:r>
        <w:rPr>
          <w:rFonts w:ascii="Times New Roman" w:hAnsi="Times New Roman"/>
          <w:sz w:val="20"/>
        </w:rPr>
        <w:t xml:space="preserve"> or </w:t>
      </w:r>
      <w:r>
        <w:rPr>
          <w:rFonts w:ascii="Times New Roman" w:hAnsi="Times New Roman"/>
          <w:sz w:val="20"/>
          <w:u w:val="single"/>
        </w:rPr>
        <w:t>Section 7</w:t>
      </w:r>
      <w:r>
        <w:rPr>
          <w:rFonts w:ascii="Times New Roman" w:hAnsi="Times New Roman"/>
          <w:sz w:val="20"/>
        </w:rPr>
        <w:t xml:space="preserve">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 </w:t>
      </w:r>
    </w:p>
    <w:p>
      <w:pPr>
        <w:pStyle w:val="TextBody"/>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Settlement without Consent if Failure to Reimburse</w:t>
      </w:r>
      <w:r>
        <w:rPr>
          <w:rFonts w:ascii="Times New Roman" w:hAnsi="Times New Roman"/>
          <w:sz w:val="20"/>
        </w:rPr>
        <w:t xml:space="preserve">. If at any time an indemnified party shall have requested an indemnifying party to reimburse the indemnified party for fees and expenses of counsel, such indemnifying party agrees that it shall be liable for any settlement of the nature contemplated by </w:t>
      </w:r>
      <w:r>
        <w:rPr>
          <w:rFonts w:ascii="Times New Roman" w:hAnsi="Times New Roman"/>
          <w:sz w:val="20"/>
          <w:u w:val="single"/>
        </w:rPr>
        <w:t>Section 6(a)(ii)</w:t>
      </w:r>
      <w:r>
        <w:rPr>
          <w:rFonts w:ascii="Times New Roman" w:hAnsi="Times New Roman"/>
          <w:sz w:val="20"/>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w:t>
      </w:r>
    </w:p>
    <w:p>
      <w:pPr>
        <w:pStyle w:val="TextBody"/>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Contribution</w:t>
      </w:r>
      <w:r>
        <w:rPr>
          <w:rFonts w:ascii="Times New Roman" w:hAnsi="Times New Roman"/>
          <w:sz w:val="20"/>
        </w:rPr>
        <w:t xml:space="preserve">. If the indemnification provided for in </w:t>
      </w:r>
      <w:r>
        <w:rPr>
          <w:rFonts w:ascii="Times New Roman" w:hAnsi="Times New Roman"/>
          <w:sz w:val="20"/>
          <w:u w:val="single"/>
        </w:rPr>
        <w:t>Section 6</w:t>
      </w:r>
      <w:r>
        <w:rPr>
          <w:rFonts w:ascii="Times New Roman" w:hAnsi="Times New Roman"/>
          <w:sz w:val="20"/>
        </w:rPr>
        <w:t xml:space="preserve">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the Adviser and the Administrator, on the one hand, and the Sales Agent,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the Adviser and the Administrator, on the one hand, and of the Sales Agent, on the other hand, in connection with the statements or omissions which resulted in such losses, liabilities, claims, damages or expenses, as well as any other relevant equitable considerations. For the avoidance of doubt, the Advisers and the Administrators contribution agreement shall only apply to instances in which the Adviser or the Administrator has an indemnity obligation as described above in </w:t>
      </w:r>
      <w:r>
        <w:rPr>
          <w:rFonts w:ascii="Times New Roman" w:hAnsi="Times New Roman"/>
          <w:sz w:val="20"/>
          <w:u w:val="single"/>
        </w:rPr>
        <w:t>Section 6(a)</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relative benefits received by the Company, the Adviser and the Administrator, on the one hand, and the Sales Agent,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commissions received by the Sales Agent, on the other hand, in each case as set forth on the cover of the Prospectus, bear to the aggregate Net Proceeds. </w:t>
      </w:r>
    </w:p>
    <w:p>
      <w:pPr>
        <w:pStyle w:val="TextBody"/>
        <w:spacing w:before="240" w:after="0"/>
        <w:jc w:val="left"/>
        <w:rPr>
          <w:rFonts w:ascii="Times New Roman" w:hAnsi="Times New Roman"/>
          <w:sz w:val="20"/>
        </w:rPr>
      </w:pPr>
      <w:r>
        <w:rPr>
          <w:rFonts w:ascii="Times New Roman" w:hAnsi="Times New Roman"/>
          <w:sz w:val="20"/>
        </w:rPr>
        <w:t xml:space="preserve">The relative fault of the Company, the Adviser and the Administrator, on the one hand, and the Sales Agent, on the other hand, shall be determined by reference to, among other things, whether any such untrue or alleged untrue statement of a material fact or omission or alleged omission to state a material fact relates to information supplied by the Company, the Adviser and the Administrator or by the Sales Agent and the parties relative intent, knowledge, access to information and opportunity to correct or prevent such statement or omission.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Company, the Adviser, the Administrator and the Sales Agent agree that it would not be just and equitable if contribution pursuant to this </w:t>
      </w:r>
      <w:r>
        <w:rPr>
          <w:rFonts w:ascii="Times New Roman" w:hAnsi="Times New Roman"/>
          <w:sz w:val="20"/>
          <w:u w:val="single"/>
        </w:rPr>
        <w:t>Section 7</w:t>
      </w:r>
      <w:r>
        <w:rPr>
          <w:rFonts w:ascii="Times New Roman" w:hAnsi="Times New Roman"/>
          <w:sz w:val="20"/>
        </w:rPr>
        <w:t xml:space="preserve"> were determined by pro rata allocation or by any other method of allocation which does not take account of the equitable considerations referred to above in this </w:t>
      </w:r>
      <w:r>
        <w:rPr>
          <w:rFonts w:ascii="Times New Roman" w:hAnsi="Times New Roman"/>
          <w:sz w:val="20"/>
          <w:u w:val="single"/>
        </w:rPr>
        <w:t>Section 7</w:t>
      </w:r>
      <w:r>
        <w:rPr>
          <w:rFonts w:ascii="Times New Roman" w:hAnsi="Times New Roman"/>
          <w:sz w:val="20"/>
        </w:rPr>
        <w:t xml:space="preserve">. The aggregate amount of losses, liabilities, claims, damages and expenses incurred by an indemnified party and referred to above in this </w:t>
      </w:r>
      <w:r>
        <w:rPr>
          <w:rFonts w:ascii="Times New Roman" w:hAnsi="Times New Roman"/>
          <w:sz w:val="20"/>
          <w:u w:val="single"/>
        </w:rPr>
        <w:t>Section 7</w:t>
      </w:r>
      <w:r>
        <w:rPr>
          <w:rFonts w:ascii="Times New Roman" w:hAnsi="Times New Roman"/>
          <w:sz w:val="20"/>
        </w:rPr>
        <w:t xml:space="preser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w:t>
      </w:r>
    </w:p>
    <w:p>
      <w:pPr>
        <w:pStyle w:val="TextBody"/>
        <w:spacing w:before="240" w:after="0"/>
        <w:jc w:val="left"/>
        <w:rPr>
          <w:rFonts w:ascii="Times New Roman" w:hAnsi="Times New Roman"/>
          <w:sz w:val="20"/>
        </w:rPr>
      </w:pPr>
      <w:r>
        <w:rPr>
          <w:rFonts w:ascii="Times New Roman" w:hAnsi="Times New Roman"/>
          <w:sz w:val="20"/>
        </w:rPr>
        <w:t xml:space="preserve">Notwithstanding the provisions of this </w:t>
      </w:r>
      <w:r>
        <w:rPr>
          <w:rFonts w:ascii="Times New Roman" w:hAnsi="Times New Roman"/>
          <w:sz w:val="20"/>
          <w:u w:val="single"/>
        </w:rPr>
        <w:t>Section 7</w:t>
      </w:r>
      <w:r>
        <w:rPr>
          <w:rFonts w:ascii="Times New Roman" w:hAnsi="Times New Roman"/>
          <w:sz w:val="20"/>
        </w:rPr>
        <w:t xml:space="preserve">, the Sales Agent shall not be required to contribute any amount in excess of the commissions received by the Sales Agent in connection with the Securities sold by it. </w:t>
      </w:r>
    </w:p>
    <w:p>
      <w:pPr>
        <w:pStyle w:val="TextBody"/>
        <w:spacing w:before="240" w:after="0"/>
        <w:jc w:val="left"/>
        <w:rPr>
          <w:rFonts w:ascii="Times New Roman" w:hAnsi="Times New Roman"/>
          <w:sz w:val="20"/>
        </w:rPr>
      </w:pPr>
      <w:r>
        <w:rPr>
          <w:rFonts w:ascii="Times New Roman" w:hAnsi="Times New Roman"/>
          <w:sz w:val="20"/>
        </w:rPr>
        <w:t xml:space="preserve">No person guilty of fraudulent misrepresentation (within the meaning of Section 11(f) of the 1933 Act) shall be entitled to contribution from any person who was not guilty of such fraudulent misrepresentation. </w:t>
      </w:r>
    </w:p>
    <w:p>
      <w:pPr>
        <w:pStyle w:val="TextBody"/>
        <w:spacing w:before="240" w:after="0"/>
        <w:jc w:val="left"/>
        <w:rPr>
          <w:rFonts w:ascii="Times New Roman" w:hAnsi="Times New Roman"/>
          <w:sz w:val="20"/>
        </w:rPr>
      </w:pPr>
      <w:r>
        <w:rPr>
          <w:rFonts w:ascii="Times New Roman" w:hAnsi="Times New Roman"/>
          <w:sz w:val="20"/>
        </w:rPr>
        <w:t xml:space="preserve">Notwithstanding anything in this Agreement to the contrary, any indemnification and contribution by the Company shall be subject to the requirements and limitations of Section 17(i) of the 1940 Act and any applicable guidance from the Commission or its staff thereunder. </w:t>
      </w:r>
    </w:p>
    <w:p>
      <w:pPr>
        <w:pStyle w:val="TextBody"/>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7</w:t>
      </w:r>
      <w:r>
        <w:rPr>
          <w:rFonts w:ascii="Times New Roman" w:hAnsi="Times New Roman"/>
          <w:sz w:val="20"/>
        </w:rPr>
        <w:t xml:space="preserve">, each person, if any, who controls the Sales Agent within the meaning of Section 15 of the 1933 Act or Section 20 of the 1934 Act and the Sales Agents Affiliates and selling agents shall have the same rights to contribution as the Sales Agent, and each director of the Company, each officer of the Company who signed the Registration Statement, and each person, if any, who controls the Company, the Adviser or the Administrator within the meaning of Section 15 of the 1933 Act or Section 20 of the 1934 Act shall have the same rights to contribution as the Company, the Adviser or the Administrator, as the case may be. </w:t>
      </w:r>
    </w:p>
    <w:p>
      <w:pPr>
        <w:pStyle w:val="TextBody"/>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Representations, Warranties and Agreements to Survive</w:t>
      </w:r>
      <w:r>
        <w:rPr>
          <w:rFonts w:ascii="Times New Roman" w:hAnsi="Times New Roman"/>
          <w:sz w:val="20"/>
        </w:rPr>
        <w:t xml:space="preserve">. All representations, warranties and agreements contained in this Agreement or in certificates of officers of the Company, any of the Subsidiaries, the Adviser or the Administrator submitted pursuant hereto, shall remain operative and in full force and effect regardless of (i) any investigation made by or on behalf of the Sales Agent or its Affiliates or selling agents, any person controlling the Sales Agent, its officers or directors or any person controlling the Company and (ii) delivery of and payment for the Securities. </w:t>
      </w:r>
    </w:p>
    <w:p>
      <w:pPr>
        <w:pStyle w:val="TextBody"/>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Termination of Agreement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Termination by the Company, the Adviser and the Administrator</w:t>
      </w:r>
      <w:r>
        <w:rPr>
          <w:rFonts w:ascii="Times New Roman" w:hAnsi="Times New Roman"/>
          <w:sz w:val="20"/>
        </w:rPr>
        <w:t xml:space="preserve">. The Company, the Adviser and the Administrator may terminate this Agreement, by giving one day advance notice to the Sales Agent, at any time.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by the Sales Agent</w:t>
      </w:r>
      <w:r>
        <w:rPr>
          <w:rFonts w:ascii="Times New Roman" w:hAnsi="Times New Roman"/>
          <w:sz w:val="20"/>
        </w:rPr>
        <w:t xml:space="preserve">. The Sales Agent may terminate this Agreement, by giving one day advance notice to the Company, at any time (i) if there has been, in the judgment of the Sales Agent, since the time of execution of this Agreement or since the respective dates as of which information is given in the Registration Statement or the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any material adverse change in the business, properties, management, financial condition, prospects or results of operations of the Company and the Subsidiaries taken as one enterprise or the Adviser or the Administrator, whether or not arising in the ordinary course of business, which would make it impracticable or inadvisable to proceed with the public offering or the delivery of the Securities on the terms and in the manner contemplated in the Registration Statement and the Prospectus,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 impracticable or inadvisable to proceed with the completion of the offering or to enforce contracts for the sale of the Securities, (iii) if trading in any securities of the Company has been suspended or materially limited by the Commission or New York Stock Exchange, (iv) if trading generally on the NYSE Amex or The New York Stock Exchange or The Nasdaq Stock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 </w:t>
      </w:r>
    </w:p>
    <w:p>
      <w:pPr>
        <w:pStyle w:val="TextBody"/>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Liabilities</w:t>
      </w:r>
      <w:r>
        <w:rPr>
          <w:rFonts w:ascii="Times New Roman" w:hAnsi="Times New Roman"/>
          <w:sz w:val="20"/>
        </w:rPr>
        <w:t xml:space="preserve">. If this Agreement is terminated pursuant to this Section, such termination shall be without liability of any party to any other party except as provided in </w:t>
      </w:r>
      <w:r>
        <w:rPr>
          <w:rFonts w:ascii="Times New Roman" w:hAnsi="Times New Roman"/>
          <w:sz w:val="20"/>
          <w:u w:val="single"/>
        </w:rPr>
        <w:t>Section 4</w:t>
      </w:r>
      <w:r>
        <w:rPr>
          <w:rFonts w:ascii="Times New Roman" w:hAnsi="Times New Roman"/>
          <w:sz w:val="20"/>
        </w:rPr>
        <w:t xml:space="preserve"> hereof, provided that </w:t>
      </w:r>
      <w:r>
        <w:rPr>
          <w:rFonts w:ascii="Times New Roman" w:hAnsi="Times New Roman"/>
          <w:sz w:val="20"/>
          <w:u w:val="single"/>
        </w:rPr>
        <w:t>Sections 1</w:t>
      </w:r>
      <w:r>
        <w:rPr>
          <w:rFonts w:ascii="Times New Roman" w:hAnsi="Times New Roman"/>
          <w:sz w:val="20"/>
        </w:rPr>
        <w:t xml:space="preserve">, </w:t>
      </w:r>
      <w:r>
        <w:rPr>
          <w:rFonts w:ascii="Times New Roman" w:hAnsi="Times New Roman"/>
          <w:sz w:val="20"/>
          <w:u w:val="single"/>
        </w:rPr>
        <w:t>6, 7</w:t>
      </w:r>
      <w:r>
        <w:rPr>
          <w:rFonts w:ascii="Times New Roman" w:hAnsi="Times New Roman"/>
          <w:sz w:val="20"/>
        </w:rPr>
        <w:t xml:space="preserve">, </w:t>
      </w:r>
      <w:r>
        <w:rPr>
          <w:rFonts w:ascii="Times New Roman" w:hAnsi="Times New Roman"/>
          <w:sz w:val="20"/>
          <w:u w:val="single"/>
        </w:rPr>
        <w:t>8</w:t>
      </w:r>
      <w:r>
        <w:rPr>
          <w:rFonts w:ascii="Times New Roman" w:hAnsi="Times New Roman"/>
          <w:sz w:val="20"/>
        </w:rPr>
        <w:t>,</w:t>
      </w:r>
      <w:r>
        <w:rPr>
          <w:rFonts w:ascii="Times New Roman" w:hAnsi="Times New Roman"/>
          <w:sz w:val="20"/>
          <w:u w:val="single"/>
        </w:rPr>
        <w:t xml:space="preserve"> 14</w:t>
      </w:r>
      <w:r>
        <w:rPr>
          <w:rFonts w:ascii="Times New Roman" w:hAnsi="Times New Roman"/>
          <w:sz w:val="20"/>
        </w:rPr>
        <w:t>,</w:t>
      </w:r>
      <w:r>
        <w:rPr>
          <w:rFonts w:ascii="Times New Roman" w:hAnsi="Times New Roman"/>
          <w:sz w:val="20"/>
          <w:u w:val="single"/>
        </w:rPr>
        <w:t xml:space="preserve"> 15</w:t>
      </w:r>
      <w:r>
        <w:rPr>
          <w:rFonts w:ascii="Times New Roman" w:hAnsi="Times New Roman"/>
          <w:sz w:val="20"/>
        </w:rPr>
        <w:t xml:space="preserve"> and </w:t>
      </w:r>
      <w:r>
        <w:rPr>
          <w:rFonts w:ascii="Times New Roman" w:hAnsi="Times New Roman"/>
          <w:sz w:val="20"/>
          <w:u w:val="single"/>
        </w:rPr>
        <w:t>16</w:t>
      </w:r>
      <w:r>
        <w:rPr>
          <w:rFonts w:ascii="Times New Roman" w:hAnsi="Times New Roman"/>
          <w:sz w:val="20"/>
        </w:rPr>
        <w:t xml:space="preserve"> shall survive such termination and remain in full force and effect. </w:t>
      </w:r>
    </w:p>
    <w:p>
      <w:pPr>
        <w:pStyle w:val="TextBody"/>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No Joint Venture</w:t>
      </w:r>
      <w:r>
        <w:rPr>
          <w:rFonts w:ascii="Times New Roman" w:hAnsi="Times New Roman"/>
          <w:sz w:val="20"/>
        </w:rPr>
        <w:t xml:space="preserve">. The Company, the Adviser, the Administrator and the Sales Agent expressly acknowledge, understand and agree that the Sales Agent and the Other Agents are not, and shall not be deemed for any purpose, to be acting as an joint venture or partner of one another and that neither the Sales Agent nor the Other Agents assume responsibility or liability, express or implied, for any actions or omissions of, or the performance of services by the Sales Agent or the Other Agents, respectively, in connection with the offering of the shares of Common Stock pursuant to this Agreement or the Sales Agreement, or otherwise. The obligations of the Sales Agent hereunder and of the Other Agents under the Sales Agreement shall be several and not joint. </w:t>
      </w:r>
    </w:p>
    <w:p>
      <w:pPr>
        <w:pStyle w:val="TextBody"/>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given if mailed or transmitted by any standard form of telecommunication. Notices to the Sales Agent shall be directed to Truist Securities, Inc., 3333 Peachtree Road NE, Atlanta, Georgia 30326, Attention: Global Head of Syndicate, with a copy (which shall not constitute notice) to Kirkland &amp; Ellis LLP at 1301 Pennsylvania Ave., NW, Washington, D.C. 20004, Attention: William J. Tuttle, P.C. Notices to the Company, the Adviser and the Administrator shall be directed to them at 1691 Michigan Avenue, Miami Beach, Florida 33139, facsimile No. (212) 905-1075, Attention: Arthur Penn.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No Advisory or Fiduciary Relationship</w:t>
      </w:r>
      <w:r>
        <w:rPr>
          <w:rFonts w:ascii="Times New Roman" w:hAnsi="Times New Roman"/>
          <w:sz w:val="20"/>
        </w:rPr>
        <w:t xml:space="preserve">.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Sales Agent, on the other hand, (b) in connection with the offering of the Securities and the process leading thereto, the Sales Agent is and has been acting solely as a principal and is not the agent or fiduciary of the Company, any of the Subsidiaries or their respective stockholders, creditors, employees or any other party, (c) the Sales Agent has not assumed or will assume an advisory or fiduciary responsibility in favor of the Company with respect to the offering of the Securities or the process leading thereto (irrespective of whether the Sales Agent has advised or is currently advising the Company or any of its subsidiaries on other matters) and the Sales Agent has no obligation to the Company with respect to the offering of the Securities except the obligations expressly set forth in this Agreement, (d) the Sales Agent and its respective affiliates may be engaged in a broad range of transactions that involve interests that differ from those of the Company and (e) the Sales Agent has not provided any legal, accounting, regulatory or tax advice with respect to the offering of the Securities and the Company has consulted its own respective legal, accounting, regulatory and tax advisors to the extent it deemed appropriate. </w:t>
      </w:r>
    </w:p>
    <w:p>
      <w:pPr>
        <w:pStyle w:val="TextBody"/>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Parties</w:t>
      </w:r>
      <w:r>
        <w:rPr>
          <w:rFonts w:ascii="Times New Roman" w:hAnsi="Times New Roman"/>
          <w:sz w:val="20"/>
        </w:rPr>
        <w:t xml:space="preserve">. This Agreement shall each inure to the benefit of and be binding upon the Sales Agent, the Company, the Adviser, the Administrator and their respective successors. Nothing expressed or mentioned in this Agreement is intended or shall be construed to give any person, firm or corporation, other than the Sales Agent, the Company, the Adviser and the Administrator and their respective successors and the controlling persons and officers and directors referred to in </w:t>
      </w:r>
      <w:r>
        <w:rPr>
          <w:rFonts w:ascii="Times New Roman" w:hAnsi="Times New Roman"/>
          <w:sz w:val="20"/>
          <w:u w:val="single"/>
        </w:rPr>
        <w:t>Section 6</w:t>
      </w:r>
      <w:r>
        <w:rPr>
          <w:rFonts w:ascii="Times New Roman" w:hAnsi="Times New Roman"/>
          <w:sz w:val="20"/>
        </w:rPr>
        <w:t xml:space="preserve"> and </w:t>
      </w:r>
      <w:r>
        <w:rPr>
          <w:rFonts w:ascii="Times New Roman" w:hAnsi="Times New Roman"/>
          <w:sz w:val="20"/>
          <w:u w:val="single"/>
        </w:rPr>
        <w:t>7</w:t>
      </w:r>
      <w:r>
        <w:rPr>
          <w:rFonts w:ascii="Times New Roman" w:hAnsi="Times New Roman"/>
          <w:sz w:val="20"/>
        </w:rPr>
        <w:t xml:space="preserve">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 the Company, the Adviser and the Administrator and their respective successors, and said controlling persons and officers and directors and their heirs and legal representatives, and for the benefit of no other person, firm or corporation. No purchaser of Securities from the Sales Agent shall be deemed to be a successor by reason merely of such purchase. </w:t>
      </w:r>
    </w:p>
    <w:p>
      <w:pPr>
        <w:pStyle w:val="TextBody"/>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Trial by Jury</w:t>
      </w:r>
      <w:r>
        <w:rPr>
          <w:rFonts w:ascii="Times New Roman" w:hAnsi="Times New Roman"/>
          <w:sz w:val="20"/>
        </w:rPr>
        <w:t xml:space="preserve">. The Company (on its behalf and, to the extent permitted by applicable law, on behalf of its stockholders and affiliates), the Adviser, the Administrator and the Sales Agent hereby irrevocably waives, to the fullest extent permitted by applicable law, any and all right to trial by jury in any legal proceeding arising out of or relating to this Agreement or the transactions contemplated hereby. </w:t>
      </w:r>
    </w:p>
    <w:p>
      <w:pPr>
        <w:pStyle w:val="TextBody"/>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p>
    <w:p>
      <w:pPr>
        <w:pStyle w:val="TextBody"/>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Consent to Jurisdiction; Waiver of Immunity</w:t>
      </w:r>
      <w:r>
        <w:rPr>
          <w:rFonts w:ascii="Times New Roman" w:hAnsi="Times New Roman"/>
          <w:sz w:val="20"/>
        </w:rPr>
        <w:t xml:space="preserve">.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TIME</w:t>
      </w:r>
      <w:r>
        <w:rPr>
          <w:rFonts w:ascii="Times New Roman" w:hAnsi="Times New Roman"/>
          <w:sz w:val="20"/>
        </w:rPr>
        <w:t xml:space="preserve">. TIME SHALL BE OF THE ESSENCE OF THIS AGREEMENT. EXCEPT AS OTHERWISE SET FORTH HEREIN, SPECIFIED TIMES OF DAY REFER TO NEW YORK CITY TIME. </w:t>
      </w:r>
    </w:p>
    <w:p>
      <w:pPr>
        <w:pStyle w:val="TextBody"/>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Counterparts</w:t>
      </w:r>
      <w:r>
        <w:rPr>
          <w:rFonts w:ascii="Times New Roman" w:hAnsi="Times New Roman"/>
          <w:sz w:val="20"/>
        </w:rPr>
        <w:t xml:space="preserve">.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affect the construction hereof. </w:t>
      </w:r>
    </w:p>
    <w:p>
      <w:pPr>
        <w:pStyle w:val="TextBody"/>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In the event that the Sales Agent that is a Covered Entity becomes subject to a proceeding under a U.S. Special Resolution Regime, the transfer from the Sales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spacing w:before="240" w:after="0"/>
        <w:jc w:val="left"/>
        <w:rPr>
          <w:rFonts w:ascii="Times New Roman" w:hAnsi="Times New Roman"/>
          <w:sz w:val="20"/>
        </w:rPr>
      </w:pPr>
      <w:r>
        <w:rPr>
          <w:rFonts w:ascii="Times New Roman" w:hAnsi="Times New Roman"/>
          <w:sz w:val="20"/>
        </w:rPr>
        <w:t xml:space="preserve">(b) In the event that the Sales Agent that is a Covered Entity or a BHC Act Affiliate of the Sales Agent becomes subject to a proceeding under a U.S. Special Resolution Regime, Default Rights under this Agreement that may be exercised against the Sales Agent are permitted to be exercised to no greater extent than such Default Rights could be exercised under the U.S. Special Resolution Regime if this Agreement were governed by the laws of the United States or a state of the United States. </w:t>
      </w:r>
    </w:p>
    <w:p>
      <w:pPr>
        <w:pStyle w:val="TextBody"/>
        <w:spacing w:before="240" w:after="0"/>
        <w:jc w:val="left"/>
        <w:rPr>
          <w:rFonts w:ascii="Times New Roman" w:hAnsi="Times New Roman"/>
          <w:sz w:val="20"/>
        </w:rPr>
      </w:pPr>
      <w:r>
        <w:rPr>
          <w:rFonts w:ascii="Times New Roman" w:hAnsi="Times New Roman"/>
          <w:sz w:val="20"/>
        </w:rPr>
        <w:t xml:space="preserve">(c) For purposes of this </w:t>
      </w:r>
      <w:r>
        <w:rPr>
          <w:rFonts w:ascii="Times New Roman" w:hAnsi="Times New Roman"/>
          <w:sz w:val="20"/>
          <w:u w:val="single"/>
        </w:rPr>
        <w:t>Section 20</w:t>
      </w:r>
      <w:r>
        <w:rPr>
          <w:rFonts w:ascii="Times New Roman" w:hAnsi="Times New Roman"/>
          <w:sz w:val="20"/>
        </w:rPr>
        <w:t xml:space="preserve">,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please sign and return to the Company a counterpart hereof, whereupon this instrument, along with all counterparts, will become a binding agreement among the Sales Agent, the Company, the Adviser and the Administrator in accordance with its terms.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97"/>
        <w:gridCol w:w="60"/>
        <w:gridCol w:w="3625"/>
      </w:tblGrid>
      <w:tr>
        <w:trPr/>
        <w:tc>
          <w:tcPr>
            <w:tcW w:w="3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2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PENNANTPARK FLOATING RATE CAPITAL LTD.</w:t>
            </w:r>
          </w:p>
        </w:tc>
      </w:tr>
      <w:tr>
        <w:trPr>
          <w:trHeight w:val="240" w:hRule="atLeast"/>
        </w:trPr>
        <w:tc>
          <w:tcPr>
            <w:tcW w:w="397" w:type="dxa"/>
            <w:tcBorders/>
            <w:shd w:fill="auto" w:val="clear"/>
            <w:vAlign w:val="center"/>
          </w:tcPr>
          <w:p>
            <w:pPr>
              <w:pStyle w:val="TableContents"/>
              <w:spacing w:before="0" w:after="283"/>
              <w:rPr>
                <w:sz w:val="4"/>
                <w:szCs w:val="4"/>
              </w:rPr>
            </w:pPr>
            <w:r>
              <w:rPr>
                <w:sz w:val="4"/>
                <w:szCs w:val="4"/>
              </w:rPr>
            </w:r>
          </w:p>
        </w:tc>
        <w:tc>
          <w:tcPr>
            <w:tcW w:w="3685" w:type="dxa"/>
            <w:gridSpan w:val="2"/>
            <w:tcBorders/>
            <w:shd w:fill="auto" w:val="clear"/>
            <w:vAlign w:val="center"/>
          </w:tcPr>
          <w:p>
            <w:pPr>
              <w:pStyle w:val="TableContents"/>
              <w:spacing w:before="0" w:after="283"/>
              <w:rPr>
                <w:sz w:val="4"/>
                <w:szCs w:val="4"/>
              </w:rPr>
            </w:pPr>
            <w:r>
              <w:rPr>
                <w:sz w:val="4"/>
                <w:szCs w:val="4"/>
              </w:rPr>
            </w:r>
          </w:p>
        </w:tc>
      </w:tr>
      <w:tr>
        <w:trPr/>
        <w:tc>
          <w:tcPr>
            <w:tcW w:w="397"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25" w:type="dxa"/>
            <w:tcBorders>
              <w:bottom w:val="single" w:sz="2" w:space="0" w:color="000000"/>
            </w:tcBorders>
            <w:shd w:fill="auto" w:val="clear"/>
            <w:tcMar>
              <w:bottom w:w="28" w:type="dxa"/>
            </w:tcMar>
          </w:tcPr>
          <w:p>
            <w:pPr>
              <w:pStyle w:val="TableContents"/>
              <w:spacing w:before="0" w:after="283"/>
              <w:rPr/>
            </w:pPr>
            <w:r>
              <w:rPr/>
              <w:t>/s/ Arthur H. Penn</w:t>
            </w:r>
          </w:p>
        </w:tc>
      </w:tr>
      <w:tr>
        <w:trPr/>
        <w:tc>
          <w:tcPr>
            <w:tcW w:w="39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5" w:type="dxa"/>
            <w:tcBorders/>
            <w:shd w:fill="auto" w:val="clear"/>
            <w:vAlign w:val="bottom"/>
          </w:tcPr>
          <w:p>
            <w:pPr>
              <w:pStyle w:val="TableContents"/>
              <w:spacing w:before="0" w:after="283"/>
              <w:rPr/>
            </w:pPr>
            <w:r>
              <w:rPr/>
              <w:t>Name: Arthur H. Penn</w:t>
            </w:r>
          </w:p>
        </w:tc>
      </w:tr>
      <w:tr>
        <w:trPr/>
        <w:tc>
          <w:tcPr>
            <w:tcW w:w="39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5" w:type="dxa"/>
            <w:tcBorders/>
            <w:shd w:fill="auto" w:val="clear"/>
            <w:vAlign w:val="bottom"/>
          </w:tcPr>
          <w:p>
            <w:pPr>
              <w:pStyle w:val="TableContents"/>
              <w:spacing w:before="0" w:after="283"/>
              <w:rPr/>
            </w:pPr>
            <w:r>
              <w:rPr/>
              <w:t>Title: Chief Executive Officer</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97"/>
        <w:gridCol w:w="60"/>
        <w:gridCol w:w="3625"/>
      </w:tblGrid>
      <w:tr>
        <w:trPr/>
        <w:tc>
          <w:tcPr>
            <w:tcW w:w="3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2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PENNANTPARK INVESTMENT ADVISERS, LLC</w:t>
            </w:r>
          </w:p>
        </w:tc>
      </w:tr>
      <w:tr>
        <w:trPr>
          <w:trHeight w:val="240" w:hRule="atLeast"/>
        </w:trPr>
        <w:tc>
          <w:tcPr>
            <w:tcW w:w="397" w:type="dxa"/>
            <w:tcBorders/>
            <w:shd w:fill="auto" w:val="clear"/>
            <w:vAlign w:val="center"/>
          </w:tcPr>
          <w:p>
            <w:pPr>
              <w:pStyle w:val="TableContents"/>
              <w:spacing w:before="0" w:after="283"/>
              <w:rPr>
                <w:sz w:val="4"/>
                <w:szCs w:val="4"/>
              </w:rPr>
            </w:pPr>
            <w:r>
              <w:rPr>
                <w:sz w:val="4"/>
                <w:szCs w:val="4"/>
              </w:rPr>
            </w:r>
          </w:p>
        </w:tc>
        <w:tc>
          <w:tcPr>
            <w:tcW w:w="3685" w:type="dxa"/>
            <w:gridSpan w:val="2"/>
            <w:tcBorders/>
            <w:shd w:fill="auto" w:val="clear"/>
            <w:vAlign w:val="center"/>
          </w:tcPr>
          <w:p>
            <w:pPr>
              <w:pStyle w:val="TableContents"/>
              <w:spacing w:before="0" w:after="283"/>
              <w:rPr>
                <w:sz w:val="4"/>
                <w:szCs w:val="4"/>
              </w:rPr>
            </w:pPr>
            <w:r>
              <w:rPr>
                <w:sz w:val="4"/>
                <w:szCs w:val="4"/>
              </w:rPr>
            </w:r>
          </w:p>
        </w:tc>
      </w:tr>
      <w:tr>
        <w:trPr/>
        <w:tc>
          <w:tcPr>
            <w:tcW w:w="397"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25" w:type="dxa"/>
            <w:tcBorders>
              <w:bottom w:val="single" w:sz="2" w:space="0" w:color="000000"/>
            </w:tcBorders>
            <w:shd w:fill="auto" w:val="clear"/>
            <w:tcMar>
              <w:bottom w:w="28" w:type="dxa"/>
            </w:tcMar>
          </w:tcPr>
          <w:p>
            <w:pPr>
              <w:pStyle w:val="TableContents"/>
              <w:spacing w:before="0" w:after="283"/>
              <w:rPr/>
            </w:pPr>
            <w:r>
              <w:rPr/>
              <w:t>/s/ Arthur H. Penn</w:t>
            </w:r>
          </w:p>
        </w:tc>
      </w:tr>
      <w:tr>
        <w:trPr/>
        <w:tc>
          <w:tcPr>
            <w:tcW w:w="39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5" w:type="dxa"/>
            <w:tcBorders/>
            <w:shd w:fill="auto" w:val="clear"/>
            <w:vAlign w:val="bottom"/>
          </w:tcPr>
          <w:p>
            <w:pPr>
              <w:pStyle w:val="TableContents"/>
              <w:spacing w:before="0" w:after="283"/>
              <w:rPr/>
            </w:pPr>
            <w:r>
              <w:rPr/>
              <w:t>Name: Arthur H. Penn</w:t>
            </w:r>
          </w:p>
        </w:tc>
      </w:tr>
      <w:tr>
        <w:trPr/>
        <w:tc>
          <w:tcPr>
            <w:tcW w:w="39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5" w:type="dxa"/>
            <w:tcBorders/>
            <w:shd w:fill="auto" w:val="clear"/>
            <w:vAlign w:val="bottom"/>
          </w:tcPr>
          <w:p>
            <w:pPr>
              <w:pStyle w:val="TableContents"/>
              <w:spacing w:before="0" w:after="283"/>
              <w:rPr/>
            </w:pPr>
            <w:r>
              <w:rPr/>
              <w:t>Title: Managing Member</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93"/>
        <w:gridCol w:w="60"/>
        <w:gridCol w:w="3629"/>
      </w:tblGrid>
      <w:tr>
        <w:trPr/>
        <w:tc>
          <w:tcPr>
            <w:tcW w:w="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2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PENNANTPARK INVESTMENT ADMINISTRATION, LLC</w:t>
            </w:r>
          </w:p>
        </w:tc>
      </w:tr>
      <w:tr>
        <w:trPr>
          <w:trHeight w:val="240" w:hRule="atLeast"/>
        </w:trPr>
        <w:tc>
          <w:tcPr>
            <w:tcW w:w="393" w:type="dxa"/>
            <w:tcBorders/>
            <w:shd w:fill="auto" w:val="clear"/>
            <w:vAlign w:val="center"/>
          </w:tcPr>
          <w:p>
            <w:pPr>
              <w:pStyle w:val="TableContents"/>
              <w:spacing w:before="0" w:after="283"/>
              <w:rPr>
                <w:sz w:val="4"/>
                <w:szCs w:val="4"/>
              </w:rPr>
            </w:pPr>
            <w:r>
              <w:rPr>
                <w:sz w:val="4"/>
                <w:szCs w:val="4"/>
              </w:rPr>
            </w:r>
          </w:p>
        </w:tc>
        <w:tc>
          <w:tcPr>
            <w:tcW w:w="3689" w:type="dxa"/>
            <w:gridSpan w:val="2"/>
            <w:tcBorders/>
            <w:shd w:fill="auto" w:val="clear"/>
            <w:vAlign w:val="center"/>
          </w:tcPr>
          <w:p>
            <w:pPr>
              <w:pStyle w:val="TableContents"/>
              <w:spacing w:before="0" w:after="283"/>
              <w:rPr>
                <w:sz w:val="4"/>
                <w:szCs w:val="4"/>
              </w:rPr>
            </w:pPr>
            <w:r>
              <w:rPr>
                <w:sz w:val="4"/>
                <w:szCs w:val="4"/>
              </w:rPr>
            </w:r>
          </w:p>
        </w:tc>
      </w:tr>
      <w:tr>
        <w:trPr/>
        <w:tc>
          <w:tcPr>
            <w:tcW w:w="393"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29" w:type="dxa"/>
            <w:tcBorders>
              <w:bottom w:val="single" w:sz="2" w:space="0" w:color="000000"/>
            </w:tcBorders>
            <w:shd w:fill="auto" w:val="clear"/>
            <w:tcMar>
              <w:bottom w:w="28" w:type="dxa"/>
            </w:tcMar>
          </w:tcPr>
          <w:p>
            <w:pPr>
              <w:pStyle w:val="TableContents"/>
              <w:spacing w:before="0" w:after="283"/>
              <w:rPr/>
            </w:pPr>
            <w:r>
              <w:rPr/>
              <w:t>/s/ Arthur H. Penn</w:t>
            </w:r>
          </w:p>
        </w:tc>
      </w:tr>
      <w:tr>
        <w:trPr/>
        <w:tc>
          <w:tcPr>
            <w:tcW w:w="39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9" w:type="dxa"/>
            <w:tcBorders/>
            <w:shd w:fill="auto" w:val="clear"/>
            <w:vAlign w:val="bottom"/>
          </w:tcPr>
          <w:p>
            <w:pPr>
              <w:pStyle w:val="TableContents"/>
              <w:spacing w:before="0" w:after="283"/>
              <w:rPr/>
            </w:pPr>
            <w:r>
              <w:rPr/>
              <w:t>Name: Arthur H. Penn</w:t>
            </w:r>
          </w:p>
        </w:tc>
      </w:tr>
      <w:tr>
        <w:trPr/>
        <w:tc>
          <w:tcPr>
            <w:tcW w:w="39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9" w:type="dxa"/>
            <w:tcBorders/>
            <w:shd w:fill="auto" w:val="clear"/>
            <w:vAlign w:val="bottom"/>
          </w:tcPr>
          <w:p>
            <w:pPr>
              <w:pStyle w:val="TableContents"/>
              <w:spacing w:before="0" w:after="283"/>
              <w:rPr/>
            </w:pPr>
            <w:r>
              <w:rPr/>
              <w:t>Title: Managing Member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[Signature Page to Sales Agreement  Truist] </w:t>
      </w:r>
      <w:r>
        <w:br w:type="page"/>
      </w:r>
    </w:p>
    <w:p>
      <w:pPr>
        <w:pStyle w:val="HorizontalLine"/>
        <w:pBdr>
          <w:bottom w:val="double" w:sz="6" w:space="0" w:color="808080"/>
        </w:pBdr>
        <w:rPr/>
      </w:pPr>
      <w:r>
        <w:rPr/>
      </w:r>
    </w:p>
    <w:tbl>
      <w:tblPr>
        <w:tblW w:w="2000" w:type="pct"/>
        <w:jc w:val="left"/>
        <w:tblInd w:w="0" w:type="dxa"/>
        <w:tblCellMar>
          <w:top w:w="0" w:type="dxa"/>
          <w:left w:w="0" w:type="dxa"/>
          <w:bottom w:w="0" w:type="dxa"/>
          <w:right w:w="0" w:type="dxa"/>
        </w:tblCellMar>
      </w:tblPr>
      <w:tblGrid>
        <w:gridCol w:w="437"/>
        <w:gridCol w:w="71"/>
        <w:gridCol w:w="3574"/>
      </w:tblGrid>
      <w:tr>
        <w:trPr/>
        <w:tc>
          <w:tcPr>
            <w:tcW w:w="437"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357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CONFIRMED AND ACCEPTED,</w:t>
              <w:br/>
              <w:t>as of the date first above written:</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TRUIST SECURITIES, INC.</w:t>
            </w:r>
          </w:p>
        </w:tc>
      </w:tr>
      <w:tr>
        <w:trPr>
          <w:trHeight w:val="240" w:hRule="atLeast"/>
        </w:trPr>
        <w:tc>
          <w:tcPr>
            <w:tcW w:w="437" w:type="dxa"/>
            <w:tcBorders/>
            <w:shd w:fill="auto" w:val="clear"/>
            <w:vAlign w:val="center"/>
          </w:tcPr>
          <w:p>
            <w:pPr>
              <w:pStyle w:val="TableContents"/>
              <w:spacing w:before="0" w:after="283"/>
              <w:rPr>
                <w:sz w:val="4"/>
                <w:szCs w:val="4"/>
              </w:rPr>
            </w:pPr>
            <w:r>
              <w:rPr>
                <w:sz w:val="4"/>
                <w:szCs w:val="4"/>
              </w:rPr>
            </w:r>
          </w:p>
        </w:tc>
        <w:tc>
          <w:tcPr>
            <w:tcW w:w="3645" w:type="dxa"/>
            <w:gridSpan w:val="2"/>
            <w:tcBorders/>
            <w:shd w:fill="auto" w:val="clear"/>
            <w:vAlign w:val="center"/>
          </w:tcPr>
          <w:p>
            <w:pPr>
              <w:pStyle w:val="TableContents"/>
              <w:spacing w:before="0" w:after="283"/>
              <w:rPr>
                <w:sz w:val="4"/>
                <w:szCs w:val="4"/>
              </w:rPr>
            </w:pPr>
            <w:r>
              <w:rPr>
                <w:sz w:val="4"/>
                <w:szCs w:val="4"/>
              </w:rPr>
            </w:r>
          </w:p>
        </w:tc>
      </w:tr>
      <w:tr>
        <w:trPr/>
        <w:tc>
          <w:tcPr>
            <w:tcW w:w="437" w:type="dxa"/>
            <w:tcBorders/>
            <w:shd w:fill="auto" w:val="clear"/>
          </w:tcPr>
          <w:p>
            <w:pPr>
              <w:pStyle w:val="TableContents"/>
              <w:spacing w:before="0" w:after="0"/>
              <w:rPr>
                <w:rFonts w:ascii="Times New Roman" w:hAnsi="Times New Roman"/>
                <w:sz w:val="20"/>
              </w:rPr>
            </w:pPr>
            <w:r>
              <w:rPr>
                <w:rFonts w:ascii="Times New Roman" w:hAnsi="Times New Roman"/>
                <w:sz w:val="20"/>
              </w:rPr>
              <w:t>By:</w:t>
            </w:r>
          </w:p>
        </w:tc>
        <w:tc>
          <w:tcPr>
            <w:tcW w:w="71" w:type="dxa"/>
            <w:tcBorders>
              <w:bottom w:val="single" w:sz="2" w:space="0" w:color="000000"/>
            </w:tcBorders>
            <w:shd w:fill="auto" w:val="clear"/>
            <w:tcMar>
              <w:bottom w:w="28" w:type="dxa"/>
            </w:tcMar>
            <w:vAlign w:val="bottom"/>
          </w:tcPr>
          <w:p>
            <w:pPr>
              <w:pStyle w:val="TableContents"/>
              <w:spacing w:before="0" w:after="283"/>
              <w:rPr/>
            </w:pPr>
            <w:r>
              <w:rPr/>
              <w:t> </w:t>
            </w:r>
          </w:p>
        </w:tc>
        <w:tc>
          <w:tcPr>
            <w:tcW w:w="3574"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/s/ Geoffrey Fennel</w:t>
            </w:r>
          </w:p>
        </w:tc>
      </w:tr>
      <w:tr>
        <w:trPr/>
        <w:tc>
          <w:tcPr>
            <w:tcW w:w="437" w:type="dxa"/>
            <w:tcBorders/>
            <w:shd w:fill="auto" w:val="clear"/>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357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Geoffrey Fennel</w:t>
            </w:r>
          </w:p>
        </w:tc>
      </w:tr>
      <w:tr>
        <w:trPr/>
        <w:tc>
          <w:tcPr>
            <w:tcW w:w="437" w:type="dxa"/>
            <w:tcBorders/>
            <w:shd w:fill="auto" w:val="clear"/>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pPr>
            <w:r>
              <w:rPr/>
              <w:t> </w:t>
            </w:r>
          </w:p>
        </w:tc>
        <w:tc>
          <w:tcPr>
            <w:tcW w:w="357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Title: Director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[Signature Page to Sales Agreement  Truist]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spacing w:before="240" w:after="0"/>
        <w:jc w:val="left"/>
        <w:rPr>
          <w:rFonts w:ascii="Times New Roman" w:hAnsi="Times New Roman"/>
          <w:sz w:val="20"/>
        </w:rPr>
      </w:pPr>
      <w:r>
        <w:rPr>
          <w:rFonts w:ascii="Times New Roman" w:hAnsi="Times New Roman"/>
          <w:sz w:val="20"/>
        </w:rPr>
        <w:t xml:space="preserve">Consolidated subsidiaries of the Company: </w:t>
      </w:r>
    </w:p>
    <w:p>
      <w:pPr>
        <w:pStyle w:val="TextBody"/>
        <w:spacing w:before="120" w:after="0"/>
        <w:jc w:val="left"/>
        <w:rPr>
          <w:rFonts w:ascii="Times New Roman" w:hAnsi="Times New Roman"/>
          <w:sz w:val="20"/>
        </w:rPr>
      </w:pPr>
      <w:r>
        <w:rPr>
          <w:rFonts w:ascii="Times New Roman" w:hAnsi="Times New Roman"/>
          <w:sz w:val="20"/>
        </w:rPr>
        <w:t xml:space="preserve">PennantPark Floating Rate Funding I, LLC </w:t>
      </w:r>
    </w:p>
    <w:p>
      <w:pPr>
        <w:pStyle w:val="TextBody"/>
        <w:spacing w:before="0" w:after="0"/>
        <w:jc w:val="left"/>
        <w:rPr>
          <w:rFonts w:ascii="Times New Roman" w:hAnsi="Times New Roman"/>
          <w:sz w:val="20"/>
        </w:rPr>
      </w:pPr>
      <w:r>
        <w:rPr>
          <w:rFonts w:ascii="Times New Roman" w:hAnsi="Times New Roman"/>
          <w:sz w:val="20"/>
        </w:rPr>
        <w:t xml:space="preserve">PennantPark Floating Rate Funding II, LLC </w:t>
      </w:r>
    </w:p>
    <w:p>
      <w:pPr>
        <w:pStyle w:val="TextBody"/>
        <w:spacing w:before="0" w:after="0"/>
        <w:jc w:val="left"/>
        <w:rPr>
          <w:rFonts w:ascii="Times New Roman" w:hAnsi="Times New Roman"/>
          <w:sz w:val="20"/>
        </w:rPr>
      </w:pPr>
      <w:r>
        <w:rPr>
          <w:rFonts w:ascii="Times New Roman" w:hAnsi="Times New Roman"/>
          <w:sz w:val="20"/>
        </w:rPr>
        <w:t xml:space="preserve">PennantPark CLO I, LLC </w:t>
      </w:r>
    </w:p>
    <w:p>
      <w:pPr>
        <w:pStyle w:val="TextBody"/>
        <w:spacing w:before="0" w:after="0"/>
        <w:jc w:val="left"/>
        <w:rPr>
          <w:rFonts w:ascii="Times New Roman" w:hAnsi="Times New Roman"/>
          <w:sz w:val="20"/>
        </w:rPr>
      </w:pPr>
      <w:r>
        <w:rPr>
          <w:rFonts w:ascii="Times New Roman" w:hAnsi="Times New Roman"/>
          <w:sz w:val="20"/>
        </w:rPr>
        <w:t xml:space="preserve">PennantPark CLO I, Ltd. </w:t>
      </w:r>
    </w:p>
    <w:p>
      <w:pPr>
        <w:pStyle w:val="TextBody"/>
        <w:spacing w:before="0" w:after="0"/>
        <w:jc w:val="left"/>
        <w:rPr>
          <w:rFonts w:ascii="Times New Roman" w:hAnsi="Times New Roman"/>
          <w:sz w:val="20"/>
        </w:rPr>
      </w:pPr>
      <w:r>
        <w:rPr>
          <w:rFonts w:ascii="Times New Roman" w:hAnsi="Times New Roman"/>
          <w:sz w:val="20"/>
        </w:rPr>
        <w:t xml:space="preserve">PennantPark CLO I Depositor, LLC </w:t>
      </w:r>
    </w:p>
    <w:p>
      <w:pPr>
        <w:pStyle w:val="TextBody"/>
        <w:spacing w:before="0" w:after="0"/>
        <w:jc w:val="left"/>
        <w:rPr>
          <w:rFonts w:ascii="Times New Roman" w:hAnsi="Times New Roman"/>
          <w:sz w:val="20"/>
        </w:rPr>
      </w:pPr>
      <w:r>
        <w:rPr>
          <w:rFonts w:ascii="Times New Roman" w:hAnsi="Times New Roman"/>
          <w:sz w:val="20"/>
        </w:rPr>
        <w:t xml:space="preserve">PFLT Investment Holdings, LLC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SCHEDULE B </w:t>
      </w:r>
    </w:p>
    <w:p>
      <w:pPr>
        <w:pStyle w:val="TextBody"/>
        <w:spacing w:before="240" w:after="0"/>
        <w:jc w:val="left"/>
        <w:rPr>
          <w:rFonts w:ascii="Times New Roman" w:hAnsi="Times New Roman"/>
          <w:b/>
          <w:sz w:val="20"/>
        </w:rPr>
      </w:pPr>
      <w:r>
        <w:rPr>
          <w:rFonts w:ascii="Times New Roman" w:hAnsi="Times New Roman"/>
          <w:b/>
          <w:sz w:val="20"/>
        </w:rPr>
        <w:t xml:space="preserve">Company Authorized Representatives </w:t>
      </w:r>
    </w:p>
    <w:p>
      <w:pPr>
        <w:pStyle w:val="TextBody"/>
        <w:spacing w:before="120" w:after="0"/>
        <w:jc w:val="left"/>
        <w:rPr>
          <w:rFonts w:ascii="Times New Roman" w:hAnsi="Times New Roman"/>
          <w:sz w:val="20"/>
        </w:rPr>
      </w:pPr>
      <w:r>
        <w:rPr>
          <w:rFonts w:ascii="Times New Roman" w:hAnsi="Times New Roman"/>
          <w:sz w:val="20"/>
        </w:rPr>
        <w:t xml:space="preserve">Arthur H. Penn </w:t>
      </w:r>
    </w:p>
    <w:p>
      <w:pPr>
        <w:pStyle w:val="TextBody"/>
        <w:spacing w:before="0" w:after="0"/>
        <w:jc w:val="left"/>
        <w:rPr>
          <w:rFonts w:ascii="Times New Roman" w:hAnsi="Times New Roman"/>
          <w:sz w:val="20"/>
        </w:rPr>
      </w:pPr>
      <w:r>
        <w:rPr>
          <w:rFonts w:ascii="Times New Roman" w:hAnsi="Times New Roman"/>
          <w:sz w:val="20"/>
        </w:rPr>
        <w:t xml:space="preserve">Richard Allorto </w:t>
      </w:r>
    </w:p>
    <w:p>
      <w:pPr>
        <w:pStyle w:val="TextBody"/>
        <w:spacing w:before="360" w:after="0"/>
        <w:jc w:val="left"/>
        <w:rPr>
          <w:rFonts w:ascii="Times New Roman" w:hAnsi="Times New Roman"/>
          <w:b/>
          <w:sz w:val="20"/>
        </w:rPr>
      </w:pPr>
      <w:r>
        <w:rPr>
          <w:rFonts w:ascii="Times New Roman" w:hAnsi="Times New Roman"/>
          <w:b/>
          <w:sz w:val="20"/>
        </w:rPr>
        <w:t xml:space="preserve">Sales Agent Authorized Representatives </w:t>
      </w:r>
    </w:p>
    <w:p>
      <w:pPr>
        <w:pStyle w:val="TextBody"/>
        <w:spacing w:before="120" w:after="0"/>
        <w:jc w:val="left"/>
        <w:rPr>
          <w:rFonts w:ascii="Times New Roman" w:hAnsi="Times New Roman"/>
          <w:sz w:val="20"/>
        </w:rPr>
      </w:pPr>
      <w:r>
        <w:rPr>
          <w:rFonts w:ascii="Times New Roman" w:hAnsi="Times New Roman"/>
          <w:sz w:val="20"/>
        </w:rPr>
        <w:t xml:space="preserve">Keith Carpenter </w:t>
      </w:r>
    </w:p>
    <w:p>
      <w:pPr>
        <w:pStyle w:val="TextBody"/>
        <w:spacing w:before="0" w:after="0"/>
        <w:jc w:val="left"/>
        <w:rPr>
          <w:rFonts w:ascii="Times New Roman" w:hAnsi="Times New Roman"/>
          <w:sz w:val="20"/>
        </w:rPr>
      </w:pPr>
      <w:r>
        <w:rPr>
          <w:rFonts w:ascii="Times New Roman" w:hAnsi="Times New Roman"/>
          <w:sz w:val="20"/>
        </w:rPr>
        <w:t xml:space="preserve">Geoff Fennel </w:t>
      </w:r>
    </w:p>
    <w:p>
      <w:pPr>
        <w:pStyle w:val="TextBody"/>
        <w:spacing w:before="0" w:after="0"/>
        <w:jc w:val="left"/>
        <w:rPr>
          <w:rFonts w:ascii="Times New Roman" w:hAnsi="Times New Roman"/>
          <w:sz w:val="20"/>
        </w:rPr>
      </w:pPr>
      <w:r>
        <w:rPr>
          <w:rFonts w:ascii="Times New Roman" w:hAnsi="Times New Roman"/>
          <w:sz w:val="20"/>
        </w:rPr>
        <w:t xml:space="preserve">With a copy to: dl.atm.offering@truist.com </w:t>
      </w:r>
      <w:r>
        <w:br w:type="page"/>
      </w:r>
    </w:p>
    <w:p>
      <w:pPr>
        <w:pStyle w:val="TextBody"/>
        <w:spacing w:before="0" w:after="0"/>
        <w:jc w:val="right"/>
        <w:rPr>
          <w:rFonts w:ascii="Times New Roman" w:hAnsi="Times New Roman"/>
          <w:b/>
          <w:sz w:val="20"/>
        </w:rPr>
      </w:pPr>
      <w:bookmarkStart w:id="8" w:name="d495153dex51.htm"/>
      <w:bookmarkStart w:id="9" w:name="ksd495153dex51"/>
      <w:bookmarkEnd w:id="8"/>
      <w:bookmarkEnd w:id="9"/>
      <w:r>
        <w:rPr>
          <w:rFonts w:ascii="Times New Roman" w:hAnsi="Times New Roman"/>
          <w:b/>
          <w:sz w:val="20"/>
        </w:rPr>
        <w:t xml:space="preserve">Exhibit 5.1 </w:t>
      </w:r>
    </w:p>
    <w:p>
      <w:pPr>
        <w:pStyle w:val="TextBody"/>
        <w:spacing w:before="0" w:after="0"/>
        <w:jc w:val="left"/>
        <w:rPr/>
      </w:pPr>
      <w:r>
        <w:rPr/>
        <w:t> </w:t>
      </w:r>
    </w:p>
    <w:p>
      <w:pPr>
        <w:pStyle w:val="TextBody"/>
        <w:spacing w:before="0" w:after="0"/>
        <w:jc w:val="left"/>
        <w:rPr/>
      </w:pPr>
      <w:r>
        <w:rPr/>
        <w:drawing>
          <wp:inline distT="0" distB="0" distL="0" distR="0">
            <wp:extent cx="59245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24550" cy="609600"/>
                    </a:xfrm>
                    <a:prstGeom prst="rect">
                      <a:avLst/>
                    </a:prstGeom>
                  </pic:spPr>
                </pic:pic>
              </a:graphicData>
            </a:graphic>
          </wp:inline>
        </w:drawing>
      </w:r>
      <w:r>
        <w:rPr/>
        <w:t xml:space="preserve"> </w:t>
      </w:r>
    </w:p>
    <w:p>
      <w:pPr>
        <w:pStyle w:val="TextBody"/>
        <w:spacing w:before="240" w:after="0"/>
        <w:jc w:val="center"/>
        <w:rPr>
          <w:rFonts w:ascii="Times New Roman" w:hAnsi="Times New Roman"/>
          <w:sz w:val="20"/>
        </w:rPr>
      </w:pPr>
      <w:r>
        <w:rPr>
          <w:rFonts w:ascii="Times New Roman" w:hAnsi="Times New Roman"/>
          <w:sz w:val="20"/>
        </w:rPr>
        <w:t xml:space="preserve">March 31, 2023 </w:t>
      </w:r>
    </w:p>
    <w:p>
      <w:pPr>
        <w:pStyle w:val="TextBody"/>
        <w:spacing w:before="240" w:after="0"/>
        <w:jc w:val="left"/>
        <w:rPr>
          <w:rFonts w:ascii="Times New Roman" w:hAnsi="Times New Roman"/>
          <w:sz w:val="20"/>
        </w:rPr>
      </w:pPr>
      <w:r>
        <w:rPr>
          <w:rFonts w:ascii="Times New Roman" w:hAnsi="Times New Roman"/>
          <w:sz w:val="20"/>
        </w:rPr>
        <w:t xml:space="preserve">PennantPark Floating Rate Capital Ltd. </w:t>
      </w:r>
    </w:p>
    <w:p>
      <w:pPr>
        <w:pStyle w:val="TextBody"/>
        <w:spacing w:before="0" w:after="0"/>
        <w:jc w:val="left"/>
        <w:rPr>
          <w:rFonts w:ascii="Times New Roman" w:hAnsi="Times New Roman"/>
          <w:sz w:val="20"/>
        </w:rPr>
      </w:pPr>
      <w:r>
        <w:rPr>
          <w:rFonts w:ascii="Times New Roman" w:hAnsi="Times New Roman"/>
          <w:sz w:val="20"/>
        </w:rPr>
        <w:t xml:space="preserve">1691 Michigan Avenue </w:t>
      </w:r>
    </w:p>
    <w:p>
      <w:pPr>
        <w:pStyle w:val="TextBody"/>
        <w:spacing w:before="0" w:after="0"/>
        <w:jc w:val="left"/>
        <w:rPr>
          <w:rFonts w:ascii="Times New Roman" w:hAnsi="Times New Roman"/>
          <w:sz w:val="20"/>
        </w:rPr>
      </w:pPr>
      <w:r>
        <w:rPr>
          <w:rFonts w:ascii="Times New Roman" w:hAnsi="Times New Roman"/>
          <w:sz w:val="20"/>
        </w:rPr>
        <w:t xml:space="preserve">Miami, Florida 33139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Re:</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Registration Statement on Form N-2: </w:t>
            </w:r>
          </w:p>
        </w:tc>
      </w:tr>
    </w:tbl>
    <w:p>
      <w:pPr>
        <w:pStyle w:val="TextBody"/>
        <w:spacing w:before="0" w:after="0"/>
        <w:jc w:val="left"/>
        <w:rPr>
          <w:rFonts w:ascii="Times New Roman" w:hAnsi="Times New Roman"/>
          <w:sz w:val="20"/>
        </w:rPr>
      </w:pPr>
      <w:r>
        <w:rPr>
          <w:rFonts w:ascii="Times New Roman" w:hAnsi="Times New Roman"/>
          <w:sz w:val="20"/>
          <w:u w:val="single"/>
        </w:rPr>
        <w:t>1933 Act File No. 333-268813            </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 xml:space="preserve">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issuance of shares (the Shares) of common stock, $0.001 par value per share, of the Company having an aggregate offering price of up to $100,000,000 to be issued in an at-the-market public offering (the Offering), covered by the Registration Statement, and all amendments thereto (the Registration Statement), filed by the Company with the United States Securities and Exchange Commission (the Commission) under the Securities Act of 1933, as amended (the 1933 Act). </w:t>
      </w:r>
    </w:p>
    <w:p>
      <w:pPr>
        <w:pStyle w:val="TextBody"/>
        <w:spacing w:before="240" w:after="0"/>
        <w:jc w:val="left"/>
        <w:rPr>
          <w:rFonts w:ascii="Times New Roman" w:hAnsi="Times New Roman"/>
          <w:sz w:val="20"/>
        </w:rPr>
      </w:pPr>
      <w:r>
        <w:rPr>
          <w:rFonts w:ascii="Times New Roman" w:hAnsi="Times New Roman"/>
          <w:sz w:val="20"/>
        </w:rPr>
        <w:t xml:space="preserve">In connection with our representation of the Company, and as a basis for the opinion hereinafter set forth, we have examined originals, or copies certified or otherwise identified to our satisfaction, of the following documents (hereinafter collectively referred to as the Documents): </w:t>
      </w:r>
    </w:p>
    <w:p>
      <w:pPr>
        <w:pStyle w:val="TextBody"/>
        <w:spacing w:before="120" w:after="0"/>
        <w:jc w:val="left"/>
        <w:rPr>
          <w:rFonts w:ascii="Times New Roman" w:hAnsi="Times New Roman"/>
          <w:sz w:val="20"/>
        </w:rPr>
      </w:pPr>
      <w:r>
        <w:rPr>
          <w:rFonts w:ascii="Times New Roman" w:hAnsi="Times New Roman"/>
          <w:sz w:val="20"/>
        </w:rPr>
        <w:t xml:space="preserve">1. The Registration Statement, and the related form of prospectus included therein; </w:t>
      </w:r>
    </w:p>
    <w:p>
      <w:pPr>
        <w:pStyle w:val="TextBody"/>
        <w:spacing w:before="240" w:after="0"/>
        <w:jc w:val="left"/>
        <w:rPr>
          <w:rFonts w:ascii="Times New Roman" w:hAnsi="Times New Roman"/>
          <w:sz w:val="20"/>
        </w:rPr>
      </w:pPr>
      <w:r>
        <w:rPr>
          <w:rFonts w:ascii="Times New Roman" w:hAnsi="Times New Roman"/>
          <w:sz w:val="20"/>
        </w:rPr>
        <w:t xml:space="preserve">2. The Prospectus Supplement, dated March 31, 2023, in the form to be filed by the Company with the Commission pursuant to Rule 424(b) under the 1933 Act; </w:t>
      </w:r>
    </w:p>
    <w:p>
      <w:pPr>
        <w:pStyle w:val="TextBody"/>
        <w:spacing w:before="240" w:after="0"/>
        <w:jc w:val="left"/>
        <w:rPr>
          <w:rFonts w:ascii="Times New Roman" w:hAnsi="Times New Roman"/>
          <w:sz w:val="20"/>
        </w:rPr>
      </w:pPr>
      <w:r>
        <w:rPr>
          <w:rFonts w:ascii="Times New Roman" w:hAnsi="Times New Roman"/>
          <w:sz w:val="20"/>
        </w:rPr>
        <w:t xml:space="preserve">3. The charter of the Company, certified by the State Department of Assessments and Taxation of Maryland (the SDAT); </w:t>
      </w:r>
    </w:p>
    <w:p>
      <w:pPr>
        <w:pStyle w:val="TextBody"/>
        <w:spacing w:before="240" w:after="0"/>
        <w:jc w:val="left"/>
        <w:rPr>
          <w:rFonts w:ascii="Times New Roman" w:hAnsi="Times New Roman"/>
          <w:sz w:val="20"/>
        </w:rPr>
      </w:pPr>
      <w:r>
        <w:rPr>
          <w:rFonts w:ascii="Times New Roman" w:hAnsi="Times New Roman"/>
          <w:sz w:val="20"/>
        </w:rPr>
        <w:t xml:space="preserve">4. The Bylaws of the Company, certified as of the date hereof by an officer of the Company; </w:t>
      </w:r>
    </w:p>
    <w:p>
      <w:pPr>
        <w:pStyle w:val="TextBody"/>
        <w:spacing w:before="240" w:after="0"/>
        <w:jc w:val="left"/>
        <w:rPr>
          <w:rFonts w:ascii="Times New Roman" w:hAnsi="Times New Roman"/>
          <w:sz w:val="20"/>
        </w:rPr>
      </w:pPr>
      <w:r>
        <w:rPr>
          <w:rFonts w:ascii="Times New Roman" w:hAnsi="Times New Roman"/>
          <w:sz w:val="20"/>
        </w:rPr>
        <w:t xml:space="preserve">5. A certificate of the SDAT as to the good standing of the Company, dated as of a recent date; </w:t>
      </w:r>
      <w:r>
        <w:br w:type="page"/>
      </w:r>
    </w:p>
    <w:p>
      <w:pPr>
        <w:pStyle w:val="HorizontalLine"/>
        <w:pBdr>
          <w:bottom w:val="double" w:sz="6" w:space="0" w:color="808080"/>
        </w:pBdr>
        <w:rPr/>
      </w:pPr>
      <w:r>
        <w:rPr/>
      </w:r>
    </w:p>
    <w:p>
      <w:pPr>
        <w:pStyle w:val="TextBody"/>
        <w:spacing w:before="0" w:after="0"/>
        <w:jc w:val="left"/>
        <w:rPr/>
      </w:pPr>
      <w:r>
        <w:rPr/>
        <w:drawing>
          <wp:inline distT="0" distB="0" distL="0" distR="0">
            <wp:extent cx="5924550"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24550" cy="609600"/>
                    </a:xfrm>
                    <a:prstGeom prst="rect">
                      <a:avLst/>
                    </a:prstGeom>
                  </pic:spPr>
                </pic:pic>
              </a:graphicData>
            </a:graphic>
          </wp:inline>
        </w:drawing>
      </w:r>
      <w:r>
        <w:rPr/>
        <w:t xml:space="preserve"> </w:t>
      </w:r>
    </w:p>
    <w:p>
      <w:pPr>
        <w:pStyle w:val="TextBody"/>
        <w:spacing w:before="0" w:after="0"/>
        <w:jc w:val="left"/>
        <w:rPr>
          <w:rFonts w:ascii="Times New Roman" w:hAnsi="Times New Roman"/>
          <w:sz w:val="20"/>
        </w:rPr>
      </w:pPr>
      <w:r>
        <w:rPr>
          <w:rFonts w:ascii="Times New Roman" w:hAnsi="Times New Roman"/>
          <w:sz w:val="20"/>
        </w:rPr>
        <w:t xml:space="preserve">PennantPark Floating Rate Capital Ltd. </w:t>
      </w:r>
    </w:p>
    <w:p>
      <w:pPr>
        <w:pStyle w:val="TextBody"/>
        <w:spacing w:before="0" w:after="0"/>
        <w:jc w:val="left"/>
        <w:rPr>
          <w:rFonts w:ascii="Times New Roman" w:hAnsi="Times New Roman"/>
          <w:sz w:val="20"/>
        </w:rPr>
      </w:pPr>
      <w:r>
        <w:rPr>
          <w:rFonts w:ascii="Times New Roman" w:hAnsi="Times New Roman"/>
          <w:sz w:val="20"/>
        </w:rPr>
        <w:t xml:space="preserve">March 31, 2023 </w:t>
      </w:r>
    </w:p>
    <w:p>
      <w:pPr>
        <w:pStyle w:val="TextBody"/>
        <w:spacing w:before="0" w:after="0"/>
        <w:jc w:val="left"/>
        <w:rPr>
          <w:rFonts w:ascii="Times New Roman" w:hAnsi="Times New Roman"/>
          <w:sz w:val="20"/>
        </w:rPr>
      </w:pPr>
      <w:r>
        <w:rPr>
          <w:rFonts w:ascii="Times New Roman" w:hAnsi="Times New Roman"/>
          <w:sz w:val="20"/>
        </w:rPr>
        <w:t xml:space="preserve">Page 2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6. Resolutions (the Resolutions) adopted by the Board of Directors of the Company, relating to, among other things, the authorization of (a) the registration, sale and issuance of the Shares, (b) the execution, delivery and performance by the Company of the Distribution Agreements (as defined below) and (c) the delegation to designated officers of the Company of the power to determine the number and price of the Shares and certain other matters in connection with the Offering, subject to the Resolutions, certified as of the date hereof by an officer of the Company; </w:t>
      </w:r>
    </w:p>
    <w:p>
      <w:pPr>
        <w:pStyle w:val="TextBody"/>
        <w:spacing w:before="240" w:after="0"/>
        <w:jc w:val="left"/>
        <w:rPr>
          <w:rFonts w:ascii="Times New Roman" w:hAnsi="Times New Roman"/>
          <w:sz w:val="20"/>
        </w:rPr>
      </w:pPr>
      <w:r>
        <w:rPr>
          <w:rFonts w:ascii="Times New Roman" w:hAnsi="Times New Roman"/>
          <w:sz w:val="20"/>
        </w:rPr>
        <w:t xml:space="preserve">7. The Equity Distribution Agreement, dated as of March 31, 2023 (the JMP Distribution Agreement), by and among the Company, PennantPark Investment Advisers, LLC, a Delaware limited liability company (the Adviser), PennantPark Investment Administration, LLC, a Delaware limited liability company (the Administrator), and JMP Securities LLC; </w:t>
      </w:r>
    </w:p>
    <w:p>
      <w:pPr>
        <w:pStyle w:val="TextBody"/>
        <w:spacing w:before="240" w:after="0"/>
        <w:jc w:val="left"/>
        <w:rPr>
          <w:rFonts w:ascii="Times New Roman" w:hAnsi="Times New Roman"/>
          <w:sz w:val="20"/>
        </w:rPr>
      </w:pPr>
      <w:r>
        <w:rPr>
          <w:rFonts w:ascii="Times New Roman" w:hAnsi="Times New Roman"/>
          <w:sz w:val="20"/>
        </w:rPr>
        <w:t xml:space="preserve">8. The Equity Distribution Agreement, dated as of March 31, 2023 (the Raymond James Distribution Agreement), by and among the Company, the Adviser, the Administrator and Raymond James &amp; Associates, Inc.; </w:t>
      </w:r>
    </w:p>
    <w:p>
      <w:pPr>
        <w:pStyle w:val="TextBody"/>
        <w:spacing w:before="240" w:after="0"/>
        <w:jc w:val="left"/>
        <w:rPr>
          <w:rFonts w:ascii="Times New Roman" w:hAnsi="Times New Roman"/>
          <w:sz w:val="20"/>
        </w:rPr>
      </w:pPr>
      <w:r>
        <w:rPr>
          <w:rFonts w:ascii="Times New Roman" w:hAnsi="Times New Roman"/>
          <w:sz w:val="20"/>
        </w:rPr>
        <w:t xml:space="preserve">9. The Equity Distribution Agreement, dated as of March 31, 2023 (the Truist Distribution Agreement and, together with the JMP Distribution Agreement and the Raymond James Distribution Agreement, the Distribution Agreements), by and among the Company, the Adviser, the Administrator and Truist Securities, Inc.; </w:t>
      </w:r>
    </w:p>
    <w:p>
      <w:pPr>
        <w:pStyle w:val="TextBody"/>
        <w:spacing w:before="240" w:after="0"/>
        <w:jc w:val="left"/>
        <w:rPr>
          <w:rFonts w:ascii="Times New Roman" w:hAnsi="Times New Roman"/>
          <w:sz w:val="20"/>
        </w:rPr>
      </w:pPr>
      <w:r>
        <w:rPr>
          <w:rFonts w:ascii="Times New Roman" w:hAnsi="Times New Roman"/>
          <w:sz w:val="20"/>
        </w:rPr>
        <w:t xml:space="preserve">10. A certificate executed by an officer of the Company, dated as of the date hereof; and </w:t>
      </w:r>
    </w:p>
    <w:p>
      <w:pPr>
        <w:pStyle w:val="TextBody"/>
        <w:spacing w:before="240" w:after="0"/>
        <w:jc w:val="left"/>
        <w:rPr>
          <w:rFonts w:ascii="Times New Roman" w:hAnsi="Times New Roman"/>
          <w:sz w:val="20"/>
        </w:rPr>
      </w:pPr>
      <w:r>
        <w:rPr>
          <w:rFonts w:ascii="Times New Roman" w:hAnsi="Times New Roman"/>
          <w:sz w:val="20"/>
        </w:rPr>
        <w:t xml:space="preserve">11. Such other documents and matters as we have deemed necessary or appropriate to express the opinion set forth below, subject to the assumptions, limitations and qualifications stated herein. </w:t>
      </w:r>
    </w:p>
    <w:p>
      <w:pPr>
        <w:pStyle w:val="TextBody"/>
        <w:spacing w:before="240" w:after="0"/>
        <w:jc w:val="left"/>
        <w:rPr>
          <w:rFonts w:ascii="Times New Roman" w:hAnsi="Times New Roman"/>
          <w:sz w:val="20"/>
        </w:rPr>
      </w:pPr>
      <w:r>
        <w:rPr>
          <w:rFonts w:ascii="Times New Roman" w:hAnsi="Times New Roman"/>
          <w:sz w:val="20"/>
        </w:rPr>
        <w:t xml:space="preserve">In expressing the opinion set forth below, we have assumed the following: </w:t>
      </w:r>
    </w:p>
    <w:p>
      <w:pPr>
        <w:pStyle w:val="TextBody"/>
        <w:spacing w:before="120" w:after="0"/>
        <w:jc w:val="left"/>
        <w:rPr>
          <w:rFonts w:ascii="Times New Roman" w:hAnsi="Times New Roman"/>
          <w:sz w:val="20"/>
        </w:rPr>
      </w:pPr>
      <w:r>
        <w:rPr>
          <w:rFonts w:ascii="Times New Roman" w:hAnsi="Times New Roman"/>
          <w:sz w:val="20"/>
        </w:rPr>
        <w:t xml:space="preserve">1. Each individual executing any of the Documents, whether on behalf of such individual or any other person, is legally competent to do so. </w:t>
      </w:r>
    </w:p>
    <w:p>
      <w:pPr>
        <w:pStyle w:val="TextBody"/>
        <w:spacing w:before="240" w:after="0"/>
        <w:jc w:val="left"/>
        <w:rPr>
          <w:rFonts w:ascii="Times New Roman" w:hAnsi="Times New Roman"/>
          <w:sz w:val="20"/>
        </w:rPr>
      </w:pPr>
      <w:r>
        <w:rPr>
          <w:rFonts w:ascii="Times New Roman" w:hAnsi="Times New Roman"/>
          <w:sz w:val="20"/>
        </w:rPr>
        <w:t xml:space="preserve">2. Each individual executing any of the Documents on behalf of a party (other than the Company) is duly authorized to do so. </w:t>
      </w:r>
    </w:p>
    <w:p>
      <w:pPr>
        <w:pStyle w:val="TextBody"/>
        <w:spacing w:before="240" w:after="0"/>
        <w:jc w:val="left"/>
        <w:rPr>
          <w:rFonts w:ascii="Times New Roman" w:hAnsi="Times New Roman"/>
          <w:sz w:val="20"/>
        </w:rPr>
      </w:pPr>
      <w:r>
        <w:rPr>
          <w:rFonts w:ascii="Times New Roman" w:hAnsi="Times New Roman"/>
          <w:sz w:val="20"/>
        </w:rPr>
        <w:t xml:space="preserve">3. 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 </w:t>
      </w:r>
      <w:r>
        <w:br w:type="page"/>
      </w:r>
    </w:p>
    <w:p>
      <w:pPr>
        <w:pStyle w:val="HorizontalLine"/>
        <w:pBdr>
          <w:bottom w:val="double" w:sz="6" w:space="0" w:color="808080"/>
        </w:pBdr>
        <w:rPr/>
      </w:pPr>
      <w:r>
        <w:rPr/>
      </w:r>
    </w:p>
    <w:p>
      <w:pPr>
        <w:pStyle w:val="TextBody"/>
        <w:spacing w:before="0" w:after="0"/>
        <w:jc w:val="left"/>
        <w:rPr/>
      </w:pPr>
      <w:r>
        <w:rPr/>
        <w:drawing>
          <wp:inline distT="0" distB="0" distL="0" distR="0">
            <wp:extent cx="5924550" cy="609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24550" cy="609600"/>
                    </a:xfrm>
                    <a:prstGeom prst="rect">
                      <a:avLst/>
                    </a:prstGeom>
                  </pic:spPr>
                </pic:pic>
              </a:graphicData>
            </a:graphic>
          </wp:inline>
        </w:drawing>
      </w:r>
      <w:r>
        <w:rPr/>
        <w:t xml:space="preserve"> </w:t>
      </w:r>
    </w:p>
    <w:p>
      <w:pPr>
        <w:pStyle w:val="TextBody"/>
        <w:spacing w:before="0" w:after="0"/>
        <w:jc w:val="left"/>
        <w:rPr>
          <w:rFonts w:ascii="Times New Roman" w:hAnsi="Times New Roman"/>
          <w:sz w:val="20"/>
        </w:rPr>
      </w:pPr>
      <w:r>
        <w:rPr>
          <w:rFonts w:ascii="Times New Roman" w:hAnsi="Times New Roman"/>
          <w:sz w:val="20"/>
        </w:rPr>
        <w:t xml:space="preserve">PennantPark Floating Rate Capital Ltd. </w:t>
      </w:r>
    </w:p>
    <w:p>
      <w:pPr>
        <w:pStyle w:val="TextBody"/>
        <w:spacing w:before="0" w:after="0"/>
        <w:jc w:val="left"/>
        <w:rPr>
          <w:rFonts w:ascii="Times New Roman" w:hAnsi="Times New Roman"/>
          <w:sz w:val="20"/>
        </w:rPr>
      </w:pPr>
      <w:r>
        <w:rPr>
          <w:rFonts w:ascii="Times New Roman" w:hAnsi="Times New Roman"/>
          <w:sz w:val="20"/>
        </w:rPr>
        <w:t xml:space="preserve">March 31, 2023 </w:t>
      </w:r>
    </w:p>
    <w:p>
      <w:pPr>
        <w:pStyle w:val="TextBody"/>
        <w:spacing w:before="0" w:after="0"/>
        <w:jc w:val="left"/>
        <w:rPr>
          <w:rFonts w:ascii="Times New Roman" w:hAnsi="Times New Roman"/>
          <w:sz w:val="20"/>
        </w:rPr>
      </w:pPr>
      <w:r>
        <w:rPr>
          <w:rFonts w:ascii="Times New Roman" w:hAnsi="Times New Roman"/>
          <w:sz w:val="20"/>
        </w:rPr>
        <w:t xml:space="preserve">Page 3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 </w:t>
      </w:r>
    </w:p>
    <w:p>
      <w:pPr>
        <w:pStyle w:val="TextBody"/>
        <w:spacing w:before="240" w:after="0"/>
        <w:jc w:val="left"/>
        <w:rPr>
          <w:rFonts w:ascii="Times New Roman" w:hAnsi="Times New Roman"/>
          <w:sz w:val="20"/>
        </w:rPr>
      </w:pPr>
      <w:r>
        <w:rPr>
          <w:rFonts w:ascii="Times New Roman" w:hAnsi="Times New Roman"/>
          <w:sz w:val="20"/>
        </w:rPr>
        <w:t xml:space="preserve">5. Upon the issuance of any of the Shares, the total number of shares of Common Stock issued and outstanding will not exceed the total number of shares of Common Stock that the Company is then authorized to issue under the Charter. </w:t>
      </w:r>
    </w:p>
    <w:p>
      <w:pPr>
        <w:pStyle w:val="TextBody"/>
        <w:spacing w:before="240" w:after="0"/>
        <w:jc w:val="left"/>
        <w:rPr>
          <w:rFonts w:ascii="Times New Roman" w:hAnsi="Times New Roman"/>
          <w:sz w:val="20"/>
        </w:rPr>
      </w:pPr>
      <w:r>
        <w:rPr>
          <w:rFonts w:ascii="Times New Roman" w:hAnsi="Times New Roman"/>
          <w:sz w:val="20"/>
        </w:rPr>
        <w:t xml:space="preserve">Based upon the foregoing, and subject to the assumptions, limitations and qualifications stated herein, it is our opinion that: </w:t>
      </w:r>
    </w:p>
    <w:p>
      <w:pPr>
        <w:pStyle w:val="TextBody"/>
        <w:spacing w:before="120" w:after="0"/>
        <w:jc w:val="left"/>
        <w:rPr>
          <w:rFonts w:ascii="Times New Roman" w:hAnsi="Times New Roman"/>
          <w:sz w:val="20"/>
        </w:rPr>
      </w:pPr>
      <w:r>
        <w:rPr>
          <w:rFonts w:ascii="Times New Roman" w:hAnsi="Times New Roman"/>
          <w:sz w:val="20"/>
        </w:rPr>
        <w:t xml:space="preserve">1. The Company is a corporation duly incorporated and existing under and by virtue of the laws of the State of Maryland and is in good standing with the SDAT. </w:t>
      </w:r>
    </w:p>
    <w:p>
      <w:pPr>
        <w:pStyle w:val="TextBody"/>
        <w:spacing w:before="240" w:after="0"/>
        <w:jc w:val="left"/>
        <w:rPr>
          <w:rFonts w:ascii="Times New Roman" w:hAnsi="Times New Roman"/>
          <w:sz w:val="20"/>
        </w:rPr>
      </w:pPr>
      <w:r>
        <w:rPr>
          <w:rFonts w:ascii="Times New Roman" w:hAnsi="Times New Roman"/>
          <w:sz w:val="20"/>
        </w:rPr>
        <w:t xml:space="preserve">2. The issuance of the Shares has been duly authorized and, when issued and delivered by the Company pursuant to the Distribution Agreements, the Prospectus Supplement, the Resolutions and the Registration Statement against payment of the consideration set forth therein, the Shares will be validly issued, fully paid and nonassessable. </w:t>
      </w:r>
    </w:p>
    <w:p>
      <w:pPr>
        <w:pStyle w:val="TextBody"/>
        <w:spacing w:before="240" w:after="0"/>
        <w:jc w:val="left"/>
        <w:rPr>
          <w:rFonts w:ascii="Times New Roman" w:hAnsi="Times New Roman"/>
          <w:sz w:val="20"/>
        </w:rPr>
      </w:pPr>
      <w:r>
        <w:rPr>
          <w:rFonts w:ascii="Times New Roman" w:hAnsi="Times New Roman"/>
          <w:sz w:val="20"/>
        </w:rPr>
        <w:t xml:space="preserve">The foregoing opinion is limited to the laws of the State of Maryland and we do not express any opinion herein concerning any other law. We express no opinion as to compliance with the 1940 Act or other federal securities laws, or state securities laws, including the securities laws of the State of Maryland. To the extent that any matter as to which our opinion is expressed herein would be governed by the laws of any jurisdiction other than the State of Maryland, we do not express any opinion on such matter. </w:t>
      </w:r>
    </w:p>
    <w:p>
      <w:pPr>
        <w:pStyle w:val="TextBody"/>
        <w:spacing w:before="240" w:after="0"/>
        <w:jc w:val="left"/>
        <w:rPr>
          <w:rFonts w:ascii="Times New Roman" w:hAnsi="Times New Roman"/>
          <w:sz w:val="20"/>
        </w:rPr>
      </w:pPr>
      <w:r>
        <w:rPr>
          <w:rFonts w:ascii="Times New Roman" w:hAnsi="Times New Roman"/>
          <w:sz w:val="20"/>
        </w:rPr>
        <w:t xml:space="preserve">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 </w:t>
      </w:r>
      <w:r>
        <w:br w:type="page"/>
      </w:r>
    </w:p>
    <w:p>
      <w:pPr>
        <w:pStyle w:val="HorizontalLine"/>
        <w:pBdr>
          <w:bottom w:val="double" w:sz="6" w:space="0" w:color="808080"/>
        </w:pBdr>
        <w:rPr/>
      </w:pPr>
      <w:r>
        <w:rPr/>
      </w:r>
    </w:p>
    <w:p>
      <w:pPr>
        <w:pStyle w:val="TextBody"/>
        <w:spacing w:before="0" w:after="0"/>
        <w:jc w:val="left"/>
        <w:rPr/>
      </w:pPr>
      <w:r>
        <w:rPr/>
        <w:drawing>
          <wp:inline distT="0" distB="0" distL="0" distR="0">
            <wp:extent cx="5924550" cy="609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24550" cy="609600"/>
                    </a:xfrm>
                    <a:prstGeom prst="rect">
                      <a:avLst/>
                    </a:prstGeom>
                  </pic:spPr>
                </pic:pic>
              </a:graphicData>
            </a:graphic>
          </wp:inline>
        </w:drawing>
      </w:r>
      <w:r>
        <w:rPr/>
        <w:t xml:space="preserve"> </w:t>
      </w:r>
    </w:p>
    <w:p>
      <w:pPr>
        <w:pStyle w:val="TextBody"/>
        <w:spacing w:before="0" w:after="0"/>
        <w:jc w:val="left"/>
        <w:rPr>
          <w:rFonts w:ascii="Times New Roman" w:hAnsi="Times New Roman"/>
          <w:sz w:val="20"/>
        </w:rPr>
      </w:pPr>
      <w:r>
        <w:rPr>
          <w:rFonts w:ascii="Times New Roman" w:hAnsi="Times New Roman"/>
          <w:sz w:val="20"/>
        </w:rPr>
        <w:t xml:space="preserve">PennantPark Floating Rate Capital Ltd. </w:t>
      </w:r>
    </w:p>
    <w:p>
      <w:pPr>
        <w:pStyle w:val="TextBody"/>
        <w:spacing w:before="0" w:after="0"/>
        <w:jc w:val="left"/>
        <w:rPr>
          <w:rFonts w:ascii="Times New Roman" w:hAnsi="Times New Roman"/>
          <w:sz w:val="20"/>
        </w:rPr>
      </w:pPr>
      <w:r>
        <w:rPr>
          <w:rFonts w:ascii="Times New Roman" w:hAnsi="Times New Roman"/>
          <w:sz w:val="20"/>
        </w:rPr>
        <w:t xml:space="preserve">March 31, 2023 </w:t>
      </w:r>
    </w:p>
    <w:p>
      <w:pPr>
        <w:pStyle w:val="TextBody"/>
        <w:spacing w:before="0" w:after="0"/>
        <w:jc w:val="left"/>
        <w:rPr>
          <w:rFonts w:ascii="Times New Roman" w:hAnsi="Times New Roman"/>
          <w:sz w:val="20"/>
        </w:rPr>
      </w:pPr>
      <w:r>
        <w:rPr>
          <w:rFonts w:ascii="Times New Roman" w:hAnsi="Times New Roman"/>
          <w:sz w:val="20"/>
        </w:rPr>
        <w:t xml:space="preserve">Page 4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This opinion is being furnished to you for submission to the Commission as an exhibit to the Companys Current Report on Form 8-K relating to the issuance of the Shares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Venable LLP</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130</Pages>
  <Words>64582</Words>
  <CharactersWithSpaces>396937</CharactersWithSpaces>
  <Paragraphs>1118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