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PENNANTPARK FLOATING RATE CAPITAL LTD.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4"/>
          <w:szCs w:val="24"/>
          <w:color w:val="auto"/>
        </w:rPr>
      </w:pPr>
    </w:p>
    <w:tbl>
      <w:tblPr>
        <w:tblLayout w:type="fixed"/>
        <w:tblInd w:w="1340" w:type="dxa"/>
        <w:tblCellMar>
          <w:top w:w="0" w:type="dxa"/>
          <w:left w:w="0" w:type="dxa"/>
          <w:bottom w:w="0" w:type="dxa"/>
          <w:right w:w="0" w:type="dxa"/>
        </w:tblCellMar>
      </w:tblPr>
      <w:tr>
        <w:trPr>
          <w:trHeight w:val="163"/>
        </w:trPr>
        <w:tc>
          <w:tcPr>
            <w:tcW w:w="6120" w:type="dxa"/>
            <w:vAlign w:val="bottom"/>
          </w:tcPr>
          <w:p>
            <w:pPr>
              <w:jc w:val="center"/>
              <w:ind w:right="3052"/>
              <w:spacing w:after="0"/>
              <w:rPr>
                <w:sz w:val="20"/>
                <w:szCs w:val="20"/>
                <w:color w:val="auto"/>
              </w:rPr>
            </w:pPr>
            <w:r>
              <w:rPr>
                <w:rFonts w:ascii="Arial" w:cs="Arial" w:eastAsia="Arial" w:hAnsi="Arial"/>
                <w:sz w:val="14"/>
                <w:szCs w:val="14"/>
                <w:b w:val="1"/>
                <w:bCs w:val="1"/>
                <w:color w:val="auto"/>
              </w:rPr>
              <w:t>MARYLAND</w:t>
            </w:r>
          </w:p>
        </w:tc>
        <w:tc>
          <w:tcPr>
            <w:tcW w:w="194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r>
      <w:tr>
        <w:trPr>
          <w:trHeight w:val="150"/>
        </w:trPr>
        <w:tc>
          <w:tcPr>
            <w:tcW w:w="6120" w:type="dxa"/>
            <w:vAlign w:val="bottom"/>
          </w:tcPr>
          <w:p>
            <w:pPr>
              <w:jc w:val="center"/>
              <w:ind w:right="3032"/>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1940" w:type="dxa"/>
            <w:vAlign w:val="bottom"/>
          </w:tcPr>
          <w:p>
            <w:pPr>
              <w:jc w:val="center"/>
              <w:ind w:left="9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335"/>
        </w:trPr>
        <w:tc>
          <w:tcPr>
            <w:tcW w:w="6120" w:type="dxa"/>
            <w:vAlign w:val="bottom"/>
          </w:tcPr>
          <w:p>
            <w:pPr>
              <w:jc w:val="center"/>
              <w:ind w:right="3052"/>
              <w:spacing w:after="0"/>
              <w:rPr>
                <w:sz w:val="20"/>
                <w:szCs w:val="20"/>
                <w:color w:val="auto"/>
              </w:rPr>
            </w:pPr>
            <w:r>
              <w:rPr>
                <w:rFonts w:ascii="Arial" w:cs="Arial" w:eastAsia="Arial" w:hAnsi="Arial"/>
                <w:sz w:val="14"/>
                <w:szCs w:val="14"/>
                <w:b w:val="1"/>
                <w:bCs w:val="1"/>
                <w:color w:val="auto"/>
                <w:w w:val="92"/>
              </w:rPr>
              <w:t>590 Madison Avenue,</w:t>
            </w:r>
          </w:p>
        </w:tc>
        <w:tc>
          <w:tcPr>
            <w:tcW w:w="1940" w:type="dxa"/>
            <w:vAlign w:val="bottom"/>
          </w:tcPr>
          <w:p>
            <w:pPr>
              <w:spacing w:after="0"/>
              <w:rPr>
                <w:sz w:val="24"/>
                <w:szCs w:val="24"/>
                <w:color w:val="auto"/>
              </w:rPr>
            </w:pPr>
          </w:p>
        </w:tc>
      </w:tr>
      <w:tr>
        <w:trPr>
          <w:trHeight w:val="177"/>
        </w:trPr>
        <w:tc>
          <w:tcPr>
            <w:tcW w:w="6120" w:type="dxa"/>
            <w:vAlign w:val="bottom"/>
          </w:tcPr>
          <w:p>
            <w:pPr>
              <w:jc w:val="center"/>
              <w:ind w:right="3052"/>
              <w:spacing w:after="0"/>
              <w:rPr>
                <w:sz w:val="20"/>
                <w:szCs w:val="20"/>
                <w:color w:val="auto"/>
              </w:rPr>
            </w:pPr>
            <w:r>
              <w:rPr>
                <w:rFonts w:ascii="Arial" w:cs="Arial" w:eastAsia="Arial" w:hAnsi="Arial"/>
                <w:sz w:val="14"/>
                <w:szCs w:val="14"/>
                <w:b w:val="1"/>
                <w:bCs w:val="1"/>
                <w:color w:val="auto"/>
                <w:w w:val="95"/>
              </w:rPr>
              <w:t>15</w:t>
            </w:r>
            <w:r>
              <w:rPr>
                <w:rFonts w:ascii="Arial" w:cs="Arial" w:eastAsia="Arial" w:hAnsi="Arial"/>
                <w:sz w:val="12"/>
                <w:szCs w:val="12"/>
                <w:b w:val="1"/>
                <w:bCs w:val="1"/>
                <w:color w:val="auto"/>
                <w:w w:val="95"/>
              </w:rPr>
              <w:t>th</w:t>
            </w:r>
            <w:r>
              <w:rPr>
                <w:rFonts w:ascii="Arial" w:cs="Arial" w:eastAsia="Arial" w:hAnsi="Arial"/>
                <w:sz w:val="14"/>
                <w:szCs w:val="14"/>
                <w:b w:val="1"/>
                <w:bCs w:val="1"/>
                <w:color w:val="auto"/>
                <w:w w:val="95"/>
              </w:rPr>
              <w:t xml:space="preserve"> Floor, New York, N.Y.</w:t>
            </w:r>
          </w:p>
        </w:tc>
        <w:tc>
          <w:tcPr>
            <w:tcW w:w="194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6120" w:type="dxa"/>
            <w:vAlign w:val="bottom"/>
          </w:tcPr>
          <w:p>
            <w:pPr>
              <w:jc w:val="center"/>
              <w:ind w:right="3052"/>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1940" w:type="dxa"/>
            <w:vAlign w:val="bottom"/>
          </w:tcPr>
          <w:p>
            <w:pPr>
              <w:jc w:val="center"/>
              <w:ind w:left="95"/>
              <w:spacing w:after="0"/>
              <w:rPr>
                <w:sz w:val="20"/>
                <w:szCs w:val="20"/>
                <w:color w:val="auto"/>
              </w:rPr>
            </w:pPr>
            <w:r>
              <w:rPr>
                <w:rFonts w:ascii="Arial" w:cs="Arial" w:eastAsia="Arial" w:hAnsi="Arial"/>
                <w:sz w:val="12"/>
                <w:szCs w:val="12"/>
                <w:b w:val="1"/>
                <w:bCs w:val="1"/>
                <w:color w:val="auto"/>
                <w:w w:val="90"/>
              </w:rPr>
              <w:t>(Zip Code)</w:t>
            </w:r>
          </w:p>
        </w:tc>
      </w:tr>
      <w:tr>
        <w:trPr>
          <w:trHeight w:val="335"/>
        </w:trPr>
        <w:tc>
          <w:tcPr>
            <w:tcW w:w="6120" w:type="dxa"/>
            <w:vAlign w:val="bottom"/>
          </w:tcPr>
          <w:p>
            <w:pPr>
              <w:jc w:val="right"/>
              <w:ind w:right="1312"/>
              <w:spacing w:after="0"/>
              <w:rPr>
                <w:sz w:val="20"/>
                <w:szCs w:val="20"/>
                <w:color w:val="auto"/>
              </w:rPr>
            </w:pPr>
            <w:r>
              <w:rPr>
                <w:rFonts w:ascii="Arial" w:cs="Arial" w:eastAsia="Arial" w:hAnsi="Arial"/>
                <w:sz w:val="14"/>
                <w:szCs w:val="14"/>
                <w:b w:val="1"/>
                <w:bCs w:val="1"/>
                <w:color w:val="auto"/>
              </w:rPr>
              <w:t>(212) 905-1000</w:t>
            </w:r>
          </w:p>
        </w:tc>
        <w:tc>
          <w:tcPr>
            <w:tcW w:w="1940" w:type="dxa"/>
            <w:vAlign w:val="bottom"/>
          </w:tcPr>
          <w:p>
            <w:pPr>
              <w:spacing w:after="0"/>
              <w:rPr>
                <w:sz w:val="24"/>
                <w:szCs w:val="24"/>
                <w:color w:val="auto"/>
              </w:rPr>
            </w:pPr>
          </w:p>
        </w:tc>
      </w:tr>
      <w:tr>
        <w:trPr>
          <w:trHeight w:val="186"/>
        </w:trPr>
        <w:tc>
          <w:tcPr>
            <w:tcW w:w="6120" w:type="dxa"/>
            <w:vAlign w:val="bottom"/>
          </w:tcPr>
          <w:p>
            <w:pPr>
              <w:jc w:val="center"/>
              <w:ind w:left="2372"/>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9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4"/>
          <w:szCs w:val="24"/>
          <w:color w:val="auto"/>
        </w:rPr>
      </w:pPr>
    </w:p>
    <w:p>
      <w:pPr>
        <w:ind w:right="80" w:firstLine="33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400" w:firstLine="33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firstLine="33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280"/>
            <w:col w:w="6900" w:space="720"/>
            <w:col w:w="118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360"/>
            <w:col w:w="120" w:space="40"/>
            <w:col w:w="6740" w:space="720"/>
            <w:col w:w="1580" w:space="320"/>
            <w:col w:w="14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4">
            <w:col w:w="6880" w:space="140"/>
            <w:col w:w="200" w:space="80"/>
            <w:col w:w="120" w:space="160"/>
            <w:col w:w="366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August 6, 2015 was 14,898,056.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JUNE 30, 2015</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2"/>
                <w:szCs w:val="22"/>
                <w:color w:val="auto"/>
              </w:rPr>
            </w:pPr>
          </w:p>
        </w:tc>
      </w:tr>
      <w:tr>
        <w:trPr>
          <w:trHeight w:val="256"/>
        </w:trPr>
        <w:tc>
          <w:tcPr>
            <w:tcW w:w="910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2015 (unaudited) and September 30, 2014</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2015 and 2014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6"/>
        </w:trPr>
        <w:tc>
          <w:tcPr>
            <w:tcW w:w="910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2015 (unaudited) and September 30, 2014</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13">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57"/>
        </w:trPr>
        <w:tc>
          <w:tcPr>
            <w:tcW w:w="9100" w:type="dxa"/>
            <w:vAlign w:val="bottom"/>
          </w:tcPr>
          <w:p>
            <w:pPr>
              <w:ind w:left="300"/>
              <w:spacing w:after="0"/>
              <w:rPr>
                <w:rFonts w:ascii="Arial" w:cs="Arial" w:eastAsia="Arial" w:hAnsi="Arial"/>
                <w:sz w:val="14"/>
                <w:szCs w:val="14"/>
                <w:u w:val="single" w:color="auto"/>
                <w:color w:val="0000EE"/>
              </w:rPr>
            </w:pPr>
            <w:hyperlink w:anchor="page23">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24">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57"/>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2"/>
                <w:szCs w:val="22"/>
                <w:color w:val="auto"/>
              </w:rPr>
            </w:pP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6"/>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multi-currency, senior secured revolving credit facility, as amended and restated, or the Credit Facility, and our business include investments we make through Funding I.</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000" w:type="dxa"/>
            <w:vAlign w:val="bottom"/>
          </w:tcPr>
          <w:p>
            <w:pPr>
              <w:ind w:left="280"/>
              <w:spacing w:after="0"/>
              <w:rPr>
                <w:sz w:val="20"/>
                <w:szCs w:val="20"/>
                <w:color w:val="auto"/>
              </w:rPr>
            </w:pPr>
            <w:r>
              <w:rPr>
                <w:rFonts w:ascii="Arial" w:cs="Arial" w:eastAsia="Arial" w:hAnsi="Arial"/>
                <w:sz w:val="14"/>
                <w:szCs w:val="14"/>
                <w:b w:val="1"/>
                <w:bCs w:val="1"/>
                <w:color w:val="auto"/>
              </w:rPr>
              <w:t>Consolidated Financial Statements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7"/>
        </w:trPr>
        <w:tc>
          <w:tcPr>
            <w:tcW w:w="520" w:type="dxa"/>
            <w:vAlign w:val="bottom"/>
          </w:tcPr>
          <w:p>
            <w:pPr>
              <w:spacing w:after="0"/>
              <w:rPr>
                <w:sz w:val="24"/>
                <w:szCs w:val="24"/>
                <w:color w:val="auto"/>
              </w:rPr>
            </w:pPr>
          </w:p>
        </w:tc>
        <w:tc>
          <w:tcPr>
            <w:tcW w:w="8000" w:type="dxa"/>
            <w:vAlign w:val="bottom"/>
          </w:tcPr>
          <w:p>
            <w:pPr>
              <w:ind w:left="274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800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8"/>
        </w:trPr>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2"/>
              </w:rPr>
              <w:t>June 30, 2015</w:t>
            </w:r>
          </w:p>
        </w:tc>
        <w:tc>
          <w:tcPr>
            <w:tcW w:w="240" w:type="dxa"/>
            <w:vAlign w:val="bottom"/>
          </w:tcPr>
          <w:p>
            <w:pPr>
              <w:spacing w:after="0"/>
              <w:rPr>
                <w:sz w:val="24"/>
                <w:szCs w:val="2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3"/>
              </w:rPr>
              <w:t>September 30, 2014</w:t>
            </w:r>
          </w:p>
        </w:tc>
      </w:tr>
      <w:tr>
        <w:trPr>
          <w:trHeight w:val="153"/>
        </w:trPr>
        <w:tc>
          <w:tcPr>
            <w:tcW w:w="52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8"/>
              </w:rPr>
              <w:t>(unaudited)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0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(cost—$362,124,910 and $348,354,295, respectively)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358,819,617</w:t>
            </w:r>
          </w:p>
        </w:tc>
        <w:tc>
          <w:tcPr>
            <w:tcW w:w="44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348,428,492</w:t>
            </w: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10,475,621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13,113,817</w:t>
            </w:r>
          </w:p>
        </w:tc>
      </w:tr>
      <w:tr>
        <w:trPr>
          <w:trHeight w:val="148"/>
        </w:trPr>
        <w:tc>
          <w:tcPr>
            <w:tcW w:w="8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1,983,723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1,773,870</w:t>
            </w:r>
          </w:p>
        </w:tc>
      </w:tr>
      <w:tr>
        <w:trPr>
          <w:trHeight w:val="149"/>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1,003,750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9,001,938</w:t>
            </w:r>
          </w:p>
        </w:tc>
      </w:tr>
      <w:tr>
        <w:trPr>
          <w:trHeight w:val="148"/>
        </w:trPr>
        <w:tc>
          <w:tcPr>
            <w:tcW w:w="8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1,155,816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556,359</w:t>
            </w:r>
          </w:p>
        </w:tc>
      </w:tr>
      <w:tr>
        <w:trPr>
          <w:trHeight w:val="142"/>
        </w:trPr>
        <w:tc>
          <w:tcPr>
            <w:tcW w:w="520" w:type="dxa"/>
            <w:vAlign w:val="bottom"/>
          </w:tcPr>
          <w:p>
            <w:pPr>
              <w:spacing w:after="0"/>
              <w:rPr>
                <w:sz w:val="12"/>
                <w:szCs w:val="12"/>
                <w:color w:val="auto"/>
              </w:rPr>
            </w:pPr>
          </w:p>
        </w:tc>
        <w:tc>
          <w:tcPr>
            <w:tcW w:w="80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373,438,527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372,874,476</w:t>
            </w:r>
          </w:p>
        </w:tc>
        <w:tc>
          <w:tcPr>
            <w:tcW w:w="100" w:type="dxa"/>
            <w:vAlign w:val="bottom"/>
          </w:tcPr>
          <w:p>
            <w:pPr>
              <w:spacing w:after="0"/>
              <w:rPr>
                <w:sz w:val="12"/>
                <w:szCs w:val="12"/>
                <w:color w:val="auto"/>
              </w:rPr>
            </w:pPr>
          </w:p>
        </w:tc>
      </w:tr>
      <w:tr>
        <w:trPr>
          <w:trHeight w:val="142"/>
        </w:trPr>
        <w:tc>
          <w:tcPr>
            <w:tcW w:w="85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1,415,315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1,340,825</w:t>
            </w:r>
          </w:p>
        </w:tc>
      </w:tr>
      <w:tr>
        <w:trPr>
          <w:trHeight w:val="148"/>
        </w:trPr>
        <w:tc>
          <w:tcPr>
            <w:tcW w:w="8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16,081,850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3,162,000</w:t>
            </w: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Unfunded investments</w:t>
            </w: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2,705,882</w:t>
            </w:r>
          </w:p>
        </w:tc>
      </w:tr>
      <w:tr>
        <w:trPr>
          <w:trHeight w:val="148"/>
        </w:trPr>
        <w:tc>
          <w:tcPr>
            <w:tcW w:w="8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(cost—$139,700,000 and $146,400,000, respectively) (See Notes 5 and 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140,015,250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146,949,000</w:t>
            </w: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262,251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284,906</w:t>
            </w:r>
          </w:p>
        </w:tc>
      </w:tr>
      <w:tr>
        <w:trPr>
          <w:trHeight w:val="149"/>
        </w:trPr>
        <w:tc>
          <w:tcPr>
            <w:tcW w:w="8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881,953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914,978</w:t>
            </w: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1,051,174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2,180,604</w:t>
            </w:r>
          </w:p>
        </w:tc>
      </w:tr>
      <w:tr>
        <w:trPr>
          <w:trHeight w:val="148"/>
        </w:trPr>
        <w:tc>
          <w:tcPr>
            <w:tcW w:w="8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278,944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808,571</w:t>
            </w:r>
          </w:p>
        </w:tc>
      </w:tr>
      <w:tr>
        <w:trPr>
          <w:trHeight w:val="142"/>
        </w:trPr>
        <w:tc>
          <w:tcPr>
            <w:tcW w:w="520" w:type="dxa"/>
            <w:vAlign w:val="bottom"/>
          </w:tcPr>
          <w:p>
            <w:pPr>
              <w:spacing w:after="0"/>
              <w:rPr>
                <w:sz w:val="12"/>
                <w:szCs w:val="12"/>
                <w:color w:val="auto"/>
              </w:rPr>
            </w:pPr>
          </w:p>
        </w:tc>
        <w:tc>
          <w:tcPr>
            <w:tcW w:w="80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159,986,737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158,346,766</w:t>
            </w:r>
          </w:p>
        </w:tc>
        <w:tc>
          <w:tcPr>
            <w:tcW w:w="100" w:type="dxa"/>
            <w:vAlign w:val="bottom"/>
          </w:tcPr>
          <w:p>
            <w:pPr>
              <w:spacing w:after="0"/>
              <w:rPr>
                <w:sz w:val="12"/>
                <w:szCs w:val="12"/>
                <w:color w:val="auto"/>
              </w:rPr>
            </w:pPr>
          </w:p>
        </w:tc>
      </w:tr>
      <w:tr>
        <w:trPr>
          <w:trHeight w:val="142"/>
        </w:trPr>
        <w:tc>
          <w:tcPr>
            <w:tcW w:w="85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 (See Note 10)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5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14,898,056 shares issued and outstanding.</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14,898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14,898</w:t>
            </w: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207,226,615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207,226,615</w:t>
            </w:r>
          </w:p>
        </w:tc>
      </w:tr>
      <w:tr>
        <w:trPr>
          <w:trHeight w:val="149"/>
        </w:trPr>
        <w:tc>
          <w:tcPr>
            <w:tcW w:w="8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6,534,376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4,878,091</w:t>
            </w: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2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3,296,444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2,882,909</w:t>
            </w:r>
          </w:p>
        </w:tc>
      </w:tr>
      <w:tr>
        <w:trPr>
          <w:trHeight w:val="148"/>
        </w:trPr>
        <w:tc>
          <w:tcPr>
            <w:tcW w:w="8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appreciation on investments</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(3,305,293)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74,197</w:t>
            </w:r>
          </w:p>
        </w:tc>
      </w:tr>
      <w:tr>
        <w:trPr>
          <w:trHeight w:val="148"/>
        </w:trPr>
        <w:tc>
          <w:tcPr>
            <w:tcW w:w="852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appreciation on Credit Facility</w:t>
            </w:r>
          </w:p>
        </w:tc>
        <w:tc>
          <w:tcPr>
            <w:tcW w:w="12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(315,250)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(549,000)</w:t>
            </w:r>
          </w:p>
        </w:tc>
      </w:tr>
      <w:tr>
        <w:trPr>
          <w:trHeight w:val="20"/>
        </w:trPr>
        <w:tc>
          <w:tcPr>
            <w:tcW w:w="5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20" w:type="dxa"/>
            <w:vAlign w:val="bottom"/>
            <w:shd w:val="clear" w:color="auto" w:fill="CCEEFF"/>
          </w:tcPr>
          <w:p>
            <w:pPr>
              <w:spacing w:after="0"/>
              <w:rPr>
                <w:sz w:val="12"/>
                <w:szCs w:val="12"/>
                <w:color w:val="auto"/>
              </w:rPr>
            </w:pPr>
          </w:p>
        </w:tc>
        <w:tc>
          <w:tcPr>
            <w:tcW w:w="80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Total net assets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213,451,790</w:t>
            </w:r>
          </w:p>
        </w:tc>
        <w:tc>
          <w:tcPr>
            <w:tcW w:w="440" w:type="dxa"/>
            <w:vAlign w:val="bottom"/>
            <w:gridSpan w:val="2"/>
            <w:shd w:val="clear" w:color="auto" w:fill="CCEEFF"/>
          </w:tcPr>
          <w:p>
            <w:pPr>
              <w:jc w:val="right"/>
              <w:ind w:right="83"/>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214,527,710</w:t>
            </w:r>
          </w:p>
        </w:tc>
      </w:tr>
      <w:tr>
        <w:trPr>
          <w:trHeight w:val="142"/>
        </w:trPr>
        <w:tc>
          <w:tcPr>
            <w:tcW w:w="520" w:type="dxa"/>
            <w:vAlign w:val="bottom"/>
          </w:tcPr>
          <w:p>
            <w:pPr>
              <w:spacing w:after="0"/>
              <w:rPr>
                <w:sz w:val="12"/>
                <w:szCs w:val="12"/>
                <w:color w:val="auto"/>
              </w:rPr>
            </w:pPr>
          </w:p>
        </w:tc>
        <w:tc>
          <w:tcPr>
            <w:tcW w:w="80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 liabilities and net assets</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373,438,527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372,874,476</w:t>
            </w:r>
          </w:p>
        </w:tc>
        <w:tc>
          <w:tcPr>
            <w:tcW w:w="100" w:type="dxa"/>
            <w:vAlign w:val="bottom"/>
          </w:tcPr>
          <w:p>
            <w:pPr>
              <w:spacing w:after="0"/>
              <w:rPr>
                <w:sz w:val="12"/>
                <w:szCs w:val="12"/>
                <w:color w:val="auto"/>
              </w:rPr>
            </w:pPr>
          </w:p>
        </w:tc>
      </w:tr>
      <w:tr>
        <w:trPr>
          <w:trHeight w:val="142"/>
        </w:trPr>
        <w:tc>
          <w:tcPr>
            <w:tcW w:w="85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asset value per share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14.33</w:t>
            </w:r>
          </w:p>
        </w:tc>
        <w:tc>
          <w:tcPr>
            <w:tcW w:w="440" w:type="dxa"/>
            <w:vAlign w:val="bottom"/>
            <w:gridSpan w:val="2"/>
            <w:shd w:val="clear" w:color="auto" w:fill="CCEEFF"/>
          </w:tcPr>
          <w:p>
            <w:pPr>
              <w:jc w:val="right"/>
              <w:ind w:right="83"/>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14.40</w:t>
            </w:r>
          </w:p>
        </w:tc>
      </w:tr>
      <w:tr>
        <w:trPr>
          <w:trHeight w:val="20"/>
        </w:trPr>
        <w:tc>
          <w:tcPr>
            <w:tcW w:w="5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60" w:type="dxa"/>
            <w:vAlign w:val="bottom"/>
          </w:tcPr>
          <w:p>
            <w:pPr>
              <w:spacing w:after="0"/>
              <w:rPr>
                <w:sz w:val="13"/>
                <w:szCs w:val="13"/>
                <w:color w:val="auto"/>
              </w:rPr>
            </w:pPr>
          </w:p>
        </w:tc>
        <w:tc>
          <w:tcPr>
            <w:tcW w:w="1880" w:type="dxa"/>
            <w:vAlign w:val="bottom"/>
            <w:gridSpan w:val="8"/>
          </w:tcPr>
          <w:p>
            <w:pPr>
              <w:jc w:val="right"/>
              <w:ind w:right="220"/>
              <w:spacing w:after="0"/>
              <w:rPr>
                <w:sz w:val="20"/>
                <w:szCs w:val="20"/>
                <w:color w:val="auto"/>
              </w:rPr>
            </w:pPr>
            <w:r>
              <w:rPr>
                <w:rFonts w:ascii="Arial" w:cs="Arial" w:eastAsia="Arial" w:hAnsi="Arial"/>
                <w:sz w:val="13"/>
                <w:szCs w:val="13"/>
                <w:b w:val="1"/>
                <w:bCs w:val="1"/>
                <w:color w:val="auto"/>
                <w:w w:val="89"/>
              </w:rPr>
              <w:t>Three Months Ended June 30,</w:t>
            </w:r>
          </w:p>
        </w:tc>
        <w:tc>
          <w:tcPr>
            <w:tcW w:w="10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3"/>
                <w:szCs w:val="13"/>
                <w:b w:val="1"/>
                <w:bCs w:val="1"/>
                <w:color w:val="auto"/>
                <w:w w:val="98"/>
              </w:rPr>
              <w:t>Nine Months Ended June 30,</w:t>
            </w:r>
          </w:p>
        </w:tc>
        <w:tc>
          <w:tcPr>
            <w:tcW w:w="0" w:type="dxa"/>
            <w:vAlign w:val="bottom"/>
          </w:tcPr>
          <w:p>
            <w:pPr>
              <w:spacing w:after="0"/>
              <w:rPr>
                <w:sz w:val="1"/>
                <w:szCs w:val="1"/>
                <w:color w:val="auto"/>
              </w:rPr>
            </w:pPr>
          </w:p>
        </w:tc>
      </w:tr>
      <w:tr>
        <w:trPr>
          <w:trHeight w:val="128"/>
        </w:trPr>
        <w:tc>
          <w:tcPr>
            <w:tcW w:w="74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89"/>
              <w:spacing w:after="0" w:line="129" w:lineRule="exact"/>
              <w:rPr>
                <w:sz w:val="20"/>
                <w:szCs w:val="20"/>
                <w:color w:val="auto"/>
              </w:rPr>
            </w:pPr>
            <w:r>
              <w:rPr>
                <w:rFonts w:ascii="Arial" w:cs="Arial" w:eastAsia="Arial" w:hAnsi="Arial"/>
                <w:sz w:val="13"/>
                <w:szCs w:val="13"/>
                <w:b w:val="1"/>
                <w:bCs w:val="1"/>
                <w:color w:val="auto"/>
              </w:rPr>
              <w:t>2015</w:t>
            </w:r>
          </w:p>
        </w:tc>
        <w:tc>
          <w:tcPr>
            <w:tcW w:w="2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6,940,910</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7,524,629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21,457,084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21,808,074</w:t>
            </w:r>
          </w:p>
        </w:tc>
        <w:tc>
          <w:tcPr>
            <w:tcW w:w="0" w:type="dxa"/>
            <w:vAlign w:val="bottom"/>
          </w:tcPr>
          <w:p>
            <w:pPr>
              <w:spacing w:after="0"/>
              <w:rPr>
                <w:sz w:val="1"/>
                <w:szCs w:val="1"/>
                <w:color w:val="auto"/>
              </w:rPr>
            </w:pPr>
          </w:p>
        </w:tc>
      </w:tr>
      <w:tr>
        <w:trPr>
          <w:trHeight w:val="148"/>
        </w:trPr>
        <w:tc>
          <w:tcPr>
            <w:tcW w:w="746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163,377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143,904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1,107,182</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327,828</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6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investment income</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7,104,287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9"/>
              </w:rPr>
              <w:t>7,668,533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6"/>
              </w:rPr>
              <w:t>22,564,266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22,135,902</w:t>
            </w:r>
          </w:p>
        </w:tc>
        <w:tc>
          <w:tcPr>
            <w:tcW w:w="0" w:type="dxa"/>
            <w:vAlign w:val="bottom"/>
          </w:tcPr>
          <w:p>
            <w:pPr>
              <w:spacing w:after="0"/>
              <w:rPr>
                <w:sz w:val="1"/>
                <w:szCs w:val="1"/>
                <w:color w:val="auto"/>
              </w:rPr>
            </w:pPr>
          </w:p>
        </w:tc>
      </w:tr>
      <w:tr>
        <w:trPr>
          <w:trHeight w:val="142"/>
        </w:trPr>
        <w:tc>
          <w:tcPr>
            <w:tcW w:w="7460" w:type="dxa"/>
            <w:vAlign w:val="bottom"/>
          </w:tcPr>
          <w:p>
            <w:pPr>
              <w:spacing w:after="0" w:line="142" w:lineRule="exact"/>
              <w:rPr>
                <w:sz w:val="20"/>
                <w:szCs w:val="20"/>
                <w:color w:val="auto"/>
              </w:rPr>
            </w:pPr>
            <w:r>
              <w:rPr>
                <w:rFonts w:ascii="Arial" w:cs="Arial" w:eastAsia="Arial" w:hAnsi="Arial"/>
                <w:sz w:val="14"/>
                <w:szCs w:val="14"/>
                <w:b w:val="1"/>
                <w:bCs w:val="1"/>
                <w:color w:val="auto"/>
              </w:rPr>
              <w:t>Expenses: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881,953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953,096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2,616,499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2,787,848</w:t>
            </w:r>
          </w:p>
        </w:tc>
        <w:tc>
          <w:tcPr>
            <w:tcW w:w="0" w:type="dxa"/>
            <w:vAlign w:val="bottom"/>
          </w:tcPr>
          <w:p>
            <w:pPr>
              <w:spacing w:after="0"/>
              <w:rPr>
                <w:sz w:val="1"/>
                <w:szCs w:val="1"/>
                <w:color w:val="auto"/>
              </w:rPr>
            </w:pPr>
          </w:p>
        </w:tc>
      </w:tr>
      <w:tr>
        <w:trPr>
          <w:trHeight w:val="148"/>
        </w:trPr>
        <w:tc>
          <w:tcPr>
            <w:tcW w:w="746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630,806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825,796</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1,662,731</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2,926,261</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the Credit Facility (See Note 9)</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785,899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888,718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2,447,632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2,588,843</w:t>
            </w:r>
          </w:p>
        </w:tc>
        <w:tc>
          <w:tcPr>
            <w:tcW w:w="0" w:type="dxa"/>
            <w:vAlign w:val="bottom"/>
          </w:tcPr>
          <w:p>
            <w:pPr>
              <w:spacing w:after="0"/>
              <w:rPr>
                <w:sz w:val="1"/>
                <w:szCs w:val="1"/>
                <w:color w:val="auto"/>
              </w:rPr>
            </w:pPr>
          </w:p>
        </w:tc>
      </w:tr>
      <w:tr>
        <w:trPr>
          <w:trHeight w:val="149"/>
        </w:trPr>
        <w:tc>
          <w:tcPr>
            <w:tcW w:w="746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276,000</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673,000</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678,000</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212,672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241,985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650,422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766,639</w:t>
            </w:r>
          </w:p>
        </w:tc>
        <w:tc>
          <w:tcPr>
            <w:tcW w:w="0" w:type="dxa"/>
            <w:vAlign w:val="bottom"/>
          </w:tcPr>
          <w:p>
            <w:pPr>
              <w:spacing w:after="0"/>
              <w:rPr>
                <w:sz w:val="1"/>
                <w:szCs w:val="1"/>
                <w:color w:val="auto"/>
              </w:rPr>
            </w:pPr>
          </w:p>
        </w:tc>
      </w:tr>
      <w:tr>
        <w:trPr>
          <w:trHeight w:val="142"/>
        </w:trPr>
        <w:tc>
          <w:tcPr>
            <w:tcW w:w="746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Expenses before excise tax and amendment costs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2,734,830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3,185,595</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8,050,284</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9,747,591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Excise tax</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120,000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330,000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48"/>
        </w:trPr>
        <w:tc>
          <w:tcPr>
            <w:tcW w:w="746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9)</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162,311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162,311</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712,930</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6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expenses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3,007,141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9"/>
              </w:rPr>
              <w:t>3,305,595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8,542,595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10,820,521</w:t>
            </w:r>
          </w:p>
        </w:tc>
        <w:tc>
          <w:tcPr>
            <w:tcW w:w="0" w:type="dxa"/>
            <w:vAlign w:val="bottom"/>
          </w:tcPr>
          <w:p>
            <w:pPr>
              <w:spacing w:after="0"/>
              <w:rPr>
                <w:sz w:val="1"/>
                <w:szCs w:val="1"/>
                <w:color w:val="auto"/>
              </w:rPr>
            </w:pPr>
          </w:p>
        </w:tc>
      </w:tr>
      <w:tr>
        <w:trPr>
          <w:trHeight w:val="142"/>
        </w:trPr>
        <w:tc>
          <w:tcPr>
            <w:tcW w:w="746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Net investment income</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4,097,146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4,362,938</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14,021,671</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11,315,381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Arial" w:cs="Arial" w:eastAsia="Arial" w:hAnsi="Arial"/>
                <w:sz w:val="14"/>
                <w:szCs w:val="14"/>
                <w:color w:val="auto"/>
              </w:rPr>
              <w:t>Net realized (loss) gain on non-controlled, non-affiliated investments</w:t>
            </w:r>
          </w:p>
        </w:tc>
        <w:tc>
          <w:tcPr>
            <w:tcW w:w="12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(11,319)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697,831</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413,535</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1,774,685</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662,950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(118,995)</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(3,379,490)</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5,145,786</w:t>
            </w:r>
          </w:p>
        </w:tc>
        <w:tc>
          <w:tcPr>
            <w:tcW w:w="0" w:type="dxa"/>
            <w:vAlign w:val="bottom"/>
          </w:tcPr>
          <w:p>
            <w:pPr>
              <w:spacing w:after="0"/>
              <w:rPr>
                <w:sz w:val="1"/>
                <w:szCs w:val="1"/>
                <w:color w:val="auto"/>
              </w:rPr>
            </w:pPr>
          </w:p>
        </w:tc>
      </w:tr>
      <w:tr>
        <w:trPr>
          <w:trHeight w:val="148"/>
        </w:trPr>
        <w:tc>
          <w:tcPr>
            <w:tcW w:w="7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233,750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46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640,950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(118,995)</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(3,145,740)</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5,145,786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629,631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578,836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(2,732,205)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6,920,471</w:t>
            </w:r>
          </w:p>
        </w:tc>
        <w:tc>
          <w:tcPr>
            <w:tcW w:w="0" w:type="dxa"/>
            <w:vAlign w:val="bottom"/>
          </w:tcPr>
          <w:p>
            <w:pPr>
              <w:spacing w:after="0"/>
              <w:rPr>
                <w:sz w:val="1"/>
                <w:szCs w:val="1"/>
                <w:color w:val="auto"/>
              </w:rPr>
            </w:pPr>
          </w:p>
        </w:tc>
      </w:tr>
      <w:tr>
        <w:trPr>
          <w:trHeight w:val="142"/>
        </w:trPr>
        <w:tc>
          <w:tcPr>
            <w:tcW w:w="7460" w:type="dxa"/>
            <w:vAlign w:val="bottom"/>
          </w:tcPr>
          <w:p>
            <w:pPr>
              <w:spacing w:after="0" w:line="142"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4,726,777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4,941,774</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11,289,466</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18,235,852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increase in net assets resulting from operations per common share (See Note 6)</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0.33</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0.76</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0.28</w:t>
            </w:r>
          </w:p>
        </w:tc>
        <w:tc>
          <w:tcPr>
            <w:tcW w:w="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0.29</w:t>
            </w:r>
          </w:p>
        </w:tc>
        <w:tc>
          <w:tcPr>
            <w:tcW w:w="1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0.94</w:t>
            </w:r>
          </w:p>
        </w:tc>
        <w:tc>
          <w:tcPr>
            <w:tcW w:w="20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0.76</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w w:val="94"/>
              </w:rPr>
              <w:t>Nine Months Ended June 30,</w:t>
            </w:r>
          </w:p>
        </w:tc>
        <w:tc>
          <w:tcPr>
            <w:tcW w:w="0" w:type="dxa"/>
            <w:vAlign w:val="bottom"/>
          </w:tcPr>
          <w:p>
            <w:pPr>
              <w:spacing w:after="0"/>
              <w:rPr>
                <w:sz w:val="1"/>
                <w:szCs w:val="1"/>
                <w:color w:val="auto"/>
              </w:rPr>
            </w:pPr>
          </w:p>
        </w:tc>
      </w:tr>
      <w:tr>
        <w:trPr>
          <w:trHeight w:val="128"/>
        </w:trPr>
        <w:tc>
          <w:tcPr>
            <w:tcW w:w="90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0"/>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0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8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14,021,671</w:t>
            </w:r>
          </w:p>
        </w:tc>
        <w:tc>
          <w:tcPr>
            <w:tcW w:w="2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11,315,381</w:t>
            </w:r>
          </w:p>
        </w:tc>
        <w:tc>
          <w:tcPr>
            <w:tcW w:w="0" w:type="dxa"/>
            <w:vAlign w:val="bottom"/>
          </w:tcPr>
          <w:p>
            <w:pPr>
              <w:spacing w:after="0"/>
              <w:rPr>
                <w:sz w:val="1"/>
                <w:szCs w:val="1"/>
                <w:color w:val="auto"/>
              </w:rPr>
            </w:pPr>
          </w:p>
        </w:tc>
      </w:tr>
      <w:tr>
        <w:trPr>
          <w:trHeight w:val="148"/>
        </w:trPr>
        <w:tc>
          <w:tcPr>
            <w:tcW w:w="9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gain on investments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413,535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1,774,685</w:t>
            </w:r>
          </w:p>
        </w:tc>
        <w:tc>
          <w:tcPr>
            <w:tcW w:w="0" w:type="dxa"/>
            <w:vAlign w:val="bottom"/>
          </w:tcPr>
          <w:p>
            <w:pPr>
              <w:spacing w:after="0"/>
              <w:rPr>
                <w:sz w:val="1"/>
                <w:szCs w:val="1"/>
                <w:color w:val="auto"/>
              </w:rPr>
            </w:pPr>
          </w:p>
        </w:tc>
      </w:tr>
      <w:tr>
        <w:trPr>
          <w:trHeight w:val="148"/>
        </w:trPr>
        <w:tc>
          <w:tcPr>
            <w:tcW w:w="908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20" w:type="dxa"/>
            <w:vAlign w:val="bottom"/>
          </w:tcPr>
          <w:p>
            <w:pPr>
              <w:spacing w:after="0"/>
              <w:rPr>
                <w:sz w:val="12"/>
                <w:szCs w:val="12"/>
                <w:color w:val="auto"/>
              </w:rPr>
            </w:pPr>
          </w:p>
        </w:tc>
        <w:tc>
          <w:tcPr>
            <w:tcW w:w="10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(3,379,490)</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5,145,786</w:t>
            </w:r>
          </w:p>
        </w:tc>
        <w:tc>
          <w:tcPr>
            <w:tcW w:w="0" w:type="dxa"/>
            <w:vAlign w:val="bottom"/>
          </w:tcPr>
          <w:p>
            <w:pPr>
              <w:spacing w:after="0"/>
              <w:rPr>
                <w:sz w:val="1"/>
                <w:szCs w:val="1"/>
                <w:color w:val="auto"/>
              </w:rPr>
            </w:pPr>
          </w:p>
        </w:tc>
      </w:tr>
      <w:tr>
        <w:trPr>
          <w:trHeight w:val="148"/>
        </w:trPr>
        <w:tc>
          <w:tcPr>
            <w:tcW w:w="9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233,750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90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11,289,466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18,235,852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Distributions to stockholders</w:t>
            </w: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w w:val="98"/>
              </w:rPr>
              <w:t>(12,365,386)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(12,030,180)</w:t>
            </w:r>
          </w:p>
        </w:tc>
        <w:tc>
          <w:tcPr>
            <w:tcW w:w="0" w:type="dxa"/>
            <w:vAlign w:val="bottom"/>
          </w:tcPr>
          <w:p>
            <w:pPr>
              <w:spacing w:after="0"/>
              <w:rPr>
                <w:sz w:val="1"/>
                <w:szCs w:val="1"/>
                <w:color w:val="auto"/>
              </w:rPr>
            </w:pPr>
          </w:p>
        </w:tc>
      </w:tr>
      <w:tr>
        <w:trPr>
          <w:trHeight w:val="142"/>
        </w:trPr>
        <w:tc>
          <w:tcPr>
            <w:tcW w:w="9080" w:type="dxa"/>
            <w:vAlign w:val="bottom"/>
          </w:tcPr>
          <w:p>
            <w:pPr>
              <w:spacing w:after="0" w:line="142" w:lineRule="exact"/>
              <w:rPr>
                <w:sz w:val="20"/>
                <w:szCs w:val="20"/>
                <w:color w:val="auto"/>
              </w:rPr>
            </w:pPr>
            <w:r>
              <w:rPr>
                <w:rFonts w:ascii="Arial" w:cs="Arial" w:eastAsia="Arial" w:hAnsi="Arial"/>
                <w:sz w:val="14"/>
                <w:szCs w:val="14"/>
                <w:b w:val="1"/>
                <w:bCs w:val="1"/>
                <w:color w:val="auto"/>
              </w:rPr>
              <w:t>Net (decrease) increase in net assets</w:t>
            </w: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(1,075,920)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6,205,672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assets: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8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214,527,710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210,066,394</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8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End of period</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213,451,790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5"/>
              </w:rPr>
              <w:t>216,272,066</w:t>
            </w:r>
          </w:p>
        </w:tc>
        <w:tc>
          <w:tcPr>
            <w:tcW w:w="0" w:type="dxa"/>
            <w:vAlign w:val="bottom"/>
          </w:tcPr>
          <w:p>
            <w:pPr>
              <w:spacing w:after="0"/>
              <w:rPr>
                <w:sz w:val="1"/>
                <w:szCs w:val="1"/>
                <w:color w:val="auto"/>
              </w:rPr>
            </w:pPr>
          </w:p>
        </w:tc>
      </w:tr>
      <w:tr>
        <w:trPr>
          <w:trHeight w:val="20"/>
        </w:trPr>
        <w:tc>
          <w:tcPr>
            <w:tcW w:w="9080" w:type="dxa"/>
            <w:vAlign w:val="bottom"/>
            <w:vMerge w:val="restart"/>
          </w:tcPr>
          <w:p>
            <w:pPr>
              <w:ind w:left="300"/>
              <w:spacing w:after="0"/>
              <w:rPr>
                <w:sz w:val="20"/>
                <w:szCs w:val="20"/>
                <w:color w:val="auto"/>
              </w:rPr>
            </w:pPr>
            <w:r>
              <w:rPr>
                <w:rFonts w:ascii="Arial" w:cs="Arial" w:eastAsia="Arial" w:hAnsi="Arial"/>
                <w:sz w:val="14"/>
                <w:szCs w:val="14"/>
                <w:color w:val="auto"/>
              </w:rPr>
              <w:t>Undistributed (Distributions in excess of) net investment income, end of period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08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6,534,376</w:t>
            </w:r>
          </w:p>
        </w:tc>
        <w:tc>
          <w:tcPr>
            <w:tcW w:w="20" w:type="dxa"/>
            <w:vAlign w:val="bottom"/>
            <w:tcBorders>
              <w:bottom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(240,033)</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6"/>
              </w:rPr>
              <w:t>Nine Months Ended June 30,</w:t>
            </w:r>
          </w:p>
        </w:tc>
        <w:tc>
          <w:tcPr>
            <w:tcW w:w="0" w:type="dxa"/>
            <w:vAlign w:val="bottom"/>
          </w:tcPr>
          <w:p>
            <w:pPr>
              <w:spacing w:after="0"/>
              <w:rPr>
                <w:sz w:val="1"/>
                <w:szCs w:val="1"/>
                <w:color w:val="auto"/>
              </w:rPr>
            </w:pPr>
          </w:p>
        </w:tc>
      </w:tr>
      <w:tr>
        <w:trPr>
          <w:trHeight w:val="128"/>
        </w:trPr>
        <w:tc>
          <w:tcPr>
            <w:tcW w:w="838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2015</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3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80" w:type="dxa"/>
            <w:vAlign w:val="bottom"/>
          </w:tcPr>
          <w:p>
            <w:pPr>
              <w:ind w:left="30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11,289,466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18,235,852</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provided (used) by operating activities: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3,379,490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(5,145,786)</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change in unrealized appreciation on Credit Facility</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(233,750)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Net realized gain on investments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(413,535)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(1,774,685)</w:t>
            </w:r>
          </w:p>
        </w:tc>
        <w:tc>
          <w:tcPr>
            <w:tcW w:w="0" w:type="dxa"/>
            <w:vAlign w:val="bottom"/>
          </w:tcPr>
          <w:p>
            <w:pPr>
              <w:spacing w:after="0"/>
              <w:rPr>
                <w:sz w:val="1"/>
                <w:szCs w:val="1"/>
                <w:color w:val="auto"/>
              </w:rPr>
            </w:pPr>
          </w:p>
        </w:tc>
      </w:tr>
      <w:tr>
        <w:trPr>
          <w:trHeight w:val="149"/>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(919,802)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(958,309)</w:t>
            </w:r>
          </w:p>
        </w:tc>
        <w:tc>
          <w:tcPr>
            <w:tcW w:w="0" w:type="dxa"/>
            <w:vAlign w:val="bottom"/>
          </w:tcPr>
          <w:p>
            <w:pPr>
              <w:spacing w:after="0"/>
              <w:rPr>
                <w:sz w:val="1"/>
                <w:szCs w:val="1"/>
                <w:color w:val="auto"/>
              </w:rPr>
            </w:pPr>
          </w:p>
        </w:tc>
      </w:tr>
      <w:tr>
        <w:trPr>
          <w:trHeight w:val="148"/>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Purchases of investments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(160,986,701)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(184,986,373)</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Payment-in-kind interest</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(322,041)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(220,392)</w:t>
            </w:r>
          </w:p>
        </w:tc>
        <w:tc>
          <w:tcPr>
            <w:tcW w:w="0" w:type="dxa"/>
            <w:vAlign w:val="bottom"/>
          </w:tcPr>
          <w:p>
            <w:pPr>
              <w:spacing w:after="0"/>
              <w:rPr>
                <w:sz w:val="1"/>
                <w:szCs w:val="1"/>
                <w:color w:val="auto"/>
              </w:rPr>
            </w:pPr>
          </w:p>
        </w:tc>
      </w:tr>
      <w:tr>
        <w:trPr>
          <w:trHeight w:val="148"/>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146,165,582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146,769,163</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(Increase) decrease in interest receivable</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(209,853)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226,370</w:t>
            </w:r>
          </w:p>
        </w:tc>
        <w:tc>
          <w:tcPr>
            <w:tcW w:w="0" w:type="dxa"/>
            <w:vAlign w:val="bottom"/>
          </w:tcPr>
          <w:p>
            <w:pPr>
              <w:spacing w:after="0"/>
              <w:rPr>
                <w:sz w:val="1"/>
                <w:szCs w:val="1"/>
                <w:color w:val="auto"/>
              </w:rPr>
            </w:pPr>
          </w:p>
        </w:tc>
      </w:tr>
      <w:tr>
        <w:trPr>
          <w:trHeight w:val="149"/>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Decrease in receivable for investments sold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7,998,188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374,306</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(Increase) decrease in prepaid expenses and other assets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(599,457)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43,765</w:t>
            </w:r>
          </w:p>
        </w:tc>
        <w:tc>
          <w:tcPr>
            <w:tcW w:w="0" w:type="dxa"/>
            <w:vAlign w:val="bottom"/>
          </w:tcPr>
          <w:p>
            <w:pPr>
              <w:spacing w:after="0"/>
              <w:rPr>
                <w:sz w:val="1"/>
                <w:szCs w:val="1"/>
                <w:color w:val="auto"/>
              </w:rPr>
            </w:pPr>
          </w:p>
        </w:tc>
      </w:tr>
      <w:tr>
        <w:trPr>
          <w:trHeight w:val="148"/>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Increase (decrease) in payable for investments purchased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12,919,850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(11,827,091)</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increase in interest payable on Credit Facility</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92,515</w:t>
            </w:r>
          </w:p>
        </w:tc>
        <w:tc>
          <w:tcPr>
            <w:tcW w:w="0" w:type="dxa"/>
            <w:vAlign w:val="bottom"/>
          </w:tcPr>
          <w:p>
            <w:pPr>
              <w:spacing w:after="0"/>
              <w:rPr>
                <w:sz w:val="1"/>
                <w:szCs w:val="1"/>
                <w:color w:val="auto"/>
              </w:rPr>
            </w:pPr>
          </w:p>
        </w:tc>
      </w:tr>
      <w:tr>
        <w:trPr>
          <w:trHeight w:val="148"/>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(Decrease) increase in management fee payable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221,461</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increase in performance-based incentive fee payable</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(1,129,430)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1,188,461</w:t>
            </w:r>
          </w:p>
        </w:tc>
        <w:tc>
          <w:tcPr>
            <w:tcW w:w="0" w:type="dxa"/>
            <w:vAlign w:val="bottom"/>
          </w:tcPr>
          <w:p>
            <w:pPr>
              <w:spacing w:after="0"/>
              <w:rPr>
                <w:sz w:val="1"/>
                <w:szCs w:val="1"/>
                <w:color w:val="auto"/>
              </w:rPr>
            </w:pPr>
          </w:p>
        </w:tc>
      </w:tr>
      <w:tr>
        <w:trPr>
          <w:trHeight w:val="149"/>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Decrease in accrued other expenses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(529,627)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(183,641)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80" w:type="dxa"/>
            <w:vAlign w:val="bottom"/>
            <w:shd w:val="clear" w:color="auto" w:fill="CCEEFF"/>
          </w:tcPr>
          <w:p>
            <w:pPr>
              <w:ind w:left="880"/>
              <w:spacing w:after="0" w:line="142" w:lineRule="exact"/>
              <w:rPr>
                <w:sz w:val="20"/>
                <w:szCs w:val="20"/>
                <w:color w:val="auto"/>
              </w:rPr>
            </w:pPr>
            <w:r>
              <w:rPr>
                <w:rFonts w:ascii="Arial" w:cs="Arial" w:eastAsia="Arial" w:hAnsi="Arial"/>
                <w:sz w:val="14"/>
                <w:szCs w:val="14"/>
                <w:color w:val="auto"/>
              </w:rPr>
              <w:t>Net cash provided (used) by operating activities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16,352,700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(37,944,384)</w:t>
            </w:r>
          </w:p>
        </w:tc>
        <w:tc>
          <w:tcPr>
            <w:tcW w:w="0" w:type="dxa"/>
            <w:vAlign w:val="bottom"/>
          </w:tcPr>
          <w:p>
            <w:pPr>
              <w:spacing w:after="0"/>
              <w:rPr>
                <w:sz w:val="1"/>
                <w:szCs w:val="1"/>
                <w:color w:val="auto"/>
              </w:rPr>
            </w:pPr>
          </w:p>
        </w:tc>
      </w:tr>
      <w:tr>
        <w:trPr>
          <w:trHeight w:val="142"/>
        </w:trPr>
        <w:tc>
          <w:tcPr>
            <w:tcW w:w="838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Distributions paid to stockholders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(12,290,896)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(11,992,935)</w:t>
            </w:r>
          </w:p>
        </w:tc>
        <w:tc>
          <w:tcPr>
            <w:tcW w:w="0" w:type="dxa"/>
            <w:vAlign w:val="bottom"/>
          </w:tcPr>
          <w:p>
            <w:pPr>
              <w:spacing w:after="0"/>
              <w:rPr>
                <w:sz w:val="1"/>
                <w:szCs w:val="1"/>
                <w:color w:val="auto"/>
              </w:rPr>
            </w:pPr>
          </w:p>
        </w:tc>
      </w:tr>
      <w:tr>
        <w:trPr>
          <w:trHeight w:val="148"/>
        </w:trPr>
        <w:tc>
          <w:tcPr>
            <w:tcW w:w="8380" w:type="dxa"/>
            <w:vAlign w:val="bottom"/>
          </w:tcPr>
          <w:p>
            <w:pPr>
              <w:ind w:left="580"/>
              <w:spacing w:after="0" w:line="149" w:lineRule="exact"/>
              <w:rPr>
                <w:sz w:val="20"/>
                <w:szCs w:val="20"/>
                <w:color w:val="auto"/>
              </w:rPr>
            </w:pPr>
            <w:r>
              <w:rPr>
                <w:rFonts w:ascii="Arial" w:cs="Arial" w:eastAsia="Arial" w:hAnsi="Arial"/>
                <w:sz w:val="14"/>
                <w:szCs w:val="14"/>
                <w:color w:val="auto"/>
              </w:rPr>
              <w:t>Borrowings under Credit Facility (See Notes 5 and 9)</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103,400,000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130,500,000</w:t>
            </w: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Repayments under Credit Facility (See Notes 5 and 9)</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(110,100,000)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(75,200,000)</w:t>
            </w:r>
          </w:p>
        </w:tc>
        <w:tc>
          <w:tcPr>
            <w:tcW w:w="0" w:type="dxa"/>
            <w:vAlign w:val="bottom"/>
          </w:tcPr>
          <w:p>
            <w:pPr>
              <w:spacing w:after="0"/>
              <w:rPr>
                <w:sz w:val="1"/>
                <w:szCs w:val="1"/>
                <w:color w:val="auto"/>
              </w:rPr>
            </w:pPr>
          </w:p>
        </w:tc>
      </w:tr>
      <w:tr>
        <w:trPr>
          <w:trHeight w:val="142"/>
        </w:trPr>
        <w:tc>
          <w:tcPr>
            <w:tcW w:w="8380" w:type="dxa"/>
            <w:vAlign w:val="bottom"/>
          </w:tcPr>
          <w:p>
            <w:pPr>
              <w:ind w:left="880"/>
              <w:spacing w:after="0" w:line="142" w:lineRule="exact"/>
              <w:rPr>
                <w:sz w:val="20"/>
                <w:szCs w:val="20"/>
                <w:color w:val="auto"/>
              </w:rPr>
            </w:pPr>
            <w:r>
              <w:rPr>
                <w:rFonts w:ascii="Arial" w:cs="Arial" w:eastAsia="Arial" w:hAnsi="Arial"/>
                <w:sz w:val="14"/>
                <w:szCs w:val="14"/>
                <w:color w:val="auto"/>
              </w:rPr>
              <w:t>Net cash (used) provided by financing activities</w:t>
            </w:r>
          </w:p>
        </w:tc>
        <w:tc>
          <w:tcPr>
            <w:tcW w:w="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(18,990,896)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43,307,065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increase in cash equivalents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(2,638,196)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5,362,681</w:t>
            </w:r>
          </w:p>
        </w:tc>
        <w:tc>
          <w:tcPr>
            <w:tcW w:w="0" w:type="dxa"/>
            <w:vAlign w:val="bottom"/>
          </w:tcPr>
          <w:p>
            <w:pPr>
              <w:spacing w:after="0"/>
              <w:rPr>
                <w:sz w:val="1"/>
                <w:szCs w:val="1"/>
                <w:color w:val="auto"/>
              </w:rPr>
            </w:pPr>
          </w:p>
        </w:tc>
      </w:tr>
      <w:tr>
        <w:trPr>
          <w:trHeight w:val="148"/>
        </w:trPr>
        <w:tc>
          <w:tcPr>
            <w:tcW w:w="838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13,113,817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4,578,249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 end of period</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10,475,621</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9,940,930</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paid</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2,470,287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2,461,328</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300"/>
              <w:spacing w:after="0"/>
              <w:rPr>
                <w:sz w:val="20"/>
                <w:szCs w:val="20"/>
                <w:color w:val="auto"/>
              </w:rPr>
            </w:pPr>
            <w:r>
              <w:rPr>
                <w:rFonts w:ascii="Arial" w:cs="Arial" w:eastAsia="Arial" w:hAnsi="Arial"/>
                <w:sz w:val="14"/>
                <w:szCs w:val="14"/>
                <w:color w:val="auto"/>
              </w:rPr>
              <w:t>Excise taxes paid</w:t>
            </w:r>
          </w:p>
        </w:tc>
        <w:tc>
          <w:tcPr>
            <w:tcW w:w="7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430,242</w:t>
            </w:r>
          </w:p>
        </w:tc>
        <w:tc>
          <w:tcPr>
            <w:tcW w:w="1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256,392</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80" w:type="dxa"/>
            <w:vAlign w:val="bottom"/>
            <w:shd w:val="clear" w:color="auto" w:fill="CCEEFF"/>
          </w:tcPr>
          <w:p>
            <w:pPr>
              <w:ind w:left="300"/>
              <w:spacing w:after="0" w:line="129" w:lineRule="exact"/>
              <w:rPr>
                <w:sz w:val="20"/>
                <w:szCs w:val="20"/>
                <w:color w:val="auto"/>
              </w:rPr>
            </w:pPr>
            <w:r>
              <w:rPr>
                <w:rFonts w:ascii="Arial" w:cs="Arial" w:eastAsia="Arial" w:hAnsi="Arial"/>
                <w:sz w:val="14"/>
                <w:szCs w:val="14"/>
                <w:color w:val="auto"/>
              </w:rPr>
              <w:t>Conversions and non-cash exchanges</w:t>
            </w:r>
          </w:p>
        </w:tc>
        <w:tc>
          <w:tcPr>
            <w:tcW w:w="8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670,283</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6,902,784</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Basis Point</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0"/>
              </w:rPr>
              <w:t>Spread</w:t>
            </w: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0"/>
              </w:rPr>
              <w:t>Above</w:t>
            </w:r>
          </w:p>
        </w:tc>
        <w:tc>
          <w:tcPr>
            <w:tcW w:w="8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Par /</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0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tcPr>
          <w:p>
            <w:pPr>
              <w:jc w:val="center"/>
              <w:ind w:left="497"/>
              <w:spacing w:after="0"/>
              <w:rPr>
                <w:sz w:val="20"/>
                <w:szCs w:val="20"/>
                <w:color w:val="auto"/>
              </w:rPr>
            </w:pPr>
            <w:r>
              <w:rPr>
                <w:rFonts w:ascii="Arial" w:cs="Arial" w:eastAsia="Arial" w:hAnsi="Arial"/>
                <w:sz w:val="13"/>
                <w:szCs w:val="13"/>
                <w:b w:val="1"/>
                <w:bCs w:val="1"/>
                <w:color w:val="auto"/>
                <w:w w:val="94"/>
              </w:rPr>
              <w:t>Maturity</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Coupon</w:t>
            </w: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(1)</w:t>
            </w: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48"/>
        </w:trPr>
        <w:tc>
          <w:tcPr>
            <w:tcW w:w="3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5"/>
              </w:rPr>
              <w:t xml:space="preserve">Investments in Non-Controlled, Non-Affiliated Portfolio Companies—168.1% </w:t>
            </w:r>
            <w:r>
              <w:rPr>
                <w:rFonts w:ascii="Arial" w:cs="Arial" w:eastAsia="Arial" w:hAnsi="Arial"/>
                <w:sz w:val="10"/>
                <w:szCs w:val="10"/>
                <w:b w:val="1"/>
                <w:bCs w:val="1"/>
                <w:color w:val="auto"/>
                <w:w w:val="95"/>
              </w:rPr>
              <w:t>(3), (4)</w:t>
            </w:r>
          </w:p>
        </w:tc>
        <w:tc>
          <w:tcPr>
            <w:tcW w:w="18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Debt—142.5%</w:t>
            </w:r>
          </w:p>
        </w:tc>
        <w:tc>
          <w:tcPr>
            <w:tcW w:w="1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04/02/2018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11.95%</w:t>
            </w:r>
          </w:p>
        </w:tc>
        <w:tc>
          <w:tcPr>
            <w:tcW w:w="9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8,853,564</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$ 8,698,333</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   9,068,342</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(10)</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04/02/2018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2,019,209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48,984</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04/02/2018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1,165,725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28,279</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02/28/2019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7,136,577</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7,097,541</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7,136,577</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(11)</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04/04/2022</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3,950,000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3,930,892</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3,954,938</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Ancile Solutions,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07/16/2018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3,344,319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3,324,159</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3,327,597</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12/21/2020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5,368,873</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5,294,079</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5,335,318</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ARC Automotive Group,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10/12/2020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3,980,000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3,944,576</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3,940,200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Azure Midstream Energy LLC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11/15/2018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6,789,149</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6,622,194</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6,738,230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Blue Bird Body Company</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06/29/2020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4,875,000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4,811,913</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4,862,813</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Bowlmor AMF, Corp.</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09/17/2021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9,934,975</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9,842,849</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9,934,975</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06/30/2021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2,500,000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2,475,000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2,475,000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07/02/2020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4,964,196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4,600,000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12/24/2019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4,443,750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4,390,845</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4,421,531</w:t>
            </w:r>
          </w:p>
        </w:tc>
        <w:tc>
          <w:tcPr>
            <w:tcW w:w="0" w:type="dxa"/>
            <w:vAlign w:val="bottom"/>
          </w:tcPr>
          <w:p>
            <w:pPr>
              <w:spacing w:after="0"/>
              <w:rPr>
                <w:sz w:val="1"/>
                <w:szCs w:val="1"/>
                <w:color w:val="auto"/>
              </w:rPr>
            </w:pP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32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6"/>
              </w:rPr>
              <w:t>01/08/2019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4,950,000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4,910,011</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12/21/2020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7.50%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4,937,500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4,844,994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4,838,750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02/07/2022</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1,995,000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1,976,223</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2,008,726</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03/19/2018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3,022,815</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2,995,610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3,022,816</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DISA Global Solutions,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12/09/2020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4,987,500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4,941,977</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4,912,687</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06/30/2020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P+375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4,962,510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4,962,500</w:t>
            </w:r>
          </w:p>
        </w:tc>
        <w:tc>
          <w:tcPr>
            <w:tcW w:w="0" w:type="dxa"/>
            <w:vAlign w:val="bottom"/>
          </w:tcPr>
          <w:p>
            <w:pPr>
              <w:spacing w:after="0"/>
              <w:rPr>
                <w:sz w:val="1"/>
                <w:szCs w:val="1"/>
                <w:color w:val="auto"/>
              </w:rPr>
            </w:pP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Edmentum, Inc. </w:t>
            </w:r>
            <w:r>
              <w:rPr>
                <w:rFonts w:ascii="Arial" w:cs="Arial" w:eastAsia="Arial" w:hAnsi="Arial"/>
                <w:sz w:val="10"/>
                <w:szCs w:val="10"/>
                <w:color w:val="auto"/>
              </w:rPr>
              <w:t>(8)</w:t>
            </w:r>
          </w:p>
        </w:tc>
        <w:tc>
          <w:tcPr>
            <w:tcW w:w="132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6"/>
              </w:rPr>
              <w:t>05/17/2018</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8.75%</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P+550</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850,980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850,980</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629,725</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2.00%)</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07/01/2021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6.75%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4,925,000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4,937,500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12/23/2021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L+400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4,987,500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4,937,835</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4,932,637</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05/31/2019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3,940,000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3,908,234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3,930,150</w:t>
            </w:r>
          </w:p>
        </w:tc>
        <w:tc>
          <w:tcPr>
            <w:tcW w:w="0" w:type="dxa"/>
            <w:vAlign w:val="bottom"/>
          </w:tcPr>
          <w:p>
            <w:pPr>
              <w:spacing w:after="0"/>
              <w:rPr>
                <w:sz w:val="1"/>
                <w:szCs w:val="1"/>
                <w:color w:val="auto"/>
              </w:rPr>
            </w:pP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32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6"/>
              </w:rPr>
              <w:t>05/23/2018</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6.75%</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1,237,539</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1,236,134</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1,232,132</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11/04/2020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6,895,000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6,841,860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6,895,000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Help/Systems Holdings,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06/28/2019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4,912,500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4,876,214</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4,887,937</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10/21/2020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1,197,000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1,180,849</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1,197,000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Hostway Corporation</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12/13/2019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2,772,166</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2,751,667</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2,716,723</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08/05/2019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6,737,500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6,681,645</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6,754,344</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ICC-Nexergy,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04/30/2020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4,951,323</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11/04/2020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6,982,500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6,855,373</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6,982,500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05/01/2019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P+700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11,345,749</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11,229,876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10,211,174</w:t>
            </w:r>
          </w:p>
        </w:tc>
        <w:tc>
          <w:tcPr>
            <w:tcW w:w="0" w:type="dxa"/>
            <w:vAlign w:val="bottom"/>
          </w:tcPr>
          <w:p>
            <w:pPr>
              <w:spacing w:after="0"/>
              <w:rPr>
                <w:sz w:val="1"/>
                <w:szCs w:val="1"/>
                <w:color w:val="auto"/>
              </w:rPr>
            </w:pPr>
          </w:p>
        </w:tc>
      </w:tr>
      <w:tr>
        <w:trPr>
          <w:trHeight w:val="121"/>
        </w:trPr>
        <w:tc>
          <w:tcPr>
            <w:tcW w:w="350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320" w:type="dxa"/>
            <w:vAlign w:val="bottom"/>
          </w:tcPr>
          <w:p>
            <w:pPr>
              <w:jc w:val="center"/>
              <w:ind w:left="497"/>
              <w:spacing w:after="0" w:line="121" w:lineRule="exact"/>
              <w:rPr>
                <w:sz w:val="20"/>
                <w:szCs w:val="20"/>
                <w:color w:val="auto"/>
              </w:rPr>
            </w:pPr>
            <w:r>
              <w:rPr>
                <w:rFonts w:ascii="Arial" w:cs="Arial" w:eastAsia="Arial" w:hAnsi="Arial"/>
                <w:sz w:val="13"/>
                <w:szCs w:val="13"/>
                <w:color w:val="auto"/>
                <w:w w:val="86"/>
              </w:rPr>
              <w:t>03/28/2019</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5.50%</w:t>
            </w:r>
          </w:p>
        </w:tc>
        <w:tc>
          <w:tcPr>
            <w:tcW w:w="98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5,388,874</w:t>
            </w:r>
          </w:p>
        </w:tc>
        <w:tc>
          <w:tcPr>
            <w:tcW w:w="8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5,325,695</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5,388,874</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32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6"/>
              </w:rPr>
              <w:t>03/28/2019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12.00%</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L+1,100</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4,500,000</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4,445,225</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06/30/2020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6,800,000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6,732,017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6,732,000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10/16/2017</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4,682,143</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4,630,079</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4,658,732</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08/19/2019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6,003,707</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5,913,470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5,667,827</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Lanyon Solutions,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11/13/2020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1,970,010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1,963,249</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1,940,460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11/30/2018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5,803,874</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5,745,225</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5,764,001</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(11)</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05/10/2021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2,214,286</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2,203,214</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2,214,286</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05/10/2021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285,714</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284,286</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285,714</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04/18/2022</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Chemicals, Plastics and Rubber</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L+425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1,990,088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2,002,500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07/31/2019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8,942,647</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8,881,788</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8,629,654</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Physiotherapy Corporation </w:t>
            </w:r>
            <w:r>
              <w:rPr>
                <w:rFonts w:ascii="Arial" w:cs="Arial" w:eastAsia="Arial" w:hAnsi="Arial"/>
                <w:sz w:val="10"/>
                <w:szCs w:val="10"/>
                <w:color w:val="auto"/>
              </w:rPr>
              <w:t>(8)</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06/04/2021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3,482,539</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3,500,000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PlayPower,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06/23/2021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P+375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4,000,000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3,960,014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3,970,000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Polyconcept Finance B.V.</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06/28/2019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11,482,696</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11,426,494</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11,453,990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11/01/2018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8,240,516</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8,143,914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7,457,667</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05/20/2021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7,517,418</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7,442,975</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7,517,418</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05/20/2020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P+400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78,689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78,689</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78,689</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 (10)</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05/20/2020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2,380,328</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12/17/2018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7.75%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4,925,000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4,889,476</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4,931,156</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Research Now Group,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03/18/2021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7,000,000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6,965,855</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6,982,500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06/18/2019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3,622,139</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3,595,014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3,627,131</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 (Revolver)</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06/18/2019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84,706</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84,706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84,823</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 xml:space="preserve">Robertshaw US Holding Corp. (Revolver) </w:t>
            </w:r>
            <w:r>
              <w:rPr>
                <w:rFonts w:ascii="Arial" w:cs="Arial" w:eastAsia="Arial" w:hAnsi="Arial"/>
                <w:sz w:val="10"/>
                <w:szCs w:val="10"/>
                <w:color w:val="auto"/>
              </w:rPr>
              <w:t>(10)</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06/18/2019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621,176</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04/21/2017</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6,124,052</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5,946,035</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5,511,647</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08/09/2021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1,194,200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1,188,887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1,200,171</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08/22/2018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10,178,804</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10,157,809</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10,077,016</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12/16/2020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6,250,000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6,200,517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6,242,187</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10/18/2019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L+400</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5,925,000</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5,904,092</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5,925,000</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Tensar Corporation</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07/09/2021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4,962,500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4,918,347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4,686,486</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Therakos, Inc.</w:t>
            </w:r>
          </w:p>
        </w:tc>
        <w:tc>
          <w:tcPr>
            <w:tcW w:w="1320" w:type="dxa"/>
            <w:vAlign w:val="bottom"/>
            <w:shd w:val="clear" w:color="auto" w:fill="CCEEFF"/>
          </w:tcPr>
          <w:p>
            <w:pPr>
              <w:jc w:val="center"/>
              <w:ind w:left="497"/>
              <w:spacing w:after="0" w:line="135" w:lineRule="exact"/>
              <w:rPr>
                <w:sz w:val="20"/>
                <w:szCs w:val="20"/>
                <w:color w:val="auto"/>
              </w:rPr>
            </w:pPr>
            <w:r>
              <w:rPr>
                <w:rFonts w:ascii="Arial" w:cs="Arial" w:eastAsia="Arial" w:hAnsi="Arial"/>
                <w:sz w:val="13"/>
                <w:szCs w:val="13"/>
                <w:color w:val="auto"/>
                <w:w w:val="86"/>
              </w:rPr>
              <w:t>12/27/2017</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4,719,954</w:t>
            </w:r>
          </w:p>
        </w:tc>
        <w:tc>
          <w:tcPr>
            <w:tcW w:w="8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4,666,457</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4,672,754</w:t>
            </w: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Arial" w:cs="Arial" w:eastAsia="Arial" w:hAnsi="Arial"/>
                <w:sz w:val="13"/>
                <w:szCs w:val="13"/>
                <w:color w:val="auto"/>
              </w:rPr>
              <w:t>TOMS Shoes, LLC</w:t>
            </w:r>
          </w:p>
        </w:tc>
        <w:tc>
          <w:tcPr>
            <w:tcW w:w="1320" w:type="dxa"/>
            <w:vAlign w:val="bottom"/>
          </w:tcPr>
          <w:p>
            <w:pPr>
              <w:jc w:val="center"/>
              <w:ind w:left="497"/>
              <w:spacing w:after="0" w:line="135" w:lineRule="exact"/>
              <w:rPr>
                <w:sz w:val="20"/>
                <w:szCs w:val="20"/>
                <w:color w:val="auto"/>
              </w:rPr>
            </w:pPr>
            <w:r>
              <w:rPr>
                <w:rFonts w:ascii="Arial" w:cs="Arial" w:eastAsia="Arial" w:hAnsi="Arial"/>
                <w:sz w:val="13"/>
                <w:szCs w:val="13"/>
                <w:color w:val="auto"/>
                <w:w w:val="86"/>
              </w:rPr>
              <w:t>11/02/2020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Consumer Goods: Non-Durable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1,995,000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1,812,508</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1,837,275</w:t>
            </w:r>
          </w:p>
        </w:tc>
        <w:tc>
          <w:tcPr>
            <w:tcW w:w="0" w:type="dxa"/>
            <w:vAlign w:val="bottom"/>
          </w:tcPr>
          <w:p>
            <w:pPr>
              <w:spacing w:after="0"/>
              <w:rPr>
                <w:sz w:val="1"/>
                <w:szCs w:val="1"/>
                <w:color w:val="auto"/>
              </w:rPr>
            </w:pPr>
          </w:p>
        </w:tc>
      </w:tr>
      <w:tr>
        <w:trPr>
          <w:trHeight w:val="121"/>
        </w:trPr>
        <w:tc>
          <w:tcPr>
            <w:tcW w:w="35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320" w:type="dxa"/>
            <w:vAlign w:val="bottom"/>
            <w:shd w:val="clear" w:color="auto" w:fill="CCEEFF"/>
          </w:tcPr>
          <w:p>
            <w:pPr>
              <w:jc w:val="center"/>
              <w:ind w:left="497"/>
              <w:spacing w:after="0" w:line="121" w:lineRule="exact"/>
              <w:rPr>
                <w:sz w:val="20"/>
                <w:szCs w:val="20"/>
                <w:color w:val="auto"/>
              </w:rPr>
            </w:pPr>
            <w:r>
              <w:rPr>
                <w:rFonts w:ascii="Arial" w:cs="Arial" w:eastAsia="Arial" w:hAnsi="Arial"/>
                <w:sz w:val="13"/>
                <w:szCs w:val="13"/>
                <w:color w:val="auto"/>
                <w:w w:val="86"/>
              </w:rPr>
              <w:t>01/14/2019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Telecommunications</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9.50%</w:t>
            </w:r>
          </w:p>
        </w:tc>
        <w:tc>
          <w:tcPr>
            <w:tcW w:w="98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L+850</w:t>
            </w:r>
          </w:p>
        </w:tc>
        <w:tc>
          <w:tcPr>
            <w:tcW w:w="8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429,042</w:t>
            </w:r>
          </w:p>
        </w:tc>
        <w:tc>
          <w:tcPr>
            <w:tcW w:w="8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429,042</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429,042</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1.00%)</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Current</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Par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40" w:type="dxa"/>
            <w:vAlign w:val="bottom"/>
            <w:gridSpan w:val="2"/>
            <w:vMerge w:val="continue"/>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1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Industry</w:t>
            </w:r>
          </w:p>
        </w:tc>
        <w:tc>
          <w:tcPr>
            <w:tcW w:w="90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auto"/>
              </w:rPr>
              <w:t>Coupon</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4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01/14/2019</w:t>
            </w:r>
          </w:p>
        </w:tc>
        <w:tc>
          <w:tcPr>
            <w:tcW w:w="12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Telecommunications</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8.50</w:t>
            </w:r>
          </w:p>
        </w:tc>
        <w:tc>
          <w:tcPr>
            <w:tcW w:w="300" w:type="dxa"/>
            <w:vAlign w:val="bottom"/>
            <w:tcBorders>
              <w:top w:val="single" w:sz="8" w:color="CCEEFF"/>
            </w:tcBorders>
            <w:shd w:val="clear" w:color="auto" w:fill="CCEEFF"/>
          </w:tcPr>
          <w:p>
            <w:pPr>
              <w:jc w:val="right"/>
              <w:ind w:right="117"/>
              <w:spacing w:after="0" w:line="129" w:lineRule="exact"/>
              <w:rPr>
                <w:sz w:val="20"/>
                <w:szCs w:val="20"/>
                <w:color w:val="auto"/>
              </w:rPr>
            </w:pPr>
            <w:r>
              <w:rPr>
                <w:rFonts w:ascii="Arial" w:cs="Arial" w:eastAsia="Arial" w:hAnsi="Arial"/>
                <w:sz w:val="13"/>
                <w:szCs w:val="13"/>
                <w:color w:val="auto"/>
                <w:w w:val="86"/>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L+750</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599,702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545,474</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569,717</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01/14/2019</w:t>
            </w:r>
          </w:p>
        </w:tc>
        <w:tc>
          <w:tcPr>
            <w:tcW w:w="12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151,090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Farathane,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02/07/2022</w:t>
            </w:r>
          </w:p>
        </w:tc>
        <w:tc>
          <w:tcPr>
            <w:tcW w:w="1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Automotive</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6.75%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L+575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5,850,000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5,737,834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5,879,250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08/30/2018</w:t>
            </w:r>
          </w:p>
        </w:tc>
        <w:tc>
          <w:tcPr>
            <w:tcW w:w="12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Non-Durable</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7.50%</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L+625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2,745,500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2,715,146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2,658,550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2560" w:type="dxa"/>
            <w:vAlign w:val="bottom"/>
            <w:gridSpan w:val="4"/>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10/30/2020   Banking, Finance, Insurance and</w:t>
            </w:r>
          </w:p>
        </w:tc>
        <w:tc>
          <w:tcPr>
            <w:tcW w:w="900" w:type="dxa"/>
            <w:vAlign w:val="bottom"/>
            <w:gridSpan w:val="2"/>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9.00%</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3,582,000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3,549,681</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3,617,820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Real Estate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40" w:type="dxa"/>
            <w:vAlign w:val="bottom"/>
            <w:gridSpan w:val="2"/>
          </w:tcPr>
          <w:p>
            <w:pPr>
              <w:spacing w:after="0" w:line="121" w:lineRule="exact"/>
              <w:rPr>
                <w:sz w:val="20"/>
                <w:szCs w:val="20"/>
                <w:color w:val="auto"/>
              </w:rPr>
            </w:pPr>
            <w:r>
              <w:rPr>
                <w:rFonts w:ascii="Arial" w:cs="Arial" w:eastAsia="Arial" w:hAnsi="Arial"/>
                <w:sz w:val="13"/>
                <w:szCs w:val="13"/>
                <w:color w:val="auto"/>
              </w:rPr>
              <w:t>YP LLC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6"/>
              </w:rPr>
              <w:t>06/04/2018</w:t>
            </w:r>
          </w:p>
        </w:tc>
        <w:tc>
          <w:tcPr>
            <w:tcW w:w="120" w:type="dxa"/>
            <w:vAlign w:val="bottom"/>
          </w:tcPr>
          <w:p>
            <w:pPr>
              <w:spacing w:after="0"/>
              <w:rPr>
                <w:sz w:val="10"/>
                <w:szCs w:val="10"/>
                <w:color w:val="auto"/>
              </w:rPr>
            </w:pPr>
          </w:p>
        </w:tc>
        <w:tc>
          <w:tcPr>
            <w:tcW w:w="18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0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8.01%</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L+675</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2,541,615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2,498,513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2,547,969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Publishing</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w w:val="88"/>
              </w:rPr>
              <w:t>305,709,246</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91"/>
              </w:rPr>
              <w:t>304,068,247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Second Lien Secured Debt—21.7%</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10/31/2018</w:t>
            </w:r>
          </w:p>
        </w:tc>
        <w:tc>
          <w:tcPr>
            <w:tcW w:w="1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8.50%</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L+700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850,000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778,175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763,938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09/01/2017</w:t>
            </w:r>
          </w:p>
        </w:tc>
        <w:tc>
          <w:tcPr>
            <w:tcW w:w="12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Metals and Mining</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11.50%</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1,000,000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897,500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560" w:type="dxa"/>
            <w:vAlign w:val="bottom"/>
            <w:gridSpan w:val="4"/>
            <w:shd w:val="clear" w:color="auto" w:fill="CCEEFF"/>
          </w:tcPr>
          <w:p>
            <w:pPr>
              <w:ind w:left="20"/>
              <w:spacing w:after="0" w:line="135" w:lineRule="exact"/>
              <w:rPr>
                <w:sz w:val="20"/>
                <w:szCs w:val="20"/>
                <w:color w:val="auto"/>
              </w:rPr>
            </w:pPr>
            <w:r>
              <w:rPr>
                <w:rFonts w:ascii="Arial" w:cs="Arial" w:eastAsia="Arial" w:hAnsi="Arial"/>
                <w:sz w:val="13"/>
                <w:szCs w:val="13"/>
                <w:color w:val="auto"/>
                <w:w w:val="96"/>
              </w:rPr>
              <w:t>12/31/2020   Chemicals, Plastics and Rubber</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1,965,008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1,965,000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09/30/2020</w:t>
            </w:r>
          </w:p>
        </w:tc>
        <w:tc>
          <w:tcPr>
            <w:tcW w:w="120" w:type="dxa"/>
            <w:vAlign w:val="bottom"/>
          </w:tcPr>
          <w:p>
            <w:pPr>
              <w:spacing w:after="0"/>
              <w:rPr>
                <w:sz w:val="11"/>
                <w:szCs w:val="11"/>
                <w:color w:val="auto"/>
              </w:rPr>
            </w:pPr>
          </w:p>
        </w:tc>
        <w:tc>
          <w:tcPr>
            <w:tcW w:w="18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Wholesale</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8"/>
              </w:rPr>
              <w:t>10,402,634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10,890,000</w:t>
            </w: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07/31/2019</w:t>
            </w:r>
          </w:p>
        </w:tc>
        <w:tc>
          <w:tcPr>
            <w:tcW w:w="1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3,935,345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4,032,636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Language Line,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12/20/2016</w:t>
            </w:r>
          </w:p>
        </w:tc>
        <w:tc>
          <w:tcPr>
            <w:tcW w:w="120" w:type="dxa"/>
            <w:vAlign w:val="bottom"/>
          </w:tcPr>
          <w:p>
            <w:pPr>
              <w:spacing w:after="0"/>
              <w:rPr>
                <w:sz w:val="11"/>
                <w:szCs w:val="11"/>
                <w:color w:val="auto"/>
              </w:rPr>
            </w:pPr>
          </w:p>
        </w:tc>
        <w:tc>
          <w:tcPr>
            <w:tcW w:w="18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Consumer Services</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10.50%</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L+875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9,250,000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9,188,293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9,203,750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07/07/2021</w:t>
            </w:r>
          </w:p>
        </w:tc>
        <w:tc>
          <w:tcPr>
            <w:tcW w:w="1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Business Services</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11.75%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8"/>
              </w:rPr>
              <w:t>10,899,889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10,780,000</w:t>
            </w: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2560" w:type="dxa"/>
            <w:vAlign w:val="bottom"/>
            <w:gridSpan w:val="4"/>
          </w:tcPr>
          <w:p>
            <w:pPr>
              <w:ind w:left="20"/>
              <w:spacing w:after="0" w:line="135" w:lineRule="exact"/>
              <w:rPr>
                <w:sz w:val="20"/>
                <w:szCs w:val="20"/>
                <w:color w:val="auto"/>
              </w:rPr>
            </w:pPr>
            <w:r>
              <w:rPr>
                <w:rFonts w:ascii="Arial" w:cs="Arial" w:eastAsia="Arial" w:hAnsi="Arial"/>
                <w:sz w:val="13"/>
                <w:szCs w:val="13"/>
                <w:color w:val="auto"/>
                <w:w w:val="94"/>
              </w:rPr>
              <w:t>10/02/2020  Media: Diversified and Production</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L+775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5,252,824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5,192,674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5,252,824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08/01/2017</w:t>
            </w:r>
          </w:p>
        </w:tc>
        <w:tc>
          <w:tcPr>
            <w:tcW w:w="1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Energy: Oil and Gas</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2,812,500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2,683,892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2,531,250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46,045,910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46,316,898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Subordinated Debt/Corporate Notes—2.5% </w:t>
            </w:r>
            <w:r>
              <w:rPr>
                <w:rFonts w:ascii="Arial" w:cs="Arial" w:eastAsia="Arial" w:hAnsi="Arial"/>
                <w:sz w:val="10"/>
                <w:szCs w:val="10"/>
                <w:b w:val="1"/>
                <w:bCs w:val="1"/>
                <w:color w:val="auto"/>
              </w:rPr>
              <w:t>(8)</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40" w:type="dxa"/>
            <w:vAlign w:val="bottom"/>
            <w:gridSpan w:val="2"/>
          </w:tcPr>
          <w:p>
            <w:pPr>
              <w:spacing w:after="0" w:line="121" w:lineRule="exact"/>
              <w:rPr>
                <w:sz w:val="20"/>
                <w:szCs w:val="20"/>
                <w:color w:val="auto"/>
              </w:rPr>
            </w:pPr>
            <w:r>
              <w:rPr>
                <w:rFonts w:ascii="Arial" w:cs="Arial" w:eastAsia="Arial" w:hAnsi="Arial"/>
                <w:sz w:val="13"/>
                <w:szCs w:val="13"/>
                <w:color w:val="auto"/>
              </w:rPr>
              <w:t>Affinion Group Holdings,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6"/>
              </w:rPr>
              <w:t>09/14/2018</w:t>
            </w:r>
          </w:p>
        </w:tc>
        <w:tc>
          <w:tcPr>
            <w:tcW w:w="120" w:type="dxa"/>
            <w:vAlign w:val="bottom"/>
          </w:tcPr>
          <w:p>
            <w:pPr>
              <w:spacing w:after="0"/>
              <w:rPr>
                <w:sz w:val="10"/>
                <w:szCs w:val="10"/>
                <w:color w:val="auto"/>
              </w:rPr>
            </w:pPr>
          </w:p>
        </w:tc>
        <w:tc>
          <w:tcPr>
            <w:tcW w:w="18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14.50%</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4,462,922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4,013,847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2,454,607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77"/>
              <w:spacing w:after="0"/>
              <w:rPr>
                <w:sz w:val="20"/>
                <w:szCs w:val="20"/>
                <w:color w:val="auto"/>
              </w:rPr>
            </w:pPr>
            <w:r>
              <w:rPr>
                <w:rFonts w:ascii="Arial" w:cs="Arial" w:eastAsia="Arial" w:hAnsi="Arial"/>
                <w:sz w:val="13"/>
                <w:szCs w:val="13"/>
                <w:color w:val="auto"/>
                <w:w w:val="95"/>
              </w:rPr>
              <w:t>(PIK 14.50%)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4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Affinion Investments LLC</w:t>
            </w:r>
          </w:p>
        </w:tc>
        <w:tc>
          <w:tcPr>
            <w:tcW w:w="5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6"/>
              </w:rPr>
              <w:t>08/15/2018</w:t>
            </w:r>
          </w:p>
        </w:tc>
        <w:tc>
          <w:tcPr>
            <w:tcW w:w="1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13.50%</w:t>
            </w:r>
          </w:p>
        </w:tc>
        <w:tc>
          <w:tcPr>
            <w:tcW w:w="7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1,734,000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1,734,000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762,960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40" w:type="dxa"/>
            <w:vAlign w:val="bottom"/>
            <w:gridSpan w:val="2"/>
          </w:tcPr>
          <w:p>
            <w:pPr>
              <w:spacing w:after="0" w:line="121" w:lineRule="exact"/>
              <w:rPr>
                <w:sz w:val="20"/>
                <w:szCs w:val="20"/>
                <w:color w:val="auto"/>
              </w:rPr>
            </w:pPr>
            <w:r>
              <w:rPr>
                <w:rFonts w:ascii="Arial" w:cs="Arial" w:eastAsia="Arial" w:hAnsi="Arial"/>
                <w:sz w:val="13"/>
                <w:szCs w:val="13"/>
                <w:color w:val="auto"/>
              </w:rPr>
              <w:t>Credit Infonet,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6"/>
              </w:rPr>
              <w:t>10/26/2018</w:t>
            </w:r>
          </w:p>
        </w:tc>
        <w:tc>
          <w:tcPr>
            <w:tcW w:w="120" w:type="dxa"/>
            <w:vAlign w:val="bottom"/>
          </w:tcPr>
          <w:p>
            <w:pPr>
              <w:spacing w:after="0"/>
              <w:rPr>
                <w:sz w:val="10"/>
                <w:szCs w:val="10"/>
                <w:color w:val="auto"/>
              </w:rPr>
            </w:pPr>
          </w:p>
        </w:tc>
        <w:tc>
          <w:tcPr>
            <w:tcW w:w="18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8"/>
              </w:rPr>
              <w:t>High Tech Industries</w:t>
            </w:r>
          </w:p>
        </w:tc>
        <w:tc>
          <w:tcPr>
            <w:tcW w:w="90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13.00%</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2,016,172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1,989,241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2,021,547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77"/>
              <w:spacing w:after="0"/>
              <w:rPr>
                <w:sz w:val="20"/>
                <w:szCs w:val="20"/>
                <w:color w:val="auto"/>
              </w:rPr>
            </w:pPr>
            <w:r>
              <w:rPr>
                <w:rFonts w:ascii="Arial" w:cs="Arial" w:eastAsia="Arial" w:hAnsi="Arial"/>
                <w:sz w:val="13"/>
                <w:szCs w:val="13"/>
                <w:color w:val="auto"/>
              </w:rPr>
              <w:t>(PIK 1.75%)</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4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UniTek Global Services, Inc.</w:t>
            </w:r>
          </w:p>
        </w:tc>
        <w:tc>
          <w:tcPr>
            <w:tcW w:w="58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07/15/2019</w:t>
            </w:r>
          </w:p>
        </w:tc>
        <w:tc>
          <w:tcPr>
            <w:tcW w:w="12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shd w:val="clear" w:color="auto" w:fill="CCEEFF"/>
          </w:tcPr>
          <w:p>
            <w:pPr>
              <w:jc w:val="right"/>
              <w:ind w:right="117"/>
              <w:spacing w:after="0" w:line="122" w:lineRule="exact"/>
              <w:rPr>
                <w:sz w:val="20"/>
                <w:szCs w:val="20"/>
                <w:color w:val="auto"/>
              </w:rPr>
            </w:pPr>
            <w:r>
              <w:rPr>
                <w:rFonts w:ascii="Arial" w:cs="Arial" w:eastAsia="Arial" w:hAnsi="Arial"/>
                <w:sz w:val="13"/>
                <w:szCs w:val="13"/>
                <w:color w:val="auto"/>
              </w:rPr>
              <w:t>15.00%</w:t>
            </w: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126,259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3"/>
                <w:szCs w:val="13"/>
                <w:color w:val="auto"/>
              </w:rPr>
              <w:t>126,259</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3"/>
                <w:szCs w:val="13"/>
                <w:color w:val="auto"/>
              </w:rPr>
              <w:t>126,259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w w:val="95"/>
              </w:rPr>
              <w:t>(PIK 15.00%)</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7,863,347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5,365,373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44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117"/>
              <w:spacing w:after="0" w:line="121" w:lineRule="exact"/>
              <w:rPr>
                <w:sz w:val="20"/>
                <w:szCs w:val="20"/>
                <w:color w:val="auto"/>
              </w:rPr>
            </w:pPr>
            <w:r>
              <w:rPr>
                <w:rFonts w:ascii="Arial" w:cs="Arial" w:eastAsia="Arial" w:hAnsi="Arial"/>
                <w:sz w:val="13"/>
                <w:szCs w:val="13"/>
                <w:color w:val="auto"/>
              </w:rPr>
              <w:t>8.00%</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399,704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447,112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13.50%</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1,047,317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670,283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1,045,327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Preferred Equity</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1,069,987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1,492,439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Equity/Warrants—0.7%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A2Z Wireless Holdings, Inc.</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Retail</w:t>
            </w:r>
          </w:p>
        </w:tc>
        <w:tc>
          <w:tcPr>
            <w:tcW w:w="90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118,817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688,376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12/12/2023</w:t>
            </w:r>
          </w:p>
        </w:tc>
        <w:tc>
          <w:tcPr>
            <w:tcW w:w="12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554,715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1,186,649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263,490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12/12/2023</w:t>
            </w:r>
          </w:p>
        </w:tc>
        <w:tc>
          <w:tcPr>
            <w:tcW w:w="12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1,135,743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21"/>
        </w:trPr>
        <w:tc>
          <w:tcPr>
            <w:tcW w:w="4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70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0"/>
              </w:rPr>
              <w:t>Construction and Building</w:t>
            </w:r>
          </w:p>
        </w:tc>
        <w:tc>
          <w:tcPr>
            <w:tcW w:w="900" w:type="dxa"/>
            <w:vAlign w:val="bottom"/>
            <w:gridSpan w:val="2"/>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939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45,761</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45,760</w:t>
            </w:r>
          </w:p>
        </w:tc>
        <w:tc>
          <w:tcPr>
            <w:tcW w:w="0" w:type="dxa"/>
            <w:vAlign w:val="bottom"/>
          </w:tcPr>
          <w:p>
            <w:pPr>
              <w:spacing w:after="0"/>
              <w:rPr>
                <w:sz w:val="1"/>
                <w:szCs w:val="1"/>
                <w:color w:val="auto"/>
              </w:rPr>
            </w:pPr>
          </w:p>
        </w:tc>
      </w:tr>
      <w:tr>
        <w:trPr>
          <w:trHeight w:val="149"/>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(Interior Specialists, Inc.)</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4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Consumer Goods: Durable</w:t>
            </w:r>
          </w:p>
        </w:tc>
        <w:tc>
          <w:tcPr>
            <w:tcW w:w="900" w:type="dxa"/>
            <w:vAlign w:val="bottom"/>
            <w:gridSpan w:val="2"/>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296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119,089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 (Warrants)</w:t>
            </w:r>
          </w:p>
        </w:tc>
        <w:tc>
          <w:tcPr>
            <w:tcW w:w="2560" w:type="dxa"/>
            <w:vAlign w:val="bottom"/>
            <w:gridSpan w:val="4"/>
            <w:shd w:val="clear" w:color="auto" w:fill="CCEEFF"/>
          </w:tcPr>
          <w:p>
            <w:pPr>
              <w:ind w:left="20"/>
              <w:spacing w:after="0" w:line="121" w:lineRule="exact"/>
              <w:rPr>
                <w:sz w:val="20"/>
                <w:szCs w:val="20"/>
                <w:color w:val="auto"/>
              </w:rPr>
            </w:pPr>
            <w:r>
              <w:rPr>
                <w:rFonts w:ascii="Arial" w:cs="Arial" w:eastAsia="Arial" w:hAnsi="Arial"/>
                <w:sz w:val="13"/>
                <w:szCs w:val="13"/>
                <w:color w:val="auto"/>
                <w:w w:val="94"/>
              </w:rPr>
              <w:t>11/27/2023   Banking, Finance, Insurance and</w:t>
            </w:r>
          </w:p>
        </w:tc>
        <w:tc>
          <w:tcPr>
            <w:tcW w:w="900" w:type="dxa"/>
            <w:vAlign w:val="bottom"/>
            <w:gridSpan w:val="2"/>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14,484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28,002</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193,072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Real Estate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Telecommunications</w:t>
            </w:r>
          </w:p>
        </w:tc>
        <w:tc>
          <w:tcPr>
            <w:tcW w:w="900" w:type="dxa"/>
            <w:vAlign w:val="bottom"/>
            <w:gridSpan w:val="2"/>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149,617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0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186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00" w:type="dxa"/>
            <w:vAlign w:val="bottom"/>
            <w:gridSpan w:val="2"/>
            <w:shd w:val="clear" w:color="auto" w:fill="CCEEFF"/>
          </w:tcPr>
          <w:p>
            <w:pPr>
              <w:jc w:val="right"/>
              <w:ind w:right="237"/>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15,179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56,895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244,158</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Publishing</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Common Equity/Warrants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1,436,420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1,576,660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8"/>
              </w:rPr>
              <w:t>Total Investments in Non-Controlled, Non-Affiliated Portfolio Companies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w w:val="88"/>
              </w:rPr>
              <w:t>362,124,910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91"/>
              </w:rPr>
              <w:t>358,819,617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Cash Equivalents—4.9%</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and Temp Fund, Institutional Shares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8"/>
              </w:rPr>
              <w:t>10,475,621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10,475,621</w:t>
            </w:r>
          </w:p>
        </w:tc>
        <w:tc>
          <w:tcPr>
            <w:tcW w:w="0" w:type="dxa"/>
            <w:vAlign w:val="bottom"/>
          </w:tcPr>
          <w:p>
            <w:pPr>
              <w:spacing w:after="0"/>
              <w:rPr>
                <w:sz w:val="1"/>
                <w:szCs w:val="1"/>
                <w:color w:val="auto"/>
              </w:rPr>
            </w:pPr>
          </w:p>
        </w:tc>
      </w:tr>
      <w:tr>
        <w:trPr>
          <w:trHeight w:val="129"/>
        </w:trPr>
        <w:tc>
          <w:tcPr>
            <w:tcW w:w="4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Investments and Cash Equivalents—173.0%</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372,600,531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369,295,238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4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Liabilities in Excess of Other Assets—(73.0)%</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40"/>
              <w:spacing w:after="0" w:line="116" w:lineRule="exact"/>
              <w:rPr>
                <w:sz w:val="20"/>
                <w:szCs w:val="20"/>
                <w:color w:val="auto"/>
              </w:rPr>
            </w:pPr>
            <w:r>
              <w:rPr>
                <w:rFonts w:ascii="Arial" w:cs="Arial" w:eastAsia="Arial" w:hAnsi="Arial"/>
                <w:sz w:val="13"/>
                <w:szCs w:val="13"/>
                <w:color w:val="auto"/>
                <w:w w:val="86"/>
              </w:rPr>
              <w:t>(155,843,448)</w:t>
            </w: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1"/>
              </w:rPr>
              <w:t>213,451,790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176530</wp:posOffset>
            </wp:positionV>
            <wp:extent cx="1028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25" w:lineRule="exact"/>
        <w:rPr>
          <w:sz w:val="20"/>
          <w:szCs w:val="20"/>
          <w:color w:val="auto"/>
        </w:rPr>
      </w:pPr>
    </w:p>
    <w:p>
      <w:pPr>
        <w:ind w:left="460" w:hanging="452"/>
        <w:spacing w:after="0" w:line="273"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37" w:lineRule="exact"/>
        <w:rPr>
          <w:rFonts w:ascii="Arial" w:cs="Arial" w:eastAsia="Arial" w:hAnsi="Arial"/>
          <w:sz w:val="12"/>
          <w:szCs w:val="12"/>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66" w:lineRule="exact"/>
        <w:rPr>
          <w:rFonts w:ascii="Arial" w:cs="Arial" w:eastAsia="Arial" w:hAnsi="Arial"/>
          <w:sz w:val="13"/>
          <w:szCs w:val="13"/>
          <w:color w:val="auto"/>
        </w:rPr>
      </w:pPr>
    </w:p>
    <w:p>
      <w:pPr>
        <w:ind w:left="460" w:right="2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56" w:lineRule="exact"/>
        <w:rPr>
          <w:rFonts w:ascii="Arial" w:cs="Arial" w:eastAsia="Arial" w:hAnsi="Arial"/>
          <w:sz w:val="13"/>
          <w:szCs w:val="13"/>
          <w:color w:val="auto"/>
        </w:rPr>
      </w:pPr>
    </w:p>
    <w:p>
      <w:pPr>
        <w:ind w:left="460" w:right="2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56" w:lineRule="exact"/>
        <w:rPr>
          <w:rFonts w:ascii="Arial" w:cs="Arial" w:eastAsia="Arial" w:hAnsi="Arial"/>
          <w:sz w:val="13"/>
          <w:szCs w:val="13"/>
          <w:color w:val="auto"/>
        </w:rPr>
      </w:pPr>
    </w:p>
    <w:p>
      <w:pPr>
        <w:ind w:left="460" w:right="2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56" w:lineRule="exact"/>
        <w:rPr>
          <w:rFonts w:ascii="Arial" w:cs="Arial" w:eastAsia="Arial" w:hAnsi="Arial"/>
          <w:sz w:val="13"/>
          <w:szCs w:val="13"/>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 and held through Funding I.</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66" w:lineRule="exact"/>
        <w:rPr>
          <w:rFonts w:ascii="Arial" w:cs="Arial" w:eastAsia="Arial" w:hAnsi="Arial"/>
          <w:sz w:val="13"/>
          <w:szCs w:val="13"/>
          <w:color w:val="auto"/>
        </w:rPr>
      </w:pPr>
    </w:p>
    <w:p>
      <w:pPr>
        <w:ind w:left="460" w:right="40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56" w:lineRule="exact"/>
        <w:rPr>
          <w:rFonts w:ascii="Arial" w:cs="Arial" w:eastAsia="Arial" w:hAnsi="Arial"/>
          <w:sz w:val="13"/>
          <w:szCs w:val="13"/>
          <w:color w:val="auto"/>
        </w:rPr>
      </w:pPr>
    </w:p>
    <w:p>
      <w:pPr>
        <w:ind w:left="460" w:right="240" w:hanging="452"/>
        <w:spacing w:after="0" w:line="23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00"/>
          </w:cols>
          <w:pgMar w:left="32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Basis Point</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Spread</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Above</w:t>
            </w:r>
          </w:p>
        </w:tc>
        <w:tc>
          <w:tcPr>
            <w:tcW w:w="84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Par /</w:t>
            </w: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Borders>
              <w:bottom w:val="single" w:sz="8" w:color="auto"/>
            </w:tcBorders>
            <w:vMerge w:val="continue"/>
          </w:tcPr>
          <w:p>
            <w:pPr>
              <w:spacing w:after="0"/>
              <w:rPr>
                <w:sz w:val="13"/>
                <w:szCs w:val="13"/>
                <w:color w:val="auto"/>
              </w:rPr>
            </w:pPr>
          </w:p>
        </w:tc>
        <w:tc>
          <w:tcPr>
            <w:tcW w:w="1440" w:type="dxa"/>
            <w:vAlign w:val="bottom"/>
            <w:tcBorders>
              <w:bottom w:val="single" w:sz="8" w:color="auto"/>
            </w:tcBorders>
          </w:tcPr>
          <w:p>
            <w:pPr>
              <w:jc w:val="center"/>
              <w:ind w:left="577"/>
              <w:spacing w:after="0"/>
              <w:rPr>
                <w:sz w:val="20"/>
                <w:szCs w:val="20"/>
                <w:color w:val="auto"/>
              </w:rPr>
            </w:pPr>
            <w:r>
              <w:rPr>
                <w:rFonts w:ascii="Arial" w:cs="Arial" w:eastAsia="Arial" w:hAnsi="Arial"/>
                <w:sz w:val="13"/>
                <w:szCs w:val="13"/>
                <w:b w:val="1"/>
                <w:bCs w:val="1"/>
                <w:color w:val="auto"/>
                <w:w w:val="94"/>
              </w:rPr>
              <w:t>Maturity</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Coupon</w:t>
            </w: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(1)</w:t>
            </w: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8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4"/>
              </w:rPr>
              <w:t xml:space="preserve">Investments in Non-Controlled, Non-Affiliated Portfolio Companies—162.4% </w:t>
            </w:r>
            <w:r>
              <w:rPr>
                <w:rFonts w:ascii="Arial" w:cs="Arial" w:eastAsia="Arial" w:hAnsi="Arial"/>
                <w:sz w:val="10"/>
                <w:szCs w:val="10"/>
                <w:b w:val="1"/>
                <w:bCs w:val="1"/>
                <w:color w:val="auto"/>
                <w:w w:val="94"/>
              </w:rPr>
              <w:t>(3), (4)</w:t>
            </w:r>
          </w:p>
        </w:tc>
        <w:tc>
          <w:tcPr>
            <w:tcW w:w="18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Debt—141.0%</w:t>
            </w:r>
          </w:p>
        </w:tc>
        <w:tc>
          <w:tcPr>
            <w:tcW w:w="14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04/02/2018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11.92%</w:t>
            </w:r>
          </w:p>
        </w:tc>
        <w:tc>
          <w:tcPr>
            <w:tcW w:w="9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9,060,104</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$ 8,865,835</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9,167,028</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(10)</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04/02/2018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2,000,000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2,000,000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2,023,603</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02/28/2019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7,334,751</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7,289,756</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7,261,403</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Alvogen Pharma US,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05/23/2018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2,764,276</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2,738,582</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2,781,553</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Ancile Solutions,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07/16/2018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4,333,333</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4,299,220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4,327,917</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12/21/2020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1,389,500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1,351,463</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1,396,447</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Ascend Learning, LLC</w:t>
            </w:r>
          </w:p>
        </w:tc>
        <w:tc>
          <w:tcPr>
            <w:tcW w:w="14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07/31/2019</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L+500</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3,476,244</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3,463,094</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3,479,720</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Aspen Dental Management,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10/06/2016</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2,917,500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2,900,680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2,902,912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ATI Holdings,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12/20/2019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2,947,500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2,924,974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2,956,107</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Azure Midstream Energy LLC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11/15/2018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5,293,750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5,228,951</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5,240,812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BBB Industries, LLC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03/27/2019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3,023,140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3,004,531</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3,005,515</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06/29/2020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4,927,548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09/17/2021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8,000,000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7,880,197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7,970,000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07/02/2020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4,957,132</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5,087,500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12/24/2019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4,477,500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4,416,233</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4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01/08/2019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L+600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4,975,000</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4,928,906</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Creative Circle, LLC</w:t>
            </w:r>
          </w:p>
        </w:tc>
        <w:tc>
          <w:tcPr>
            <w:tcW w:w="14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06/25/2020</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5,900,000</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5,843,227</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5,811,500</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LLC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06/08/2020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1,995,000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1,947,166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1,963,419</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03/19/2018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3,253,740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3,218,698</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3,172,396</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Edmentum, Inc.</w:t>
            </w:r>
          </w:p>
        </w:tc>
        <w:tc>
          <w:tcPr>
            <w:tcW w:w="14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05/17/2018</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924,982</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924,982</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915,732</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eResearchTechnology,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05/02/2018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2,858,864</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2,847,367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2,855,291</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e-Rewards,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10/29/2018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9,812,500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9,652,736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9,665,312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FHC Health Systems,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01/09/2018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4,258,929</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4,226,747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4,258,929</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Fishnet Security,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11/30/2017</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3,610,688</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3,591,818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3,592,634</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05/31/2019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3,970,000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3,934,577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3,840,975</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4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05/23/2018</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1,096,930</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1,094,839</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1,094,188</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11/04/2020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6,947,500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6,888,768</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6,912,762</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Help/Systems Holdings,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06/28/2019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4,950,000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4,909,380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4,894,312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10/21/2020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1,200,000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1,182,000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1,182,000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Hostway Corporation</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12/13/2019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4,906,250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4,864,869</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4,881,719</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08/05/2019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7,000,000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6,931,037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6,912,500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 (8)</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03/30/2017</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2,000,000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1,977,245</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2,167,500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05/01/2019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12,409,413</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12,270,960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11,788,942</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InfuSystem Holdings,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11/30/2016</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13.16%</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P+992</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1,500,000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1,500,000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1,535,715</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4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03/28/2019</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5,453,617</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5,377,967</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5,453,617</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4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03/28/2019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L+1,100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4,500,000</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4,436,038</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10/16/2017</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5,140,179</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5,059,028</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5,114,478</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08/19/2019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L+900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6,157,648</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6,048,214</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6,064,275</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11/13/2020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1,985,004</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1,977,359</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1,967,635</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11/30/2018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5,925,000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5,855,212</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5,821,312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Meritas Schools Holdings, LLC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06/25/2019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2,505,285</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2,484,597</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2,506,864</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National Surgical Hospitals,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08/01/2019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L+425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8,130,872</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8,111,416</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8,090,218</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07/31/2019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9,900,000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9,817,130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9,809,217</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14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11/27/2018</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12.50%</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L+1,150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13,293,846</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12,716,069</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13,426,785</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(f/k/a Old Guard Risk Services, Inc.)</w:t>
            </w: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Polyconcept Finance B.V.</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06/28/2019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7,717,766</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7,653,621</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7,669,530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11/01/2018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8,303,261</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8,187,838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8,220,228</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12/17/2018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4,962,500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4,921,444</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4,970,787</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RCS Capital Corporation</w:t>
            </w:r>
          </w:p>
        </w:tc>
        <w:tc>
          <w:tcPr>
            <w:tcW w:w="14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04/29/2019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L+550</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4,937,500</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4,891,688</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4,956,016</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Real Estate</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Robertshaw US Holding Corp.</w:t>
            </w:r>
          </w:p>
        </w:tc>
        <w:tc>
          <w:tcPr>
            <w:tcW w:w="1440" w:type="dxa"/>
            <w:vAlign w:val="bottom"/>
          </w:tcPr>
          <w:p>
            <w:pPr>
              <w:jc w:val="center"/>
              <w:ind w:left="577"/>
              <w:spacing w:after="0" w:line="121" w:lineRule="exact"/>
              <w:rPr>
                <w:sz w:val="20"/>
                <w:szCs w:val="20"/>
                <w:color w:val="auto"/>
              </w:rPr>
            </w:pPr>
            <w:r>
              <w:rPr>
                <w:rFonts w:ascii="Arial" w:cs="Arial" w:eastAsia="Arial" w:hAnsi="Arial"/>
                <w:sz w:val="13"/>
                <w:szCs w:val="13"/>
                <w:color w:val="auto"/>
                <w:w w:val="86"/>
              </w:rPr>
              <w:t>06/18/2019</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86"/>
              </w:rPr>
              <w:t>Consumer Goods: Durable</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L+750</w:t>
            </w:r>
          </w:p>
        </w:tc>
        <w:tc>
          <w:tcPr>
            <w:tcW w:w="84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3,294,118</w:t>
            </w:r>
          </w:p>
        </w:tc>
        <w:tc>
          <w:tcPr>
            <w:tcW w:w="9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3,262,700</w:t>
            </w:r>
          </w:p>
        </w:tc>
        <w:tc>
          <w:tcPr>
            <w:tcW w:w="1000" w:type="dxa"/>
            <w:vAlign w:val="bottom"/>
          </w:tcPr>
          <w:p>
            <w:pPr>
              <w:jc w:val="right"/>
              <w:ind w:right="77"/>
              <w:spacing w:after="0" w:line="121" w:lineRule="exact"/>
              <w:rPr>
                <w:sz w:val="20"/>
                <w:szCs w:val="20"/>
                <w:color w:val="auto"/>
              </w:rPr>
            </w:pPr>
            <w:r>
              <w:rPr>
                <w:rFonts w:ascii="Arial" w:cs="Arial" w:eastAsia="Arial" w:hAnsi="Arial"/>
                <w:sz w:val="13"/>
                <w:szCs w:val="13"/>
                <w:color w:val="auto"/>
              </w:rPr>
              <w:t>3,288,278</w:t>
            </w:r>
          </w:p>
        </w:tc>
        <w:tc>
          <w:tcPr>
            <w:tcW w:w="0" w:type="dxa"/>
            <w:vAlign w:val="bottom"/>
          </w:tcPr>
          <w:p>
            <w:pPr>
              <w:spacing w:after="0"/>
              <w:rPr>
                <w:sz w:val="1"/>
                <w:szCs w:val="1"/>
                <w:color w:val="auto"/>
              </w:rPr>
            </w:pPr>
          </w:p>
        </w:tc>
      </w:tr>
      <w:tr>
        <w:trPr>
          <w:trHeight w:val="149"/>
        </w:trPr>
        <w:tc>
          <w:tcPr>
            <w:tcW w:w="3360" w:type="dxa"/>
            <w:vAlign w:val="bottom"/>
          </w:tcPr>
          <w:p>
            <w:pPr>
              <w:ind w:left="140"/>
              <w:spacing w:after="0"/>
              <w:rPr>
                <w:sz w:val="20"/>
                <w:szCs w:val="20"/>
                <w:color w:val="auto"/>
              </w:rPr>
            </w:pPr>
            <w:r>
              <w:rPr>
                <w:rFonts w:ascii="Arial" w:cs="Arial" w:eastAsia="Arial" w:hAnsi="Arial"/>
                <w:sz w:val="13"/>
                <w:szCs w:val="13"/>
                <w:color w:val="auto"/>
              </w:rPr>
              <w:t>(f/k/a Fox US Bidco Corp.)</w:t>
            </w:r>
          </w:p>
        </w:tc>
        <w:tc>
          <w:tcPr>
            <w:tcW w:w="1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Robertshaw US Holding Corp.</w:t>
            </w:r>
          </w:p>
        </w:tc>
        <w:tc>
          <w:tcPr>
            <w:tcW w:w="14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06/18/2019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Consumer Goods: Durable</w:t>
            </w:r>
          </w:p>
        </w:tc>
        <w:tc>
          <w:tcPr>
            <w:tcW w:w="8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705,882</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705,882</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704,631</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(f/k/a Fox US Bidco Corp.) </w:t>
            </w:r>
            <w:r>
              <w:rPr>
                <w:rFonts w:ascii="Arial" w:cs="Arial" w:eastAsia="Arial" w:hAnsi="Arial"/>
                <w:sz w:val="10"/>
                <w:szCs w:val="10"/>
                <w:color w:val="auto"/>
              </w:rPr>
              <w:t>(10)</w:t>
            </w:r>
          </w:p>
        </w:tc>
        <w:tc>
          <w:tcPr>
            <w:tcW w:w="14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SCE Partners, LLC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08/14/2019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12,000,000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11,898,121</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12,000,000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Securus Technologies Holdings,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04/30/2020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L+350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1,980,002</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1,963,277</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1,955,252</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04/21/2017</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6,643,409</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6,382,042</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5,979,068</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08/09/2021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2,000,000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1,990,000</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2,002,500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08/22/2018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3,375,000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3,347,830</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3,366,563</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Sutherland Global Services, Inc.</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03/06/2019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L+600</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925,000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910,694</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922,688</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10/18/2019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L+400</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5,955,000</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5,931,546</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5,910,338</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1440" w:type="dxa"/>
            <w:vAlign w:val="bottom"/>
            <w:shd w:val="clear" w:color="auto" w:fill="CCEEFF"/>
          </w:tcPr>
          <w:p>
            <w:pPr>
              <w:jc w:val="center"/>
              <w:ind w:left="577"/>
              <w:spacing w:after="0" w:line="135" w:lineRule="exact"/>
              <w:rPr>
                <w:sz w:val="20"/>
                <w:szCs w:val="20"/>
                <w:color w:val="auto"/>
              </w:rPr>
            </w:pPr>
            <w:r>
              <w:rPr>
                <w:rFonts w:ascii="Arial" w:cs="Arial" w:eastAsia="Arial" w:hAnsi="Arial"/>
                <w:sz w:val="13"/>
                <w:szCs w:val="13"/>
                <w:color w:val="auto"/>
                <w:w w:val="86"/>
              </w:rPr>
              <w:t>07/09/2021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5,000,000</w:t>
            </w:r>
          </w:p>
        </w:tc>
        <w:tc>
          <w:tcPr>
            <w:tcW w:w="9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4,950,448</w:t>
            </w:r>
          </w:p>
        </w:tc>
        <w:tc>
          <w:tcPr>
            <w:tcW w:w="10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4,968,750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Therakos, Inc.</w:t>
            </w:r>
          </w:p>
        </w:tc>
        <w:tc>
          <w:tcPr>
            <w:tcW w:w="1440" w:type="dxa"/>
            <w:vAlign w:val="bottom"/>
          </w:tcPr>
          <w:p>
            <w:pPr>
              <w:jc w:val="center"/>
              <w:ind w:left="577"/>
              <w:spacing w:after="0" w:line="135" w:lineRule="exact"/>
              <w:rPr>
                <w:sz w:val="20"/>
                <w:szCs w:val="20"/>
                <w:color w:val="auto"/>
              </w:rPr>
            </w:pPr>
            <w:r>
              <w:rPr>
                <w:rFonts w:ascii="Arial" w:cs="Arial" w:eastAsia="Arial" w:hAnsi="Arial"/>
                <w:sz w:val="13"/>
                <w:szCs w:val="13"/>
                <w:color w:val="auto"/>
                <w:w w:val="86"/>
              </w:rPr>
              <w:t>12/27/2017</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4,843,177</w:t>
            </w:r>
          </w:p>
        </w:tc>
        <w:tc>
          <w:tcPr>
            <w:tcW w:w="9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4,775,215</w:t>
            </w:r>
          </w:p>
        </w:tc>
        <w:tc>
          <w:tcPr>
            <w:tcW w:w="10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4,861,339</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440" w:type="dxa"/>
            <w:vAlign w:val="bottom"/>
            <w:shd w:val="clear" w:color="auto" w:fill="CCEEFF"/>
          </w:tcPr>
          <w:p>
            <w:pPr>
              <w:jc w:val="center"/>
              <w:ind w:left="577"/>
              <w:spacing w:after="0" w:line="121" w:lineRule="exact"/>
              <w:rPr>
                <w:sz w:val="20"/>
                <w:szCs w:val="20"/>
                <w:color w:val="auto"/>
              </w:rPr>
            </w:pPr>
            <w:r>
              <w:rPr>
                <w:rFonts w:ascii="Arial" w:cs="Arial" w:eastAsia="Arial" w:hAnsi="Arial"/>
                <w:sz w:val="13"/>
                <w:szCs w:val="13"/>
                <w:color w:val="auto"/>
                <w:w w:val="86"/>
              </w:rPr>
              <w:t>04/15/2016</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12.25%</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L+1,125</w:t>
            </w:r>
          </w:p>
        </w:tc>
        <w:tc>
          <w:tcPr>
            <w:tcW w:w="84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135,817</w:t>
            </w:r>
          </w:p>
        </w:tc>
        <w:tc>
          <w:tcPr>
            <w:tcW w:w="9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135,817</w:t>
            </w:r>
          </w:p>
        </w:tc>
        <w:tc>
          <w:tcPr>
            <w:tcW w:w="100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135,817</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7.25%)</w:t>
            </w: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20"/>
                <w:szCs w:val="20"/>
                <w:color w:val="auto"/>
              </w:rPr>
            </w:pPr>
            <w:r>
              <w:rPr>
                <w:rFonts w:ascii="Arial" w:cs="Arial" w:eastAsia="Arial" w:hAnsi="Arial"/>
                <w:sz w:val="13"/>
                <w:szCs w:val="13"/>
                <w:color w:val="auto"/>
              </w:rPr>
              <w:t>UniTek Global Services, Inc.</w:t>
            </w:r>
          </w:p>
        </w:tc>
        <w:tc>
          <w:tcPr>
            <w:tcW w:w="1440" w:type="dxa"/>
            <w:vAlign w:val="bottom"/>
          </w:tcPr>
          <w:p>
            <w:pPr>
              <w:jc w:val="center"/>
              <w:ind w:left="577"/>
              <w:spacing w:after="0"/>
              <w:rPr>
                <w:sz w:val="20"/>
                <w:szCs w:val="20"/>
                <w:color w:val="auto"/>
              </w:rPr>
            </w:pPr>
            <w:r>
              <w:rPr>
                <w:rFonts w:ascii="Arial" w:cs="Arial" w:eastAsia="Arial" w:hAnsi="Arial"/>
                <w:sz w:val="13"/>
                <w:szCs w:val="13"/>
                <w:color w:val="auto"/>
                <w:w w:val="86"/>
              </w:rPr>
              <w:t>04/16/2018</w:t>
            </w:r>
          </w:p>
        </w:tc>
        <w:tc>
          <w:tcPr>
            <w:tcW w:w="1880" w:type="dxa"/>
            <w:vAlign w:val="bottom"/>
          </w:tcPr>
          <w:p>
            <w:pPr>
              <w:jc w:val="center"/>
              <w:spacing w:after="0"/>
              <w:rPr>
                <w:sz w:val="20"/>
                <w:szCs w:val="20"/>
                <w:color w:val="auto"/>
              </w:rPr>
            </w:pPr>
            <w:r>
              <w:rPr>
                <w:rFonts w:ascii="Arial" w:cs="Arial" w:eastAsia="Arial" w:hAnsi="Arial"/>
                <w:sz w:val="13"/>
                <w:szCs w:val="13"/>
                <w:color w:val="auto"/>
                <w:w w:val="87"/>
              </w:rPr>
              <w:t>Telecommunications</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2,184,319</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2,150,875</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1,332,435</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22"/>
              <w:spacing w:after="0" w:line="135" w:lineRule="exact"/>
              <w:rPr>
                <w:sz w:val="20"/>
                <w:szCs w:val="20"/>
                <w:color w:val="auto"/>
              </w:rPr>
            </w:pPr>
            <w:r>
              <w:rPr>
                <w:rFonts w:ascii="Arial" w:cs="Arial" w:eastAsia="Arial" w:hAnsi="Arial"/>
                <w:sz w:val="13"/>
                <w:szCs w:val="13"/>
                <w:b w:val="1"/>
                <w:bCs w:val="1"/>
                <w:color w:val="auto"/>
              </w:rPr>
              <w:t>Current</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Above</w:t>
            </w:r>
          </w:p>
        </w:tc>
        <w:tc>
          <w:tcPr>
            <w:tcW w:w="7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40" w:type="dxa"/>
            <w:vAlign w:val="bottom"/>
            <w:gridSpan w:val="2"/>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Industry</w:t>
            </w:r>
          </w:p>
        </w:tc>
        <w:tc>
          <w:tcPr>
            <w:tcW w:w="920" w:type="dxa"/>
            <w:vAlign w:val="bottom"/>
            <w:gridSpan w:val="2"/>
          </w:tcPr>
          <w:p>
            <w:pPr>
              <w:jc w:val="right"/>
              <w:ind w:right="342"/>
              <w:spacing w:after="0"/>
              <w:rPr>
                <w:sz w:val="20"/>
                <w:szCs w:val="20"/>
                <w:color w:val="auto"/>
              </w:rPr>
            </w:pPr>
            <w:r>
              <w:rPr>
                <w:rFonts w:ascii="Arial" w:cs="Arial" w:eastAsia="Arial" w:hAnsi="Arial"/>
                <w:sz w:val="13"/>
                <w:szCs w:val="13"/>
                <w:b w:val="1"/>
                <w:bCs w:val="1"/>
                <w:color w:val="auto"/>
              </w:rPr>
              <w:t>Coupon</w:t>
            </w: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44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10"/>
                <w:szCs w:val="10"/>
                <w:color w:val="auto"/>
              </w:rPr>
              <w:t>(8)</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12/22/2016</w:t>
            </w: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4"/>
              </w:rPr>
              <w:t>Business Services</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7.26</w:t>
            </w:r>
          </w:p>
        </w:tc>
        <w:tc>
          <w:tcPr>
            <w:tcW w:w="300" w:type="dxa"/>
            <w:vAlign w:val="bottom"/>
            <w:tcBorders>
              <w:top w:val="single" w:sz="8" w:color="CCEEFF"/>
            </w:tcBorders>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w w:val="74"/>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L+550</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2,925,663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2,915,553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2,157,677</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08/30/2018</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Consumer Goods: Non-Durable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7.50%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L+625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3,017,653</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2,977,186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2,844,138</w:t>
            </w:r>
          </w:p>
        </w:tc>
        <w:tc>
          <w:tcPr>
            <w:tcW w:w="0" w:type="dxa"/>
            <w:vAlign w:val="bottom"/>
          </w:tcPr>
          <w:p>
            <w:pPr>
              <w:spacing w:after="0"/>
              <w:rPr>
                <w:sz w:val="1"/>
                <w:szCs w:val="1"/>
                <w:color w:val="auto"/>
              </w:rPr>
            </w:pPr>
          </w:p>
        </w:tc>
      </w:tr>
      <w:tr>
        <w:trPr>
          <w:trHeight w:val="121"/>
        </w:trPr>
        <w:tc>
          <w:tcPr>
            <w:tcW w:w="4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YP LLC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06/04/2018</w:t>
            </w:r>
          </w:p>
        </w:tc>
        <w:tc>
          <w:tcPr>
            <w:tcW w:w="10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8.00%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L+675</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3,224,845</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3,160,701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3,230,907</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Publishing</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Zest Holdings,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08/17/2020</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5.25%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L+425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8,910,169</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8,910,169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8,910,169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w w:val="88"/>
              </w:rPr>
              <w:t>302,889,195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w w:val="96"/>
              </w:rPr>
              <w:t>302,565,355</w:t>
            </w:r>
          </w:p>
        </w:tc>
        <w:tc>
          <w:tcPr>
            <w:tcW w:w="0" w:type="dxa"/>
            <w:vAlign w:val="bottom"/>
          </w:tcPr>
          <w:p>
            <w:pPr>
              <w:spacing w:after="0"/>
              <w:rPr>
                <w:sz w:val="1"/>
                <w:szCs w:val="1"/>
                <w:color w:val="auto"/>
              </w:rPr>
            </w:pPr>
          </w:p>
        </w:tc>
      </w:tr>
      <w:tr>
        <w:trPr>
          <w:trHeight w:val="128"/>
        </w:trPr>
        <w:tc>
          <w:tcPr>
            <w:tcW w:w="45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Second Lien Secured Debt—17.0%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09/01/2017</w:t>
            </w:r>
          </w:p>
        </w:tc>
        <w:tc>
          <w:tcPr>
            <w:tcW w:w="1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Metals and Mining</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11.50%</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1,080,000</w:t>
            </w: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Cannery Casino Resorts, LLC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10/02/2019</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Hotel, Gaming and Leisure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10.00%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L+875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1,700,000</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1,675,421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1,687,250</w:t>
            </w: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Carolina Beverage Group, LLC </w:t>
            </w:r>
            <w:r>
              <w:rPr>
                <w:rFonts w:ascii="Arial" w:cs="Arial" w:eastAsia="Arial" w:hAnsi="Arial"/>
                <w:sz w:val="10"/>
                <w:szCs w:val="10"/>
                <w:color w:val="auto"/>
              </w:rPr>
              <w:t>(5), (8)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08/01/2018</w:t>
            </w:r>
          </w:p>
        </w:tc>
        <w:tc>
          <w:tcPr>
            <w:tcW w:w="1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5"/>
              </w:rPr>
              <w:t>Beverage, Food and Tobacco</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10.63%</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3,500,000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3,613,750</w:t>
            </w: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07/31/2019</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L+1,000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3,926,394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4,059,524</w:t>
            </w: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12/20/2016</w:t>
            </w:r>
          </w:p>
        </w:tc>
        <w:tc>
          <w:tcPr>
            <w:tcW w:w="1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Services</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10.50%</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L+875</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7,100,000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7,026,077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7,023,107</w:t>
            </w: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07/07/2021</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11.75%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L+1,050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9"/>
              </w:rPr>
              <w:t>11,000,000</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10,893,446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10,780,000</w:t>
            </w:r>
          </w:p>
        </w:tc>
        <w:tc>
          <w:tcPr>
            <w:tcW w:w="0" w:type="dxa"/>
            <w:vAlign w:val="bottom"/>
          </w:tcPr>
          <w:p>
            <w:pPr>
              <w:spacing w:after="0"/>
              <w:rPr>
                <w:sz w:val="1"/>
                <w:szCs w:val="1"/>
                <w:color w:val="auto"/>
              </w:rPr>
            </w:pPr>
          </w:p>
        </w:tc>
      </w:tr>
      <w:tr>
        <w:trPr>
          <w:trHeight w:val="121"/>
        </w:trPr>
        <w:tc>
          <w:tcPr>
            <w:tcW w:w="4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10/02/2020</w:t>
            </w:r>
          </w:p>
        </w:tc>
        <w:tc>
          <w:tcPr>
            <w:tcW w:w="10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1"/>
              </w:rPr>
              <w:t>Media: Diversified and</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9.00%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L+775</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5,600,000</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5,527,495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5,593,000</w:t>
            </w:r>
          </w:p>
        </w:tc>
        <w:tc>
          <w:tcPr>
            <w:tcW w:w="0" w:type="dxa"/>
            <w:vAlign w:val="bottom"/>
          </w:tcPr>
          <w:p>
            <w:pPr>
              <w:spacing w:after="0"/>
              <w:rPr>
                <w:sz w:val="1"/>
                <w:szCs w:val="1"/>
                <w:color w:val="auto"/>
              </w:rPr>
            </w:pPr>
          </w:p>
        </w:tc>
      </w:tr>
      <w:tr>
        <w:trPr>
          <w:trHeight w:val="149"/>
        </w:trPr>
        <w:tc>
          <w:tcPr>
            <w:tcW w:w="4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Production</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08/01/2017</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Energy: Oil and Gas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10.00%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2,812,500</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2,645,114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2,638,153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w w:val="98"/>
              </w:rPr>
              <w:t>36,193,947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36,474,784</w:t>
            </w:r>
          </w:p>
        </w:tc>
        <w:tc>
          <w:tcPr>
            <w:tcW w:w="0" w:type="dxa"/>
            <w:vAlign w:val="bottom"/>
          </w:tcPr>
          <w:p>
            <w:pPr>
              <w:spacing w:after="0"/>
              <w:rPr>
                <w:sz w:val="1"/>
                <w:szCs w:val="1"/>
                <w:color w:val="auto"/>
              </w:rPr>
            </w:pPr>
          </w:p>
        </w:tc>
      </w:tr>
      <w:tr>
        <w:trPr>
          <w:trHeight w:val="128"/>
        </w:trPr>
        <w:tc>
          <w:tcPr>
            <w:tcW w:w="45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 xml:space="preserve">Subordinated Debt/Corporate Notes—3.3% </w:t>
            </w:r>
            <w:r>
              <w:rPr>
                <w:rFonts w:ascii="Arial" w:cs="Arial" w:eastAsia="Arial" w:hAnsi="Arial"/>
                <w:sz w:val="10"/>
                <w:szCs w:val="10"/>
                <w:b w:val="1"/>
                <w:bCs w:val="1"/>
                <w:color w:val="auto"/>
              </w:rPr>
              <w:t>(8)</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Group Holdings, Inc. </w:t>
            </w:r>
            <w:r>
              <w:rPr>
                <w:rFonts w:ascii="Arial" w:cs="Arial" w:eastAsia="Arial" w:hAnsi="Arial"/>
                <w:sz w:val="10"/>
                <w:szCs w:val="10"/>
                <w:color w:val="auto"/>
              </w:rPr>
              <w:t>(5)</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09/14/2018</w:t>
            </w:r>
          </w:p>
        </w:tc>
        <w:tc>
          <w:tcPr>
            <w:tcW w:w="10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14.50%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4,161,233</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3,639,478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3,537,048</w:t>
            </w:r>
          </w:p>
        </w:tc>
        <w:tc>
          <w:tcPr>
            <w:tcW w:w="0" w:type="dxa"/>
            <w:vAlign w:val="bottom"/>
          </w:tcPr>
          <w:p>
            <w:pPr>
              <w:spacing w:after="0"/>
              <w:rPr>
                <w:sz w:val="1"/>
                <w:szCs w:val="1"/>
                <w:color w:val="auto"/>
              </w:rPr>
            </w:pPr>
          </w:p>
        </w:tc>
      </w:tr>
      <w:tr>
        <w:trPr>
          <w:trHeight w:val="163"/>
        </w:trPr>
        <w:tc>
          <w:tcPr>
            <w:tcW w:w="4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w w:val="95"/>
              </w:rPr>
              <w:t>(PIK 14.50%)</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Investments LLC </w:t>
            </w:r>
            <w:r>
              <w:rPr>
                <w:rFonts w:ascii="Arial" w:cs="Arial" w:eastAsia="Arial" w:hAnsi="Arial"/>
                <w:sz w:val="10"/>
                <w:szCs w:val="10"/>
                <w:color w:val="auto"/>
              </w:rPr>
              <w:t>(5)</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08/15/2018</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13.50%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1,734,000</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1,734,000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1,612,620</w:t>
            </w:r>
          </w:p>
        </w:tc>
        <w:tc>
          <w:tcPr>
            <w:tcW w:w="0" w:type="dxa"/>
            <w:vAlign w:val="bottom"/>
          </w:tcPr>
          <w:p>
            <w:pPr>
              <w:spacing w:after="0"/>
              <w:rPr>
                <w:sz w:val="1"/>
                <w:szCs w:val="1"/>
                <w:color w:val="auto"/>
              </w:rPr>
            </w:pPr>
          </w:p>
        </w:tc>
      </w:tr>
      <w:tr>
        <w:trPr>
          <w:trHeight w:val="121"/>
        </w:trPr>
        <w:tc>
          <w:tcPr>
            <w:tcW w:w="4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10/26/2018</w:t>
            </w:r>
          </w:p>
        </w:tc>
        <w:tc>
          <w:tcPr>
            <w:tcW w:w="10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8"/>
              </w:rPr>
              <w:t>High Tech Industries</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12.50%</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1,993,762</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1,961,974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1,924,017</w:t>
            </w:r>
          </w:p>
        </w:tc>
        <w:tc>
          <w:tcPr>
            <w:tcW w:w="0" w:type="dxa"/>
            <w:vAlign w:val="bottom"/>
          </w:tcPr>
          <w:p>
            <w:pPr>
              <w:spacing w:after="0"/>
              <w:rPr>
                <w:sz w:val="1"/>
                <w:szCs w:val="1"/>
                <w:color w:val="auto"/>
              </w:rPr>
            </w:pPr>
          </w:p>
        </w:tc>
      </w:tr>
      <w:tr>
        <w:trPr>
          <w:trHeight w:val="163"/>
        </w:trPr>
        <w:tc>
          <w:tcPr>
            <w:tcW w:w="4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(PIK 1.25%)</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5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7,335,452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7,073,685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Equity—0.2%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4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68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1"/>
              </w:rPr>
              <w:t>—</w:t>
            </w:r>
          </w:p>
        </w:tc>
        <w:tc>
          <w:tcPr>
            <w:tcW w:w="17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42"/>
              <w:spacing w:after="0" w:line="121" w:lineRule="exact"/>
              <w:rPr>
                <w:sz w:val="20"/>
                <w:szCs w:val="20"/>
                <w:color w:val="auto"/>
              </w:rPr>
            </w:pPr>
            <w:r>
              <w:rPr>
                <w:rFonts w:ascii="Arial" w:cs="Arial" w:eastAsia="Arial" w:hAnsi="Arial"/>
                <w:sz w:val="13"/>
                <w:szCs w:val="13"/>
                <w:color w:val="auto"/>
              </w:rPr>
              <w:t>8.00%</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400</w:t>
            </w: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399,704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421,215</w:t>
            </w:r>
          </w:p>
        </w:tc>
        <w:tc>
          <w:tcPr>
            <w:tcW w:w="0" w:type="dxa"/>
            <w:vAlign w:val="bottom"/>
          </w:tcPr>
          <w:p>
            <w:pPr>
              <w:spacing w:after="0"/>
              <w:rPr>
                <w:sz w:val="1"/>
                <w:szCs w:val="1"/>
                <w:color w:val="auto"/>
              </w:rPr>
            </w:pPr>
          </w:p>
        </w:tc>
      </w:tr>
      <w:tr>
        <w:trPr>
          <w:trHeight w:val="149"/>
        </w:trPr>
        <w:tc>
          <w:tcPr>
            <w:tcW w:w="454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Equity/Warrants—0.9%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12/12/2023</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554,715</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1,186,649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1,040,091</w:t>
            </w: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12/12/2023</w:t>
            </w:r>
          </w:p>
        </w:tc>
        <w:tc>
          <w:tcPr>
            <w:tcW w:w="1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1,135,743</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21"/>
        </w:trPr>
        <w:tc>
          <w:tcPr>
            <w:tcW w:w="4540" w:type="dxa"/>
            <w:vAlign w:val="bottom"/>
            <w:gridSpan w:val="2"/>
          </w:tcPr>
          <w:p>
            <w:pPr>
              <w:spacing w:after="0" w:line="121" w:lineRule="exact"/>
              <w:rPr>
                <w:sz w:val="20"/>
                <w:szCs w:val="20"/>
                <w:color w:val="auto"/>
              </w:rPr>
            </w:pPr>
            <w:r>
              <w:rPr>
                <w:rFonts w:ascii="Arial" w:cs="Arial" w:eastAsia="Arial" w:hAnsi="Arial"/>
                <w:sz w:val="13"/>
                <w:szCs w:val="13"/>
                <w:color w:val="auto"/>
              </w:rPr>
              <w:t>J.A. Cosmetics US, Inc.</w:t>
            </w:r>
          </w:p>
        </w:tc>
        <w:tc>
          <w:tcPr>
            <w:tcW w:w="68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1"/>
              </w:rPr>
              <w:t>—</w:t>
            </w:r>
          </w:p>
        </w:tc>
        <w:tc>
          <w:tcPr>
            <w:tcW w:w="17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58,055</w:t>
            </w:r>
          </w:p>
        </w:tc>
        <w:tc>
          <w:tcPr>
            <w:tcW w:w="0" w:type="dxa"/>
            <w:vAlign w:val="bottom"/>
          </w:tcPr>
          <w:p>
            <w:pPr>
              <w:spacing w:after="0"/>
              <w:rPr>
                <w:sz w:val="1"/>
                <w:szCs w:val="1"/>
                <w:color w:val="auto"/>
              </w:rPr>
            </w:pPr>
          </w:p>
        </w:tc>
      </w:tr>
      <w:tr>
        <w:trPr>
          <w:trHeight w:val="149"/>
        </w:trPr>
        <w:tc>
          <w:tcPr>
            <w:tcW w:w="4540" w:type="dxa"/>
            <w:vAlign w:val="bottom"/>
            <w:gridSpan w:val="2"/>
          </w:tcPr>
          <w:p>
            <w:pPr>
              <w:ind w:left="140"/>
              <w:spacing w:after="0"/>
              <w:rPr>
                <w:sz w:val="20"/>
                <w:szCs w:val="20"/>
                <w:color w:val="auto"/>
              </w:rPr>
            </w:pPr>
            <w:r>
              <w:rPr>
                <w:rFonts w:ascii="Arial" w:cs="Arial" w:eastAsia="Arial" w:hAnsi="Arial"/>
                <w:sz w:val="13"/>
                <w:szCs w:val="13"/>
                <w:color w:val="auto"/>
              </w:rPr>
              <w:t>(J.A. Cosmetics Holdings, Inc.)</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2440" w:type="dxa"/>
            <w:vAlign w:val="bottom"/>
            <w:gridSpan w:val="4"/>
            <w:shd w:val="clear" w:color="auto" w:fill="CCEEFF"/>
          </w:tcPr>
          <w:p>
            <w:pPr>
              <w:spacing w:after="0" w:line="121" w:lineRule="exact"/>
              <w:rPr>
                <w:sz w:val="20"/>
                <w:szCs w:val="20"/>
                <w:color w:val="auto"/>
              </w:rPr>
            </w:pPr>
            <w:r>
              <w:rPr>
                <w:rFonts w:ascii="Arial" w:cs="Arial" w:eastAsia="Arial" w:hAnsi="Arial"/>
                <w:sz w:val="13"/>
                <w:szCs w:val="13"/>
                <w:color w:val="auto"/>
                <w:w w:val="92"/>
              </w:rPr>
              <w:t>11/27/2023  Banking, Finance, Insurance and</w:t>
            </w:r>
          </w:p>
        </w:tc>
        <w:tc>
          <w:tcPr>
            <w:tcW w:w="920" w:type="dxa"/>
            <w:vAlign w:val="bottom"/>
            <w:gridSpan w:val="2"/>
            <w:shd w:val="clear" w:color="auto" w:fill="CCEEFF"/>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7,403</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151,853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399,833</w:t>
            </w: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(f/k/a Old Guard Risk Services, Inc.) (Warrants)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Real Estate</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 (Warrants)</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56,717</w:t>
            </w:r>
          </w:p>
        </w:tc>
        <w:tc>
          <w:tcPr>
            <w:tcW w:w="1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95,285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6,239</w:t>
            </w:r>
          </w:p>
        </w:tc>
        <w:tc>
          <w:tcPr>
            <w:tcW w:w="0" w:type="dxa"/>
            <w:vAlign w:val="bottom"/>
          </w:tcPr>
          <w:p>
            <w:pPr>
              <w:spacing w:after="0"/>
              <w:rPr>
                <w:sz w:val="1"/>
                <w:szCs w:val="1"/>
                <w:color w:val="auto"/>
              </w:rPr>
            </w:pPr>
          </w:p>
        </w:tc>
      </w:tr>
      <w:tr>
        <w:trPr>
          <w:trHeight w:val="121"/>
        </w:trPr>
        <w:tc>
          <w:tcPr>
            <w:tcW w:w="4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68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1"/>
              </w:rPr>
              <w:t>—</w:t>
            </w:r>
          </w:p>
        </w:tc>
        <w:tc>
          <w:tcPr>
            <w:tcW w:w="17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20" w:type="dxa"/>
            <w:vAlign w:val="bottom"/>
            <w:gridSpan w:val="2"/>
            <w:shd w:val="clear" w:color="auto" w:fill="CCEEFF"/>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15,179</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56,895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244,631</w:t>
            </w: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(Vestcom International, Inc.)</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Publishing</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40" w:type="dxa"/>
            <w:vAlign w:val="bottom"/>
            <w:gridSpan w:val="2"/>
          </w:tcPr>
          <w:p>
            <w:pPr>
              <w:spacing w:after="0" w:line="121" w:lineRule="exact"/>
              <w:rPr>
                <w:sz w:val="20"/>
                <w:szCs w:val="20"/>
                <w:color w:val="auto"/>
              </w:rPr>
            </w:pPr>
            <w:r>
              <w:rPr>
                <w:rFonts w:ascii="Arial" w:cs="Arial" w:eastAsia="Arial" w:hAnsi="Arial"/>
                <w:sz w:val="13"/>
                <w:szCs w:val="13"/>
                <w:color w:val="auto"/>
              </w:rPr>
              <w:t>Z Wireless Holdings,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6"/>
              </w:rPr>
              <w:t>10/21/2021</w:t>
            </w:r>
          </w:p>
        </w:tc>
        <w:tc>
          <w:tcPr>
            <w:tcW w:w="100" w:type="dxa"/>
            <w:vAlign w:val="bottom"/>
          </w:tcPr>
          <w:p>
            <w:pPr>
              <w:spacing w:after="0"/>
              <w:rPr>
                <w:sz w:val="10"/>
                <w:szCs w:val="10"/>
                <w:color w:val="auto"/>
              </w:rPr>
            </w:pPr>
          </w:p>
        </w:tc>
        <w:tc>
          <w:tcPr>
            <w:tcW w:w="176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Retail</w:t>
            </w:r>
          </w:p>
        </w:tc>
        <w:tc>
          <w:tcPr>
            <w:tcW w:w="92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463</w:t>
            </w: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45,019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121,889</w:t>
            </w:r>
          </w:p>
        </w:tc>
        <w:tc>
          <w:tcPr>
            <w:tcW w:w="0" w:type="dxa"/>
            <w:vAlign w:val="bottom"/>
          </w:tcPr>
          <w:p>
            <w:pPr>
              <w:spacing w:after="0"/>
              <w:rPr>
                <w:sz w:val="1"/>
                <w:szCs w:val="1"/>
                <w:color w:val="auto"/>
              </w:rPr>
            </w:pPr>
          </w:p>
        </w:tc>
      </w:tr>
      <w:tr>
        <w:trPr>
          <w:trHeight w:val="149"/>
        </w:trPr>
        <w:tc>
          <w:tcPr>
            <w:tcW w:w="4540" w:type="dxa"/>
            <w:vAlign w:val="bottom"/>
            <w:gridSpan w:val="2"/>
          </w:tcPr>
          <w:p>
            <w:pPr>
              <w:ind w:left="140"/>
              <w:spacing w:after="0"/>
              <w:rPr>
                <w:sz w:val="20"/>
                <w:szCs w:val="20"/>
                <w:color w:val="auto"/>
              </w:rPr>
            </w:pPr>
            <w:r>
              <w:rPr>
                <w:rFonts w:ascii="Arial" w:cs="Arial" w:eastAsia="Arial" w:hAnsi="Arial"/>
                <w:sz w:val="13"/>
                <w:szCs w:val="13"/>
                <w:color w:val="auto"/>
              </w:rPr>
              <w:t>(AKA Diversified Holdings, Inc.) (Warrants)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Common Equity/Warrants</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1,535,997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1,893,453</w:t>
            </w:r>
          </w:p>
        </w:tc>
        <w:tc>
          <w:tcPr>
            <w:tcW w:w="0" w:type="dxa"/>
            <w:vAlign w:val="bottom"/>
          </w:tcPr>
          <w:p>
            <w:pPr>
              <w:spacing w:after="0"/>
              <w:rPr>
                <w:sz w:val="1"/>
                <w:szCs w:val="1"/>
                <w:color w:val="auto"/>
              </w:rPr>
            </w:pPr>
          </w:p>
        </w:tc>
      </w:tr>
      <w:tr>
        <w:trPr>
          <w:trHeight w:val="128"/>
        </w:trPr>
        <w:tc>
          <w:tcPr>
            <w:tcW w:w="45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348,354,295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348,428,492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Equivalents—6.1%</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spacing w:after="0" w:line="135" w:lineRule="exact"/>
              <w:rPr>
                <w:sz w:val="20"/>
                <w:szCs w:val="20"/>
                <w:color w:val="auto"/>
              </w:rPr>
            </w:pPr>
            <w:r>
              <w:rPr>
                <w:rFonts w:ascii="Arial" w:cs="Arial" w:eastAsia="Arial" w:hAnsi="Arial"/>
                <w:sz w:val="13"/>
                <w:szCs w:val="13"/>
                <w:color w:val="auto"/>
              </w:rPr>
              <w:t>BlackRock Liquidity Funds, Temp Cash and Temp Fund, Institutional Shares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8"/>
              </w:rPr>
              <w:t>13,113,817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13,113,817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Investments and Cash Equivalents—168.5%</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w w:val="88"/>
              </w:rPr>
              <w:t>361,468,112</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w w:val="96"/>
              </w:rPr>
              <w:t>361,542,309</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Assets—(68.5)%</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54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Arial" w:cs="Arial" w:eastAsia="Arial" w:hAnsi="Arial"/>
                <w:sz w:val="13"/>
                <w:szCs w:val="13"/>
                <w:color w:val="auto"/>
                <w:w w:val="86"/>
              </w:rPr>
              <w:t>(147,014,599)</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6"/>
              </w:rPr>
              <w:t>214,527,710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1028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3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5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66" w:lineRule="exact"/>
        <w:rPr>
          <w:rFonts w:ascii="Arial" w:cs="Arial" w:eastAsia="Arial" w:hAnsi="Arial"/>
          <w:sz w:val="13"/>
          <w:szCs w:val="13"/>
          <w:color w:val="auto"/>
        </w:rPr>
      </w:pPr>
    </w:p>
    <w:p>
      <w:pPr>
        <w:ind w:left="460" w:right="60" w:hanging="452"/>
        <w:spacing w:after="0" w:line="23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56" w:lineRule="exact"/>
        <w:rPr>
          <w:rFonts w:ascii="Arial" w:cs="Arial" w:eastAsia="Arial" w:hAnsi="Arial"/>
          <w:sz w:val="13"/>
          <w:szCs w:val="13"/>
          <w:color w:val="auto"/>
        </w:rPr>
      </w:pPr>
    </w:p>
    <w:p>
      <w:pPr>
        <w:ind w:left="460" w:right="60" w:hanging="452"/>
        <w:spacing w:after="0" w:line="23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5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101" w:lineRule="exact"/>
        <w:rPr>
          <w:rFonts w:ascii="Arial" w:cs="Arial" w:eastAsia="Arial" w:hAnsi="Arial"/>
          <w:sz w:val="10"/>
          <w:szCs w:val="10"/>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66" w:lineRule="exact"/>
        <w:rPr>
          <w:rFonts w:ascii="Arial" w:cs="Arial" w:eastAsia="Arial" w:hAnsi="Arial"/>
          <w:sz w:val="13"/>
          <w:szCs w:val="13"/>
          <w:color w:val="auto"/>
        </w:rPr>
      </w:pPr>
    </w:p>
    <w:p>
      <w:pPr>
        <w:ind w:left="460" w:right="440" w:hanging="452"/>
        <w:spacing w:after="0" w:line="23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80" w:firstLine="786"/>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4" w:lineRule="exact"/>
        <w:rPr>
          <w:sz w:val="20"/>
          <w:szCs w:val="20"/>
          <w:color w:val="auto"/>
        </w:rPr>
      </w:pPr>
    </w:p>
    <w:p>
      <w:pPr>
        <w:ind w:right="160" w:firstLine="786"/>
        <w:spacing w:after="0" w:line="228" w:lineRule="auto"/>
        <w:rPr>
          <w:sz w:val="20"/>
          <w:szCs w:val="20"/>
          <w:color w:val="auto"/>
        </w:rPr>
      </w:pPr>
      <w:r>
        <w:rPr>
          <w:rFonts w:ascii="Arial" w:cs="Arial" w:eastAsia="Arial" w:hAnsi="Arial"/>
          <w:sz w:val="14"/>
          <w:szCs w:val="14"/>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85" w:lineRule="exact"/>
        <w:rPr>
          <w:sz w:val="20"/>
          <w:szCs w:val="20"/>
          <w:color w:val="auto"/>
        </w:rPr>
      </w:pPr>
    </w:p>
    <w:p>
      <w:pPr>
        <w:jc w:val="both"/>
        <w:ind w:right="220" w:firstLine="786"/>
        <w:spacing w:after="0" w:line="335"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28" w:lineRule="exact"/>
        <w:rPr>
          <w:sz w:val="20"/>
          <w:szCs w:val="20"/>
          <w:color w:val="auto"/>
        </w:rPr>
      </w:pPr>
    </w:p>
    <w:p>
      <w:pPr>
        <w:ind w:right="120" w:firstLine="786"/>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9.</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786"/>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79" w:lineRule="exact"/>
        <w:rPr>
          <w:sz w:val="20"/>
          <w:szCs w:val="20"/>
          <w:color w:val="auto"/>
        </w:rPr>
      </w:pPr>
    </w:p>
    <w:p>
      <w:pPr>
        <w:ind w:right="20" w:firstLine="78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79" w:lineRule="exact"/>
        <w:rPr>
          <w:sz w:val="20"/>
          <w:szCs w:val="20"/>
          <w:color w:val="auto"/>
        </w:rPr>
      </w:pPr>
    </w:p>
    <w:p>
      <w:pPr>
        <w:ind w:right="20" w:firstLine="786"/>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448"/>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448"/>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448"/>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80" w:right="100" w:hanging="448"/>
        <w:spacing w:after="0" w:line="238"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448"/>
        <w:spacing w:after="0" w:line="25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4"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300" w:firstLine="786"/>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85"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85" w:lineRule="exact"/>
        <w:rPr>
          <w:sz w:val="20"/>
          <w:szCs w:val="20"/>
          <w:color w:val="auto"/>
        </w:rPr>
      </w:pPr>
    </w:p>
    <w:p>
      <w:pPr>
        <w:ind w:right="40" w:firstLine="786"/>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20" w:firstLine="786"/>
        <w:spacing w:after="0" w:line="248"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federal income taxes as a RIC, we have elected to retain a portion of our calendar year income. As a result, for the three and nine months ended June 30, 2015, we accrued estimated excise taxes of $0.1 million and $0.3 million, respectively. For the three and nine months ended June 30, 2014, we accrued estimated excise taxes of $0.1 million and $0.4 million, respectively.</w:t>
      </w:r>
    </w:p>
    <w:p>
      <w:pPr>
        <w:spacing w:after="0" w:line="180" w:lineRule="exact"/>
        <w:rPr>
          <w:sz w:val="20"/>
          <w:szCs w:val="20"/>
          <w:color w:val="auto"/>
        </w:rPr>
      </w:pPr>
    </w:p>
    <w:p>
      <w:pPr>
        <w:ind w:right="60" w:firstLine="786"/>
        <w:spacing w:after="0" w:line="238"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w:t>
      </w:r>
    </w:p>
    <w:p>
      <w:pPr>
        <w:spacing w:after="0" w:line="183" w:lineRule="exact"/>
        <w:rPr>
          <w:sz w:val="20"/>
          <w:szCs w:val="20"/>
          <w:color w:val="auto"/>
        </w:rPr>
      </w:pPr>
    </w:p>
    <w:p>
      <w:pPr>
        <w:jc w:val="both"/>
        <w:ind w:right="60" w:firstLine="786"/>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100" w:firstLine="786"/>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3" w:lineRule="exact"/>
        <w:rPr>
          <w:sz w:val="20"/>
          <w:szCs w:val="20"/>
          <w:color w:val="auto"/>
        </w:rPr>
      </w:pPr>
    </w:p>
    <w:p>
      <w:pPr>
        <w:ind w:right="340" w:firstLine="786"/>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(e) Consolidation</w:t>
      </w:r>
    </w:p>
    <w:p>
      <w:pPr>
        <w:spacing w:after="0" w:line="96"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96" w:lineRule="exact"/>
        <w:rPr>
          <w:sz w:val="20"/>
          <w:szCs w:val="20"/>
          <w:color w:val="auto"/>
        </w:rPr>
      </w:pPr>
    </w:p>
    <w:p>
      <w:pPr>
        <w:ind w:right="20" w:firstLine="786"/>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(g) Recent Accounting Pronouncements</w:t>
      </w:r>
    </w:p>
    <w:p>
      <w:pPr>
        <w:spacing w:after="0" w:line="96" w:lineRule="exact"/>
        <w:rPr>
          <w:sz w:val="20"/>
          <w:szCs w:val="20"/>
          <w:color w:val="auto"/>
        </w:rPr>
      </w:pPr>
    </w:p>
    <w:p>
      <w:pPr>
        <w:ind w:right="220" w:firstLine="786"/>
        <w:spacing w:after="0" w:line="255" w:lineRule="auto"/>
        <w:rPr>
          <w:sz w:val="20"/>
          <w:szCs w:val="20"/>
          <w:color w:val="auto"/>
        </w:rPr>
      </w:pPr>
      <w:r>
        <w:rPr>
          <w:rFonts w:ascii="Arial" w:cs="Arial" w:eastAsia="Arial" w:hAnsi="Arial"/>
          <w:sz w:val="13"/>
          <w:szCs w:val="13"/>
          <w:color w:val="auto"/>
        </w:rPr>
        <w:t>In April 2015, the Financial Accounting Standards Board issued Accounting Standards Update 2015-03, Interest — Imputation of Interest (Subtopic 835-30) — Simplifying the Presentation of Debt Issuance Costs. The update requires that debt issuance costs related to a recognized debt liability be presented in the balance sheet as a direct deduction from the carrying amount of that debt liability, consistent with debt discounts. Public companies are required to apply ASU 2015-03 retrospectively for interim and annual reporting periods beginning after December 15, 2015. Accordingly, we have evaluated ASU 2015-03 and anticipate no impact on our consolidated financial statements and disclosures.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20" w:firstLine="786"/>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2015.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77" w:lineRule="exact"/>
        <w:rPr>
          <w:sz w:val="20"/>
          <w:szCs w:val="20"/>
          <w:color w:val="auto"/>
        </w:rPr>
      </w:pPr>
    </w:p>
    <w:p>
      <w:pPr>
        <w:ind w:right="20" w:firstLine="786"/>
        <w:spacing w:after="0" w:line="245"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investments,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2015, the Investment Adviser earned base management fees of $0.9 million and $2.6 million, respectively, from us. For the three and nine months ended June 30, 2014, the Investment Adviser earned base management fees of $1.0 million and $2.8 million, respectively, from us.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incentive fee has two parts, as follows:</w:t>
      </w:r>
    </w:p>
    <w:p>
      <w:pPr>
        <w:spacing w:after="0" w:line="204" w:lineRule="exact"/>
        <w:rPr>
          <w:sz w:val="20"/>
          <w:szCs w:val="20"/>
          <w:color w:val="auto"/>
        </w:rPr>
      </w:pPr>
    </w:p>
    <w:p>
      <w:pPr>
        <w:ind w:firstLine="786"/>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2015, the Investment Adviser earned an incentive fee on net investment income as calculated under the Investment Management Agreement of $0.5 million and $2.3 million, respectively, from us. For the three and nine months ended June 30, 2014, the Investment Adviser earned an incentive fee on net investment income as calculated under the Investment Management Agreement of $0.7 million and $1.5 million, respectively, from us.</w:t>
      </w:r>
    </w:p>
    <w:p>
      <w:pPr>
        <w:spacing w:after="0" w:line="189" w:lineRule="exact"/>
        <w:rPr>
          <w:sz w:val="20"/>
          <w:szCs w:val="20"/>
          <w:color w:val="auto"/>
        </w:rPr>
      </w:pPr>
    </w:p>
    <w:p>
      <w:pPr>
        <w:ind w:right="120" w:firstLine="786"/>
        <w:spacing w:after="0" w:line="22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nine months ended June 30, 2015, the Investment Adviser earned an incentive fee on capital gains of zero and $(0.4) million, respectively, as calculated under the Investment Management Agreement. For the three and nine months ended June 30, 2014, the Investment Adviser earned an incentive fee on capital gains of $0.1 million and $0.8 million, respectively, as calculated under the Investment Management Agreement (as described above).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00"/>
          </w:cols>
          <w:pgMar w:left="32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786"/>
        <w:spacing w:after="0" w:line="261"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w:t>
      </w:r>
    </w:p>
    <w:p>
      <w:pPr>
        <w:spacing w:after="0" w:line="3"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color w:val="auto"/>
        </w:rPr>
        <w:t>be realized in the future. For the three and nine months ended June 30, 2015, the Investment Adviser accrued an incentive fee on unrealized and realized capital gains as calculated under GAAP of $0.1 million and $(0.2) million, respectively. For the three and nine months ended June 30, 2014, the Investment Adviser accrued an incentive fee on unrealized and realized capital gains as calculated under GAAP of $0.1 million and $0.6 million, respectively.</w:t>
      </w:r>
    </w:p>
    <w:p>
      <w:pPr>
        <w:spacing w:after="0" w:line="183" w:lineRule="exact"/>
        <w:rPr>
          <w:sz w:val="20"/>
          <w:szCs w:val="20"/>
          <w:color w:val="auto"/>
        </w:rPr>
      </w:pPr>
    </w:p>
    <w:p>
      <w:pPr>
        <w:ind w:right="40" w:firstLine="786"/>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2015.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nine months ended June 30, 2015, the Investment Adviser was reimbursed approximately $0.1 million and $0.5 million, respectively, from us, including expenses the Investment Adviser incurred on behalf of the Administrator, for services described above. For the three and nine months ended June 30, 2014, the Investment Adviser was reimbursed approximately $0.1 million and $0.4 million, respectively, from us, including expenses the Investment Adviser incurred on behalf of the Administrator, for services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100" w:firstLine="786"/>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2015 totaled $75.6 million and $161.3 million, respectively. For the same periods in the prior year, purchases of investments, including PIK interest, totaled $30.7 million and $185.2 million, respectively. Sales and repayments of investments for the three and nine months ended June 30, 2015 totaled $53.2 million and $146.2 million, respectively. For the same periods in the prior year, sales and repayments of investments totaled $55.6 million and $146.8 million, respectively.</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jc w:val="right"/>
              <w:ind w:right="610"/>
              <w:spacing w:after="0"/>
              <w:rPr>
                <w:sz w:val="20"/>
                <w:szCs w:val="20"/>
                <w:color w:val="auto"/>
              </w:rPr>
            </w:pPr>
            <w:r>
              <w:rPr>
                <w:rFonts w:ascii="Arial" w:cs="Arial" w:eastAsia="Arial" w:hAnsi="Arial"/>
                <w:sz w:val="13"/>
                <w:szCs w:val="13"/>
                <w:b w:val="1"/>
                <w:bCs w:val="1"/>
                <w:color w:val="auto"/>
              </w:rPr>
              <w:t>June 30, 2015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4"/>
          </w:tcPr>
          <w:p>
            <w:pPr>
              <w:ind w:left="400"/>
              <w:spacing w:after="0"/>
              <w:rPr>
                <w:sz w:val="20"/>
                <w:szCs w:val="20"/>
                <w:color w:val="auto"/>
              </w:rPr>
            </w:pPr>
            <w:r>
              <w:rPr>
                <w:rFonts w:ascii="Arial" w:cs="Arial" w:eastAsia="Arial" w:hAnsi="Arial"/>
                <w:sz w:val="13"/>
                <w:szCs w:val="13"/>
                <w:b w:val="1"/>
                <w:bCs w:val="1"/>
                <w:color w:val="auto"/>
              </w:rPr>
              <w:t>September 30, 2014</w:t>
            </w:r>
          </w:p>
        </w:tc>
        <w:tc>
          <w:tcPr>
            <w:tcW w:w="0" w:type="dxa"/>
            <w:vAlign w:val="bottom"/>
          </w:tcPr>
          <w:p>
            <w:pPr>
              <w:spacing w:after="0"/>
              <w:rPr>
                <w:sz w:val="1"/>
                <w:szCs w:val="1"/>
                <w:color w:val="auto"/>
              </w:rPr>
            </w:pPr>
          </w:p>
        </w:tc>
      </w:tr>
      <w:tr>
        <w:trPr>
          <w:trHeight w:val="128"/>
        </w:trPr>
        <w:tc>
          <w:tcPr>
            <w:tcW w:w="412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0"/>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70"/>
              <w:spacing w:after="0" w:line="129" w:lineRule="exact"/>
              <w:rPr>
                <w:sz w:val="20"/>
                <w:szCs w:val="20"/>
                <w:color w:val="auto"/>
              </w:rPr>
            </w:pPr>
            <w:r>
              <w:rPr>
                <w:rFonts w:ascii="Arial" w:cs="Arial" w:eastAsia="Arial" w:hAnsi="Arial"/>
                <w:sz w:val="13"/>
                <w:szCs w:val="13"/>
                <w:b w:val="1"/>
                <w:bCs w:val="1"/>
                <w:color w:val="auto"/>
              </w:rPr>
              <w:t>Cost</w:t>
            </w:r>
          </w:p>
        </w:tc>
        <w:tc>
          <w:tcPr>
            <w:tcW w:w="3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76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305,709,246</w:t>
            </w:r>
          </w:p>
        </w:tc>
        <w:tc>
          <w:tcPr>
            <w:tcW w:w="3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$ 304,068,247</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302,889,195</w:t>
            </w:r>
          </w:p>
        </w:tc>
        <w:tc>
          <w:tcPr>
            <w:tcW w:w="3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$ 302,565,355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46,045,910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46,316,898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36,193,947</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36,474,784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7,863,347</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5,365,373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7,335,452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2,506,407</w:t>
            </w:r>
          </w:p>
        </w:tc>
        <w:tc>
          <w:tcPr>
            <w:tcW w:w="3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3,069,099</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1,935,701</w:t>
            </w:r>
          </w:p>
        </w:tc>
        <w:tc>
          <w:tcPr>
            <w:tcW w:w="3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investments</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362,124,910</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358,819,617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348,354,295</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348,428,492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gridSpan w:val="2"/>
          </w:tcPr>
          <w:p>
            <w:pPr>
              <w:spacing w:after="0" w:line="142" w:lineRule="exact"/>
              <w:rPr>
                <w:sz w:val="20"/>
                <w:szCs w:val="20"/>
                <w:color w:val="auto"/>
              </w:rPr>
            </w:pPr>
            <w:r>
              <w:rPr>
                <w:rFonts w:ascii="Arial" w:cs="Arial" w:eastAsia="Arial" w:hAnsi="Arial"/>
                <w:sz w:val="14"/>
                <w:szCs w:val="14"/>
                <w:color w:val="auto"/>
              </w:rPr>
              <w:t>Cash equivalents</w:t>
            </w:r>
          </w:p>
        </w:tc>
        <w:tc>
          <w:tcPr>
            <w:tcW w:w="1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10,475,621</w:t>
            </w:r>
          </w:p>
        </w:tc>
        <w:tc>
          <w:tcPr>
            <w:tcW w:w="3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10,475,621</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13,113,817</w:t>
            </w:r>
          </w:p>
        </w:tc>
        <w:tc>
          <w:tcPr>
            <w:tcW w:w="3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13,113,817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investments and cash equivalents</w:t>
            </w:r>
          </w:p>
        </w:tc>
        <w:tc>
          <w:tcPr>
            <w:tcW w:w="1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372,600,531</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$ 369,295,238</w:t>
            </w: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361,468,112</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$ 361,542,309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80" w:firstLine="786"/>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w:t>
      </w: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Industry Classification</w:t>
            </w:r>
          </w:p>
        </w:tc>
        <w:tc>
          <w:tcPr>
            <w:tcW w:w="2460" w:type="dxa"/>
            <w:vAlign w:val="bottom"/>
          </w:tcPr>
          <w:p>
            <w:pPr>
              <w:spacing w:after="0"/>
              <w:rPr>
                <w:sz w:val="14"/>
                <w:szCs w:val="14"/>
                <w:color w:val="auto"/>
              </w:rPr>
            </w:pPr>
          </w:p>
        </w:tc>
        <w:tc>
          <w:tcPr>
            <w:tcW w:w="940" w:type="dxa"/>
            <w:vAlign w:val="bottom"/>
          </w:tcPr>
          <w:p>
            <w:pPr>
              <w:jc w:val="right"/>
              <w:ind w:right="31"/>
              <w:spacing w:after="0"/>
              <w:rPr>
                <w:sz w:val="20"/>
                <w:szCs w:val="20"/>
                <w:color w:val="auto"/>
              </w:rPr>
            </w:pPr>
            <w:r>
              <w:rPr>
                <w:rFonts w:ascii="Arial" w:cs="Arial" w:eastAsia="Arial" w:hAnsi="Arial"/>
                <w:sz w:val="13"/>
                <w:szCs w:val="13"/>
                <w:b w:val="1"/>
                <w:bCs w:val="1"/>
                <w:color w:val="auto"/>
                <w:w w:val="96"/>
              </w:rPr>
              <w:t>June 30, 2015</w:t>
            </w: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w w:val="83"/>
              </w:rPr>
              <w:t>September 30, 2014</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46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246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right"/>
              <w:ind w:right="171"/>
              <w:spacing w:after="0" w:line="142" w:lineRule="exact"/>
              <w:rPr>
                <w:sz w:val="20"/>
                <w:szCs w:val="20"/>
                <w:color w:val="auto"/>
              </w:rPr>
            </w:pPr>
            <w:r>
              <w:rPr>
                <w:rFonts w:ascii="Arial" w:cs="Arial" w:eastAsia="Arial" w:hAnsi="Arial"/>
                <w:sz w:val="14"/>
                <w:szCs w:val="14"/>
                <w:color w:val="auto"/>
              </w:rPr>
              <w:t>12%</w:t>
            </w:r>
          </w:p>
        </w:tc>
        <w:tc>
          <w:tcPr>
            <w:tcW w:w="700" w:type="dxa"/>
            <w:vAlign w:val="bottom"/>
            <w:vMerge w:val="continue"/>
            <w:shd w:val="clear" w:color="auto" w:fill="CCEEFF"/>
          </w:tcPr>
          <w:p>
            <w:pPr>
              <w:spacing w:after="0"/>
              <w:rPr>
                <w:sz w:val="12"/>
                <w:szCs w:val="12"/>
                <w:color w:val="auto"/>
              </w:rPr>
            </w:pPr>
          </w:p>
        </w:tc>
        <w:tc>
          <w:tcPr>
            <w:tcW w:w="1040" w:type="dxa"/>
            <w:vAlign w:val="bottom"/>
            <w:shd w:val="clear" w:color="auto" w:fill="CCEEFF"/>
          </w:tcPr>
          <w:p>
            <w:pPr>
              <w:jc w:val="right"/>
              <w:ind w:right="230"/>
              <w:spacing w:after="0" w:line="142"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High Tech Industries</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Retail</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7</w:t>
            </w:r>
          </w:p>
        </w:tc>
        <w:tc>
          <w:tcPr>
            <w:tcW w:w="17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6</w:t>
            </w:r>
          </w:p>
        </w:tc>
        <w:tc>
          <w:tcPr>
            <w:tcW w:w="174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Durable</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6</w:t>
            </w:r>
          </w:p>
        </w:tc>
        <w:tc>
          <w:tcPr>
            <w:tcW w:w="17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6</w:t>
            </w:r>
          </w:p>
        </w:tc>
        <w:tc>
          <w:tcPr>
            <w:tcW w:w="174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Non-Durable</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5</w:t>
            </w:r>
          </w:p>
        </w:tc>
        <w:tc>
          <w:tcPr>
            <w:tcW w:w="17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5</w:t>
            </w:r>
          </w:p>
        </w:tc>
        <w:tc>
          <w:tcPr>
            <w:tcW w:w="174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5</w:t>
            </w:r>
          </w:p>
        </w:tc>
        <w:tc>
          <w:tcPr>
            <w:tcW w:w="17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4</w:t>
            </w:r>
          </w:p>
        </w:tc>
        <w:tc>
          <w:tcPr>
            <w:tcW w:w="174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4</w:t>
            </w:r>
          </w:p>
        </w:tc>
        <w:tc>
          <w:tcPr>
            <w:tcW w:w="17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3</w:t>
            </w:r>
          </w:p>
        </w:tc>
        <w:tc>
          <w:tcPr>
            <w:tcW w:w="174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Energy: Oil and Gas</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3</w:t>
            </w:r>
          </w:p>
        </w:tc>
        <w:tc>
          <w:tcPr>
            <w:tcW w:w="17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Wholesale</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3</w:t>
            </w: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Industries</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2</w:t>
            </w:r>
          </w:p>
        </w:tc>
        <w:tc>
          <w:tcPr>
            <w:tcW w:w="700" w:type="dxa"/>
            <w:vAlign w:val="bottom"/>
          </w:tcPr>
          <w:p>
            <w:pPr>
              <w:spacing w:after="0"/>
              <w:rPr>
                <w:sz w:val="12"/>
                <w:szCs w:val="12"/>
                <w:color w:val="auto"/>
              </w:rPr>
            </w:pPr>
          </w:p>
        </w:tc>
        <w:tc>
          <w:tcPr>
            <w:tcW w:w="1040" w:type="dxa"/>
            <w:vAlign w:val="bottom"/>
          </w:tcPr>
          <w:p>
            <w:pPr>
              <w:jc w:val="right"/>
              <w:ind w:right="33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2</w:t>
            </w:r>
          </w:p>
        </w:tc>
        <w:tc>
          <w:tcPr>
            <w:tcW w:w="174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3400" w:type="dxa"/>
            <w:vAlign w:val="bottom"/>
            <w:gridSpan w:val="2"/>
          </w:tcPr>
          <w:p>
            <w:pPr>
              <w:jc w:val="right"/>
              <w:ind w:right="291"/>
              <w:spacing w:after="0" w:line="149" w:lineRule="exact"/>
              <w:rPr>
                <w:sz w:val="20"/>
                <w:szCs w:val="20"/>
                <w:color w:val="auto"/>
              </w:rPr>
            </w:pPr>
            <w:r>
              <w:rPr>
                <w:rFonts w:ascii="Arial" w:cs="Arial" w:eastAsia="Arial" w:hAnsi="Arial"/>
                <w:sz w:val="14"/>
                <w:szCs w:val="14"/>
                <w:color w:val="auto"/>
              </w:rPr>
              <w:t>1</w:t>
            </w:r>
          </w:p>
        </w:tc>
        <w:tc>
          <w:tcPr>
            <w:tcW w:w="17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3400" w:type="dxa"/>
            <w:vAlign w:val="bottom"/>
            <w:gridSpan w:val="2"/>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4</w:t>
            </w:r>
          </w:p>
        </w:tc>
        <w:tc>
          <w:tcPr>
            <w:tcW w:w="1740" w:type="dxa"/>
            <w:vAlign w:val="bottom"/>
            <w:gridSpan w:val="2"/>
            <w:shd w:val="clear" w:color="auto" w:fill="CCEEFF"/>
          </w:tcPr>
          <w:p>
            <w:pPr>
              <w:jc w:val="right"/>
              <w:ind w:right="33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2"/>
        </w:trPr>
        <w:tc>
          <w:tcPr>
            <w:tcW w:w="3380" w:type="dxa"/>
            <w:vAlign w:val="bottom"/>
            <w:gridSpan w:val="2"/>
          </w:tcPr>
          <w:p>
            <w:pPr>
              <w:spacing w:after="0" w:line="142" w:lineRule="exact"/>
              <w:rPr>
                <w:sz w:val="20"/>
                <w:szCs w:val="20"/>
                <w:color w:val="auto"/>
              </w:rPr>
            </w:pPr>
            <w:r>
              <w:rPr>
                <w:rFonts w:ascii="Arial" w:cs="Arial" w:eastAsia="Arial" w:hAnsi="Arial"/>
                <w:sz w:val="14"/>
                <w:szCs w:val="14"/>
                <w:color w:val="auto"/>
              </w:rPr>
              <w:t>Total</w:t>
            </w:r>
          </w:p>
        </w:tc>
        <w:tc>
          <w:tcPr>
            <w:tcW w:w="24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100%</w:t>
            </w:r>
          </w:p>
        </w:tc>
        <w:tc>
          <w:tcPr>
            <w:tcW w:w="7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60" w:type="dxa"/>
            <w:vAlign w:val="bottom"/>
            <w:vMerge w:val="restart"/>
          </w:tcPr>
          <w:p>
            <w:pPr>
              <w:jc w:val="right"/>
              <w:ind w:right="142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40" w:firstLine="786"/>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820" w:hanging="782"/>
        <w:spacing w:after="0" w:line="238"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80" w:right="860" w:hanging="782"/>
        <w:spacing w:after="0" w:line="253" w:lineRule="auto"/>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ind w:right="40" w:firstLine="786"/>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68"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84"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84" w:lineRule="exact"/>
        <w:rPr>
          <w:sz w:val="20"/>
          <w:szCs w:val="20"/>
          <w:color w:val="auto"/>
        </w:rPr>
      </w:pPr>
    </w:p>
    <w:p>
      <w:pPr>
        <w:ind w:right="120" w:firstLine="786"/>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3 and one reclassification from Level 3 to 2 during the nine months ended June 30, 2015 and no reclassification of assets between levels during the nine months ended June 30, 2014.</w:t>
      </w:r>
    </w:p>
    <w:p>
      <w:pPr>
        <w:spacing w:after="0" w:line="185"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3" w:lineRule="exact"/>
        <w:rPr>
          <w:sz w:val="20"/>
          <w:szCs w:val="20"/>
          <w:color w:val="auto"/>
        </w:rPr>
      </w:pPr>
    </w:p>
    <w:p>
      <w:pPr>
        <w:ind w:right="20" w:firstLine="786"/>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5" w:lineRule="exact"/>
        <w:rPr>
          <w:sz w:val="20"/>
          <w:szCs w:val="20"/>
          <w:color w:val="auto"/>
        </w:rPr>
      </w:pPr>
    </w:p>
    <w:p>
      <w:pPr>
        <w:ind w:firstLine="786"/>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 at</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0"/>
              </w:rPr>
              <w:t>Range of Input</w:t>
            </w:r>
          </w:p>
        </w:tc>
        <w:tc>
          <w:tcPr>
            <w:tcW w:w="0" w:type="dxa"/>
            <w:vAlign w:val="bottom"/>
          </w:tcPr>
          <w:p>
            <w:pPr>
              <w:spacing w:after="0"/>
              <w:rPr>
                <w:sz w:val="1"/>
                <w:szCs w:val="1"/>
                <w:color w:val="auto"/>
              </w:rPr>
            </w:pPr>
          </w:p>
        </w:tc>
      </w:tr>
      <w:tr>
        <w:trPr>
          <w:trHeight w:val="153"/>
        </w:trPr>
        <w:tc>
          <w:tcPr>
            <w:tcW w:w="5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2015</w:t>
            </w:r>
          </w:p>
        </w:tc>
        <w:tc>
          <w:tcPr>
            <w:tcW w:w="260" w:type="dxa"/>
            <w:vAlign w:val="bottom"/>
          </w:tcPr>
          <w:p>
            <w:pPr>
              <w:spacing w:after="0"/>
              <w:rPr>
                <w:sz w:val="13"/>
                <w:szCs w:val="13"/>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Valuation Technique</w:t>
            </w:r>
          </w:p>
        </w:tc>
        <w:tc>
          <w:tcPr>
            <w:tcW w:w="1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Unobservable Input</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c>
          <w:tcPr>
            <w:tcW w:w="0" w:type="dxa"/>
            <w:vAlign w:val="bottom"/>
          </w:tcPr>
          <w:p>
            <w:pPr>
              <w:spacing w:after="0"/>
              <w:rPr>
                <w:sz w:val="1"/>
                <w:szCs w:val="1"/>
                <w:color w:val="auto"/>
              </w:rPr>
            </w:pPr>
          </w:p>
        </w:tc>
      </w:tr>
      <w:tr>
        <w:trPr>
          <w:trHeight w:val="142"/>
        </w:trPr>
        <w:tc>
          <w:tcPr>
            <w:tcW w:w="4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240,836,641</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2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114,150,917</w:t>
            </w:r>
          </w:p>
        </w:tc>
        <w:tc>
          <w:tcPr>
            <w:tcW w:w="26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6.0% – 38.5% (11.4%)</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286,205</w:t>
            </w: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Broker/Dealer bid quotes</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2,589,822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Enterprise Market Value</w:t>
            </w: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EBITDA multiple</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4.8x – 10.0x (6.6x)</w:t>
            </w:r>
          </w:p>
        </w:tc>
        <w:tc>
          <w:tcPr>
            <w:tcW w:w="0" w:type="dxa"/>
            <w:vAlign w:val="bottom"/>
          </w:tcPr>
          <w:p>
            <w:pPr>
              <w:spacing w:after="0"/>
              <w:rPr>
                <w:sz w:val="1"/>
                <w:szCs w:val="1"/>
                <w:color w:val="auto"/>
              </w:rPr>
            </w:pPr>
          </w:p>
        </w:tc>
      </w:tr>
      <w:tr>
        <w:trPr>
          <w:trHeight w:val="142"/>
        </w:trPr>
        <w:tc>
          <w:tcPr>
            <w:tcW w:w="516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Level 3 investments</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357,863,585</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7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3.2%</w:t>
            </w:r>
          </w:p>
        </w:tc>
        <w:tc>
          <w:tcPr>
            <w:tcW w:w="0" w:type="dxa"/>
            <w:vAlign w:val="bottom"/>
          </w:tcPr>
          <w:p>
            <w:pPr>
              <w:spacing w:after="0" w:line="20" w:lineRule="exact"/>
              <w:rPr>
                <w:sz w:val="1"/>
                <w:szCs w:val="1"/>
                <w:color w:val="auto"/>
              </w:rPr>
            </w:pPr>
          </w:p>
        </w:tc>
      </w:tr>
      <w:tr>
        <w:trPr>
          <w:trHeight w:val="129"/>
        </w:trPr>
        <w:tc>
          <w:tcPr>
            <w:tcW w:w="516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140,015,250</w:t>
            </w:r>
          </w:p>
        </w:tc>
        <w:tc>
          <w:tcPr>
            <w:tcW w:w="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 at</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0"/>
              </w:rPr>
              <w:t>Range of Input</w:t>
            </w:r>
          </w:p>
        </w:tc>
        <w:tc>
          <w:tcPr>
            <w:tcW w:w="0" w:type="dxa"/>
            <w:vAlign w:val="bottom"/>
          </w:tcPr>
          <w:p>
            <w:pPr>
              <w:spacing w:after="0"/>
              <w:rPr>
                <w:sz w:val="1"/>
                <w:szCs w:val="1"/>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3"/>
                <w:szCs w:val="13"/>
                <w:b w:val="1"/>
                <w:bCs w:val="1"/>
                <w:color w:val="auto"/>
              </w:rPr>
              <w:t>Asset Category</w:t>
            </w: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w w:val="87"/>
              </w:rPr>
              <w:t>September 30, 2014</w:t>
            </w:r>
          </w:p>
        </w:tc>
        <w:tc>
          <w:tcPr>
            <w:tcW w:w="26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Valuation Technique</w:t>
            </w:r>
          </w:p>
        </w:tc>
        <w:tc>
          <w:tcPr>
            <w:tcW w:w="1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Unobservable Input</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(Weighted Average)</w:t>
            </w:r>
          </w:p>
        </w:tc>
        <w:tc>
          <w:tcPr>
            <w:tcW w:w="0" w:type="dxa"/>
            <w:vAlign w:val="bottom"/>
          </w:tcPr>
          <w:p>
            <w:pPr>
              <w:spacing w:after="0"/>
              <w:rPr>
                <w:sz w:val="1"/>
                <w:szCs w:val="1"/>
                <w:color w:val="auto"/>
              </w:rPr>
            </w:pPr>
          </w:p>
        </w:tc>
      </w:tr>
      <w:tr>
        <w:trPr>
          <w:trHeight w:val="142"/>
        </w:trPr>
        <w:tc>
          <w:tcPr>
            <w:tcW w:w="4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282,659,683</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2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58,304,473</w:t>
            </w:r>
          </w:p>
        </w:tc>
        <w:tc>
          <w:tcPr>
            <w:tcW w:w="26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6.5% – 14.1% (11.6%)</w:t>
            </w: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1,062,806</w:t>
            </w: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Market Comparable</w:t>
            </w:r>
          </w:p>
        </w:tc>
        <w:tc>
          <w:tcPr>
            <w:tcW w:w="17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Broker/Dealer bid quotes</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1,245,623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Enterprise Market Value</w:t>
            </w: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EBITDA multiple</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5"/>
              </w:rPr>
              <w:t>5.0x–9.5x (7.6x)</w:t>
            </w:r>
          </w:p>
        </w:tc>
        <w:tc>
          <w:tcPr>
            <w:tcW w:w="0" w:type="dxa"/>
            <w:vAlign w:val="bottom"/>
          </w:tcPr>
          <w:p>
            <w:pPr>
              <w:spacing w:after="0"/>
              <w:rPr>
                <w:sz w:val="1"/>
                <w:szCs w:val="1"/>
                <w:color w:val="auto"/>
              </w:rPr>
            </w:pPr>
          </w:p>
        </w:tc>
      </w:tr>
      <w:tr>
        <w:trPr>
          <w:trHeight w:val="142"/>
        </w:trPr>
        <w:tc>
          <w:tcPr>
            <w:tcW w:w="516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Level 3 investments</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343,272,585</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2"/>
              </w:rPr>
              <w:t>Market Comparable</w:t>
            </w:r>
          </w:p>
        </w:tc>
        <w:tc>
          <w:tcPr>
            <w:tcW w:w="17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line="20" w:lineRule="exact"/>
              <w:rPr>
                <w:sz w:val="1"/>
                <w:szCs w:val="1"/>
                <w:color w:val="auto"/>
              </w:rPr>
            </w:pPr>
          </w:p>
        </w:tc>
      </w:tr>
      <w:tr>
        <w:trPr>
          <w:trHeight w:val="129"/>
        </w:trPr>
        <w:tc>
          <w:tcPr>
            <w:tcW w:w="516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146,949,000</w:t>
            </w:r>
          </w:p>
        </w:tc>
        <w:tc>
          <w:tcPr>
            <w:tcW w:w="20" w:type="dxa"/>
            <w:vAlign w:val="bottom"/>
            <w:tcBorders>
              <w:bottom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investments, cash equivalents and Credit Facility were categorized as follows in the fair value hierarchy for ASC 820 purposes: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41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7"/>
          </w:tcPr>
          <w:p>
            <w:pPr>
              <w:ind w:left="180"/>
              <w:spacing w:after="0"/>
              <w:rPr>
                <w:sz w:val="20"/>
                <w:szCs w:val="20"/>
                <w:color w:val="auto"/>
              </w:rPr>
            </w:pPr>
            <w:r>
              <w:rPr>
                <w:rFonts w:ascii="Arial" w:cs="Arial" w:eastAsia="Arial" w:hAnsi="Arial"/>
                <w:sz w:val="13"/>
                <w:szCs w:val="13"/>
                <w:b w:val="1"/>
                <w:bCs w:val="1"/>
                <w:color w:val="auto"/>
                <w:w w:val="89"/>
              </w:rPr>
              <w:t>Fair Value Measurements at June 30, 2015</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14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$ 304,068,247</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304,068,247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46,316,898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46,316,898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5,365,373</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762,960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4,602,413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20" w:type="dxa"/>
            <w:vAlign w:val="bottom"/>
            <w:gridSpan w:val="2"/>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3,069,099</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193,072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2,876,027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investments</w:t>
            </w:r>
          </w:p>
        </w:tc>
        <w:tc>
          <w:tcPr>
            <w:tcW w:w="26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358,819,617</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956,032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357,863,585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line="142" w:lineRule="exact"/>
              <w:rPr>
                <w:sz w:val="20"/>
                <w:szCs w:val="20"/>
                <w:color w:val="auto"/>
              </w:rPr>
            </w:pPr>
            <w:r>
              <w:rPr>
                <w:rFonts w:ascii="Arial" w:cs="Arial" w:eastAsia="Arial" w:hAnsi="Arial"/>
                <w:sz w:val="14"/>
                <w:szCs w:val="14"/>
                <w:color w:val="auto"/>
              </w:rPr>
              <w:t>Cash equivalents</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10,475,621</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1"/>
              </w:rPr>
              <w:t>10,475,621</w:t>
            </w:r>
          </w:p>
        </w:tc>
        <w:tc>
          <w:tcPr>
            <w:tcW w:w="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investments and cash equivalents</w:t>
            </w:r>
          </w:p>
        </w:tc>
        <w:tc>
          <w:tcPr>
            <w:tcW w:w="26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$ 369,295,238</w:t>
            </w:r>
          </w:p>
        </w:tc>
        <w:tc>
          <w:tcPr>
            <w:tcW w:w="1100" w:type="dxa"/>
            <w:vAlign w:val="bottom"/>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w w:val="92"/>
              </w:rPr>
              <w:t>$ 10,475,621</w:t>
            </w:r>
          </w:p>
        </w:tc>
        <w:tc>
          <w:tcPr>
            <w:tcW w:w="4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956,032</w:t>
            </w:r>
          </w:p>
        </w:tc>
        <w:tc>
          <w:tcPr>
            <w:tcW w:w="2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357,863,585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5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4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$ 140,015,250</w:t>
            </w:r>
          </w:p>
        </w:tc>
        <w:tc>
          <w:tcPr>
            <w:tcW w:w="32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ind w:left="460"/>
              <w:spacing w:after="0" w:line="129" w:lineRule="exact"/>
              <w:rPr>
                <w:sz w:val="20"/>
                <w:szCs w:val="20"/>
                <w:color w:val="auto"/>
              </w:rPr>
            </w:pPr>
            <w:r>
              <w:rPr>
                <w:rFonts w:ascii="Arial" w:cs="Arial" w:eastAsia="Arial" w:hAnsi="Arial"/>
                <w:sz w:val="14"/>
                <w:szCs w:val="14"/>
                <w:color w:val="auto"/>
              </w:rPr>
              <w:t>—</w:t>
            </w:r>
          </w:p>
        </w:tc>
        <w:tc>
          <w:tcPr>
            <w:tcW w:w="3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9"/>
              <w:spacing w:after="0" w:line="129" w:lineRule="exact"/>
              <w:rPr>
                <w:sz w:val="20"/>
                <w:szCs w:val="20"/>
                <w:color w:val="auto"/>
              </w:rPr>
            </w:pPr>
            <w:r>
              <w:rPr>
                <w:rFonts w:ascii="Arial" w:cs="Arial" w:eastAsia="Arial" w:hAnsi="Arial"/>
                <w:sz w:val="14"/>
                <w:szCs w:val="14"/>
                <w:color w:val="auto"/>
              </w:rPr>
              <w:t>—</w:t>
            </w:r>
          </w:p>
        </w:tc>
        <w:tc>
          <w:tcPr>
            <w:tcW w:w="2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140,015,250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1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right"/>
              <w:ind w:right="29"/>
              <w:spacing w:after="0"/>
              <w:rPr>
                <w:sz w:val="20"/>
                <w:szCs w:val="20"/>
                <w:color w:val="auto"/>
              </w:rPr>
            </w:pPr>
            <w:r>
              <w:rPr>
                <w:rFonts w:ascii="Arial" w:cs="Arial" w:eastAsia="Arial" w:hAnsi="Arial"/>
                <w:sz w:val="13"/>
                <w:szCs w:val="13"/>
                <w:b w:val="1"/>
                <w:bCs w:val="1"/>
                <w:color w:val="auto"/>
                <w:w w:val="87"/>
              </w:rPr>
              <w:t>Fair Value Measurements at September 30, 2014</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4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Fair Value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89"/>
              <w:spacing w:after="0" w:line="129"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1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$ 302,565,355</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302,565,355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36,474,784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36,474,784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7,073,685</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5,149,668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1,924,017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820" w:type="dxa"/>
            <w:vAlign w:val="bottom"/>
            <w:gridSpan w:val="2"/>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2,314,668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6,239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2,308,429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investments</w:t>
            </w:r>
          </w:p>
        </w:tc>
        <w:tc>
          <w:tcPr>
            <w:tcW w:w="26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348,428,492</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5,155,907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343,272,585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line="142" w:lineRule="exact"/>
              <w:rPr>
                <w:sz w:val="20"/>
                <w:szCs w:val="20"/>
                <w:color w:val="auto"/>
              </w:rPr>
            </w:pPr>
            <w:r>
              <w:rPr>
                <w:rFonts w:ascii="Arial" w:cs="Arial" w:eastAsia="Arial" w:hAnsi="Arial"/>
                <w:sz w:val="14"/>
                <w:szCs w:val="14"/>
                <w:color w:val="auto"/>
              </w:rPr>
              <w:t>Cash equivalents</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13,113,817</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1"/>
              </w:rPr>
              <w:t>13,113,817</w:t>
            </w:r>
          </w:p>
        </w:tc>
        <w:tc>
          <w:tcPr>
            <w:tcW w:w="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investments and cash equivalents</w:t>
            </w:r>
          </w:p>
        </w:tc>
        <w:tc>
          <w:tcPr>
            <w:tcW w:w="26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$ 361,542,309</w:t>
            </w:r>
          </w:p>
        </w:tc>
        <w:tc>
          <w:tcPr>
            <w:tcW w:w="1100" w:type="dxa"/>
            <w:vAlign w:val="bottom"/>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w w:val="92"/>
              </w:rPr>
              <w:t>$ 13,113,817</w:t>
            </w:r>
          </w:p>
        </w:tc>
        <w:tc>
          <w:tcPr>
            <w:tcW w:w="4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5,155,907</w:t>
            </w:r>
          </w:p>
        </w:tc>
        <w:tc>
          <w:tcPr>
            <w:tcW w:w="2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343,272,585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5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4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$ 146,949,000</w:t>
            </w:r>
          </w:p>
        </w:tc>
        <w:tc>
          <w:tcPr>
            <w:tcW w:w="32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ind w:left="460"/>
              <w:spacing w:after="0" w:line="129" w:lineRule="exact"/>
              <w:rPr>
                <w:sz w:val="20"/>
                <w:szCs w:val="20"/>
                <w:color w:val="auto"/>
              </w:rPr>
            </w:pPr>
            <w:r>
              <w:rPr>
                <w:rFonts w:ascii="Arial" w:cs="Arial" w:eastAsia="Arial" w:hAnsi="Arial"/>
                <w:sz w:val="14"/>
                <w:szCs w:val="14"/>
                <w:color w:val="auto"/>
              </w:rPr>
              <w:t>—</w:t>
            </w:r>
          </w:p>
        </w:tc>
        <w:tc>
          <w:tcPr>
            <w:tcW w:w="3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9"/>
              <w:spacing w:after="0" w:line="129" w:lineRule="exact"/>
              <w:rPr>
                <w:sz w:val="20"/>
                <w:szCs w:val="20"/>
                <w:color w:val="auto"/>
              </w:rPr>
            </w:pPr>
            <w:r>
              <w:rPr>
                <w:rFonts w:ascii="Arial" w:cs="Arial" w:eastAsia="Arial" w:hAnsi="Arial"/>
                <w:sz w:val="14"/>
                <w:szCs w:val="14"/>
                <w:color w:val="auto"/>
              </w:rPr>
              <w:t>—</w:t>
            </w:r>
          </w:p>
        </w:tc>
        <w:tc>
          <w:tcPr>
            <w:tcW w:w="2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146,949,000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40" w:type="dxa"/>
            <w:vAlign w:val="bottom"/>
            <w:vMerge w:val="restart"/>
          </w:tcPr>
          <w:p>
            <w:pPr>
              <w:jc w:val="right"/>
              <w:ind w:right="368"/>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1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Nine Months Ended June 30, 2015</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400"/>
              <w:spacing w:after="0" w:line="110" w:lineRule="exact"/>
              <w:rPr>
                <w:sz w:val="20"/>
                <w:szCs w:val="20"/>
                <w:color w:val="auto"/>
              </w:rPr>
            </w:pPr>
            <w:r>
              <w:rPr>
                <w:rFonts w:ascii="Arial" w:cs="Arial" w:eastAsia="Arial" w:hAnsi="Arial"/>
                <w:sz w:val="12"/>
                <w:szCs w:val="12"/>
                <w:b w:val="1"/>
                <w:bCs w:val="1"/>
                <w:color w:val="auto"/>
                <w:w w:val="90"/>
              </w:rPr>
              <w:t>Second lien,</w:t>
            </w: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6"/>
              </w:rPr>
              <w:t>subordinated debt</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right"/>
              <w:ind w:right="597"/>
              <w:spacing w:after="0"/>
              <w:rPr>
                <w:sz w:val="20"/>
                <w:szCs w:val="20"/>
                <w:color w:val="auto"/>
              </w:rPr>
            </w:pPr>
            <w:r>
              <w:rPr>
                <w:rFonts w:ascii="Arial" w:cs="Arial" w:eastAsia="Arial" w:hAnsi="Arial"/>
                <w:sz w:val="13"/>
                <w:szCs w:val="13"/>
                <w:b w:val="1"/>
                <w:bCs w:val="1"/>
                <w:color w:val="auto"/>
              </w:rPr>
              <w:t>First Lien</w:t>
            </w:r>
          </w:p>
        </w:tc>
        <w:tc>
          <w:tcPr>
            <w:tcW w:w="16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5"/>
              </w:rPr>
              <w:t>and equity investments</w:t>
            </w:r>
          </w:p>
        </w:tc>
        <w:tc>
          <w:tcPr>
            <w:tcW w:w="28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6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40,707,230</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343,272,585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40" w:type="dxa"/>
            <w:vAlign w:val="bottom"/>
          </w:tcPr>
          <w:p>
            <w:pPr>
              <w:spacing w:after="0"/>
              <w:rPr>
                <w:sz w:val="12"/>
                <w:szCs w:val="12"/>
                <w:color w:val="auto"/>
              </w:rPr>
            </w:pPr>
          </w:p>
        </w:tc>
        <w:tc>
          <w:tcPr>
            <w:tcW w:w="1360" w:type="dxa"/>
            <w:vAlign w:val="bottom"/>
            <w:gridSpan w:val="2"/>
          </w:tcPr>
          <w:p>
            <w:pPr>
              <w:jc w:val="right"/>
              <w:ind w:right="177"/>
              <w:spacing w:after="0" w:line="149" w:lineRule="exact"/>
              <w:rPr>
                <w:sz w:val="20"/>
                <w:szCs w:val="20"/>
                <w:color w:val="auto"/>
              </w:rPr>
            </w:pPr>
            <w:r>
              <w:rPr>
                <w:rFonts w:ascii="Arial" w:cs="Arial" w:eastAsia="Arial" w:hAnsi="Arial"/>
                <w:sz w:val="14"/>
                <w:szCs w:val="14"/>
                <w:color w:val="auto"/>
              </w:rPr>
              <w:t>(97,291)</w:t>
            </w:r>
          </w:p>
        </w:tc>
        <w:tc>
          <w:tcPr>
            <w:tcW w:w="120" w:type="dxa"/>
            <w:vAlign w:val="bottom"/>
          </w:tcPr>
          <w:p>
            <w:pPr>
              <w:spacing w:after="0"/>
              <w:rPr>
                <w:sz w:val="12"/>
                <w:szCs w:val="12"/>
                <w:color w:val="auto"/>
              </w:rPr>
            </w:pPr>
          </w:p>
        </w:tc>
        <w:tc>
          <w:tcPr>
            <w:tcW w:w="1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606,110</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508,819</w:t>
            </w:r>
          </w:p>
        </w:tc>
        <w:tc>
          <w:tcPr>
            <w:tcW w:w="0" w:type="dxa"/>
            <w:vAlign w:val="bottom"/>
          </w:tcPr>
          <w:p>
            <w:pPr>
              <w:spacing w:after="0"/>
              <w:rPr>
                <w:sz w:val="1"/>
                <w:szCs w:val="1"/>
                <w:color w:val="auto"/>
              </w:rPr>
            </w:pPr>
          </w:p>
        </w:tc>
      </w:tr>
      <w:tr>
        <w:trPr>
          <w:trHeight w:val="148"/>
        </w:trPr>
        <w:tc>
          <w:tcPr>
            <w:tcW w:w="6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77"/>
              <w:spacing w:after="0" w:line="149" w:lineRule="exact"/>
              <w:rPr>
                <w:sz w:val="20"/>
                <w:szCs w:val="20"/>
                <w:color w:val="auto"/>
              </w:rPr>
            </w:pPr>
            <w:r>
              <w:rPr>
                <w:rFonts w:ascii="Arial" w:cs="Arial" w:eastAsia="Arial" w:hAnsi="Arial"/>
                <w:sz w:val="14"/>
                <w:szCs w:val="14"/>
                <w:color w:val="auto"/>
              </w:rPr>
              <w:t>(1,317,159)</w:t>
            </w: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(1,158,473)</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(2,475,632)</w:t>
            </w:r>
          </w:p>
        </w:tc>
        <w:tc>
          <w:tcPr>
            <w:tcW w:w="0" w:type="dxa"/>
            <w:vAlign w:val="bottom"/>
          </w:tcPr>
          <w:p>
            <w:pPr>
              <w:spacing w:after="0"/>
              <w:rPr>
                <w:sz w:val="1"/>
                <w:szCs w:val="1"/>
                <w:color w:val="auto"/>
              </w:rPr>
            </w:pPr>
          </w:p>
        </w:tc>
      </w:tr>
      <w:tr>
        <w:trPr>
          <w:trHeight w:val="148"/>
        </w:trPr>
        <w:tc>
          <w:tcPr>
            <w:tcW w:w="6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40" w:type="dxa"/>
            <w:vAlign w:val="bottom"/>
          </w:tcPr>
          <w:p>
            <w:pPr>
              <w:spacing w:after="0"/>
              <w:rPr>
                <w:sz w:val="12"/>
                <w:szCs w:val="12"/>
                <w:color w:val="auto"/>
              </w:rPr>
            </w:pPr>
          </w:p>
        </w:tc>
        <w:tc>
          <w:tcPr>
            <w:tcW w:w="1360" w:type="dxa"/>
            <w:vAlign w:val="bottom"/>
            <w:gridSpan w:val="2"/>
          </w:tcPr>
          <w:p>
            <w:pPr>
              <w:jc w:val="right"/>
              <w:ind w:right="217"/>
              <w:spacing w:after="0" w:line="149" w:lineRule="exact"/>
              <w:rPr>
                <w:sz w:val="20"/>
                <w:szCs w:val="20"/>
                <w:color w:val="auto"/>
              </w:rPr>
            </w:pPr>
            <w:r>
              <w:rPr>
                <w:rFonts w:ascii="Arial" w:cs="Arial" w:eastAsia="Arial" w:hAnsi="Arial"/>
                <w:sz w:val="14"/>
                <w:szCs w:val="14"/>
                <w:color w:val="auto"/>
              </w:rPr>
              <w:t>142,839,788</w:t>
            </w:r>
          </w:p>
        </w:tc>
        <w:tc>
          <w:tcPr>
            <w:tcW w:w="120" w:type="dxa"/>
            <w:vAlign w:val="bottom"/>
          </w:tcPr>
          <w:p>
            <w:pPr>
              <w:spacing w:after="0"/>
              <w:rPr>
                <w:sz w:val="12"/>
                <w:szCs w:val="12"/>
                <w:color w:val="auto"/>
              </w:rPr>
            </w:pPr>
          </w:p>
        </w:tc>
        <w:tc>
          <w:tcPr>
            <w:tcW w:w="1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16,658,283</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159,498,071</w:t>
            </w:r>
          </w:p>
        </w:tc>
        <w:tc>
          <w:tcPr>
            <w:tcW w:w="0" w:type="dxa"/>
            <w:vAlign w:val="bottom"/>
          </w:tcPr>
          <w:p>
            <w:pPr>
              <w:spacing w:after="0"/>
              <w:rPr>
                <w:sz w:val="1"/>
                <w:szCs w:val="1"/>
                <w:color w:val="auto"/>
              </w:rPr>
            </w:pPr>
          </w:p>
        </w:tc>
      </w:tr>
      <w:tr>
        <w:trPr>
          <w:trHeight w:val="148"/>
        </w:trPr>
        <w:tc>
          <w:tcPr>
            <w:tcW w:w="6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77"/>
              <w:spacing w:after="0" w:line="149" w:lineRule="exact"/>
              <w:rPr>
                <w:sz w:val="20"/>
                <w:szCs w:val="20"/>
                <w:color w:val="auto"/>
              </w:rPr>
            </w:pPr>
            <w:r>
              <w:rPr>
                <w:rFonts w:ascii="Arial" w:cs="Arial" w:eastAsia="Arial" w:hAnsi="Arial"/>
                <w:sz w:val="14"/>
                <w:szCs w:val="14"/>
                <w:color w:val="auto"/>
              </w:rPr>
              <w:t>(139,922,446)</w:t>
            </w: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(6,243,136)</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(146,165,582)</w:t>
            </w:r>
          </w:p>
        </w:tc>
        <w:tc>
          <w:tcPr>
            <w:tcW w:w="0" w:type="dxa"/>
            <w:vAlign w:val="bottom"/>
          </w:tcPr>
          <w:p>
            <w:pPr>
              <w:spacing w:after="0"/>
              <w:rPr>
                <w:sz w:val="1"/>
                <w:szCs w:val="1"/>
                <w:color w:val="auto"/>
              </w:rPr>
            </w:pPr>
          </w:p>
        </w:tc>
      </w:tr>
      <w:tr>
        <w:trPr>
          <w:trHeight w:val="148"/>
        </w:trPr>
        <w:tc>
          <w:tcPr>
            <w:tcW w:w="6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2"/>
                <w:szCs w:val="12"/>
                <w:color w:val="auto"/>
              </w:rPr>
            </w:pPr>
          </w:p>
        </w:tc>
        <w:tc>
          <w:tcPr>
            <w:tcW w:w="10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3,225,324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3,225,324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Ending Balance</w:t>
            </w: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304,068,247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53,795,338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357,863,585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w w:val="96"/>
              </w:rPr>
              <w:t>Net change in unrealized depreciation reported within the net change in unrealized depreciation on investments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6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640" w:type="dxa"/>
            <w:vAlign w:val="bottom"/>
            <w:gridSpan w:val="2"/>
          </w:tcPr>
          <w:p>
            <w:pPr>
              <w:ind w:left="160"/>
              <w:spacing w:after="0"/>
              <w:rPr>
                <w:sz w:val="20"/>
                <w:szCs w:val="20"/>
                <w:color w:val="auto"/>
              </w:rPr>
            </w:pPr>
            <w:r>
              <w:rPr>
                <w:rFonts w:ascii="Arial" w:cs="Arial" w:eastAsia="Arial" w:hAnsi="Arial"/>
                <w:sz w:val="14"/>
                <w:szCs w:val="14"/>
                <w:color w:val="auto"/>
                <w:w w:val="96"/>
              </w:rPr>
              <w:t>in our Consolidated Statement of Operations attributable to our Level 3 assets still held at the reporting date.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77"/>
              <w:spacing w:after="0"/>
              <w:rPr>
                <w:sz w:val="20"/>
                <w:szCs w:val="20"/>
                <w:color w:val="auto"/>
              </w:rPr>
            </w:pPr>
            <w:r>
              <w:rPr>
                <w:rFonts w:ascii="Arial" w:cs="Arial" w:eastAsia="Arial" w:hAnsi="Arial"/>
                <w:sz w:val="14"/>
                <w:szCs w:val="14"/>
                <w:color w:val="auto"/>
              </w:rPr>
              <w:t>(1,682,404)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(1,093,227)</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(2,775,631)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Nine Months Ended June 30, 2014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400"/>
              <w:spacing w:after="0" w:line="110" w:lineRule="exact"/>
              <w:rPr>
                <w:sz w:val="20"/>
                <w:szCs w:val="20"/>
                <w:color w:val="auto"/>
              </w:rPr>
            </w:pPr>
            <w:r>
              <w:rPr>
                <w:rFonts w:ascii="Arial" w:cs="Arial" w:eastAsia="Arial" w:hAnsi="Arial"/>
                <w:sz w:val="12"/>
                <w:szCs w:val="12"/>
                <w:b w:val="1"/>
                <w:bCs w:val="1"/>
                <w:color w:val="auto"/>
                <w:w w:val="90"/>
              </w:rPr>
              <w:t>Second lien,</w:t>
            </w: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subordinated debt and</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right"/>
              <w:ind w:right="597"/>
              <w:spacing w:after="0"/>
              <w:rPr>
                <w:sz w:val="20"/>
                <w:szCs w:val="20"/>
                <w:color w:val="auto"/>
              </w:rPr>
            </w:pPr>
            <w:r>
              <w:rPr>
                <w:rFonts w:ascii="Arial" w:cs="Arial" w:eastAsia="Arial" w:hAnsi="Arial"/>
                <w:sz w:val="13"/>
                <w:szCs w:val="13"/>
                <w:b w:val="1"/>
                <w:bCs w:val="1"/>
                <w:color w:val="auto"/>
              </w:rPr>
              <w:t>First Lien</w:t>
            </w:r>
          </w:p>
        </w:tc>
        <w:tc>
          <w:tcPr>
            <w:tcW w:w="120" w:type="dxa"/>
            <w:vAlign w:val="bottom"/>
          </w:tcPr>
          <w:p>
            <w:pPr>
              <w:spacing w:after="0"/>
              <w:rPr>
                <w:sz w:val="13"/>
                <w:szCs w:val="13"/>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equity investments</w:t>
            </w:r>
          </w:p>
        </w:tc>
        <w:tc>
          <w:tcPr>
            <w:tcW w:w="28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6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32,698,220</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313,744,468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240" w:type="dxa"/>
            <w:vAlign w:val="bottom"/>
          </w:tcPr>
          <w:p>
            <w:pPr>
              <w:spacing w:after="0"/>
              <w:rPr>
                <w:sz w:val="12"/>
                <w:szCs w:val="12"/>
                <w:color w:val="auto"/>
              </w:rPr>
            </w:pPr>
          </w:p>
        </w:tc>
        <w:tc>
          <w:tcPr>
            <w:tcW w:w="1360" w:type="dxa"/>
            <w:vAlign w:val="bottom"/>
            <w:gridSpan w:val="2"/>
          </w:tcPr>
          <w:p>
            <w:pPr>
              <w:jc w:val="right"/>
              <w:ind w:right="217"/>
              <w:spacing w:after="0" w:line="149" w:lineRule="exact"/>
              <w:rPr>
                <w:sz w:val="20"/>
                <w:szCs w:val="20"/>
                <w:color w:val="auto"/>
              </w:rPr>
            </w:pPr>
            <w:r>
              <w:rPr>
                <w:rFonts w:ascii="Arial" w:cs="Arial" w:eastAsia="Arial" w:hAnsi="Arial"/>
                <w:sz w:val="14"/>
                <w:szCs w:val="14"/>
                <w:color w:val="auto"/>
              </w:rPr>
              <w:t>1,194,362</w:t>
            </w:r>
          </w:p>
        </w:tc>
        <w:tc>
          <w:tcPr>
            <w:tcW w:w="120" w:type="dxa"/>
            <w:vAlign w:val="bottom"/>
          </w:tcPr>
          <w:p>
            <w:pPr>
              <w:spacing w:after="0"/>
              <w:rPr>
                <w:sz w:val="12"/>
                <w:szCs w:val="12"/>
                <w:color w:val="auto"/>
              </w:rPr>
            </w:pPr>
          </w:p>
        </w:tc>
        <w:tc>
          <w:tcPr>
            <w:tcW w:w="1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578,987</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1,773,349</w:t>
            </w:r>
          </w:p>
        </w:tc>
        <w:tc>
          <w:tcPr>
            <w:tcW w:w="0" w:type="dxa"/>
            <w:vAlign w:val="bottom"/>
          </w:tcPr>
          <w:p>
            <w:pPr>
              <w:spacing w:after="0"/>
              <w:rPr>
                <w:sz w:val="1"/>
                <w:szCs w:val="1"/>
                <w:color w:val="auto"/>
              </w:rPr>
            </w:pPr>
          </w:p>
        </w:tc>
      </w:tr>
      <w:tr>
        <w:trPr>
          <w:trHeight w:val="148"/>
        </w:trPr>
        <w:tc>
          <w:tcPr>
            <w:tcW w:w="6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appreciation</w:t>
            </w: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17"/>
              <w:spacing w:after="0" w:line="149" w:lineRule="exact"/>
              <w:rPr>
                <w:sz w:val="20"/>
                <w:szCs w:val="20"/>
                <w:color w:val="auto"/>
              </w:rPr>
            </w:pPr>
            <w:r>
              <w:rPr>
                <w:rFonts w:ascii="Arial" w:cs="Arial" w:eastAsia="Arial" w:hAnsi="Arial"/>
                <w:sz w:val="14"/>
                <w:szCs w:val="14"/>
                <w:color w:val="auto"/>
              </w:rPr>
              <w:t>1,798,648</w:t>
            </w: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1,433,096</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3,231,744</w:t>
            </w:r>
          </w:p>
        </w:tc>
        <w:tc>
          <w:tcPr>
            <w:tcW w:w="0" w:type="dxa"/>
            <w:vAlign w:val="bottom"/>
          </w:tcPr>
          <w:p>
            <w:pPr>
              <w:spacing w:after="0"/>
              <w:rPr>
                <w:sz w:val="1"/>
                <w:szCs w:val="1"/>
                <w:color w:val="auto"/>
              </w:rPr>
            </w:pPr>
          </w:p>
        </w:tc>
      </w:tr>
      <w:tr>
        <w:trPr>
          <w:trHeight w:val="149"/>
        </w:trPr>
        <w:tc>
          <w:tcPr>
            <w:tcW w:w="6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40" w:type="dxa"/>
            <w:vAlign w:val="bottom"/>
          </w:tcPr>
          <w:p>
            <w:pPr>
              <w:spacing w:after="0"/>
              <w:rPr>
                <w:sz w:val="12"/>
                <w:szCs w:val="12"/>
                <w:color w:val="auto"/>
              </w:rPr>
            </w:pPr>
          </w:p>
        </w:tc>
        <w:tc>
          <w:tcPr>
            <w:tcW w:w="1360" w:type="dxa"/>
            <w:vAlign w:val="bottom"/>
            <w:gridSpan w:val="2"/>
          </w:tcPr>
          <w:p>
            <w:pPr>
              <w:jc w:val="right"/>
              <w:ind w:right="217"/>
              <w:spacing w:after="0" w:line="149" w:lineRule="exact"/>
              <w:rPr>
                <w:sz w:val="20"/>
                <w:szCs w:val="20"/>
                <w:color w:val="auto"/>
              </w:rPr>
            </w:pPr>
            <w:r>
              <w:rPr>
                <w:rFonts w:ascii="Arial" w:cs="Arial" w:eastAsia="Arial" w:hAnsi="Arial"/>
                <w:sz w:val="14"/>
                <w:szCs w:val="14"/>
                <w:color w:val="auto"/>
              </w:rPr>
              <w:t>171,711,192</w:t>
            </w:r>
          </w:p>
        </w:tc>
        <w:tc>
          <w:tcPr>
            <w:tcW w:w="120" w:type="dxa"/>
            <w:vAlign w:val="bottom"/>
          </w:tcPr>
          <w:p>
            <w:pPr>
              <w:spacing w:after="0"/>
              <w:rPr>
                <w:sz w:val="12"/>
                <w:szCs w:val="12"/>
                <w:color w:val="auto"/>
              </w:rPr>
            </w:pPr>
          </w:p>
        </w:tc>
        <w:tc>
          <w:tcPr>
            <w:tcW w:w="14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15,019,955</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186,731,147</w:t>
            </w:r>
          </w:p>
        </w:tc>
        <w:tc>
          <w:tcPr>
            <w:tcW w:w="0" w:type="dxa"/>
            <w:vAlign w:val="bottom"/>
          </w:tcPr>
          <w:p>
            <w:pPr>
              <w:spacing w:after="0"/>
              <w:rPr>
                <w:sz w:val="1"/>
                <w:szCs w:val="1"/>
                <w:color w:val="auto"/>
              </w:rPr>
            </w:pPr>
          </w:p>
        </w:tc>
      </w:tr>
      <w:tr>
        <w:trPr>
          <w:trHeight w:val="148"/>
        </w:trPr>
        <w:tc>
          <w:tcPr>
            <w:tcW w:w="6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77"/>
              <w:spacing w:after="0" w:line="149" w:lineRule="exact"/>
              <w:rPr>
                <w:sz w:val="20"/>
                <w:szCs w:val="20"/>
                <w:color w:val="auto"/>
              </w:rPr>
            </w:pPr>
            <w:r>
              <w:rPr>
                <w:rFonts w:ascii="Arial" w:cs="Arial" w:eastAsia="Arial" w:hAnsi="Arial"/>
                <w:sz w:val="14"/>
                <w:szCs w:val="14"/>
                <w:color w:val="auto"/>
              </w:rPr>
              <w:t>(133,586,604)</w:t>
            </w: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(11,540,058)</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(145,126,662)</w:t>
            </w:r>
          </w:p>
        </w:tc>
        <w:tc>
          <w:tcPr>
            <w:tcW w:w="0" w:type="dxa"/>
            <w:vAlign w:val="bottom"/>
          </w:tcPr>
          <w:p>
            <w:pPr>
              <w:spacing w:after="0"/>
              <w:rPr>
                <w:sz w:val="1"/>
                <w:szCs w:val="1"/>
                <w:color w:val="auto"/>
              </w:rPr>
            </w:pPr>
          </w:p>
        </w:tc>
      </w:tr>
      <w:tr>
        <w:trPr>
          <w:trHeight w:val="148"/>
        </w:trPr>
        <w:tc>
          <w:tcPr>
            <w:tcW w:w="6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Ending Balance</w:t>
            </w: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17"/>
              <w:spacing w:after="0" w:line="142" w:lineRule="exact"/>
              <w:rPr>
                <w:sz w:val="20"/>
                <w:szCs w:val="20"/>
                <w:color w:val="auto"/>
              </w:rPr>
            </w:pPr>
            <w:r>
              <w:rPr>
                <w:rFonts w:ascii="Arial" w:cs="Arial" w:eastAsia="Arial" w:hAnsi="Arial"/>
                <w:sz w:val="14"/>
                <w:szCs w:val="14"/>
                <w:color w:val="auto"/>
              </w:rPr>
              <w:t>322,163,846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38,190,200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360,354,046</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w w:val="96"/>
              </w:rPr>
              <w:t>Net change in unrealized appreciation reported within the net change in unrealized appreciation on investments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6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640" w:type="dxa"/>
            <w:vAlign w:val="bottom"/>
            <w:gridSpan w:val="2"/>
          </w:tcPr>
          <w:p>
            <w:pPr>
              <w:ind w:left="160"/>
              <w:spacing w:after="0"/>
              <w:rPr>
                <w:sz w:val="20"/>
                <w:szCs w:val="20"/>
                <w:color w:val="auto"/>
              </w:rPr>
            </w:pPr>
            <w:r>
              <w:rPr>
                <w:rFonts w:ascii="Arial" w:cs="Arial" w:eastAsia="Arial" w:hAnsi="Arial"/>
                <w:sz w:val="14"/>
                <w:szCs w:val="14"/>
                <w:color w:val="auto"/>
                <w:w w:val="96"/>
              </w:rPr>
              <w:t>in our Consolidated Statement of Operations attributable to our Level 3 assets still held at the reporting date.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17"/>
              <w:spacing w:after="0"/>
              <w:rPr>
                <w:sz w:val="20"/>
                <w:szCs w:val="20"/>
                <w:color w:val="auto"/>
              </w:rPr>
            </w:pPr>
            <w:r>
              <w:rPr>
                <w:rFonts w:ascii="Arial" w:cs="Arial" w:eastAsia="Arial" w:hAnsi="Arial"/>
                <w:sz w:val="14"/>
                <w:szCs w:val="14"/>
                <w:color w:val="auto"/>
              </w:rPr>
              <w:t>1,006,992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1,421,519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2,428,511</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5560"/>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7"/>
          </w:tcPr>
          <w:p>
            <w:pPr>
              <w:jc w:val="right"/>
              <w:ind w:right="60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53"/>
        </w:trPr>
        <w:tc>
          <w:tcPr>
            <w:tcW w:w="7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20" w:type="dxa"/>
            <w:vAlign w:val="bottom"/>
          </w:tcPr>
          <w:p>
            <w:pPr>
              <w:spacing w:after="0"/>
              <w:rPr>
                <w:sz w:val="13"/>
                <w:szCs w:val="13"/>
                <w:color w:val="auto"/>
              </w:rPr>
            </w:pPr>
          </w:p>
        </w:tc>
        <w:tc>
          <w:tcPr>
            <w:tcW w:w="218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28"/>
        </w:trPr>
        <w:tc>
          <w:tcPr>
            <w:tcW w:w="7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$146,400,000 and $99,600,000, respectively)</w:t>
            </w: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$ 146,949,000</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99,600,000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10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(233,750)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Borrowings</w:t>
            </w:r>
          </w:p>
        </w:tc>
        <w:tc>
          <w:tcPr>
            <w:tcW w:w="8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103,400,000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130,500,000</w:t>
            </w:r>
          </w:p>
        </w:tc>
        <w:tc>
          <w:tcPr>
            <w:tcW w:w="0" w:type="dxa"/>
            <w:vAlign w:val="bottom"/>
          </w:tcPr>
          <w:p>
            <w:pPr>
              <w:spacing w:after="0"/>
              <w:rPr>
                <w:sz w:val="1"/>
                <w:szCs w:val="1"/>
                <w:color w:val="auto"/>
              </w:rPr>
            </w:pPr>
          </w:p>
        </w:tc>
      </w:tr>
      <w:tr>
        <w:trPr>
          <w:trHeight w:val="148"/>
        </w:trPr>
        <w:tc>
          <w:tcPr>
            <w:tcW w:w="7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Repayments</w:t>
            </w:r>
          </w:p>
        </w:tc>
        <w:tc>
          <w:tcPr>
            <w:tcW w:w="10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(110,100,000)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(75,200,000)</w:t>
            </w:r>
          </w:p>
        </w:tc>
        <w:tc>
          <w:tcPr>
            <w:tcW w:w="0" w:type="dxa"/>
            <w:vAlign w:val="bottom"/>
          </w:tcPr>
          <w:p>
            <w:pPr>
              <w:spacing w:after="0"/>
              <w:rPr>
                <w:sz w:val="1"/>
                <w:szCs w:val="1"/>
                <w:color w:val="auto"/>
              </w:rPr>
            </w:pPr>
          </w:p>
        </w:tc>
      </w:tr>
      <w:tr>
        <w:trPr>
          <w:trHeight w:val="148"/>
        </w:trPr>
        <w:tc>
          <w:tcPr>
            <w:tcW w:w="72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220" w:type="dxa"/>
            <w:vAlign w:val="bottom"/>
            <w:gridSpan w:val="2"/>
          </w:tcPr>
          <w:p>
            <w:pPr>
              <w:spacing w:after="0" w:line="142" w:lineRule="exact"/>
              <w:rPr>
                <w:sz w:val="20"/>
                <w:szCs w:val="20"/>
                <w:color w:val="auto"/>
              </w:rPr>
            </w:pPr>
            <w:r>
              <w:rPr>
                <w:rFonts w:ascii="Arial" w:cs="Arial" w:eastAsia="Arial" w:hAnsi="Arial"/>
                <w:sz w:val="14"/>
                <w:szCs w:val="14"/>
                <w:color w:val="auto"/>
              </w:rPr>
              <w:t>Ending Balance (cost – $139,700,000 and $154,900,000, respectively)</w:t>
            </w:r>
          </w:p>
        </w:tc>
        <w:tc>
          <w:tcPr>
            <w:tcW w:w="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$ 140,015,250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154,900,000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786"/>
        <w:spacing w:after="0" w:line="243"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$0.2 million relating to amendment fees on the Credit Facility for both the three and nine months ended June 30, 2015. For the same periods in the prior year, we had expenses of zero and $0.7 million,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three and nine months ended June 30, 2015, our Credit Facility had a net change in unrealized (appreciation) depreciation of less than $(0.1) million and $0.2 million, respectively. For each of the three and nine months ended June 30, 2014, our Credit Facility had a net change in unrealized appreciation of zero. As of June 30, 2015 and September 30, 2014, the net unrealized appreciation on our Credit Facility totaled $0.3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4"/>
          </w:tcPr>
          <w:p>
            <w:pPr>
              <w:jc w:val="right"/>
              <w:ind w:right="30"/>
              <w:spacing w:after="0"/>
              <w:rPr>
                <w:sz w:val="20"/>
                <w:szCs w:val="20"/>
                <w:color w:val="auto"/>
              </w:rPr>
            </w:pPr>
            <w:r>
              <w:rPr>
                <w:rFonts w:ascii="Arial" w:cs="Arial" w:eastAsia="Arial" w:hAnsi="Arial"/>
                <w:sz w:val="13"/>
                <w:szCs w:val="13"/>
                <w:b w:val="1"/>
                <w:bCs w:val="1"/>
                <w:color w:val="auto"/>
                <w:w w:val="89"/>
              </w:rPr>
              <w:t>Three Months Ended June 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ind w:left="100"/>
              <w:spacing w:after="0"/>
              <w:rPr>
                <w:sz w:val="20"/>
                <w:szCs w:val="20"/>
                <w:color w:val="auto"/>
              </w:rPr>
            </w:pPr>
            <w:r>
              <w:rPr>
                <w:rFonts w:ascii="Arial" w:cs="Arial" w:eastAsia="Arial" w:hAnsi="Arial"/>
                <w:sz w:val="13"/>
                <w:szCs w:val="13"/>
                <w:b w:val="1"/>
                <w:bCs w:val="1"/>
                <w:color w:val="auto"/>
              </w:rPr>
              <w:t>Nine Months Ended June 30,</w:t>
            </w:r>
          </w:p>
        </w:tc>
      </w:tr>
      <w:tr>
        <w:trPr>
          <w:trHeight w:val="128"/>
        </w:trPr>
        <w:tc>
          <w:tcPr>
            <w:tcW w:w="582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2"/>
              <w:spacing w:after="0" w:line="129" w:lineRule="exact"/>
              <w:rPr>
                <w:sz w:val="20"/>
                <w:szCs w:val="20"/>
                <w:color w:val="auto"/>
              </w:rPr>
            </w:pPr>
            <w:r>
              <w:rPr>
                <w:rFonts w:ascii="Arial" w:cs="Arial" w:eastAsia="Arial" w:hAnsi="Arial"/>
                <w:sz w:val="13"/>
                <w:szCs w:val="13"/>
                <w:b w:val="1"/>
                <w:bCs w:val="1"/>
                <w:color w:val="auto"/>
              </w:rPr>
              <w:t>2015</w:t>
            </w:r>
          </w:p>
        </w:tc>
        <w:tc>
          <w:tcPr>
            <w:tcW w:w="3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0"/>
              <w:spacing w:after="0" w:line="129" w:lineRule="exact"/>
              <w:rPr>
                <w:sz w:val="20"/>
                <w:szCs w:val="20"/>
                <w:color w:val="auto"/>
              </w:rPr>
            </w:pPr>
            <w:r>
              <w:rPr>
                <w:rFonts w:ascii="Arial" w:cs="Arial" w:eastAsia="Arial" w:hAnsi="Arial"/>
                <w:sz w:val="13"/>
                <w:szCs w:val="13"/>
                <w:b w:val="1"/>
                <w:bCs w:val="1"/>
                <w:color w:val="auto"/>
              </w:rPr>
              <w:t>2014</w:t>
            </w:r>
          </w:p>
        </w:tc>
        <w:tc>
          <w:tcPr>
            <w:tcW w:w="3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2"/>
              <w:spacing w:after="0" w:line="129" w:lineRule="exact"/>
              <w:rPr>
                <w:sz w:val="20"/>
                <w:szCs w:val="20"/>
                <w:color w:val="auto"/>
              </w:rPr>
            </w:pPr>
            <w:r>
              <w:rPr>
                <w:rFonts w:ascii="Arial" w:cs="Arial" w:eastAsia="Arial" w:hAnsi="Arial"/>
                <w:sz w:val="13"/>
                <w:szCs w:val="13"/>
                <w:b w:val="1"/>
                <w:bCs w:val="1"/>
                <w:color w:val="auto"/>
              </w:rPr>
              <w:t>2015</w:t>
            </w:r>
          </w:p>
        </w:tc>
        <w:tc>
          <w:tcPr>
            <w:tcW w:w="3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0"/>
              <w:spacing w:after="0" w:line="129"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r>
      <w:tr>
        <w:trPr>
          <w:trHeight w:val="142"/>
        </w:trPr>
        <w:tc>
          <w:tcPr>
            <w:tcW w:w="5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4,726,777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4,941,774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11,289,466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18,235,852</w:t>
            </w:r>
          </w:p>
        </w:tc>
        <w:tc>
          <w:tcPr>
            <w:tcW w:w="80" w:type="dxa"/>
            <w:vAlign w:val="bottom"/>
            <w:shd w:val="clear" w:color="auto" w:fill="CCEEFF"/>
          </w:tcPr>
          <w:p>
            <w:pPr>
              <w:spacing w:after="0"/>
              <w:rPr>
                <w:sz w:val="12"/>
                <w:szCs w:val="12"/>
                <w:color w:val="auto"/>
              </w:rPr>
            </w:pP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14,898,056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14,898,056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14,898,056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4"/>
              </w:rPr>
              <w:t>14,898,056</w:t>
            </w:r>
          </w:p>
        </w:tc>
        <w:tc>
          <w:tcPr>
            <w:tcW w:w="80" w:type="dxa"/>
            <w:vAlign w:val="bottom"/>
          </w:tcPr>
          <w:p>
            <w:pPr>
              <w:spacing w:after="0"/>
              <w:rPr>
                <w:sz w:val="12"/>
                <w:szCs w:val="12"/>
                <w:color w:val="auto"/>
              </w:rPr>
            </w:pP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0.76</w:t>
            </w:r>
          </w:p>
        </w:tc>
        <w:tc>
          <w:tcPr>
            <w:tcW w:w="4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2"/>
                <w:szCs w:val="1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100" w:lineRule="exact"/>
        <w:rPr>
          <w:sz w:val="20"/>
          <w:szCs w:val="20"/>
          <w:color w:val="auto"/>
        </w:rPr>
      </w:pPr>
    </w:p>
    <w:p>
      <w:pPr>
        <w:ind w:right="80" w:firstLine="786"/>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2015 and September 30, 2014, our cash equivalents consisted of money market funds in the amounts of $10.5 million and $13.1 million, respectively.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Below are the financial highlights:</w:t>
      </w:r>
    </w:p>
    <w:p>
      <w:pPr>
        <w:spacing w:after="0" w:line="231" w:lineRule="exact"/>
        <w:rPr>
          <w:sz w:val="20"/>
          <w:szCs w:val="20"/>
          <w:color w:val="auto"/>
        </w:rPr>
      </w:pPr>
    </w:p>
    <w:tbl>
      <w:tblPr>
        <w:tblLayout w:type="fixed"/>
        <w:tblInd w:w="1360" w:type="dxa"/>
        <w:tblCellMar>
          <w:top w:w="0" w:type="dxa"/>
          <w:left w:w="0" w:type="dxa"/>
          <w:bottom w:w="0" w:type="dxa"/>
          <w:right w:w="0" w:type="dxa"/>
        </w:tblCellMar>
      </w:tblPr>
      <w:tr>
        <w:trPr>
          <w:trHeight w:val="153"/>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28"/>
        </w:trPr>
        <w:tc>
          <w:tcPr>
            <w:tcW w:w="46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49"/>
              <w:spacing w:after="0" w:line="129" w:lineRule="exact"/>
              <w:rPr>
                <w:sz w:val="20"/>
                <w:szCs w:val="20"/>
                <w:color w:val="auto"/>
              </w:rPr>
            </w:pPr>
            <w:r>
              <w:rPr>
                <w:rFonts w:ascii="Arial" w:cs="Arial" w:eastAsia="Arial" w:hAnsi="Arial"/>
                <w:sz w:val="13"/>
                <w:szCs w:val="13"/>
                <w:b w:val="1"/>
                <w:bCs w:val="1"/>
                <w:color w:val="auto"/>
              </w:rPr>
              <w:t>2015</w:t>
            </w:r>
          </w:p>
        </w:tc>
        <w:tc>
          <w:tcPr>
            <w:tcW w:w="10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14.40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0.94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(0.18)</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0.76</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(0.83)</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asset value, end of period</w:t>
            </w: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000"/>
              <w:spacing w:after="0" w:line="142" w:lineRule="exact"/>
              <w:rPr>
                <w:sz w:val="20"/>
                <w:szCs w:val="20"/>
                <w:color w:val="auto"/>
              </w:rPr>
            </w:pPr>
            <w:r>
              <w:rPr>
                <w:rFonts w:ascii="Arial" w:cs="Arial" w:eastAsia="Arial" w:hAnsi="Arial"/>
                <w:sz w:val="14"/>
                <w:szCs w:val="14"/>
                <w:color w:val="auto"/>
              </w:rPr>
              <w:t>14.33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9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13.88</w:t>
            </w:r>
          </w:p>
        </w:tc>
        <w:tc>
          <w:tcPr>
            <w:tcW w:w="100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14.29</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880"/>
              <w:spacing w:after="0" w:line="129" w:lineRule="exact"/>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14,898,056</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14,898,056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Ratios** / Supplemental Data:</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3.72%</w:t>
            </w: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right"/>
              <w:ind w:right="880"/>
              <w:spacing w:after="0" w:line="142" w:lineRule="exact"/>
              <w:rPr>
                <w:sz w:val="20"/>
                <w:szCs w:val="20"/>
                <w:color w:val="auto"/>
              </w:rPr>
            </w:pPr>
            <w:r>
              <w:rPr>
                <w:rFonts w:ascii="Arial" w:cs="Arial" w:eastAsia="Arial" w:hAnsi="Arial"/>
                <w:sz w:val="14"/>
                <w:szCs w:val="14"/>
                <w:color w:val="auto"/>
              </w:rPr>
              <w:t>5.33%</w:t>
            </w:r>
          </w:p>
        </w:tc>
        <w:tc>
          <w:tcPr>
            <w:tcW w:w="10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w w:val="97"/>
              </w:rPr>
              <w:t>213,451,790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216,272,066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Weighted average debt outstanding</w:t>
            </w: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000"/>
              <w:spacing w:after="0" w:line="142" w:lineRule="exact"/>
              <w:rPr>
                <w:sz w:val="20"/>
                <w:szCs w:val="20"/>
                <w:color w:val="auto"/>
              </w:rPr>
            </w:pPr>
            <w:r>
              <w:rPr>
                <w:rFonts w:ascii="Arial" w:cs="Arial" w:eastAsia="Arial" w:hAnsi="Arial"/>
                <w:sz w:val="14"/>
                <w:szCs w:val="14"/>
                <w:color w:val="auto"/>
                <w:w w:val="97"/>
              </w:rPr>
              <w:t>131,659,707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5"/>
              </w:rPr>
              <w:t>146,395,971</w:t>
            </w:r>
          </w:p>
        </w:tc>
        <w:tc>
          <w:tcPr>
            <w:tcW w:w="0" w:type="dxa"/>
            <w:vAlign w:val="bottom"/>
          </w:tcPr>
          <w:p>
            <w:pPr>
              <w:spacing w:after="0"/>
              <w:rPr>
                <w:sz w:val="1"/>
                <w:szCs w:val="1"/>
                <w:color w:val="auto"/>
              </w:rPr>
            </w:pPr>
          </w:p>
        </w:tc>
      </w:tr>
      <w:tr>
        <w:trPr>
          <w:trHeight w:val="142"/>
        </w:trPr>
        <w:tc>
          <w:tcPr>
            <w:tcW w:w="4680" w:type="dxa"/>
            <w:vAlign w:val="bottom"/>
          </w:tcPr>
          <w:p>
            <w:pPr>
              <w:spacing w:after="0" w:line="142"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9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8.84</w:t>
            </w:r>
          </w:p>
        </w:tc>
        <w:tc>
          <w:tcPr>
            <w:tcW w:w="10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2,524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82"/>
        </w:trPr>
        <w:tc>
          <w:tcPr>
            <w:tcW w:w="468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4"/>
                <w:szCs w:val="14"/>
                <w:color w:val="auto"/>
              </w:rPr>
              <w:t>57.40%</w:t>
            </w: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1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7" w:lineRule="exact"/>
        <w:rPr>
          <w:sz w:val="20"/>
          <w:szCs w:val="20"/>
          <w:color w:val="auto"/>
        </w:rPr>
      </w:pPr>
    </w:p>
    <w:p>
      <w:pPr>
        <w:ind w:right="8280" w:firstLine="8"/>
        <w:spacing w:after="0" w:line="248" w:lineRule="auto"/>
        <w:tabs>
          <w:tab w:leader="none" w:pos="324" w:val="left"/>
        </w:tabs>
        <w:numPr>
          <w:ilvl w:val="0"/>
          <w:numId w:val="7"/>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right="38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Excludes Credit Facility related costs, if any.</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340" w:right="120" w:hanging="332"/>
        <w:spacing w:after="0" w:line="271" w:lineRule="auto"/>
        <w:tabs>
          <w:tab w:leader="none" w:pos="340" w:val="left"/>
        </w:tabs>
        <w:numPr>
          <w:ilvl w:val="0"/>
          <w:numId w:val="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100"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Funding I’s multi-currency Credit Facility with affiliates of SunTrust Bank, or the Lender, is $200 million, subject to satisfaction of certain conditions and the regulatory restrictions that the 1940 Act imposes on us as a BDC, has an interest rate spread above LIBOR of 200 basis points, a maturity date of May 2018 and a revolving period that ends in May 2016. As of June 30, 2015 and September 30, 2014, Funding I had $139.7 million and $146.4 million of outstanding borrowings under the Credit Facility, respectively, and carried an interest rate of 2.19% and 2.16%, respectively, excluding the 0.375% undrawn commitment fee. The annualized weighted average cost of debt for the nine months ended June 30, 2015 and 2014, inclusive of the fee on the undrawn commitment on the Credit Facility but excluding amendment costs, was 2.48% and 2.36%, respectively.</w:t>
      </w:r>
    </w:p>
    <w:p>
      <w:pPr>
        <w:spacing w:after="0" w:line="184" w:lineRule="exact"/>
        <w:rPr>
          <w:sz w:val="20"/>
          <w:szCs w:val="20"/>
          <w:color w:val="auto"/>
        </w:rPr>
      </w:pPr>
    </w:p>
    <w:p>
      <w:pPr>
        <w:jc w:val="both"/>
        <w:ind w:right="260" w:firstLine="786"/>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8"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2015, we were in compliance with the covenants relating to our Credit Facility.</w:t>
      </w:r>
    </w:p>
    <w:p>
      <w:pPr>
        <w:spacing w:after="0" w:line="175" w:lineRule="exact"/>
        <w:rPr>
          <w:sz w:val="20"/>
          <w:szCs w:val="20"/>
          <w:color w:val="auto"/>
        </w:rPr>
      </w:pPr>
    </w:p>
    <w:p>
      <w:pPr>
        <w:jc w:val="both"/>
        <w:ind w:right="180" w:firstLine="786"/>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both"/>
        <w:ind w:right="100" w:firstLine="786"/>
        <w:spacing w:after="0" w:line="233" w:lineRule="auto"/>
        <w:rPr>
          <w:sz w:val="20"/>
          <w:szCs w:val="20"/>
          <w:color w:val="auto"/>
        </w:rPr>
      </w:pPr>
      <w:r>
        <w:rPr>
          <w:rFonts w:ascii="Arial" w:cs="Arial" w:eastAsia="Arial" w:hAnsi="Arial"/>
          <w:sz w:val="14"/>
          <w:szCs w:val="14"/>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100" w:lineRule="exact"/>
        <w:rPr>
          <w:sz w:val="20"/>
          <w:szCs w:val="20"/>
          <w:color w:val="auto"/>
        </w:rPr>
      </w:pPr>
    </w:p>
    <w:p>
      <w:pPr>
        <w:ind w:firstLine="786"/>
        <w:spacing w:after="0" w:line="255"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 of Investments. As of June 30, 2015 and September 30, 2014, we had $6.3 million and $2.7 million, respectively, in commitments to fund various revolving and delayed draw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ACQUISITION OF MCG CAPITAL CORPORATION</w:t>
      </w:r>
    </w:p>
    <w:p>
      <w:pPr>
        <w:spacing w:after="0" w:line="100" w:lineRule="exact"/>
        <w:rPr>
          <w:sz w:val="20"/>
          <w:szCs w:val="20"/>
          <w:color w:val="auto"/>
        </w:rPr>
      </w:pPr>
    </w:p>
    <w:p>
      <w:pPr>
        <w:ind w:right="120" w:firstLine="786"/>
        <w:spacing w:after="0" w:line="251" w:lineRule="auto"/>
        <w:rPr>
          <w:sz w:val="20"/>
          <w:szCs w:val="20"/>
          <w:color w:val="auto"/>
        </w:rPr>
      </w:pPr>
      <w:r>
        <w:rPr>
          <w:rFonts w:ascii="Arial" w:cs="Arial" w:eastAsia="Arial" w:hAnsi="Arial"/>
          <w:sz w:val="13"/>
          <w:szCs w:val="13"/>
          <w:color w:val="auto"/>
        </w:rPr>
        <w:t>On April 29, 2015, PFLT and MCG Capital Corporation (NASDAQ: MCGC), or MCG, announced that we have entered into a definitive agreement, under which we, through our wholly owned subsidiaries, PFLT Panama, LLC and PFLT Funding II, LLC, will acquire MCG in a stock and cash transaction valued at approximately $175 million, or approximately $4.75 per MCG share at closing. MCG stockholders will have the right to receive, per each share of MCG common stock, a number of shares of our common stock equal to $4.521 and $0.226 in cash (subject to an upward adjustment) paid by the Investment Adviser. At a special meeting of our stockholders to be held on August 14, 2015, our stockholders of record at the close of business on July 13, 2015 will be asked to vote on the approval of issuance of our common stock pursuant to the merger. The transaction is expected to close during the third calendar quarter of 2015.</w:t>
      </w:r>
    </w:p>
    <w:p>
      <w:pPr>
        <w:spacing w:after="0" w:line="177" w:lineRule="exact"/>
        <w:rPr>
          <w:sz w:val="20"/>
          <w:szCs w:val="20"/>
          <w:color w:val="auto"/>
        </w:rPr>
      </w:pPr>
    </w:p>
    <w:p>
      <w:pPr>
        <w:ind w:right="280" w:firstLine="786"/>
        <w:spacing w:after="0" w:line="253" w:lineRule="auto"/>
        <w:rPr>
          <w:sz w:val="20"/>
          <w:szCs w:val="20"/>
          <w:color w:val="auto"/>
        </w:rPr>
      </w:pPr>
      <w:r>
        <w:rPr>
          <w:rFonts w:ascii="Arial" w:cs="Arial" w:eastAsia="Arial" w:hAnsi="Arial"/>
          <w:sz w:val="14"/>
          <w:szCs w:val="14"/>
          <w:color w:val="auto"/>
        </w:rPr>
        <w:t>The boards of directors of PFLT and MCG have each unanimously approved the transaction. Our board of directors unanimously recommends that our stockholders vote “FOR” approval of the issuance of our common stock to be issued pursuant to the merger agreement.</w:t>
      </w:r>
    </w:p>
    <w:p>
      <w:pPr>
        <w:spacing w:after="0" w:line="174" w:lineRule="exact"/>
        <w:rPr>
          <w:sz w:val="20"/>
          <w:szCs w:val="20"/>
          <w:color w:val="auto"/>
        </w:rPr>
      </w:pPr>
    </w:p>
    <w:p>
      <w:pPr>
        <w:ind w:right="100" w:firstLine="786"/>
        <w:spacing w:after="0" w:line="231" w:lineRule="auto"/>
        <w:rPr>
          <w:sz w:val="20"/>
          <w:szCs w:val="20"/>
          <w:color w:val="auto"/>
        </w:rPr>
      </w:pPr>
      <w:r>
        <w:rPr>
          <w:rFonts w:ascii="Arial" w:cs="Arial" w:eastAsia="Arial" w:hAnsi="Arial"/>
          <w:sz w:val="14"/>
          <w:szCs w:val="14"/>
          <w:color w:val="auto"/>
        </w:rPr>
        <w:t>The merger will be accounted for by us under the asset acquisition method of accounting in accordance with ASC 805-50, Business Combinations—Related Issues. Under the asset acquisition method of accounting, the acquiring entity is required to fair value the assets and liabilities transferred. The cost of the group of assets acquired in an asset acquisition is allocated to the individual assets acquired or liabilities assumed based on their relative fair values other than “non-qualifying” assets (for example cash or marketable securities) and does not give rise to goodwill. Furthermore, the cost of assets recognized by the acquiring entity generally includes transaction costs incurred as part of the asset acquisition, and no gain or loss is recognized in connection with such transfer.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192" w:lineRule="exact"/>
        <w:rPr>
          <w:sz w:val="20"/>
          <w:szCs w:val="20"/>
          <w:color w:val="auto"/>
        </w:rPr>
      </w:pPr>
    </w:p>
    <w:p>
      <w:pPr>
        <w:ind w:right="20" w:firstLine="786"/>
        <w:spacing w:after="0" w:line="296" w:lineRule="auto"/>
        <w:rPr>
          <w:sz w:val="20"/>
          <w:szCs w:val="20"/>
          <w:color w:val="auto"/>
        </w:rPr>
      </w:pPr>
      <w:r>
        <w:rPr>
          <w:rFonts w:ascii="Arial" w:cs="Arial" w:eastAsia="Arial" w:hAnsi="Arial"/>
          <w:sz w:val="12"/>
          <w:szCs w:val="12"/>
          <w:color w:val="auto"/>
        </w:rPr>
        <w:t>We have reviewed the accompanying consolidated statement of assets and liabilities of PennantPark Floating Rate Capital Ltd. and its Subsidiaries (the “Company”), including the consolidated schedule of investments, as of June 30, 2015, the consolidated statements of operations for the three and nine months ended June 30, 2015 and 2014, and the consolidated statements of changes in net assets and cash flows for the nine months ended June 30, 2015 and 2014. These consolidated financial statements are the responsibility of the Company’s management.</w:t>
      </w:r>
    </w:p>
    <w:p>
      <w:pPr>
        <w:spacing w:after="0" w:line="151"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85" w:lineRule="exact"/>
        <w:rPr>
          <w:sz w:val="20"/>
          <w:szCs w:val="20"/>
          <w:color w:val="auto"/>
        </w:rPr>
      </w:pPr>
    </w:p>
    <w:p>
      <w:pPr>
        <w:ind w:right="20" w:firstLine="786"/>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174" w:lineRule="exact"/>
        <w:rPr>
          <w:sz w:val="20"/>
          <w:szCs w:val="20"/>
          <w:color w:val="auto"/>
        </w:rPr>
      </w:pPr>
    </w:p>
    <w:p>
      <w:pPr>
        <w:ind w:right="100" w:firstLine="786"/>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2014, and the related consolidated statements of operations, changes in net assets, and cash flows for the year then ended (not presented herein); and in our report dated November 13, 2014, we expressed an unqualified opinion on those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6,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280"/>
        <w:spacing w:after="0" w:line="385" w:lineRule="auto"/>
        <w:rPr>
          <w:sz w:val="20"/>
          <w:szCs w:val="20"/>
          <w:color w:val="auto"/>
        </w:rPr>
      </w:pPr>
      <w:r>
        <w:rPr>
          <w:rFonts w:ascii="Arial" w:cs="Arial" w:eastAsia="Arial" w:hAnsi="Arial"/>
          <w:sz w:val="14"/>
          <w:szCs w:val="14"/>
          <w:b w:val="1"/>
          <w:bCs w:val="1"/>
          <w:color w:val="auto"/>
        </w:rPr>
        <w:t>Item 2. MANAGEMENT’S DISCUSSION AND ANALYSIS OF FINANCIAL CONDITION AND RESULTS OF OPERATIONS FORWARD-LOOKING STATEMENTS</w:t>
      </w:r>
    </w:p>
    <w:p>
      <w:pPr>
        <w:ind w:right="80" w:firstLine="78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0"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or failure of the proposed acquisition of MCG, including the failure of our stockholders or MCG’s stockholders to approve the proposed merger;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European sovereign debt issues.</w:t>
      </w:r>
    </w:p>
    <w:p>
      <w:pPr>
        <w:spacing w:after="0" w:line="204" w:lineRule="exact"/>
        <w:rPr>
          <w:sz w:val="20"/>
          <w:szCs w:val="20"/>
          <w:color w:val="auto"/>
        </w:rPr>
      </w:pPr>
    </w:p>
    <w:p>
      <w:pPr>
        <w:jc w:val="both"/>
        <w:ind w:right="100" w:firstLine="786"/>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83" w:lineRule="exact"/>
        <w:rPr>
          <w:sz w:val="20"/>
          <w:szCs w:val="20"/>
          <w:color w:val="auto"/>
        </w:rPr>
      </w:pPr>
    </w:p>
    <w:p>
      <w:pPr>
        <w:ind w:firstLine="786"/>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85" w:lineRule="exact"/>
        <w:rPr>
          <w:sz w:val="20"/>
          <w:szCs w:val="20"/>
          <w:color w:val="auto"/>
        </w:rPr>
      </w:pPr>
    </w:p>
    <w:p>
      <w:pPr>
        <w:ind w:right="180" w:firstLine="786"/>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85" w:lineRule="exact"/>
        <w:rPr>
          <w:sz w:val="20"/>
          <w:szCs w:val="20"/>
          <w:color w:val="auto"/>
        </w:rPr>
      </w:pPr>
    </w:p>
    <w:p>
      <w:pPr>
        <w:ind w:right="140" w:firstLine="786"/>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152" w:lineRule="exact"/>
        <w:rPr>
          <w:sz w:val="20"/>
          <w:szCs w:val="20"/>
          <w:color w:val="auto"/>
        </w:rPr>
      </w:pPr>
    </w:p>
    <w:p>
      <w:pPr>
        <w:ind w:right="200" w:firstLine="786"/>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120" w:firstLine="786"/>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ectPr>
          <w:pgSz w:w="11900" w:h="16838" w:orient="portrait"/>
          <w:cols w:equalWidth="0" w:num="1">
            <w:col w:w="11200"/>
          </w:cols>
          <w:pgMar w:left="320" w:top="459" w:right="379" w:bottom="1440" w:gutter="0" w:footer="0" w:header="0"/>
        </w:sectPr>
      </w:pPr>
    </w:p>
    <w:bookmarkStart w:id="24" w:name="page25"/>
    <w:bookmarkEnd w:id="24"/>
    <w:p>
      <w:pPr>
        <w:ind w:firstLine="786"/>
        <w:spacing w:after="0" w:line="246"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786"/>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75" w:lineRule="exact"/>
        <w:rPr>
          <w:sz w:val="20"/>
          <w:szCs w:val="20"/>
          <w:color w:val="auto"/>
        </w:rPr>
      </w:pPr>
    </w:p>
    <w:p>
      <w:pPr>
        <w:ind w:right="20" w:firstLine="78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360" w:firstLine="786"/>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52"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80" w:firstLine="786"/>
        <w:spacing w:after="0" w:line="233" w:lineRule="auto"/>
        <w:rPr>
          <w:sz w:val="20"/>
          <w:szCs w:val="20"/>
          <w:color w:val="auto"/>
        </w:rPr>
      </w:pPr>
      <w:r>
        <w:rPr>
          <w:rFonts w:ascii="Arial" w:cs="Arial" w:eastAsia="Arial" w:hAnsi="Arial"/>
          <w:sz w:val="14"/>
          <w:szCs w:val="14"/>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90"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580" w:hanging="329"/>
        <w:spacing w:after="0" w:line="253" w:lineRule="auto"/>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09" w:lineRule="exact"/>
        <w:rPr>
          <w:rFonts w:ascii="Arial" w:cs="Arial" w:eastAsia="Arial" w:hAnsi="Arial"/>
          <w:sz w:val="14"/>
          <w:szCs w:val="14"/>
          <w:color w:val="auto"/>
        </w:rPr>
      </w:pPr>
    </w:p>
    <w:p>
      <w:pPr>
        <w:ind w:left="1120" w:right="40" w:hanging="329"/>
        <w:spacing w:after="0" w:line="264" w:lineRule="auto"/>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786"/>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260" w:firstLine="786"/>
        <w:spacing w:after="0" w:line="255" w:lineRule="auto"/>
        <w:rPr>
          <w:sz w:val="20"/>
          <w:szCs w:val="20"/>
          <w:color w:val="auto"/>
        </w:rPr>
      </w:pPr>
      <w:r>
        <w:rPr>
          <w:rFonts w:ascii="Arial" w:cs="Arial" w:eastAsia="Arial" w:hAnsi="Arial"/>
          <w:sz w:val="13"/>
          <w:szCs w:val="13"/>
          <w:color w:val="auto"/>
        </w:rPr>
        <w:t>As of June 30, 2015, our portfolio totaled $358.8 million and consisted of $304.1 million of senior secured loans, $46.3 million of second lien secured debt and $8.4 million of subordinated debt, preferred and common equity. Our debt portfolio consisted of 97% variable-rate investments (including 93% with a LIBOR or prime floor) and 3% fixed-rate investments. Overall, the portfolio had net unrealized depreciation of $3.3 million. Our overall portfolio consisted of 72 companies with an average investment size of $5.0 million, had a weighted average yield on debt investments of 8.3%, and was invested 85% in senior secured loans, 13% in second lien secured debt and 2% in subordinated debt, preferred and common equity.</w:t>
      </w:r>
    </w:p>
    <w:p>
      <w:pPr>
        <w:spacing w:after="0" w:line="175" w:lineRule="exact"/>
        <w:rPr>
          <w:sz w:val="20"/>
          <w:szCs w:val="20"/>
          <w:color w:val="auto"/>
        </w:rPr>
      </w:pPr>
    </w:p>
    <w:p>
      <w:pPr>
        <w:ind w:right="20" w:firstLine="786"/>
        <w:spacing w:after="0" w:line="231" w:lineRule="auto"/>
        <w:rPr>
          <w:sz w:val="20"/>
          <w:szCs w:val="20"/>
          <w:color w:val="auto"/>
        </w:rPr>
      </w:pPr>
      <w:r>
        <w:rPr>
          <w:rFonts w:ascii="Arial" w:cs="Arial" w:eastAsia="Arial" w:hAnsi="Arial"/>
          <w:sz w:val="14"/>
          <w:szCs w:val="14"/>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84" w:lineRule="exact"/>
        <w:rPr>
          <w:sz w:val="20"/>
          <w:szCs w:val="20"/>
          <w:color w:val="auto"/>
        </w:rPr>
      </w:pPr>
    </w:p>
    <w:p>
      <w:pPr>
        <w:ind w:right="220" w:firstLine="786"/>
        <w:spacing w:after="0" w:line="264" w:lineRule="auto"/>
        <w:rPr>
          <w:sz w:val="20"/>
          <w:szCs w:val="20"/>
          <w:color w:val="auto"/>
        </w:rPr>
      </w:pPr>
      <w:r>
        <w:rPr>
          <w:rFonts w:ascii="Arial" w:cs="Arial" w:eastAsia="Arial" w:hAnsi="Arial"/>
          <w:sz w:val="13"/>
          <w:szCs w:val="13"/>
          <w:color w:val="auto"/>
        </w:rPr>
        <w:t>For the three months ended June 30, 2015, we invested $75.6 million in 12 new and 12 existing portfolio companies with a weighted average yield on debt investments of 6.9%. Sales and repayments of investments for the three months ended June 30, 2015 totaled $53.2 million. For the nine months ended June 30, 2015, we invested $161.0 million in 26 new and 26 existing portfolio companies with a weighted average yield on debt investments of 7.4%. Sales and repayments of investments for the nine months ended June 30, 2015 totaled $146.2 million.</w:t>
      </w:r>
    </w:p>
    <w:p>
      <w:pPr>
        <w:spacing w:after="0" w:line="168" w:lineRule="exact"/>
        <w:rPr>
          <w:sz w:val="20"/>
          <w:szCs w:val="20"/>
          <w:color w:val="auto"/>
        </w:rPr>
      </w:pPr>
    </w:p>
    <w:p>
      <w:pPr>
        <w:ind w:firstLine="786"/>
        <w:spacing w:after="0" w:line="264" w:lineRule="auto"/>
        <w:rPr>
          <w:sz w:val="20"/>
          <w:szCs w:val="20"/>
          <w:color w:val="auto"/>
        </w:rPr>
      </w:pPr>
      <w:r>
        <w:rPr>
          <w:rFonts w:ascii="Arial" w:cs="Arial" w:eastAsia="Arial" w:hAnsi="Arial"/>
          <w:sz w:val="13"/>
          <w:szCs w:val="13"/>
          <w:color w:val="auto"/>
        </w:rPr>
        <w:t>For the three months ended June 30, 2014, we invested $30.6 million in four new and seven existing portfolio companies with a weighted average yield on debt investments of 7.1%. Sales and repayments of investments for the three months ended June 30, 2014 totaled $55.6 million. For the nine months ended June 30, 2014, we invested $185.0 million in 29 new and 25 existing portfolio companies with a weighted average yield on debt investments of 7.8%. Sales and repayments of investments for the nine months ended June 30, 2014 totaled $146.8 million.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20" w:firstLine="786"/>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79" w:lineRule="exact"/>
        <w:rPr>
          <w:sz w:val="20"/>
          <w:szCs w:val="20"/>
          <w:color w:val="auto"/>
        </w:rPr>
      </w:pPr>
    </w:p>
    <w:p>
      <w:pPr>
        <w:ind w:right="100" w:firstLine="786"/>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1120" w:right="20" w:hanging="329"/>
        <w:spacing w:after="0" w:line="253" w:lineRule="auto"/>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1120" w:right="80" w:hanging="329"/>
        <w:spacing w:after="0" w:line="264" w:lineRule="auto"/>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1120" w:right="120" w:hanging="329"/>
        <w:spacing w:after="0" w:line="238" w:lineRule="auto"/>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1120" w:right="140" w:hanging="329"/>
        <w:spacing w:after="0" w:line="253" w:lineRule="auto"/>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4"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786"/>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96" w:lineRule="exact"/>
        <w:rPr>
          <w:sz w:val="20"/>
          <w:szCs w:val="20"/>
          <w:color w:val="auto"/>
        </w:rPr>
      </w:pPr>
    </w:p>
    <w:p>
      <w:pPr>
        <w:ind w:left="1480" w:right="940" w:hanging="566"/>
        <w:spacing w:after="0" w:line="238"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480" w:right="980" w:hanging="566"/>
        <w:spacing w:after="0" w:line="253" w:lineRule="auto"/>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ind w:right="60" w:firstLine="786"/>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68" w:lineRule="exact"/>
        <w:rPr>
          <w:sz w:val="20"/>
          <w:szCs w:val="20"/>
          <w:color w:val="auto"/>
        </w:rPr>
      </w:pPr>
    </w:p>
    <w:p>
      <w:pPr>
        <w:ind w:right="180" w:firstLine="786"/>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52" w:lineRule="exact"/>
        <w:rPr>
          <w:sz w:val="20"/>
          <w:szCs w:val="20"/>
          <w:color w:val="auto"/>
        </w:rPr>
      </w:pPr>
    </w:p>
    <w:p>
      <w:pPr>
        <w:ind w:right="20" w:firstLine="786"/>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$0.2 million relating to amendment fees on the Credit Facility for both the three and nine months ended June 30, 2015. For the same periods in the prior year, we had expenses of zero and $0.7 million,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nine months ended June 30, 2015, our Credit Facility had a net change in unrealized (appreciation) depreciation of less than $(0.1) million and $0.2 million, respectively. For each of the three and nine months ended June 30, 2014, our Credit Facility had a net change in unrealized appreciation of zero. As of June 30, 2015 and September 30, 2014, the net unrealized appreciation on our Credit Facility totaled $0.3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420" w:firstLine="786"/>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160" w:firstLine="786"/>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interest on PIK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 w:firstLine="786"/>
        <w:spacing w:after="0" w:line="245"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 w:firstLine="786"/>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Set forth below are the results of operations for the three and nine months ended June 30, 2015 and 2014.</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firstLine="786"/>
        <w:spacing w:after="0" w:line="229" w:lineRule="auto"/>
        <w:rPr>
          <w:sz w:val="20"/>
          <w:szCs w:val="20"/>
          <w:color w:val="auto"/>
        </w:rPr>
      </w:pPr>
      <w:r>
        <w:rPr>
          <w:rFonts w:ascii="Arial" w:cs="Arial" w:eastAsia="Arial" w:hAnsi="Arial"/>
          <w:sz w:val="14"/>
          <w:szCs w:val="14"/>
          <w:color w:val="auto"/>
        </w:rPr>
        <w:t>Investment income for the three and nine months ended June 30, 2015 was $7.1 million and $22.6 million, respectively, and was attributable to $5.4 million and $17.4 million from senior secured loans and $1.7 million and $5.2 million from second lien secured debt and subordinated debt. This compares to investment income for the three and nine months ended June 30, 2014, which was $7.7 million and $22.1 million, respectively, and was attributable to $6.2 million and $17.9 million from senior secured loans and $1.5 million and $4.2 million from second lien secured debt and subordinated debt. The decrease in investment income for the three months ended June 30, 2015 as compared to the same period in the prior year was due to the timing of deployment of capital during the quarter. The increase in investment income for the nine months ended June 30, 2015 compared to the same period over the prior year was primarily due to a higher yielding portfolio.</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60" w:firstLine="786"/>
        <w:spacing w:after="0" w:line="244" w:lineRule="auto"/>
        <w:rPr>
          <w:sz w:val="20"/>
          <w:szCs w:val="20"/>
          <w:color w:val="auto"/>
        </w:rPr>
      </w:pPr>
      <w:r>
        <w:rPr>
          <w:rFonts w:ascii="Arial" w:cs="Arial" w:eastAsia="Arial" w:hAnsi="Arial"/>
          <w:sz w:val="13"/>
          <w:szCs w:val="13"/>
          <w:color w:val="auto"/>
        </w:rPr>
        <w:t>Expenses for the three and nine months ended June 30, 2015 totaled $3.0 million and $8.5 million, respectively. Base management fee for the same periods totaled $0.9 million and $2.6 million, incentive fee totaled $0.6 million (including zero on net realized gains and $0.1 million on net unrealized gains accrued but not payable) and $1.7 million (including $(0.4) million on net realized gains and $(0.2) million on net unrealized gains accrued but not payable), Credit Facility expenses totaled $1.0 million (including $0.2 million of Credit Facility amendment expenses) and $2.6 million (including $0.2 million of Credit Facility amendment expenses), general and administrative expenses totaled $0.4 million and $1.3 million and excise taxes were $0.1 million and $0.3 million, respectively. This compares to expenses for the three and nine months ended June 30, 2014, which totaled $3.3 million and $10.8 million, respectively. Base management fee for the same periods totaled $1.0 million and $2.8 million, incentive fee totaled $0.8 million (including $0.1 million on net unrealized gains accrued but not payable) and $2.9 million (including $0.6 million on net unrealized gains accrued but not payable), Credit Facility expenses totaled $0.9 million and $3.3 million (including $0.7 million of Credit Facility amendment expenses), general and administrative expenses totaled $0.5 million and $1.4 million and excise taxes were $0.1 million and $0.4 million, respectively. The decrease in expenses compared to the same periods in the prior year was primarily due to a reduction in the accrual of incentive fees on realized and unrealized gains on the portfolio.</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firstLine="786"/>
        <w:spacing w:after="0" w:line="255" w:lineRule="auto"/>
        <w:rPr>
          <w:sz w:val="20"/>
          <w:szCs w:val="20"/>
          <w:color w:val="auto"/>
        </w:rPr>
      </w:pPr>
      <w:r>
        <w:rPr>
          <w:rFonts w:ascii="Arial" w:cs="Arial" w:eastAsia="Arial" w:hAnsi="Arial"/>
          <w:sz w:val="13"/>
          <w:szCs w:val="13"/>
          <w:color w:val="auto"/>
        </w:rPr>
        <w:t>Net investment income totaled $4.1 million and $14.0 million, or $0.28 and $0.94 per share, for the three and nine months ended June 30, 2015, respectively. Net investment income totaled $4.4 million and $11.3 million, or $0.29 and $0.76 per share, for the three and nine months ended June 30, 2014, respectively. For the three months ended June 30, 2015, net investment income decreased over the same period in the prior year as a result of changes in the yield environment, whereas, for the nine months ended June 30, 2015, net investment income increased over the same period in the prior year due to a higher yielding portfolio, and a reduction in incentive fees on net realized and net unrealized gains on the portfolio.</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120" w:firstLine="786"/>
        <w:spacing w:after="0" w:line="264" w:lineRule="auto"/>
        <w:rPr>
          <w:sz w:val="20"/>
          <w:szCs w:val="20"/>
          <w:color w:val="auto"/>
        </w:rPr>
      </w:pPr>
      <w:r>
        <w:rPr>
          <w:rFonts w:ascii="Arial" w:cs="Arial" w:eastAsia="Arial" w:hAnsi="Arial"/>
          <w:sz w:val="13"/>
          <w:szCs w:val="13"/>
          <w:color w:val="auto"/>
        </w:rPr>
        <w:t>Sales and repayments of investments for the three and nine months ended June 30, 2015 totaled $53.2 million and $146.2 million and net realized gains totaled zero and $0.4 million, respectively. Sales and repayments of investments totaled $55.6 million and $146.8 million and realized gains totaled $0.7 million and $1.8 million for the three and nine months ended June 30, 2014, respectively. The change in realized gains compared to the same periods in the prior year was primarily driven by changes in market conditions for our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ind w:right="160" w:firstLine="786"/>
        <w:spacing w:after="0" w:line="255" w:lineRule="auto"/>
        <w:rPr>
          <w:sz w:val="20"/>
          <w:szCs w:val="20"/>
          <w:color w:val="auto"/>
        </w:rPr>
      </w:pPr>
      <w:r>
        <w:rPr>
          <w:rFonts w:ascii="Arial" w:cs="Arial" w:eastAsia="Arial" w:hAnsi="Arial"/>
          <w:sz w:val="13"/>
          <w:szCs w:val="13"/>
          <w:color w:val="auto"/>
        </w:rPr>
        <w:t>For the three and nine months ended June 30, 2015, we reported net unrealized appreciation (depreciation) on investments of $0.7 million and $(3.4) million, respectively. For the three and nine months ended June 30, 2014, we reported net unrealized (depreciation) appreciation on investments of $(0.1) million and $5.1 million, respectively. As of June 30, 2015 and September 30, 2014, net unrealized (depreciation) appreciation on investments totaled $(3.3) million and $0.1 million, respectively. The change in net unrealized appreciation (depreciation) compared to the same periods in the prior year was primarily the result of the overall variation in the leveraged finance markets.</w:t>
      </w:r>
    </w:p>
    <w:p>
      <w:pPr>
        <w:spacing w:after="0" w:line="175" w:lineRule="exact"/>
        <w:rPr>
          <w:sz w:val="20"/>
          <w:szCs w:val="20"/>
          <w:color w:val="auto"/>
        </w:rPr>
      </w:pPr>
    </w:p>
    <w:p>
      <w:pPr>
        <w:ind w:right="100" w:firstLine="786"/>
        <w:spacing w:after="0" w:line="264" w:lineRule="auto"/>
        <w:rPr>
          <w:sz w:val="20"/>
          <w:szCs w:val="20"/>
          <w:color w:val="auto"/>
        </w:rPr>
      </w:pPr>
      <w:r>
        <w:rPr>
          <w:rFonts w:ascii="Arial" w:cs="Arial" w:eastAsia="Arial" w:hAnsi="Arial"/>
          <w:sz w:val="13"/>
          <w:szCs w:val="13"/>
          <w:color w:val="auto"/>
        </w:rPr>
        <w:t>For the three and nine months ended June 30, 2015, our Credit Facility had an unrealized depreciation of zero and $0.2 million, respectively. For each of the three and nine months ended June 30, 2014, our Credit Facility had an unrealized appreciation of zero. As of June 30, 2015 and September 30, 2014, net unrealized appreciation on our Credit Facility totaled $0.3 million and $0.5 million, respectively. The change in net unrealized appreciation compared to the same period in the prior year was primarily due to changes in the capital markets.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20" w:firstLine="786"/>
        <w:spacing w:after="0" w:line="233" w:lineRule="auto"/>
        <w:rPr>
          <w:sz w:val="20"/>
          <w:szCs w:val="20"/>
          <w:color w:val="auto"/>
        </w:rPr>
      </w:pPr>
      <w:r>
        <w:rPr>
          <w:rFonts w:ascii="Arial" w:cs="Arial" w:eastAsia="Arial" w:hAnsi="Arial"/>
          <w:sz w:val="14"/>
          <w:szCs w:val="14"/>
          <w:color w:val="auto"/>
        </w:rPr>
        <w:t>Net change in net assets resulting from operations totaled $4.7 million and $11.3 million, or $0.32 and $0.76 per share, respectively, for the three and nine months ended June 30, 2015. This compares to a net change in net assets resulting from operations which totaled $4.9 million and $18.2 million, or $0.33 and $1.22 per share, respectively, for the three and nine months ended June 30, 2014. The decrease in the net change in net assets from operations compared to the same periods in the prior year reflects the change in portfolio investment valuation during the reporting period.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20" w:firstLine="786"/>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3" w:lineRule="exact"/>
        <w:rPr>
          <w:sz w:val="20"/>
          <w:szCs w:val="20"/>
          <w:color w:val="auto"/>
        </w:rPr>
      </w:pPr>
    </w:p>
    <w:p>
      <w:pPr>
        <w:ind w:firstLine="786"/>
        <w:spacing w:after="0" w:line="248" w:lineRule="auto"/>
        <w:rPr>
          <w:sz w:val="20"/>
          <w:szCs w:val="20"/>
          <w:color w:val="auto"/>
        </w:rPr>
      </w:pPr>
      <w:r>
        <w:rPr>
          <w:rFonts w:ascii="Arial" w:cs="Arial" w:eastAsia="Arial" w:hAnsi="Arial"/>
          <w:sz w:val="13"/>
          <w:szCs w:val="13"/>
          <w:color w:val="auto"/>
        </w:rPr>
        <w:t>Funding I’s multi-currency Credit Facility with affiliates of SunTrust Bank, or the Lender, is $200 million, subject to satisfaction of certain conditions and the regulatory restrictions that the 1940 Act imposes on us as a BDC, has an interest rate spread above LIBOR of 200 basis points, a maturity date of May 2018 and a revolving period that ends in May 2016. As of June 30, 2015 and September 30, 2014, Funding I had $139.7 million and $146.4 million of outstanding borrowings under the Credit Facility, respectively, and carried an interest rate of 2.19% and 2.16%, respectively, excluding the 0.375% undrawn commitment fee. The annualized weighted average cost of debt for the nine months ended June 30, 2015 and 2014, inclusive of the fee on the undrawn commitment on the Credit Facility but excluding amendment costs, was 2.48% and 2.36%, respectively. As of June 30, 2015 and September 30, 2014, we had $60.3 million and $53.6 million of unused borrowing capacity, respectively, subject to the regulatory restrictions that the 1940 Act imposes on us as a BDC.</w:t>
      </w:r>
    </w:p>
    <w:p>
      <w:pPr>
        <w:spacing w:after="0" w:line="180" w:lineRule="exact"/>
        <w:rPr>
          <w:sz w:val="20"/>
          <w:szCs w:val="20"/>
          <w:color w:val="auto"/>
        </w:rPr>
      </w:pPr>
    </w:p>
    <w:p>
      <w:pPr>
        <w:jc w:val="both"/>
        <w:ind w:right="260" w:firstLine="786"/>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68" w:lineRule="exact"/>
        <w:rPr>
          <w:sz w:val="20"/>
          <w:szCs w:val="20"/>
          <w:color w:val="auto"/>
        </w:rPr>
      </w:pPr>
    </w:p>
    <w:p>
      <w:pPr>
        <w:ind w:right="80" w:firstLine="786"/>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2015, we were in compliance with the covenants relating to our Credit Facility.</w:t>
      </w:r>
    </w:p>
    <w:p>
      <w:pPr>
        <w:spacing w:after="0" w:line="184" w:lineRule="exact"/>
        <w:rPr>
          <w:sz w:val="20"/>
          <w:szCs w:val="20"/>
          <w:color w:val="auto"/>
        </w:rPr>
      </w:pPr>
    </w:p>
    <w:p>
      <w:pPr>
        <w:jc w:val="both"/>
        <w:ind w:right="160" w:firstLine="786"/>
        <w:spacing w:after="0" w:line="23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3" w:lineRule="exact"/>
        <w:rPr>
          <w:sz w:val="20"/>
          <w:szCs w:val="20"/>
          <w:color w:val="auto"/>
        </w:rPr>
      </w:pPr>
    </w:p>
    <w:p>
      <w:pPr>
        <w:ind w:right="140" w:firstLine="786"/>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84" w:lineRule="exact"/>
        <w:rPr>
          <w:sz w:val="20"/>
          <w:szCs w:val="20"/>
          <w:color w:val="auto"/>
        </w:rPr>
      </w:pPr>
    </w:p>
    <w:p>
      <w:pPr>
        <w:jc w:val="both"/>
        <w:ind w:right="40" w:firstLine="786"/>
        <w:spacing w:after="0" w:line="264"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68" w:lineRule="exact"/>
        <w:rPr>
          <w:sz w:val="20"/>
          <w:szCs w:val="20"/>
          <w:color w:val="auto"/>
        </w:rPr>
      </w:pPr>
    </w:p>
    <w:p>
      <w:pPr>
        <w:ind w:right="300" w:firstLine="786"/>
        <w:spacing w:after="0" w:line="253" w:lineRule="auto"/>
        <w:rPr>
          <w:sz w:val="20"/>
          <w:szCs w:val="20"/>
          <w:color w:val="auto"/>
        </w:rPr>
      </w:pPr>
      <w:r>
        <w:rPr>
          <w:rFonts w:ascii="Arial" w:cs="Arial" w:eastAsia="Arial" w:hAnsi="Arial"/>
          <w:sz w:val="14"/>
          <w:szCs w:val="14"/>
          <w:color w:val="auto"/>
        </w:rPr>
        <w:t>On June 30, 2015 and September 30, 2014, we had cash equivalents of $10.5 million and $13.1 million, respectively, available for investing and general corporate purposes. We believe our liquidity and capital resources are sufficient to take advantage of market opportunities.</w:t>
      </w:r>
    </w:p>
    <w:p>
      <w:pPr>
        <w:spacing w:after="0" w:line="174" w:lineRule="exact"/>
        <w:rPr>
          <w:sz w:val="20"/>
          <w:szCs w:val="20"/>
          <w:color w:val="auto"/>
        </w:rPr>
      </w:pPr>
    </w:p>
    <w:p>
      <w:pPr>
        <w:ind w:right="60" w:firstLine="786"/>
        <w:spacing w:after="0" w:line="290" w:lineRule="auto"/>
        <w:rPr>
          <w:sz w:val="20"/>
          <w:szCs w:val="20"/>
          <w:color w:val="auto"/>
        </w:rPr>
      </w:pPr>
      <w:r>
        <w:rPr>
          <w:rFonts w:ascii="Arial" w:cs="Arial" w:eastAsia="Arial" w:hAnsi="Arial"/>
          <w:sz w:val="13"/>
          <w:szCs w:val="13"/>
          <w:color w:val="auto"/>
        </w:rPr>
        <w:t>Our operating activities provided cash of $16.4 million for the nine months ended June 30, 2015, and our financing activities used cash of $19.0 million for the same period. Our operating activities provided cash primarily from sales and repayments on our investment activities and our financing activities used cash primarily from net repayments under the Credit Facility.</w:t>
      </w:r>
    </w:p>
    <w:p>
      <w:pPr>
        <w:spacing w:after="0" w:line="152" w:lineRule="exact"/>
        <w:rPr>
          <w:sz w:val="20"/>
          <w:szCs w:val="20"/>
          <w:color w:val="auto"/>
        </w:rPr>
      </w:pPr>
    </w:p>
    <w:p>
      <w:pPr>
        <w:ind w:right="260" w:firstLine="786"/>
        <w:spacing w:after="0" w:line="253" w:lineRule="auto"/>
        <w:rPr>
          <w:sz w:val="20"/>
          <w:szCs w:val="20"/>
          <w:color w:val="auto"/>
        </w:rPr>
      </w:pPr>
      <w:r>
        <w:rPr>
          <w:rFonts w:ascii="Arial" w:cs="Arial" w:eastAsia="Arial" w:hAnsi="Arial"/>
          <w:sz w:val="14"/>
          <w:szCs w:val="14"/>
          <w:color w:val="auto"/>
        </w:rPr>
        <w:t>Our operating activities used cash of $37.9 million for the nine months ended June 30, 2014, and our financing activities provided cash of $43.3 million for the same period. Our operating activities used cash primarily for our investment activities and our financing activities provided cash primarily from net draws under the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of MCG Capital Corporation</w:t>
      </w:r>
    </w:p>
    <w:p>
      <w:pPr>
        <w:spacing w:after="0" w:line="96" w:lineRule="exact"/>
        <w:rPr>
          <w:sz w:val="20"/>
          <w:szCs w:val="20"/>
          <w:color w:val="auto"/>
        </w:rPr>
      </w:pPr>
    </w:p>
    <w:p>
      <w:pPr>
        <w:ind w:right="120" w:firstLine="786"/>
        <w:spacing w:after="0" w:line="251" w:lineRule="auto"/>
        <w:rPr>
          <w:sz w:val="20"/>
          <w:szCs w:val="20"/>
          <w:color w:val="auto"/>
        </w:rPr>
      </w:pPr>
      <w:r>
        <w:rPr>
          <w:rFonts w:ascii="Arial" w:cs="Arial" w:eastAsia="Arial" w:hAnsi="Arial"/>
          <w:sz w:val="13"/>
          <w:szCs w:val="13"/>
          <w:color w:val="auto"/>
        </w:rPr>
        <w:t>On April 29, 2015, PFLT and MCG Capital Corporation (NASDAQ: MCGC), or MCG, announced that we have entered into a definitive agreement, under which we, through our wholly owned subsidiaries, PFLT Panama, LLC and PFLT Funding II, LLC, will acquire MCG in a stock and cash transaction valued at approximately $175 million, or approximately $4.75 per MCG share at closing. MCG stockholders will have the right to receive, per each share of MCG common stock, a number of shares of our common stock equal to $4.521 and $0.226 in cash (subject to an upward adjustment) paid by the Investment Adviser. At a special meeting of our stockholders to be held on August 14, 2015, our stockholders of record at the close of business on July 13, 2015 will be asked to vote on the approval of issuance of our common stock pursuant to the merger. The transaction is expected to close during the third calendar quarter of 2015.</w:t>
      </w:r>
    </w:p>
    <w:p>
      <w:pPr>
        <w:spacing w:after="0" w:line="177" w:lineRule="exact"/>
        <w:rPr>
          <w:sz w:val="20"/>
          <w:szCs w:val="20"/>
          <w:color w:val="auto"/>
        </w:rPr>
      </w:pPr>
    </w:p>
    <w:p>
      <w:pPr>
        <w:ind w:right="280" w:firstLine="786"/>
        <w:spacing w:after="0" w:line="253" w:lineRule="auto"/>
        <w:rPr>
          <w:sz w:val="20"/>
          <w:szCs w:val="20"/>
          <w:color w:val="auto"/>
        </w:rPr>
      </w:pPr>
      <w:r>
        <w:rPr>
          <w:rFonts w:ascii="Arial" w:cs="Arial" w:eastAsia="Arial" w:hAnsi="Arial"/>
          <w:sz w:val="14"/>
          <w:szCs w:val="14"/>
          <w:color w:val="auto"/>
        </w:rPr>
        <w:t>The boards of directors of PFLT and MCG have each unanimously approved the transaction. Our board of directors unanimously recommends that our stockholders vote “FOR” approval of the issuance of our common stock to be issued pursuant to the merger agreement.</w:t>
      </w:r>
    </w:p>
    <w:p>
      <w:pPr>
        <w:spacing w:after="0" w:line="174" w:lineRule="exact"/>
        <w:rPr>
          <w:sz w:val="20"/>
          <w:szCs w:val="20"/>
          <w:color w:val="auto"/>
        </w:rPr>
      </w:pPr>
    </w:p>
    <w:p>
      <w:pPr>
        <w:ind w:right="100" w:firstLine="786"/>
        <w:spacing w:after="0" w:line="231" w:lineRule="auto"/>
        <w:rPr>
          <w:sz w:val="20"/>
          <w:szCs w:val="20"/>
          <w:color w:val="auto"/>
        </w:rPr>
      </w:pPr>
      <w:r>
        <w:rPr>
          <w:rFonts w:ascii="Arial" w:cs="Arial" w:eastAsia="Arial" w:hAnsi="Arial"/>
          <w:sz w:val="14"/>
          <w:szCs w:val="14"/>
          <w:color w:val="auto"/>
        </w:rPr>
        <w:t>The merger will be accounted for by us under the asset acquisition method of accounting in accordance with ASC 805-50, Business Combinations—Related Issues. Under the asset acquisition method of accounting, the acquiring entity is required to fair value the assets and liabilities transferred. The cost of the group of assets acquired in an asset acquisition is allocated to the individual assets acquired or liabilities assumed based on their relative fair values other than “non-qualifying” assets (for example cash or marketable securities) and does not give rise to goodwill. Furthermore, the cost of assets recognized by the acquiring entity generally includes transaction costs incurred as part of the asset acquisition, and no gain or loss is recognized in connection with such transfer.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 summary of our significant contractual payment obligations as of June 30, 2015, including borrowings under our Credit Facility and other contractual obligations,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w w:val="92"/>
              </w:rPr>
              <w:t>Payments due by period (millions)</w:t>
            </w: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76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w w:val="95"/>
              </w:rPr>
              <w:t>Less than</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269"/>
              <w:spacing w:after="0" w:line="119" w:lineRule="exact"/>
              <w:rPr>
                <w:sz w:val="20"/>
                <w:szCs w:val="20"/>
                <w:color w:val="auto"/>
              </w:rPr>
            </w:pPr>
            <w:r>
              <w:rPr>
                <w:rFonts w:ascii="Arial" w:cs="Arial" w:eastAsia="Arial" w:hAnsi="Arial"/>
                <w:sz w:val="13"/>
                <w:szCs w:val="13"/>
                <w:b w:val="1"/>
                <w:bCs w:val="1"/>
                <w:color w:val="auto"/>
              </w:rPr>
              <w:t>1-3</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289"/>
              <w:spacing w:after="0" w:line="119" w:lineRule="exact"/>
              <w:rPr>
                <w:sz w:val="20"/>
                <w:szCs w:val="20"/>
                <w:color w:val="auto"/>
              </w:rPr>
            </w:pPr>
            <w:r>
              <w:rPr>
                <w:rFonts w:ascii="Arial" w:cs="Arial" w:eastAsia="Arial" w:hAnsi="Arial"/>
                <w:sz w:val="13"/>
                <w:szCs w:val="13"/>
                <w:b w:val="1"/>
                <w:bCs w:val="1"/>
                <w:color w:val="auto"/>
              </w:rPr>
              <w:t>3-5</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1 year</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3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139.7</w:t>
            </w:r>
          </w:p>
        </w:tc>
        <w:tc>
          <w:tcPr>
            <w:tcW w:w="5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139.7</w:t>
            </w:r>
          </w:p>
        </w:tc>
        <w:tc>
          <w:tcPr>
            <w:tcW w:w="5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13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contractual obligations</w:t>
            </w:r>
          </w:p>
        </w:tc>
        <w:tc>
          <w:tcPr>
            <w:tcW w:w="1520" w:type="dxa"/>
            <w:vAlign w:val="bottom"/>
            <w:gridSpan w:val="2"/>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142.9</w:t>
            </w: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w:t>
      </w:r>
    </w:p>
    <w:p>
      <w:pPr>
        <w:spacing w:after="0" w:line="204" w:lineRule="exact"/>
        <w:rPr>
          <w:sz w:val="20"/>
          <w:szCs w:val="20"/>
          <w:color w:val="auto"/>
        </w:rPr>
      </w:pPr>
    </w:p>
    <w:p>
      <w:pPr>
        <w:ind w:right="200" w:firstLine="786"/>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2015,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85" w:lineRule="exact"/>
        <w:rPr>
          <w:sz w:val="20"/>
          <w:szCs w:val="20"/>
          <w:color w:val="auto"/>
        </w:rPr>
      </w:pPr>
    </w:p>
    <w:p>
      <w:pPr>
        <w:ind w:right="80" w:firstLine="786"/>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2015,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84" w:lineRule="exact"/>
        <w:rPr>
          <w:sz w:val="20"/>
          <w:szCs w:val="20"/>
          <w:color w:val="auto"/>
        </w:rPr>
      </w:pPr>
    </w:p>
    <w:p>
      <w:pPr>
        <w:ind w:right="260" w:firstLine="786"/>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120" w:firstLine="786"/>
        <w:spacing w:after="0" w:line="227" w:lineRule="auto"/>
        <w:rPr>
          <w:sz w:val="20"/>
          <w:szCs w:val="20"/>
          <w:color w:val="auto"/>
        </w:rPr>
      </w:pPr>
      <w:r>
        <w:rPr>
          <w:rFonts w:ascii="Arial" w:cs="Arial" w:eastAsia="Arial" w:hAnsi="Arial"/>
          <w:sz w:val="14"/>
          <w:szCs w:val="14"/>
          <w:color w:val="auto"/>
        </w:rPr>
        <w:t>In order to qualify as a RIC and to not be subject to corporate-level tax on income, we are required, under Subchapter M of the Code, to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86" w:lineRule="exact"/>
        <w:rPr>
          <w:sz w:val="20"/>
          <w:szCs w:val="20"/>
          <w:color w:val="auto"/>
        </w:rPr>
      </w:pPr>
    </w:p>
    <w:p>
      <w:pPr>
        <w:ind w:right="40" w:firstLine="786"/>
        <w:spacing w:after="0" w:line="231" w:lineRule="auto"/>
        <w:rPr>
          <w:sz w:val="20"/>
          <w:szCs w:val="20"/>
          <w:color w:val="auto"/>
        </w:rPr>
      </w:pPr>
      <w:r>
        <w:rPr>
          <w:rFonts w:ascii="Arial" w:cs="Arial" w:eastAsia="Arial" w:hAnsi="Arial"/>
          <w:sz w:val="14"/>
          <w:szCs w:val="14"/>
          <w:color w:val="auto"/>
        </w:rPr>
        <w:t>During the three and nine months ended June 30, 2015, we declared distributions of $0.285 and $0.830 per share, respectively, for total distributions of $4.2 million and $12.3 million, respectively. For the same periods in the prior year, we declared distributions of $0.270 and $0.808 per share, respectively, for total distributions of $4.0 million and $12.0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204" w:lineRule="exact"/>
        <w:rPr>
          <w:sz w:val="20"/>
          <w:szCs w:val="20"/>
          <w:color w:val="auto"/>
        </w:rPr>
      </w:pPr>
    </w:p>
    <w:p>
      <w:pPr>
        <w:ind w:right="740" w:firstLine="786"/>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52" w:lineRule="exact"/>
        <w:rPr>
          <w:sz w:val="20"/>
          <w:szCs w:val="20"/>
          <w:color w:val="auto"/>
        </w:rPr>
      </w:pPr>
    </w:p>
    <w:p>
      <w:pPr>
        <w:ind w:right="160" w:firstLine="786"/>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85" w:lineRule="exact"/>
        <w:rPr>
          <w:sz w:val="20"/>
          <w:szCs w:val="20"/>
          <w:color w:val="auto"/>
        </w:rPr>
      </w:pPr>
    </w:p>
    <w:p>
      <w:pPr>
        <w:jc w:val="both"/>
        <w:ind w:right="120" w:firstLine="786"/>
        <w:spacing w:after="0" w:line="238"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6" w:lineRule="exact"/>
        <w:rPr>
          <w:sz w:val="20"/>
          <w:szCs w:val="20"/>
          <w:color w:val="auto"/>
        </w:rPr>
      </w:pPr>
    </w:p>
    <w:p>
      <w:pPr>
        <w:ind w:right="260" w:firstLine="786"/>
        <w:spacing w:after="0" w:line="255" w:lineRule="auto"/>
        <w:rPr>
          <w:sz w:val="20"/>
          <w:szCs w:val="20"/>
          <w:color w:val="auto"/>
        </w:rPr>
      </w:pPr>
      <w:r>
        <w:rPr>
          <w:rFonts w:ascii="Arial" w:cs="Arial" w:eastAsia="Arial" w:hAnsi="Arial"/>
          <w:sz w:val="13"/>
          <w:szCs w:val="13"/>
          <w:color w:val="auto"/>
        </w:rPr>
        <w:t>In April 2015, the Financial Accounting Standards Board issued Accounting Standards Update 2015-03, Interest — Imputation of Interest (Subtopic 835-30) — Simplifying the Presentation of Debt Issuance Costs. The update requires that debt issuance costs related to a recognized debt liability be presented in the balance sheet as a direct deduction from the carrying amount of that debt liability, consistent with debt discounts. Public companies are required to apply ASU 2015-03 retrospectively for interim and annual reporting periods beginning after December 15, 2015. Accordingly, we have evaluated ASU 2015-03 and anticipate no impact on our consolidated financial statements and disclosures.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08" w:lineRule="exact"/>
        <w:rPr>
          <w:sz w:val="20"/>
          <w:szCs w:val="20"/>
          <w:color w:val="auto"/>
        </w:rPr>
      </w:pPr>
    </w:p>
    <w:p>
      <w:pPr>
        <w:jc w:val="both"/>
        <w:ind w:right="60" w:firstLine="786"/>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2015, our debt portfolio consisted of 97% variable-rate investments (including 93% with a LIBOR or prime floor) and 3%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84" w:lineRule="exact"/>
        <w:rPr>
          <w:sz w:val="20"/>
          <w:szCs w:val="20"/>
          <w:color w:val="auto"/>
        </w:rPr>
      </w:pPr>
    </w:p>
    <w:p>
      <w:pPr>
        <w:ind w:right="200" w:firstLine="786"/>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right"/>
              <w:ind w:right="1260"/>
              <w:spacing w:after="0"/>
              <w:rPr>
                <w:sz w:val="20"/>
                <w:szCs w:val="20"/>
                <w:color w:val="auto"/>
              </w:rPr>
            </w:pPr>
            <w:r>
              <w:rPr>
                <w:rFonts w:ascii="Arial" w:cs="Arial" w:eastAsia="Arial" w:hAnsi="Arial"/>
                <w:sz w:val="14"/>
                <w:szCs w:val="14"/>
                <w:color w:val="auto"/>
                <w:w w:val="93"/>
              </w:rPr>
              <w:t>Change In Interest</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spacing w:after="0"/>
              <w:rPr>
                <w:sz w:val="20"/>
                <w:szCs w:val="20"/>
                <w:color w:val="auto"/>
              </w:rPr>
            </w:pPr>
            <w:r>
              <w:rPr>
                <w:rFonts w:ascii="Arial" w:cs="Arial" w:eastAsia="Arial" w:hAnsi="Arial"/>
                <w:sz w:val="14"/>
                <w:szCs w:val="14"/>
                <w:color w:val="auto"/>
              </w:rPr>
              <w:t>Change In Interest Rates</w:t>
            </w:r>
          </w:p>
        </w:tc>
        <w:tc>
          <w:tcPr>
            <w:tcW w:w="1020" w:type="dxa"/>
            <w:vAlign w:val="bottom"/>
          </w:tcPr>
          <w:p>
            <w:pPr>
              <w:spacing w:after="0"/>
              <w:rPr>
                <w:sz w:val="12"/>
                <w:szCs w:val="12"/>
                <w:color w:val="auto"/>
              </w:rPr>
            </w:pPr>
          </w:p>
        </w:tc>
        <w:tc>
          <w:tcPr>
            <w:tcW w:w="2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Income, Net Of Interest</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2480" w:type="dxa"/>
            <w:vAlign w:val="bottom"/>
            <w:gridSpan w:val="3"/>
          </w:tcPr>
          <w:p>
            <w:pPr>
              <w:ind w:left="20"/>
              <w:spacing w:after="0"/>
              <w:rPr>
                <w:sz w:val="20"/>
                <w:szCs w:val="20"/>
                <w:color w:val="auto"/>
              </w:rPr>
            </w:pPr>
            <w:r>
              <w:rPr>
                <w:rFonts w:ascii="Arial" w:cs="Arial" w:eastAsia="Arial" w:hAnsi="Arial"/>
                <w:sz w:val="14"/>
                <w:szCs w:val="14"/>
                <w:color w:val="auto"/>
              </w:rPr>
              <w:t>Expense (in 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42"/>
        </w:trPr>
        <w:tc>
          <w:tcPr>
            <w:tcW w:w="1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Up 1%</w:t>
            </w:r>
          </w:p>
        </w:tc>
        <w:tc>
          <w:tcPr>
            <w:tcW w:w="10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(1,308)</w:t>
            </w:r>
          </w:p>
        </w:tc>
        <w:tc>
          <w:tcPr>
            <w:tcW w:w="1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9" w:lineRule="exact"/>
              <w:rPr>
                <w:sz w:val="20"/>
                <w:szCs w:val="20"/>
                <w:color w:val="auto"/>
              </w:rPr>
            </w:pPr>
            <w:r>
              <w:rPr>
                <w:rFonts w:ascii="Arial" w:cs="Arial" w:eastAsia="Arial" w:hAnsi="Arial"/>
                <w:sz w:val="14"/>
                <w:szCs w:val="14"/>
                <w:color w:val="auto"/>
              </w:rPr>
              <w:t>Up 2%</w:t>
            </w:r>
          </w:p>
        </w:tc>
        <w:tc>
          <w:tcPr>
            <w:tcW w:w="1140" w:type="dxa"/>
            <w:vAlign w:val="bottom"/>
            <w:gridSpan w:val="2"/>
          </w:tcPr>
          <w:p>
            <w:pPr>
              <w:ind w:left="102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2"/>
          </w:tcPr>
          <w:p>
            <w:pPr>
              <w:jc w:val="right"/>
              <w:ind w:right="1100"/>
              <w:spacing w:after="0" w:line="149" w:lineRule="exact"/>
              <w:rPr>
                <w:sz w:val="20"/>
                <w:szCs w:val="20"/>
                <w:color w:val="auto"/>
              </w:rPr>
            </w:pPr>
            <w:r>
              <w:rPr>
                <w:rFonts w:ascii="Arial" w:cs="Arial" w:eastAsia="Arial" w:hAnsi="Arial"/>
                <w:sz w:val="14"/>
                <w:szCs w:val="14"/>
                <w:color w:val="auto"/>
              </w:rPr>
              <w:t>607</w:t>
            </w:r>
          </w:p>
        </w:tc>
        <w:tc>
          <w:tcPr>
            <w:tcW w:w="13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3%</w:t>
            </w:r>
          </w:p>
        </w:tc>
        <w:tc>
          <w:tcPr>
            <w:tcW w:w="114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2"/>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2,734</w:t>
            </w:r>
          </w:p>
        </w:tc>
        <w:tc>
          <w:tcPr>
            <w:tcW w:w="13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82"/>
        </w:trPr>
        <w:tc>
          <w:tcPr>
            <w:tcW w:w="2440" w:type="dxa"/>
            <w:vAlign w:val="bottom"/>
            <w:gridSpan w:val="2"/>
          </w:tcPr>
          <w:p>
            <w:pPr>
              <w:spacing w:after="0"/>
              <w:rPr>
                <w:sz w:val="20"/>
                <w:szCs w:val="20"/>
                <w:color w:val="auto"/>
              </w:rPr>
            </w:pPr>
            <w:r>
              <w:rPr>
                <w:rFonts w:ascii="Arial" w:cs="Arial" w:eastAsia="Arial" w:hAnsi="Arial"/>
                <w:sz w:val="14"/>
                <w:szCs w:val="14"/>
                <w:color w:val="auto"/>
              </w:rPr>
              <w:t>Up 4%</w:t>
            </w:r>
          </w:p>
        </w:tc>
        <w:tc>
          <w:tcPr>
            <w:tcW w:w="11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360" w:type="dxa"/>
            <w:vAlign w:val="bottom"/>
            <w:gridSpan w:val="2"/>
          </w:tcPr>
          <w:p>
            <w:pPr>
              <w:jc w:val="right"/>
              <w:ind w:right="1100"/>
              <w:spacing w:after="0"/>
              <w:rPr>
                <w:sz w:val="20"/>
                <w:szCs w:val="20"/>
                <w:color w:val="auto"/>
              </w:rPr>
            </w:pPr>
            <w:r>
              <w:rPr>
                <w:rFonts w:ascii="Arial" w:cs="Arial" w:eastAsia="Arial" w:hAnsi="Arial"/>
                <w:sz w:val="14"/>
                <w:szCs w:val="14"/>
                <w:color w:val="auto"/>
              </w:rPr>
              <w:t>4,862</w:t>
            </w: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140" w:firstLine="786"/>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3" w:lineRule="exact"/>
        <w:rPr>
          <w:sz w:val="20"/>
          <w:szCs w:val="20"/>
          <w:color w:val="auto"/>
        </w:rPr>
      </w:pPr>
    </w:p>
    <w:p>
      <w:pPr>
        <w:ind w:right="180" w:firstLine="786"/>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3" w:lineRule="exact"/>
        <w:rPr>
          <w:sz w:val="20"/>
          <w:szCs w:val="20"/>
          <w:color w:val="auto"/>
        </w:rPr>
      </w:pPr>
    </w:p>
    <w:p>
      <w:pPr>
        <w:jc w:val="both"/>
        <w:ind w:firstLine="786"/>
        <w:spacing w:after="0" w:line="264"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the benefits of lower interest rates with respect to our portfolio of investments with fixed interest rates. During the periods covered by this Report, we did not engage in interest rate hedging activities.</w:t>
      </w:r>
    </w:p>
    <w:p>
      <w:pPr>
        <w:spacing w:after="0" w:line="24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140" w:firstLine="786"/>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9" w:lineRule="exact"/>
        <w:rPr>
          <w:sz w:val="20"/>
          <w:szCs w:val="20"/>
          <w:color w:val="auto"/>
        </w:rPr>
      </w:pPr>
    </w:p>
    <w:p>
      <w:pPr>
        <w:ind w:right="300" w:firstLine="786"/>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2015 that have materially affected, or are reasonably likely to materially affect, our internal control over financial reporting.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40" w:firstLine="786"/>
        <w:spacing w:after="0" w:line="255" w:lineRule="auto"/>
        <w:rPr>
          <w:sz w:val="20"/>
          <w:szCs w:val="20"/>
          <w:color w:val="auto"/>
        </w:rPr>
      </w:pPr>
      <w:r>
        <w:rPr>
          <w:rFonts w:ascii="Arial" w:cs="Arial" w:eastAsia="Arial" w:hAnsi="Arial"/>
          <w:sz w:val="13"/>
          <w:szCs w:val="13"/>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firstLine="786"/>
        <w:spacing w:after="0" w:line="231"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2014 and in “Risk Factors” in our Registration Statement on Form N-14, as amended, which could materially affect our business, financial condition and/or operating results. The risks described in our Annual Report on Form 10-K and in our Registration Statement on Form N-14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6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Not Applicable.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3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Agreement and Plan of Merger (Incorporated by reference to the Registrant’s Current Report on Form 8-K (File No. 814-00891), filed on April 29, 2015).</w:t>
      </w:r>
    </w:p>
    <w:p>
      <w:pPr>
        <w:spacing w:after="0" w:line="96" w:lineRule="exact"/>
        <w:rPr>
          <w:sz w:val="20"/>
          <w:szCs w:val="20"/>
          <w:color w:val="auto"/>
        </w:rPr>
      </w:pPr>
    </w:p>
    <w:p>
      <w:pPr>
        <w:ind w:left="680" w:hanging="602"/>
        <w:spacing w:after="0" w:line="253" w:lineRule="auto"/>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Amendment and Restatement of the Registrant (Incorporated by reference to the Registrant’s Pre-Effective Amendment No. 3 to the Registration Statement on Form N-2 (File No. 333-170243), filed on March 29, 2011).</w:t>
      </w:r>
    </w:p>
    <w:p>
      <w:pPr>
        <w:spacing w:after="0" w:line="6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the Registrant’s Annual Report on Form 10-K (File No. 814-00891), filed on November 14, 2013).</w:t>
      </w:r>
    </w:p>
    <w:p>
      <w:pPr>
        <w:spacing w:after="0" w:line="96" w:lineRule="exact"/>
        <w:rPr>
          <w:sz w:val="20"/>
          <w:szCs w:val="20"/>
          <w:color w:val="auto"/>
        </w:rPr>
      </w:pPr>
    </w:p>
    <w:p>
      <w:pPr>
        <w:ind w:left="680" w:right="20" w:hanging="602"/>
        <w:spacing w:after="0" w:line="253" w:lineRule="auto"/>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the Registrant’s Pre-Effective Amendment No. 5 to the Registration Statement on Form N-2 (File No. 333-170243), filed on April 5, 2011).</w:t>
      </w:r>
    </w:p>
    <w:p>
      <w:pPr>
        <w:spacing w:after="0" w:line="66" w:lineRule="exact"/>
        <w:rPr>
          <w:sz w:val="20"/>
          <w:szCs w:val="20"/>
          <w:color w:val="auto"/>
        </w:rPr>
      </w:pPr>
    </w:p>
    <w:p>
      <w:pPr>
        <w:ind w:left="680" w:right="180" w:hanging="674"/>
        <w:spacing w:after="0" w:line="238" w:lineRule="auto"/>
        <w:tabs>
          <w:tab w:leader="none" w:pos="660" w:val="left"/>
        </w:tabs>
        <w:rPr>
          <w:sz w:val="20"/>
          <w:szCs w:val="20"/>
          <w:color w:val="auto"/>
        </w:rPr>
      </w:pPr>
      <w:r>
        <w:rPr>
          <w:rFonts w:ascii="Arial" w:cs="Arial" w:eastAsia="Arial" w:hAnsi="Arial"/>
          <w:sz w:val="14"/>
          <w:szCs w:val="14"/>
          <w:color w:val="auto"/>
        </w:rPr>
        <w:t>10.1 *</w:t>
      </w:r>
      <w:r>
        <w:rPr>
          <w:sz w:val="20"/>
          <w:szCs w:val="20"/>
          <w:color w:val="auto"/>
        </w:rPr>
        <w:tab/>
      </w:r>
      <w:r>
        <w:rPr>
          <w:rFonts w:ascii="Arial" w:cs="Arial" w:eastAsia="Arial" w:hAnsi="Arial"/>
          <w:sz w:val="14"/>
          <w:szCs w:val="14"/>
          <w:color w:val="auto"/>
        </w:rPr>
        <w:t>Third Amended and Restated Revolving Credit and Security Agreement, dated as of May 22, 2015, among PennantPark Floating Rate Funding I, LLC, as borrower, PennantPark Investment Advisers, LLC, as collateral manager, the lenders from time to time parties thereto, SunTrust Bank, as administrative agent, and U.S. Bank National Association, as collateral agent, as backup collateral manager, and as custodian.</w:t>
      </w:r>
    </w:p>
    <w:p>
      <w:pPr>
        <w:spacing w:after="0" w:line="75"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96" w:lineRule="exact"/>
        <w:rPr>
          <w:sz w:val="20"/>
          <w:szCs w:val="20"/>
          <w:color w:val="auto"/>
        </w:rPr>
      </w:pPr>
    </w:p>
    <w:p>
      <w:pPr>
        <w:ind w:left="680" w:right="2860" w:hanging="674"/>
        <w:spacing w:after="0" w:line="253" w:lineRule="auto"/>
        <w:tabs>
          <w:tab w:leader="none" w:pos="6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520" w:firstLine="78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Date: August 6,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w:t>
      </w:r>
    </w:p>
    <w:p>
      <w:pPr>
        <w:spacing w:after="0" w:line="215"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3810</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3">
            <w:col w:w="4920" w:space="720"/>
            <w:col w:w="400" w:space="720"/>
            <w:col w:w="4460"/>
          </w:cols>
          <w:pgMar w:left="320" w:top="459" w:right="359" w:bottom="1440" w:gutter="0" w:footer="0" w:header="0"/>
          <w:type w:val="continuous"/>
        </w:sectPr>
      </w:pPr>
    </w:p>
    <w:p>
      <w:pPr>
        <w:jc w:val="center"/>
        <w:ind w:left="5940"/>
        <w:spacing w:after="0"/>
        <w:rPr>
          <w:sz w:val="20"/>
          <w:szCs w:val="20"/>
          <w:color w:val="auto"/>
        </w:rPr>
      </w:pPr>
      <w:r>
        <w:rPr>
          <w:rFonts w:ascii="Arial" w:cs="Arial" w:eastAsia="Arial" w:hAnsi="Arial"/>
          <w:sz w:val="14"/>
          <w:szCs w:val="14"/>
          <w:b w:val="1"/>
          <w:bCs w:val="1"/>
          <w:color w:val="auto"/>
        </w:rPr>
        <w:t>Arthur H. Penn</w:t>
      </w:r>
    </w:p>
    <w:p>
      <w:pPr>
        <w:jc w:val="center"/>
        <w:ind w:left="5940"/>
        <w:spacing w:after="0"/>
        <w:rPr>
          <w:sz w:val="20"/>
          <w:szCs w:val="20"/>
          <w:color w:val="auto"/>
        </w:rPr>
      </w:pPr>
      <w:r>
        <w:rPr>
          <w:rFonts w:ascii="Arial" w:cs="Arial" w:eastAsia="Arial" w:hAnsi="Arial"/>
          <w:sz w:val="13"/>
          <w:szCs w:val="13"/>
          <w:b w:val="1"/>
          <w:bCs w:val="1"/>
          <w:color w:val="auto"/>
        </w:rPr>
        <w:t>Chief Executive Officer and Chairman of the Board of Directors (Principal Executive</w:t>
      </w:r>
    </w:p>
    <w:p>
      <w:pPr>
        <w:jc w:val="center"/>
        <w:ind w:left="5940"/>
        <w:spacing w:after="0"/>
        <w:rPr>
          <w:sz w:val="20"/>
          <w:szCs w:val="20"/>
          <w:color w:val="auto"/>
        </w:rPr>
      </w:pPr>
      <w:r>
        <w:rPr>
          <w:rFonts w:ascii="Arial" w:cs="Arial" w:eastAsia="Arial" w:hAnsi="Arial"/>
          <w:sz w:val="14"/>
          <w:szCs w:val="14"/>
          <w:b w:val="1"/>
          <w:bCs w:val="1"/>
          <w:color w:val="auto"/>
        </w:rPr>
        <w:t>Officer)</w:t>
      </w:r>
    </w:p>
    <w:p>
      <w:pPr>
        <w:spacing w:after="0" w:line="192" w:lineRule="exact"/>
        <w:rPr>
          <w:sz w:val="20"/>
          <w:szCs w:val="20"/>
          <w:color w:val="auto"/>
        </w:rPr>
      </w:pPr>
    </w:p>
    <w:p>
      <w:pPr>
        <w:spacing w:after="0"/>
        <w:tabs>
          <w:tab w:leader="none" w:pos="5620" w:val="left"/>
          <w:tab w:leader="none" w:pos="8000" w:val="left"/>
          <w:tab w:leader="none" w:pos="8280" w:val="left"/>
        </w:tabs>
        <w:rPr>
          <w:sz w:val="20"/>
          <w:szCs w:val="20"/>
          <w:color w:val="auto"/>
        </w:rPr>
      </w:pPr>
      <w:r>
        <w:rPr>
          <w:rFonts w:ascii="Arial" w:cs="Arial" w:eastAsia="Arial" w:hAnsi="Arial"/>
          <w:sz w:val="14"/>
          <w:szCs w:val="14"/>
          <w:color w:val="auto"/>
        </w:rPr>
        <w:t>Date: August 6, 2015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w:t>
        <w:tab/>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3810</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4"/>
          <w:szCs w:val="14"/>
          <w:b w:val="1"/>
          <w:bCs w:val="1"/>
          <w:color w:val="auto"/>
        </w:rPr>
        <w:t>Aviv Efrat</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20"/>
          </w:cols>
          <w:pgMar w:left="320" w:top="459" w:right="35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XECUTION</w:t>
      </w:r>
      <w:r>
        <w:rPr>
          <w:rFonts w:ascii="Arial" w:cs="Arial" w:eastAsia="Arial" w:hAnsi="Arial"/>
          <w:sz w:val="22"/>
          <w:szCs w:val="22"/>
          <w:color w:val="auto"/>
        </w:rPr>
        <w:t xml:space="preserve"> C</w:t>
      </w:r>
      <w:r>
        <w:rPr>
          <w:rFonts w:ascii="Arial" w:cs="Arial" w:eastAsia="Arial" w:hAnsi="Arial"/>
          <w:sz w:val="17"/>
          <w:szCs w:val="17"/>
          <w:color w:val="auto"/>
        </w:rPr>
        <w:t>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444500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487045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HIRD</w:t>
      </w:r>
      <w:r>
        <w:rPr>
          <w:rFonts w:ascii="Arial" w:cs="Arial" w:eastAsia="Arial" w:hAnsi="Arial"/>
          <w:sz w:val="22"/>
          <w:szCs w:val="22"/>
          <w:color w:val="auto"/>
        </w:rPr>
        <w:t xml:space="preserve"> A</w:t>
      </w:r>
      <w:r>
        <w:rPr>
          <w:rFonts w:ascii="Arial" w:cs="Arial" w:eastAsia="Arial" w:hAnsi="Arial"/>
          <w:sz w:val="17"/>
          <w:szCs w:val="17"/>
          <w:color w:val="auto"/>
        </w:rPr>
        <w:t>MENDED AND</w:t>
      </w:r>
      <w:r>
        <w:rPr>
          <w:rFonts w:ascii="Arial" w:cs="Arial" w:eastAsia="Arial" w:hAnsi="Arial"/>
          <w:sz w:val="22"/>
          <w:szCs w:val="22"/>
          <w:color w:val="auto"/>
        </w:rPr>
        <w:t xml:space="preserve"> R</w:t>
      </w:r>
      <w:r>
        <w:rPr>
          <w:rFonts w:ascii="Arial" w:cs="Arial" w:eastAsia="Arial" w:hAnsi="Arial"/>
          <w:sz w:val="17"/>
          <w:szCs w:val="17"/>
          <w:color w:val="auto"/>
        </w:rPr>
        <w:t>ESTATED</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EVOLVING</w:t>
      </w:r>
      <w:r>
        <w:rPr>
          <w:rFonts w:ascii="Arial" w:cs="Arial" w:eastAsia="Arial" w:hAnsi="Arial"/>
          <w:sz w:val="22"/>
          <w:szCs w:val="22"/>
          <w:color w:val="auto"/>
        </w:rPr>
        <w:t xml:space="preserve"> C</w:t>
      </w:r>
      <w:r>
        <w:rPr>
          <w:rFonts w:ascii="Arial" w:cs="Arial" w:eastAsia="Arial" w:hAnsi="Arial"/>
          <w:sz w:val="17"/>
          <w:szCs w:val="17"/>
          <w:color w:val="auto"/>
        </w:rPr>
        <w:t>REDIT AND</w:t>
      </w:r>
      <w:r>
        <w:rPr>
          <w:rFonts w:ascii="Arial" w:cs="Arial" w:eastAsia="Arial" w:hAnsi="Arial"/>
          <w:sz w:val="22"/>
          <w:szCs w:val="22"/>
          <w:color w:val="auto"/>
        </w:rPr>
        <w:t xml:space="preserve"> S</w:t>
      </w:r>
      <w:r>
        <w:rPr>
          <w:rFonts w:ascii="Arial" w:cs="Arial" w:eastAsia="Arial" w:hAnsi="Arial"/>
          <w:sz w:val="17"/>
          <w:szCs w:val="17"/>
          <w:color w:val="auto"/>
        </w:rPr>
        <w:t>ECURITY</w:t>
      </w:r>
      <w:r>
        <w:rPr>
          <w:rFonts w:ascii="Arial" w:cs="Arial" w:eastAsia="Arial" w:hAnsi="Arial"/>
          <w:sz w:val="22"/>
          <w:szCs w:val="22"/>
          <w:color w:val="auto"/>
        </w:rPr>
        <w:t xml:space="preserve"> A</w:t>
      </w:r>
      <w:r>
        <w:rPr>
          <w:rFonts w:ascii="Arial" w:cs="Arial" w:eastAsia="Arial" w:hAnsi="Arial"/>
          <w:sz w:val="17"/>
          <w:szCs w:val="17"/>
          <w:color w:val="auto"/>
        </w:rPr>
        <w:t>GREEMENT</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F</w:t>
      </w:r>
      <w:r>
        <w:rPr>
          <w:rFonts w:ascii="Arial" w:cs="Arial" w:eastAsia="Arial" w:hAnsi="Arial"/>
          <w:sz w:val="17"/>
          <w:szCs w:val="17"/>
          <w:color w:val="auto"/>
        </w:rPr>
        <w:t>LOATING</w:t>
      </w:r>
      <w:r>
        <w:rPr>
          <w:rFonts w:ascii="Arial" w:cs="Arial" w:eastAsia="Arial" w:hAnsi="Arial"/>
          <w:sz w:val="22"/>
          <w:szCs w:val="22"/>
          <w:color w:val="auto"/>
        </w:rPr>
        <w:t xml:space="preserve"> R</w:t>
      </w:r>
      <w:r>
        <w:rPr>
          <w:rFonts w:ascii="Arial" w:cs="Arial" w:eastAsia="Arial" w:hAnsi="Arial"/>
          <w:sz w:val="17"/>
          <w:szCs w:val="17"/>
          <w:color w:val="auto"/>
        </w:rPr>
        <w:t>ATE</w:t>
      </w:r>
      <w:r>
        <w:rPr>
          <w:rFonts w:ascii="Arial" w:cs="Arial" w:eastAsia="Arial" w:hAnsi="Arial"/>
          <w:sz w:val="22"/>
          <w:szCs w:val="22"/>
          <w:color w:val="auto"/>
        </w:rPr>
        <w:t xml:space="preserve"> F</w:t>
      </w:r>
      <w:r>
        <w:rPr>
          <w:rFonts w:ascii="Arial" w:cs="Arial" w:eastAsia="Arial" w:hAnsi="Arial"/>
          <w:sz w:val="17"/>
          <w:szCs w:val="17"/>
          <w:color w:val="auto"/>
        </w:rPr>
        <w:t>UNDING</w:t>
      </w:r>
      <w:r>
        <w:rPr>
          <w:rFonts w:ascii="Arial" w:cs="Arial" w:eastAsia="Arial" w:hAnsi="Arial"/>
          <w:sz w:val="22"/>
          <w:szCs w:val="22"/>
          <w:color w:val="auto"/>
        </w:rPr>
        <w:t xml:space="preserve"> I, LLC,</w:t>
      </w:r>
    </w:p>
    <w:p>
      <w:pPr>
        <w:spacing w:after="0" w:line="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I</w:t>
      </w:r>
      <w:r>
        <w:rPr>
          <w:rFonts w:ascii="Arial" w:cs="Arial" w:eastAsia="Arial" w:hAnsi="Arial"/>
          <w:sz w:val="17"/>
          <w:szCs w:val="17"/>
          <w:color w:val="auto"/>
        </w:rPr>
        <w:t>NVESTMENT</w:t>
      </w:r>
      <w:r>
        <w:rPr>
          <w:rFonts w:ascii="Arial" w:cs="Arial" w:eastAsia="Arial" w:hAnsi="Arial"/>
          <w:sz w:val="22"/>
          <w:szCs w:val="22"/>
          <w:color w:val="auto"/>
        </w:rPr>
        <w:t xml:space="preserve"> A</w:t>
      </w:r>
      <w:r>
        <w:rPr>
          <w:rFonts w:ascii="Arial" w:cs="Arial" w:eastAsia="Arial" w:hAnsi="Arial"/>
          <w:sz w:val="17"/>
          <w:szCs w:val="17"/>
          <w:color w:val="auto"/>
        </w:rPr>
        <w:t>DVISERS</w:t>
      </w:r>
      <w:r>
        <w:rPr>
          <w:rFonts w:ascii="Arial" w:cs="Arial" w:eastAsia="Arial" w:hAnsi="Arial"/>
          <w:sz w:val="22"/>
          <w:szCs w:val="22"/>
          <w:color w:val="auto"/>
        </w:rPr>
        <w:t>, LLC,</w:t>
      </w:r>
    </w:p>
    <w:p>
      <w:pPr>
        <w:spacing w:after="0" w:line="8"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as Collateral Manager</w:t>
      </w:r>
    </w:p>
    <w:p>
      <w:pPr>
        <w:spacing w:after="0" w:line="200" w:lineRule="exact"/>
        <w:rPr>
          <w:sz w:val="20"/>
          <w:szCs w:val="20"/>
          <w:color w:val="auto"/>
        </w:rPr>
      </w:pPr>
    </w:p>
    <w:p>
      <w:pPr>
        <w:spacing w:after="0" w:line="23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21"/>
          <w:szCs w:val="21"/>
          <w:color w:val="auto"/>
        </w:rPr>
        <w:t>L</w:t>
      </w:r>
      <w:r>
        <w:rPr>
          <w:rFonts w:ascii="Arial" w:cs="Arial" w:eastAsia="Arial" w:hAnsi="Arial"/>
          <w:sz w:val="18"/>
          <w:szCs w:val="18"/>
          <w:color w:val="auto"/>
        </w:rPr>
        <w:t>ENDERS FROM TIME TO TIME PARTIES HERETO</w:t>
      </w:r>
      <w:r>
        <w:rPr>
          <w:rFonts w:ascii="Arial" w:cs="Arial" w:eastAsia="Arial" w:hAnsi="Arial"/>
          <w:sz w:val="21"/>
          <w:szCs w:val="21"/>
          <w:color w:val="auto"/>
        </w:rPr>
        <w:t>,</w:t>
      </w:r>
    </w:p>
    <w:p>
      <w:pPr>
        <w:spacing w:after="0" w:line="200" w:lineRule="exact"/>
        <w:rPr>
          <w:sz w:val="20"/>
          <w:szCs w:val="20"/>
          <w:color w:val="auto"/>
        </w:rPr>
      </w:pP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UN</w:t>
      </w:r>
      <w:r>
        <w:rPr>
          <w:rFonts w:ascii="Arial" w:cs="Arial" w:eastAsia="Arial" w:hAnsi="Arial"/>
          <w:sz w:val="22"/>
          <w:szCs w:val="22"/>
          <w:color w:val="auto"/>
        </w:rPr>
        <w:t>T</w:t>
      </w:r>
      <w:r>
        <w:rPr>
          <w:rFonts w:ascii="Arial" w:cs="Arial" w:eastAsia="Arial" w:hAnsi="Arial"/>
          <w:sz w:val="17"/>
          <w:szCs w:val="17"/>
          <w:color w:val="auto"/>
        </w:rPr>
        <w:t>RUST</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UN</w:t>
      </w:r>
      <w:r>
        <w:rPr>
          <w:rFonts w:ascii="Arial" w:cs="Arial" w:eastAsia="Arial" w:hAnsi="Arial"/>
          <w:sz w:val="22"/>
          <w:szCs w:val="22"/>
          <w:color w:val="auto"/>
        </w:rPr>
        <w:t>T</w:t>
      </w:r>
      <w:r>
        <w:rPr>
          <w:rFonts w:ascii="Arial" w:cs="Arial" w:eastAsia="Arial" w:hAnsi="Arial"/>
          <w:sz w:val="17"/>
          <w:szCs w:val="17"/>
          <w:color w:val="auto"/>
        </w:rPr>
        <w:t>RUST</w:t>
      </w:r>
      <w:r>
        <w:rPr>
          <w:rFonts w:ascii="Arial" w:cs="Arial" w:eastAsia="Arial" w:hAnsi="Arial"/>
          <w:sz w:val="22"/>
          <w:szCs w:val="22"/>
          <w:color w:val="auto"/>
        </w:rPr>
        <w:t xml:space="preserve"> R</w:t>
      </w:r>
      <w:r>
        <w:rPr>
          <w:rFonts w:ascii="Arial" w:cs="Arial" w:eastAsia="Arial" w:hAnsi="Arial"/>
          <w:sz w:val="17"/>
          <w:szCs w:val="17"/>
          <w:color w:val="auto"/>
        </w:rPr>
        <w:t>OBINSON</w:t>
      </w:r>
      <w:r>
        <w:rPr>
          <w:rFonts w:ascii="Arial" w:cs="Arial" w:eastAsia="Arial" w:hAnsi="Arial"/>
          <w:sz w:val="22"/>
          <w:szCs w:val="22"/>
          <w:color w:val="auto"/>
        </w:rPr>
        <w:t xml:space="preserve"> H</w:t>
      </w:r>
      <w:r>
        <w:rPr>
          <w:rFonts w:ascii="Arial" w:cs="Arial" w:eastAsia="Arial" w:hAnsi="Arial"/>
          <w:sz w:val="17"/>
          <w:szCs w:val="17"/>
          <w:color w:val="auto"/>
        </w:rPr>
        <w:t>UMPHREY</w:t>
      </w:r>
      <w:r>
        <w:rPr>
          <w:rFonts w:ascii="Arial" w:cs="Arial" w:eastAsia="Arial" w:hAnsi="Arial"/>
          <w:sz w:val="22"/>
          <w:szCs w:val="22"/>
          <w:color w:val="auto"/>
        </w:rPr>
        <w:t>, I</w:t>
      </w:r>
      <w:r>
        <w:rPr>
          <w:rFonts w:ascii="Arial" w:cs="Arial" w:eastAsia="Arial" w:hAnsi="Arial"/>
          <w:sz w:val="17"/>
          <w:szCs w:val="17"/>
          <w:color w:val="auto"/>
        </w:rPr>
        <w:t>NC</w:t>
      </w:r>
      <w:r>
        <w:rPr>
          <w:rFonts w:ascii="Arial" w:cs="Arial" w:eastAsia="Arial" w:hAnsi="Arial"/>
          <w:sz w:val="22"/>
          <w:szCs w:val="22"/>
          <w:color w:val="auto"/>
        </w:rPr>
        <w:t>.,</w:t>
      </w:r>
    </w:p>
    <w:p>
      <w:pPr>
        <w:spacing w:after="0" w:line="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as Lead Arranger</w:t>
      </w: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U.S. B</w:t>
      </w:r>
      <w:r>
        <w:rPr>
          <w:rFonts w:ascii="Arial" w:cs="Arial" w:eastAsia="Arial" w:hAnsi="Arial"/>
          <w:sz w:val="17"/>
          <w:szCs w:val="17"/>
          <w:color w:val="auto"/>
        </w:rPr>
        <w:t>ANK</w:t>
      </w:r>
      <w:r>
        <w:rPr>
          <w:rFonts w:ascii="Arial" w:cs="Arial" w:eastAsia="Arial" w:hAnsi="Arial"/>
          <w:sz w:val="22"/>
          <w:szCs w:val="22"/>
          <w:color w:val="auto"/>
        </w:rPr>
        <w:t xml:space="preserve"> N</w:t>
      </w:r>
      <w:r>
        <w:rPr>
          <w:rFonts w:ascii="Arial" w:cs="Arial" w:eastAsia="Arial" w:hAnsi="Arial"/>
          <w:sz w:val="17"/>
          <w:szCs w:val="17"/>
          <w:color w:val="auto"/>
        </w:rPr>
        <w:t>ATIONAL</w:t>
      </w:r>
      <w:r>
        <w:rPr>
          <w:rFonts w:ascii="Arial" w:cs="Arial" w:eastAsia="Arial" w:hAnsi="Arial"/>
          <w:sz w:val="22"/>
          <w:szCs w:val="22"/>
          <w:color w:val="auto"/>
        </w:rPr>
        <w:t xml:space="preserve"> A</w:t>
      </w:r>
      <w:r>
        <w:rPr>
          <w:rFonts w:ascii="Arial" w:cs="Arial" w:eastAsia="Arial" w:hAnsi="Arial"/>
          <w:sz w:val="17"/>
          <w:szCs w:val="17"/>
          <w:color w:val="auto"/>
        </w:rPr>
        <w:t>SSOCIATION</w:t>
      </w:r>
      <w:r>
        <w:rPr>
          <w:rFonts w:ascii="Arial" w:cs="Arial" w:eastAsia="Arial" w:hAnsi="Arial"/>
          <w:sz w:val="22"/>
          <w:szCs w:val="22"/>
          <w:color w:val="auto"/>
        </w:rPr>
        <w:t>,</w:t>
      </w:r>
    </w:p>
    <w:p>
      <w:pPr>
        <w:spacing w:after="0" w:line="8"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as Collateral Agent</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U.S. B</w:t>
      </w:r>
      <w:r>
        <w:rPr>
          <w:rFonts w:ascii="Arial" w:cs="Arial" w:eastAsia="Arial" w:hAnsi="Arial"/>
          <w:sz w:val="17"/>
          <w:szCs w:val="17"/>
          <w:color w:val="auto"/>
        </w:rPr>
        <w:t>ANK</w:t>
      </w:r>
      <w:r>
        <w:rPr>
          <w:rFonts w:ascii="Arial" w:cs="Arial" w:eastAsia="Arial" w:hAnsi="Arial"/>
          <w:sz w:val="22"/>
          <w:szCs w:val="22"/>
          <w:color w:val="auto"/>
        </w:rPr>
        <w:t xml:space="preserve"> N</w:t>
      </w:r>
      <w:r>
        <w:rPr>
          <w:rFonts w:ascii="Arial" w:cs="Arial" w:eastAsia="Arial" w:hAnsi="Arial"/>
          <w:sz w:val="17"/>
          <w:szCs w:val="17"/>
          <w:color w:val="auto"/>
        </w:rPr>
        <w:t>ATIONAL</w:t>
      </w:r>
      <w:r>
        <w:rPr>
          <w:rFonts w:ascii="Arial" w:cs="Arial" w:eastAsia="Arial" w:hAnsi="Arial"/>
          <w:sz w:val="22"/>
          <w:szCs w:val="22"/>
          <w:color w:val="auto"/>
        </w:rPr>
        <w:t xml:space="preserve"> A</w:t>
      </w:r>
      <w:r>
        <w:rPr>
          <w:rFonts w:ascii="Arial" w:cs="Arial" w:eastAsia="Arial" w:hAnsi="Arial"/>
          <w:sz w:val="17"/>
          <w:szCs w:val="17"/>
          <w:color w:val="auto"/>
        </w:rPr>
        <w:t>SSOCIATION</w:t>
      </w:r>
      <w:r>
        <w:rPr>
          <w:rFonts w:ascii="Arial" w:cs="Arial" w:eastAsia="Arial" w:hAnsi="Arial"/>
          <w:sz w:val="22"/>
          <w:szCs w:val="22"/>
          <w:color w:val="auto"/>
        </w:rPr>
        <w:t>,</w:t>
      </w:r>
    </w:p>
    <w:p>
      <w:pPr>
        <w:spacing w:after="0" w:line="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as Backup Collateral Manager</w:t>
      </w:r>
    </w:p>
    <w:p>
      <w:pPr>
        <w:spacing w:after="0" w:line="200" w:lineRule="exact"/>
        <w:rPr>
          <w:sz w:val="20"/>
          <w:szCs w:val="20"/>
          <w:color w:val="auto"/>
        </w:rPr>
      </w:pPr>
    </w:p>
    <w:p>
      <w:pPr>
        <w:spacing w:after="0" w:line="24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U.S. B</w:t>
      </w:r>
      <w:r>
        <w:rPr>
          <w:rFonts w:ascii="Arial" w:cs="Arial" w:eastAsia="Arial" w:hAnsi="Arial"/>
          <w:sz w:val="17"/>
          <w:szCs w:val="17"/>
          <w:color w:val="auto"/>
        </w:rPr>
        <w:t>ANK</w:t>
      </w:r>
      <w:r>
        <w:rPr>
          <w:rFonts w:ascii="Arial" w:cs="Arial" w:eastAsia="Arial" w:hAnsi="Arial"/>
          <w:sz w:val="22"/>
          <w:szCs w:val="22"/>
          <w:color w:val="auto"/>
        </w:rPr>
        <w:t xml:space="preserve"> N</w:t>
      </w:r>
      <w:r>
        <w:rPr>
          <w:rFonts w:ascii="Arial" w:cs="Arial" w:eastAsia="Arial" w:hAnsi="Arial"/>
          <w:sz w:val="17"/>
          <w:szCs w:val="17"/>
          <w:color w:val="auto"/>
        </w:rPr>
        <w:t>ATIONAL</w:t>
      </w:r>
      <w:r>
        <w:rPr>
          <w:rFonts w:ascii="Arial" w:cs="Arial" w:eastAsia="Arial" w:hAnsi="Arial"/>
          <w:sz w:val="22"/>
          <w:szCs w:val="22"/>
          <w:color w:val="auto"/>
        </w:rPr>
        <w:t xml:space="preserve"> A</w:t>
      </w:r>
      <w:r>
        <w:rPr>
          <w:rFonts w:ascii="Arial" w:cs="Arial" w:eastAsia="Arial" w:hAnsi="Arial"/>
          <w:sz w:val="17"/>
          <w:szCs w:val="17"/>
          <w:color w:val="auto"/>
        </w:rPr>
        <w:t>SSOCIATION</w:t>
      </w:r>
      <w:r>
        <w:rPr>
          <w:rFonts w:ascii="Arial" w:cs="Arial" w:eastAsia="Arial" w:hAnsi="Arial"/>
          <w:sz w:val="22"/>
          <w:szCs w:val="22"/>
          <w:color w:val="auto"/>
        </w:rPr>
        <w:t>,</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as Custodian</w:t>
      </w:r>
    </w:p>
    <w:p>
      <w:pPr>
        <w:spacing w:after="0" w:line="200" w:lineRule="exact"/>
        <w:rPr>
          <w:sz w:val="20"/>
          <w:szCs w:val="20"/>
          <w:color w:val="auto"/>
        </w:rPr>
      </w:pPr>
    </w:p>
    <w:p>
      <w:pPr>
        <w:spacing w:after="0" w:line="245"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Dated as of May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375920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418465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80"/>
        </w:trPr>
        <w:tc>
          <w:tcPr>
            <w:tcW w:w="2200" w:type="dxa"/>
            <w:vAlign w:val="bottom"/>
          </w:tcPr>
          <w:p>
            <w:pPr>
              <w:spacing w:after="0"/>
              <w:rPr>
                <w:sz w:val="24"/>
                <w:szCs w:val="24"/>
                <w:color w:val="auto"/>
              </w:rPr>
            </w:pPr>
          </w:p>
        </w:tc>
        <w:tc>
          <w:tcPr>
            <w:tcW w:w="7060" w:type="dxa"/>
            <w:vAlign w:val="bottom"/>
          </w:tcPr>
          <w:p>
            <w:pPr>
              <w:ind w:left="242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ONTENTS</w:t>
            </w:r>
          </w:p>
        </w:tc>
        <w:tc>
          <w:tcPr>
            <w:tcW w:w="1880" w:type="dxa"/>
            <w:vAlign w:val="bottom"/>
          </w:tcPr>
          <w:p>
            <w:pPr>
              <w:spacing w:after="0"/>
              <w:rPr>
                <w:sz w:val="24"/>
                <w:szCs w:val="24"/>
                <w:color w:val="auto"/>
              </w:rPr>
            </w:pPr>
          </w:p>
        </w:tc>
      </w:tr>
      <w:tr>
        <w:trPr>
          <w:trHeight w:val="608"/>
        </w:trPr>
        <w:tc>
          <w:tcPr>
            <w:tcW w:w="220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ECTION</w:t>
            </w:r>
          </w:p>
        </w:tc>
        <w:tc>
          <w:tcPr>
            <w:tcW w:w="7060" w:type="dxa"/>
            <w:vAlign w:val="bottom"/>
          </w:tcPr>
          <w:p>
            <w:pPr>
              <w:ind w:left="3040"/>
              <w:spacing w:after="0"/>
              <w:rPr>
                <w:sz w:val="20"/>
                <w:szCs w:val="20"/>
                <w:color w:val="auto"/>
              </w:rPr>
            </w:pPr>
            <w:r>
              <w:rPr>
                <w:rFonts w:ascii="Arial" w:cs="Arial" w:eastAsia="Arial" w:hAnsi="Arial"/>
                <w:sz w:val="22"/>
                <w:szCs w:val="22"/>
                <w:color w:val="auto"/>
              </w:rPr>
              <w:t>H</w:t>
            </w:r>
            <w:r>
              <w:rPr>
                <w:rFonts w:ascii="Arial" w:cs="Arial" w:eastAsia="Arial" w:hAnsi="Arial"/>
                <w:sz w:val="17"/>
                <w:szCs w:val="17"/>
                <w:color w:val="auto"/>
              </w:rPr>
              <w:t>EADING</w:t>
            </w:r>
          </w:p>
        </w:tc>
        <w:tc>
          <w:tcPr>
            <w:tcW w:w="1880" w:type="dxa"/>
            <w:vAlign w:val="bottom"/>
          </w:tcPr>
          <w:p>
            <w:pPr>
              <w:jc w:val="right"/>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AGE</w:t>
            </w:r>
          </w:p>
        </w:tc>
      </w:tr>
      <w:tr>
        <w:trPr>
          <w:trHeight w:val="608"/>
        </w:trPr>
        <w:tc>
          <w:tcPr>
            <w:tcW w:w="220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I</w:t>
            </w:r>
          </w:p>
        </w:tc>
        <w:tc>
          <w:tcPr>
            <w:tcW w:w="7060" w:type="dxa"/>
            <w:vAlign w:val="bottom"/>
          </w:tcPr>
          <w:p>
            <w:pPr>
              <w:ind w:left="320"/>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w:t>
            </w:r>
            <w:r>
              <w:rPr>
                <w:rFonts w:ascii="Arial" w:cs="Arial" w:eastAsia="Arial" w:hAnsi="Arial"/>
                <w:sz w:val="22"/>
                <w:szCs w:val="22"/>
                <w:color w:val="auto"/>
              </w:rPr>
              <w:t>; R</w:t>
            </w:r>
            <w:r>
              <w:rPr>
                <w:rFonts w:ascii="Arial" w:cs="Arial" w:eastAsia="Arial" w:hAnsi="Arial"/>
                <w:sz w:val="17"/>
                <w:szCs w:val="17"/>
                <w:color w:val="auto"/>
              </w:rPr>
              <w:t>ULES OF</w:t>
            </w:r>
            <w:r>
              <w:rPr>
                <w:rFonts w:ascii="Arial" w:cs="Arial" w:eastAsia="Arial" w:hAnsi="Arial"/>
                <w:sz w:val="22"/>
                <w:szCs w:val="22"/>
                <w:color w:val="auto"/>
              </w:rPr>
              <w:t xml:space="preserve"> C</w:t>
            </w:r>
            <w:r>
              <w:rPr>
                <w:rFonts w:ascii="Arial" w:cs="Arial" w:eastAsia="Arial" w:hAnsi="Arial"/>
                <w:sz w:val="17"/>
                <w:szCs w:val="17"/>
                <w:color w:val="auto"/>
              </w:rPr>
              <w:t>ONSTRUCTION</w:t>
            </w:r>
            <w:r>
              <w:rPr>
                <w:rFonts w:ascii="Arial" w:cs="Arial" w:eastAsia="Arial" w:hAnsi="Arial"/>
                <w:sz w:val="22"/>
                <w:szCs w:val="22"/>
                <w:color w:val="auto"/>
              </w:rPr>
              <w:t>; C</w:t>
            </w:r>
            <w:r>
              <w:rPr>
                <w:rFonts w:ascii="Arial" w:cs="Arial" w:eastAsia="Arial" w:hAnsi="Arial"/>
                <w:sz w:val="17"/>
                <w:szCs w:val="17"/>
                <w:color w:val="auto"/>
              </w:rPr>
              <w:t>OMPUTATIONS</w:t>
            </w:r>
          </w:p>
        </w:tc>
        <w:tc>
          <w:tcPr>
            <w:tcW w:w="18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87"/>
        </w:trPr>
        <w:tc>
          <w:tcPr>
            <w:tcW w:w="2200" w:type="dxa"/>
            <w:vAlign w:val="bottom"/>
          </w:tcPr>
          <w:p>
            <w:pPr>
              <w:ind w:left="760"/>
              <w:spacing w:after="0"/>
              <w:rPr>
                <w:sz w:val="20"/>
                <w:szCs w:val="20"/>
                <w:color w:val="auto"/>
              </w:rPr>
            </w:pPr>
            <w:r>
              <w:rPr>
                <w:rFonts w:ascii="Arial" w:cs="Arial" w:eastAsia="Arial" w:hAnsi="Arial"/>
                <w:sz w:val="22"/>
                <w:szCs w:val="22"/>
                <w:color w:val="auto"/>
              </w:rPr>
              <w:t>Section 1.01.</w:t>
            </w:r>
          </w:p>
        </w:tc>
        <w:tc>
          <w:tcPr>
            <w:tcW w:w="7060" w:type="dxa"/>
            <w:vAlign w:val="bottom"/>
          </w:tcPr>
          <w:p>
            <w:pPr>
              <w:ind w:left="700"/>
              <w:spacing w:after="0"/>
              <w:rPr>
                <w:sz w:val="20"/>
                <w:szCs w:val="20"/>
                <w:color w:val="auto"/>
              </w:rPr>
            </w:pPr>
            <w:r>
              <w:rPr>
                <w:rFonts w:ascii="Arial" w:cs="Arial" w:eastAsia="Arial" w:hAnsi="Arial"/>
                <w:sz w:val="22"/>
                <w:szCs w:val="22"/>
                <w:color w:val="auto"/>
              </w:rPr>
              <w:t>Definitions</w:t>
            </w:r>
          </w:p>
        </w:tc>
        <w:tc>
          <w:tcPr>
            <w:tcW w:w="18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1.02.</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Rules of Construction</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1.03.</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Computation of Time Periods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1.04.</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Collateral Value Calculation Procedures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1.05.</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Classification of Loans and Borrowings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1.06.</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Currencies Generally</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74"/>
        </w:trPr>
        <w:tc>
          <w:tcPr>
            <w:tcW w:w="2200" w:type="dxa"/>
            <w:vAlign w:val="bottom"/>
          </w:tcPr>
          <w:p>
            <w:pPr>
              <w:ind w:left="760"/>
              <w:spacing w:after="0"/>
              <w:rPr>
                <w:sz w:val="20"/>
                <w:szCs w:val="20"/>
                <w:color w:val="auto"/>
              </w:rPr>
            </w:pPr>
            <w:r>
              <w:rPr>
                <w:rFonts w:ascii="Arial" w:cs="Arial" w:eastAsia="Arial" w:hAnsi="Arial"/>
                <w:sz w:val="22"/>
                <w:szCs w:val="22"/>
                <w:color w:val="auto"/>
              </w:rPr>
              <w:t>Section 1.07.</w:t>
            </w:r>
          </w:p>
        </w:tc>
        <w:tc>
          <w:tcPr>
            <w:tcW w:w="7060" w:type="dxa"/>
            <w:vAlign w:val="bottom"/>
          </w:tcPr>
          <w:p>
            <w:pPr>
              <w:ind w:left="700"/>
              <w:spacing w:after="0"/>
              <w:rPr>
                <w:sz w:val="20"/>
                <w:szCs w:val="20"/>
                <w:color w:val="auto"/>
              </w:rPr>
            </w:pPr>
            <w:r>
              <w:rPr>
                <w:rFonts w:ascii="Arial" w:cs="Arial" w:eastAsia="Arial" w:hAnsi="Arial"/>
                <w:sz w:val="22"/>
                <w:szCs w:val="22"/>
                <w:color w:val="auto"/>
              </w:rPr>
              <w:t>Calculation of Borrowing Base</w:t>
            </w:r>
          </w:p>
        </w:tc>
        <w:tc>
          <w:tcPr>
            <w:tcW w:w="18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608"/>
        </w:trPr>
        <w:tc>
          <w:tcPr>
            <w:tcW w:w="220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II</w:t>
            </w:r>
          </w:p>
        </w:tc>
        <w:tc>
          <w:tcPr>
            <w:tcW w:w="7060" w:type="dxa"/>
            <w:vAlign w:val="bottom"/>
          </w:tcPr>
          <w:p>
            <w:pPr>
              <w:ind w:left="320"/>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DVANCES</w:t>
            </w:r>
          </w:p>
        </w:tc>
        <w:tc>
          <w:tcPr>
            <w:tcW w:w="18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87"/>
        </w:trPr>
        <w:tc>
          <w:tcPr>
            <w:tcW w:w="2200" w:type="dxa"/>
            <w:vAlign w:val="bottom"/>
          </w:tcPr>
          <w:p>
            <w:pPr>
              <w:ind w:left="760"/>
              <w:spacing w:after="0"/>
              <w:rPr>
                <w:sz w:val="20"/>
                <w:szCs w:val="20"/>
                <w:color w:val="auto"/>
              </w:rPr>
            </w:pPr>
            <w:r>
              <w:rPr>
                <w:rFonts w:ascii="Arial" w:cs="Arial" w:eastAsia="Arial" w:hAnsi="Arial"/>
                <w:sz w:val="22"/>
                <w:szCs w:val="22"/>
                <w:color w:val="auto"/>
              </w:rPr>
              <w:t>Section 2.01.</w:t>
            </w:r>
          </w:p>
        </w:tc>
        <w:tc>
          <w:tcPr>
            <w:tcW w:w="7060" w:type="dxa"/>
            <w:vAlign w:val="bottom"/>
          </w:tcPr>
          <w:p>
            <w:pPr>
              <w:ind w:left="700"/>
              <w:spacing w:after="0"/>
              <w:rPr>
                <w:sz w:val="20"/>
                <w:szCs w:val="20"/>
                <w:color w:val="auto"/>
              </w:rPr>
            </w:pPr>
            <w:r>
              <w:rPr>
                <w:rFonts w:ascii="Arial" w:cs="Arial" w:eastAsia="Arial" w:hAnsi="Arial"/>
                <w:sz w:val="22"/>
                <w:szCs w:val="22"/>
                <w:color w:val="auto"/>
              </w:rPr>
              <w:t>Revolving Credit Facility</w:t>
            </w:r>
          </w:p>
        </w:tc>
        <w:tc>
          <w:tcPr>
            <w:tcW w:w="18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2.02.</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Making of the Advances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2.03.</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Evidence of Indebtedness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2.04.</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Payment of Principal and Interest</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2.05.</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Prepayment of Advances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2.06.</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Changes of Commitments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2.07.</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Maximum Lawful Rate</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2.08.</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Several Obligations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2.09.</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Increased Costs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2.10.</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Compensation; Breakage Payments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2.11.</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Illegality; Inability to Determine Rates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2.12.</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Rescission or Return of Payment</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2.13.</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Post-Default Interest</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2.14.</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Payments Generally</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74"/>
        </w:trPr>
        <w:tc>
          <w:tcPr>
            <w:tcW w:w="2200" w:type="dxa"/>
            <w:vAlign w:val="bottom"/>
          </w:tcPr>
          <w:p>
            <w:pPr>
              <w:ind w:left="760"/>
              <w:spacing w:after="0"/>
              <w:rPr>
                <w:sz w:val="20"/>
                <w:szCs w:val="20"/>
                <w:color w:val="auto"/>
              </w:rPr>
            </w:pPr>
            <w:r>
              <w:rPr>
                <w:rFonts w:ascii="Arial" w:cs="Arial" w:eastAsia="Arial" w:hAnsi="Arial"/>
                <w:sz w:val="22"/>
                <w:szCs w:val="22"/>
                <w:color w:val="auto"/>
              </w:rPr>
              <w:t>Section 2.15.</w:t>
            </w:r>
          </w:p>
        </w:tc>
        <w:tc>
          <w:tcPr>
            <w:tcW w:w="7060" w:type="dxa"/>
            <w:vAlign w:val="bottom"/>
          </w:tcPr>
          <w:p>
            <w:pPr>
              <w:ind w:left="700"/>
              <w:spacing w:after="0"/>
              <w:rPr>
                <w:sz w:val="20"/>
                <w:szCs w:val="20"/>
                <w:color w:val="auto"/>
              </w:rPr>
            </w:pPr>
            <w:r>
              <w:rPr>
                <w:rFonts w:ascii="Arial" w:cs="Arial" w:eastAsia="Arial" w:hAnsi="Arial"/>
                <w:sz w:val="22"/>
                <w:szCs w:val="22"/>
                <w:color w:val="auto"/>
              </w:rPr>
              <w:t>Increase in Facility Amount</w:t>
            </w:r>
          </w:p>
        </w:tc>
        <w:tc>
          <w:tcPr>
            <w:tcW w:w="188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608"/>
        </w:trPr>
        <w:tc>
          <w:tcPr>
            <w:tcW w:w="220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III</w:t>
            </w:r>
          </w:p>
        </w:tc>
        <w:tc>
          <w:tcPr>
            <w:tcW w:w="7060" w:type="dxa"/>
            <w:vAlign w:val="bottom"/>
          </w:tcPr>
          <w:p>
            <w:pPr>
              <w:ind w:left="320"/>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ONDITIONS</w:t>
            </w:r>
            <w:r>
              <w:rPr>
                <w:rFonts w:ascii="Arial" w:cs="Arial" w:eastAsia="Arial" w:hAnsi="Arial"/>
                <w:sz w:val="22"/>
                <w:szCs w:val="22"/>
                <w:color w:val="auto"/>
              </w:rPr>
              <w:t xml:space="preserve"> P</w:t>
            </w:r>
            <w:r>
              <w:rPr>
                <w:rFonts w:ascii="Arial" w:cs="Arial" w:eastAsia="Arial" w:hAnsi="Arial"/>
                <w:sz w:val="17"/>
                <w:szCs w:val="17"/>
                <w:color w:val="auto"/>
              </w:rPr>
              <w:t>RECEDENT</w:t>
            </w:r>
          </w:p>
        </w:tc>
        <w:tc>
          <w:tcPr>
            <w:tcW w:w="18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87"/>
        </w:trPr>
        <w:tc>
          <w:tcPr>
            <w:tcW w:w="2200" w:type="dxa"/>
            <w:vAlign w:val="bottom"/>
          </w:tcPr>
          <w:p>
            <w:pPr>
              <w:ind w:left="760"/>
              <w:spacing w:after="0"/>
              <w:rPr>
                <w:sz w:val="20"/>
                <w:szCs w:val="20"/>
                <w:color w:val="auto"/>
              </w:rPr>
            </w:pPr>
            <w:r>
              <w:rPr>
                <w:rFonts w:ascii="Arial" w:cs="Arial" w:eastAsia="Arial" w:hAnsi="Arial"/>
                <w:sz w:val="22"/>
                <w:szCs w:val="22"/>
                <w:color w:val="auto"/>
              </w:rPr>
              <w:t>Section 3.01.</w:t>
            </w:r>
          </w:p>
        </w:tc>
        <w:tc>
          <w:tcPr>
            <w:tcW w:w="7060" w:type="dxa"/>
            <w:vAlign w:val="bottom"/>
          </w:tcPr>
          <w:p>
            <w:pPr>
              <w:ind w:left="700"/>
              <w:spacing w:after="0"/>
              <w:rPr>
                <w:sz w:val="20"/>
                <w:szCs w:val="20"/>
                <w:color w:val="auto"/>
              </w:rPr>
            </w:pPr>
            <w:r>
              <w:rPr>
                <w:rFonts w:ascii="Arial" w:cs="Arial" w:eastAsia="Arial" w:hAnsi="Arial"/>
                <w:sz w:val="22"/>
                <w:szCs w:val="22"/>
                <w:color w:val="auto"/>
              </w:rPr>
              <w:t>Reserved</w:t>
            </w:r>
          </w:p>
        </w:tc>
        <w:tc>
          <w:tcPr>
            <w:tcW w:w="18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43"/>
        </w:trPr>
        <w:tc>
          <w:tcPr>
            <w:tcW w:w="2200" w:type="dxa"/>
            <w:vAlign w:val="bottom"/>
          </w:tcPr>
          <w:p>
            <w:pPr>
              <w:ind w:left="760"/>
              <w:spacing w:after="0" w:line="243" w:lineRule="exact"/>
              <w:rPr>
                <w:sz w:val="20"/>
                <w:szCs w:val="20"/>
                <w:color w:val="auto"/>
              </w:rPr>
            </w:pPr>
            <w:r>
              <w:rPr>
                <w:rFonts w:ascii="Arial" w:cs="Arial" w:eastAsia="Arial" w:hAnsi="Arial"/>
                <w:sz w:val="22"/>
                <w:szCs w:val="22"/>
                <w:color w:val="auto"/>
              </w:rPr>
              <w:t>Section 3.02.</w:t>
            </w:r>
          </w:p>
        </w:tc>
        <w:tc>
          <w:tcPr>
            <w:tcW w:w="7060" w:type="dxa"/>
            <w:vAlign w:val="bottom"/>
          </w:tcPr>
          <w:p>
            <w:pPr>
              <w:ind w:left="700"/>
              <w:spacing w:after="0" w:line="243" w:lineRule="exact"/>
              <w:rPr>
                <w:sz w:val="20"/>
                <w:szCs w:val="20"/>
                <w:color w:val="auto"/>
              </w:rPr>
            </w:pPr>
            <w:r>
              <w:rPr>
                <w:rFonts w:ascii="Arial" w:cs="Arial" w:eastAsia="Arial" w:hAnsi="Arial"/>
                <w:sz w:val="22"/>
                <w:szCs w:val="22"/>
                <w:color w:val="auto"/>
              </w:rPr>
              <w:t>Conditions Precedent to Each Borrowing</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74"/>
        </w:trPr>
        <w:tc>
          <w:tcPr>
            <w:tcW w:w="2200" w:type="dxa"/>
            <w:vAlign w:val="bottom"/>
          </w:tcPr>
          <w:p>
            <w:pPr>
              <w:ind w:left="760"/>
              <w:spacing w:after="0"/>
              <w:rPr>
                <w:sz w:val="20"/>
                <w:szCs w:val="20"/>
                <w:color w:val="auto"/>
              </w:rPr>
            </w:pPr>
            <w:r>
              <w:rPr>
                <w:rFonts w:ascii="Arial" w:cs="Arial" w:eastAsia="Arial" w:hAnsi="Arial"/>
                <w:sz w:val="22"/>
                <w:szCs w:val="22"/>
                <w:color w:val="auto"/>
              </w:rPr>
              <w:t>Section 3.03.</w:t>
            </w:r>
          </w:p>
        </w:tc>
        <w:tc>
          <w:tcPr>
            <w:tcW w:w="7060" w:type="dxa"/>
            <w:vAlign w:val="bottom"/>
          </w:tcPr>
          <w:p>
            <w:pPr>
              <w:ind w:left="700"/>
              <w:spacing w:after="0"/>
              <w:rPr>
                <w:sz w:val="20"/>
                <w:szCs w:val="20"/>
                <w:color w:val="auto"/>
              </w:rPr>
            </w:pPr>
            <w:r>
              <w:rPr>
                <w:rFonts w:ascii="Arial" w:cs="Arial" w:eastAsia="Arial" w:hAnsi="Arial"/>
                <w:sz w:val="22"/>
                <w:szCs w:val="22"/>
                <w:color w:val="auto"/>
              </w:rPr>
              <w:t>Conditions Precedent to Third Restatement Effective Date</w:t>
            </w:r>
          </w:p>
        </w:tc>
        <w:tc>
          <w:tcPr>
            <w:tcW w:w="18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608"/>
        </w:trPr>
        <w:tc>
          <w:tcPr>
            <w:tcW w:w="220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IV</w:t>
            </w:r>
          </w:p>
        </w:tc>
        <w:tc>
          <w:tcPr>
            <w:tcW w:w="7060" w:type="dxa"/>
            <w:vAlign w:val="bottom"/>
          </w:tcPr>
          <w:p>
            <w:pPr>
              <w:ind w:left="320"/>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EPRESENTATIONS AND</w:t>
            </w:r>
            <w:r>
              <w:rPr>
                <w:rFonts w:ascii="Arial" w:cs="Arial" w:eastAsia="Arial" w:hAnsi="Arial"/>
                <w:sz w:val="22"/>
                <w:szCs w:val="22"/>
                <w:color w:val="auto"/>
              </w:rPr>
              <w:t xml:space="preserve"> W</w:t>
            </w:r>
            <w:r>
              <w:rPr>
                <w:rFonts w:ascii="Arial" w:cs="Arial" w:eastAsia="Arial" w:hAnsi="Arial"/>
                <w:sz w:val="17"/>
                <w:szCs w:val="17"/>
                <w:color w:val="auto"/>
              </w:rPr>
              <w:t>ARRANTIES</w:t>
            </w:r>
          </w:p>
        </w:tc>
        <w:tc>
          <w:tcPr>
            <w:tcW w:w="18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87"/>
        </w:trPr>
        <w:tc>
          <w:tcPr>
            <w:tcW w:w="2200" w:type="dxa"/>
            <w:vAlign w:val="bottom"/>
          </w:tcPr>
          <w:p>
            <w:pPr>
              <w:ind w:left="760"/>
              <w:spacing w:after="0"/>
              <w:rPr>
                <w:sz w:val="20"/>
                <w:szCs w:val="20"/>
                <w:color w:val="auto"/>
              </w:rPr>
            </w:pPr>
            <w:r>
              <w:rPr>
                <w:rFonts w:ascii="Arial" w:cs="Arial" w:eastAsia="Arial" w:hAnsi="Arial"/>
                <w:sz w:val="22"/>
                <w:szCs w:val="22"/>
                <w:color w:val="auto"/>
              </w:rPr>
              <w:t>Section 4.01.</w:t>
            </w:r>
          </w:p>
        </w:tc>
        <w:tc>
          <w:tcPr>
            <w:tcW w:w="7060" w:type="dxa"/>
            <w:vAlign w:val="bottom"/>
          </w:tcPr>
          <w:p>
            <w:pPr>
              <w:ind w:left="700"/>
              <w:spacing w:after="0"/>
              <w:rPr>
                <w:sz w:val="20"/>
                <w:szCs w:val="20"/>
                <w:color w:val="auto"/>
              </w:rPr>
            </w:pPr>
            <w:r>
              <w:rPr>
                <w:rFonts w:ascii="Arial" w:cs="Arial" w:eastAsia="Arial" w:hAnsi="Arial"/>
                <w:sz w:val="22"/>
                <w:szCs w:val="22"/>
                <w:color w:val="auto"/>
              </w:rPr>
              <w:t>Representations and Warranties of the Borrower</w:t>
            </w:r>
          </w:p>
        </w:tc>
        <w:tc>
          <w:tcPr>
            <w:tcW w:w="18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74"/>
        </w:trPr>
        <w:tc>
          <w:tcPr>
            <w:tcW w:w="2200" w:type="dxa"/>
            <w:vAlign w:val="bottom"/>
          </w:tcPr>
          <w:p>
            <w:pPr>
              <w:ind w:left="760"/>
              <w:spacing w:after="0"/>
              <w:rPr>
                <w:sz w:val="20"/>
                <w:szCs w:val="20"/>
                <w:color w:val="auto"/>
              </w:rPr>
            </w:pPr>
            <w:r>
              <w:rPr>
                <w:rFonts w:ascii="Arial" w:cs="Arial" w:eastAsia="Arial" w:hAnsi="Arial"/>
                <w:sz w:val="22"/>
                <w:szCs w:val="22"/>
                <w:color w:val="auto"/>
              </w:rPr>
              <w:t>Section 4.02.</w:t>
            </w:r>
          </w:p>
        </w:tc>
        <w:tc>
          <w:tcPr>
            <w:tcW w:w="7060" w:type="dxa"/>
            <w:vAlign w:val="bottom"/>
          </w:tcPr>
          <w:p>
            <w:pPr>
              <w:ind w:left="700"/>
              <w:spacing w:after="0"/>
              <w:rPr>
                <w:sz w:val="20"/>
                <w:szCs w:val="20"/>
                <w:color w:val="auto"/>
              </w:rPr>
            </w:pPr>
            <w:r>
              <w:rPr>
                <w:rFonts w:ascii="Arial" w:cs="Arial" w:eastAsia="Arial" w:hAnsi="Arial"/>
                <w:sz w:val="22"/>
                <w:szCs w:val="22"/>
                <w:color w:val="auto"/>
              </w:rPr>
              <w:t>Representations and Warranties of the Collateral Manager</w:t>
            </w:r>
          </w:p>
        </w:tc>
        <w:tc>
          <w:tcPr>
            <w:tcW w:w="188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608"/>
        </w:trPr>
        <w:tc>
          <w:tcPr>
            <w:tcW w:w="220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V</w:t>
            </w:r>
          </w:p>
        </w:tc>
        <w:tc>
          <w:tcPr>
            <w:tcW w:w="7060" w:type="dxa"/>
            <w:vAlign w:val="bottom"/>
          </w:tcPr>
          <w:p>
            <w:pPr>
              <w:ind w:left="320"/>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OVENANTS</w:t>
            </w:r>
          </w:p>
        </w:tc>
        <w:tc>
          <w:tcPr>
            <w:tcW w:w="18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87"/>
        </w:trPr>
        <w:tc>
          <w:tcPr>
            <w:tcW w:w="2200" w:type="dxa"/>
            <w:vAlign w:val="bottom"/>
          </w:tcPr>
          <w:p>
            <w:pPr>
              <w:ind w:left="760"/>
              <w:spacing w:after="0"/>
              <w:rPr>
                <w:sz w:val="20"/>
                <w:szCs w:val="20"/>
                <w:color w:val="auto"/>
              </w:rPr>
            </w:pPr>
            <w:r>
              <w:rPr>
                <w:rFonts w:ascii="Arial" w:cs="Arial" w:eastAsia="Arial" w:hAnsi="Arial"/>
                <w:sz w:val="22"/>
                <w:szCs w:val="22"/>
                <w:color w:val="auto"/>
              </w:rPr>
              <w:t>Section 5.01.</w:t>
            </w:r>
          </w:p>
        </w:tc>
        <w:tc>
          <w:tcPr>
            <w:tcW w:w="7060" w:type="dxa"/>
            <w:vAlign w:val="bottom"/>
          </w:tcPr>
          <w:p>
            <w:pPr>
              <w:ind w:left="700"/>
              <w:spacing w:after="0"/>
              <w:rPr>
                <w:sz w:val="20"/>
                <w:szCs w:val="20"/>
                <w:color w:val="auto"/>
              </w:rPr>
            </w:pPr>
            <w:r>
              <w:rPr>
                <w:rFonts w:ascii="Arial" w:cs="Arial" w:eastAsia="Arial" w:hAnsi="Arial"/>
                <w:sz w:val="22"/>
                <w:szCs w:val="22"/>
                <w:color w:val="auto"/>
              </w:rPr>
              <w:t>Affirmative Covenants of the Borrower</w:t>
            </w:r>
          </w:p>
        </w:tc>
        <w:tc>
          <w:tcPr>
            <w:tcW w:w="18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74"/>
        </w:trPr>
        <w:tc>
          <w:tcPr>
            <w:tcW w:w="2200" w:type="dxa"/>
            <w:vAlign w:val="bottom"/>
          </w:tcPr>
          <w:p>
            <w:pPr>
              <w:ind w:left="760"/>
              <w:spacing w:after="0"/>
              <w:rPr>
                <w:sz w:val="20"/>
                <w:szCs w:val="20"/>
                <w:color w:val="auto"/>
              </w:rPr>
            </w:pPr>
            <w:r>
              <w:rPr>
                <w:rFonts w:ascii="Arial" w:cs="Arial" w:eastAsia="Arial" w:hAnsi="Arial"/>
                <w:sz w:val="22"/>
                <w:szCs w:val="22"/>
                <w:color w:val="auto"/>
              </w:rPr>
              <w:t>Section 5.02.</w:t>
            </w:r>
          </w:p>
        </w:tc>
        <w:tc>
          <w:tcPr>
            <w:tcW w:w="7060" w:type="dxa"/>
            <w:vAlign w:val="bottom"/>
          </w:tcPr>
          <w:p>
            <w:pPr>
              <w:ind w:left="700"/>
              <w:spacing w:after="0"/>
              <w:rPr>
                <w:sz w:val="20"/>
                <w:szCs w:val="20"/>
                <w:color w:val="auto"/>
              </w:rPr>
            </w:pPr>
            <w:r>
              <w:rPr>
                <w:rFonts w:ascii="Arial" w:cs="Arial" w:eastAsia="Arial" w:hAnsi="Arial"/>
                <w:sz w:val="22"/>
                <w:szCs w:val="22"/>
                <w:color w:val="auto"/>
              </w:rPr>
              <w:t>Negative Covenants of the Borrower</w:t>
            </w:r>
          </w:p>
        </w:tc>
        <w:tc>
          <w:tcPr>
            <w:tcW w:w="1880" w:type="dxa"/>
            <w:vAlign w:val="bottom"/>
          </w:tcPr>
          <w:p>
            <w:pPr>
              <w:jc w:val="right"/>
              <w:spacing w:after="0"/>
              <w:rPr>
                <w:sz w:val="20"/>
                <w:szCs w:val="20"/>
                <w:color w:val="auto"/>
              </w:rPr>
            </w:pPr>
            <w:r>
              <w:rPr>
                <w:rFonts w:ascii="Arial" w:cs="Arial" w:eastAsia="Arial" w:hAnsi="Arial"/>
                <w:sz w:val="22"/>
                <w:szCs w:val="22"/>
                <w:color w:val="auto"/>
              </w:rPr>
              <w:t>89</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40"/>
          </w:cols>
          <w:pgMar w:left="320" w:top="261" w:right="4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3"/>
        </w:trPr>
        <w:tc>
          <w:tcPr>
            <w:tcW w:w="2260" w:type="dxa"/>
            <w:vAlign w:val="bottom"/>
          </w:tcPr>
          <w:p>
            <w:pPr>
              <w:ind w:left="760"/>
              <w:spacing w:after="0"/>
              <w:rPr>
                <w:sz w:val="20"/>
                <w:szCs w:val="20"/>
                <w:color w:val="auto"/>
              </w:rPr>
            </w:pPr>
            <w:r>
              <w:rPr>
                <w:rFonts w:ascii="Arial" w:cs="Arial" w:eastAsia="Arial" w:hAnsi="Arial"/>
                <w:sz w:val="22"/>
                <w:szCs w:val="22"/>
                <w:color w:val="auto"/>
              </w:rPr>
              <w:t>Section 5.03.</w:t>
            </w:r>
          </w:p>
        </w:tc>
        <w:tc>
          <w:tcPr>
            <w:tcW w:w="7980" w:type="dxa"/>
            <w:vAlign w:val="bottom"/>
          </w:tcPr>
          <w:p>
            <w:pPr>
              <w:ind w:left="640"/>
              <w:spacing w:after="0"/>
              <w:rPr>
                <w:sz w:val="20"/>
                <w:szCs w:val="20"/>
                <w:color w:val="auto"/>
              </w:rPr>
            </w:pPr>
            <w:r>
              <w:rPr>
                <w:rFonts w:ascii="Arial" w:cs="Arial" w:eastAsia="Arial" w:hAnsi="Arial"/>
                <w:sz w:val="22"/>
                <w:szCs w:val="22"/>
                <w:color w:val="auto"/>
              </w:rPr>
              <w:t>Affirmative Covenants of the Collateral Manager</w:t>
            </w:r>
          </w:p>
        </w:tc>
        <w:tc>
          <w:tcPr>
            <w:tcW w:w="90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5.04.</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Negative Covenants of the Collateral Manager</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5.05.</w:t>
            </w:r>
          </w:p>
        </w:tc>
        <w:tc>
          <w:tcPr>
            <w:tcW w:w="7980" w:type="dxa"/>
            <w:vAlign w:val="bottom"/>
          </w:tcPr>
          <w:p>
            <w:pPr>
              <w:ind w:left="640"/>
              <w:spacing w:after="0"/>
              <w:rPr>
                <w:sz w:val="20"/>
                <w:szCs w:val="20"/>
                <w:color w:val="auto"/>
              </w:rPr>
            </w:pPr>
            <w:r>
              <w:rPr>
                <w:rFonts w:ascii="Arial" w:cs="Arial" w:eastAsia="Arial" w:hAnsi="Arial"/>
                <w:sz w:val="22"/>
                <w:szCs w:val="22"/>
                <w:color w:val="auto"/>
              </w:rPr>
              <w:t>Certain Undertakings Relating to Separateness</w:t>
            </w:r>
          </w:p>
        </w:tc>
        <w:tc>
          <w:tcPr>
            <w:tcW w:w="90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608"/>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VI</w:t>
            </w:r>
          </w:p>
        </w:tc>
        <w:tc>
          <w:tcPr>
            <w:tcW w:w="7980" w:type="dxa"/>
            <w:vAlign w:val="bottom"/>
          </w:tcPr>
          <w:p>
            <w:pPr>
              <w:ind w:left="260"/>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VENTS OF</w:t>
            </w:r>
            <w:r>
              <w:rPr>
                <w:rFonts w:ascii="Arial" w:cs="Arial" w:eastAsia="Arial" w:hAnsi="Arial"/>
                <w:sz w:val="22"/>
                <w:szCs w:val="22"/>
                <w:color w:val="auto"/>
              </w:rPr>
              <w:t xml:space="preserve"> D</w:t>
            </w:r>
            <w:r>
              <w:rPr>
                <w:rFonts w:ascii="Arial" w:cs="Arial" w:eastAsia="Arial" w:hAnsi="Arial"/>
                <w:sz w:val="17"/>
                <w:szCs w:val="17"/>
                <w:color w:val="auto"/>
              </w:rPr>
              <w:t>EFAULT</w:t>
            </w:r>
          </w:p>
        </w:tc>
        <w:tc>
          <w:tcPr>
            <w:tcW w:w="90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6.01.</w:t>
            </w:r>
          </w:p>
        </w:tc>
        <w:tc>
          <w:tcPr>
            <w:tcW w:w="7980" w:type="dxa"/>
            <w:vAlign w:val="bottom"/>
          </w:tcPr>
          <w:p>
            <w:pPr>
              <w:ind w:left="640"/>
              <w:spacing w:after="0"/>
              <w:rPr>
                <w:sz w:val="20"/>
                <w:szCs w:val="20"/>
                <w:color w:val="auto"/>
              </w:rPr>
            </w:pPr>
            <w:r>
              <w:rPr>
                <w:rFonts w:ascii="Arial" w:cs="Arial" w:eastAsia="Arial" w:hAnsi="Arial"/>
                <w:sz w:val="22"/>
                <w:szCs w:val="22"/>
                <w:color w:val="auto"/>
              </w:rPr>
              <w:t>Events of Default</w:t>
            </w:r>
          </w:p>
        </w:tc>
        <w:tc>
          <w:tcPr>
            <w:tcW w:w="90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6.02.</w:t>
            </w:r>
          </w:p>
        </w:tc>
        <w:tc>
          <w:tcPr>
            <w:tcW w:w="7980" w:type="dxa"/>
            <w:vAlign w:val="bottom"/>
          </w:tcPr>
          <w:p>
            <w:pPr>
              <w:ind w:left="640"/>
              <w:spacing w:after="0"/>
              <w:rPr>
                <w:sz w:val="20"/>
                <w:szCs w:val="20"/>
                <w:color w:val="auto"/>
              </w:rPr>
            </w:pPr>
            <w:r>
              <w:rPr>
                <w:rFonts w:ascii="Arial" w:cs="Arial" w:eastAsia="Arial" w:hAnsi="Arial"/>
                <w:sz w:val="22"/>
                <w:szCs w:val="22"/>
                <w:color w:val="auto"/>
              </w:rPr>
              <w:t>Collateral Manager Events of Default</w:t>
            </w:r>
          </w:p>
        </w:tc>
        <w:tc>
          <w:tcPr>
            <w:tcW w:w="90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608"/>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VII</w:t>
            </w:r>
          </w:p>
        </w:tc>
        <w:tc>
          <w:tcPr>
            <w:tcW w:w="7980" w:type="dxa"/>
            <w:vAlign w:val="bottom"/>
          </w:tcPr>
          <w:p>
            <w:pPr>
              <w:ind w:left="26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LEDGE OF</w:t>
            </w:r>
            <w:r>
              <w:rPr>
                <w:rFonts w:ascii="Arial" w:cs="Arial" w:eastAsia="Arial" w:hAnsi="Arial"/>
                <w:sz w:val="22"/>
                <w:szCs w:val="22"/>
                <w:color w:val="auto"/>
              </w:rPr>
              <w:t xml:space="preserve"> C</w:t>
            </w:r>
            <w:r>
              <w:rPr>
                <w:rFonts w:ascii="Arial" w:cs="Arial" w:eastAsia="Arial" w:hAnsi="Arial"/>
                <w:sz w:val="17"/>
                <w:szCs w:val="17"/>
                <w:color w:val="auto"/>
              </w:rPr>
              <w:t>OLLATERAL</w:t>
            </w:r>
            <w:r>
              <w:rPr>
                <w:rFonts w:ascii="Arial" w:cs="Arial" w:eastAsia="Arial" w:hAnsi="Arial"/>
                <w:sz w:val="22"/>
                <w:szCs w:val="22"/>
                <w:color w:val="auto"/>
              </w:rPr>
              <w:t>; R</w:t>
            </w:r>
            <w:r>
              <w:rPr>
                <w:rFonts w:ascii="Arial" w:cs="Arial" w:eastAsia="Arial" w:hAnsi="Arial"/>
                <w:sz w:val="17"/>
                <w:szCs w:val="17"/>
                <w:color w:val="auto"/>
              </w:rPr>
              <w:t>IGHTS OF THE</w:t>
            </w:r>
            <w:r>
              <w:rPr>
                <w:rFonts w:ascii="Arial" w:cs="Arial" w:eastAsia="Arial" w:hAnsi="Arial"/>
                <w:sz w:val="22"/>
                <w:szCs w:val="22"/>
                <w:color w:val="auto"/>
              </w:rPr>
              <w:t xml:space="preserve"> C</w:t>
            </w:r>
            <w:r>
              <w:rPr>
                <w:rFonts w:ascii="Arial" w:cs="Arial" w:eastAsia="Arial" w:hAnsi="Arial"/>
                <w:sz w:val="17"/>
                <w:szCs w:val="17"/>
                <w:color w:val="auto"/>
              </w:rPr>
              <w:t>OLLATERAL</w:t>
            </w:r>
            <w:r>
              <w:rPr>
                <w:rFonts w:ascii="Arial" w:cs="Arial" w:eastAsia="Arial" w:hAnsi="Arial"/>
                <w:sz w:val="22"/>
                <w:szCs w:val="22"/>
                <w:color w:val="auto"/>
              </w:rPr>
              <w:t xml:space="preserve"> A</w:t>
            </w:r>
            <w:r>
              <w:rPr>
                <w:rFonts w:ascii="Arial" w:cs="Arial" w:eastAsia="Arial" w:hAnsi="Arial"/>
                <w:sz w:val="17"/>
                <w:szCs w:val="17"/>
                <w:color w:val="auto"/>
              </w:rPr>
              <w:t>GENT</w:t>
            </w:r>
          </w:p>
        </w:tc>
        <w:tc>
          <w:tcPr>
            <w:tcW w:w="90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7.01.</w:t>
            </w:r>
          </w:p>
        </w:tc>
        <w:tc>
          <w:tcPr>
            <w:tcW w:w="7980" w:type="dxa"/>
            <w:vAlign w:val="bottom"/>
          </w:tcPr>
          <w:p>
            <w:pPr>
              <w:ind w:left="640"/>
              <w:spacing w:after="0"/>
              <w:rPr>
                <w:sz w:val="20"/>
                <w:szCs w:val="20"/>
                <w:color w:val="auto"/>
              </w:rPr>
            </w:pPr>
            <w:r>
              <w:rPr>
                <w:rFonts w:ascii="Arial" w:cs="Arial" w:eastAsia="Arial" w:hAnsi="Arial"/>
                <w:sz w:val="22"/>
                <w:szCs w:val="22"/>
                <w:color w:val="auto"/>
              </w:rPr>
              <w:t>Grant of Security</w:t>
            </w:r>
          </w:p>
        </w:tc>
        <w:tc>
          <w:tcPr>
            <w:tcW w:w="90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7.02.</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Release of Security Interest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7.03.</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Rights and Remedies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7.04.</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Remedies Cumulative</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7.05.</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Related Documents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7.06.</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Borrower Remains Liable</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7.07.</w:t>
            </w:r>
          </w:p>
        </w:tc>
        <w:tc>
          <w:tcPr>
            <w:tcW w:w="7980" w:type="dxa"/>
            <w:vAlign w:val="bottom"/>
          </w:tcPr>
          <w:p>
            <w:pPr>
              <w:ind w:left="640"/>
              <w:spacing w:after="0"/>
              <w:rPr>
                <w:sz w:val="20"/>
                <w:szCs w:val="20"/>
                <w:color w:val="auto"/>
              </w:rPr>
            </w:pPr>
            <w:r>
              <w:rPr>
                <w:rFonts w:ascii="Arial" w:cs="Arial" w:eastAsia="Arial" w:hAnsi="Arial"/>
                <w:sz w:val="22"/>
                <w:szCs w:val="22"/>
                <w:color w:val="auto"/>
              </w:rPr>
              <w:t>Protection of Collateral</w:t>
            </w:r>
          </w:p>
        </w:tc>
        <w:tc>
          <w:tcPr>
            <w:tcW w:w="90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608"/>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VIII</w:t>
            </w:r>
          </w:p>
        </w:tc>
        <w:tc>
          <w:tcPr>
            <w:tcW w:w="7980" w:type="dxa"/>
            <w:vAlign w:val="bottom"/>
          </w:tcPr>
          <w:p>
            <w:pPr>
              <w:ind w:left="260"/>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CCOUNTS</w:t>
            </w:r>
            <w:r>
              <w:rPr>
                <w:rFonts w:ascii="Arial" w:cs="Arial" w:eastAsia="Arial" w:hAnsi="Arial"/>
                <w:sz w:val="22"/>
                <w:szCs w:val="22"/>
                <w:color w:val="auto"/>
              </w:rPr>
              <w:t>, A</w:t>
            </w:r>
            <w:r>
              <w:rPr>
                <w:rFonts w:ascii="Arial" w:cs="Arial" w:eastAsia="Arial" w:hAnsi="Arial"/>
                <w:sz w:val="17"/>
                <w:szCs w:val="17"/>
                <w:color w:val="auto"/>
              </w:rPr>
              <w:t>CCOUNTINGS AND</w:t>
            </w:r>
            <w:r>
              <w:rPr>
                <w:rFonts w:ascii="Arial" w:cs="Arial" w:eastAsia="Arial" w:hAnsi="Arial"/>
                <w:sz w:val="22"/>
                <w:szCs w:val="22"/>
                <w:color w:val="auto"/>
              </w:rPr>
              <w:t xml:space="preserve"> R</w:t>
            </w:r>
            <w:r>
              <w:rPr>
                <w:rFonts w:ascii="Arial" w:cs="Arial" w:eastAsia="Arial" w:hAnsi="Arial"/>
                <w:sz w:val="17"/>
                <w:szCs w:val="17"/>
                <w:color w:val="auto"/>
              </w:rPr>
              <w:t>ELEASES</w:t>
            </w:r>
          </w:p>
        </w:tc>
        <w:tc>
          <w:tcPr>
            <w:tcW w:w="90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8.01.</w:t>
            </w:r>
          </w:p>
        </w:tc>
        <w:tc>
          <w:tcPr>
            <w:tcW w:w="7980" w:type="dxa"/>
            <w:vAlign w:val="bottom"/>
          </w:tcPr>
          <w:p>
            <w:pPr>
              <w:ind w:left="640"/>
              <w:spacing w:after="0"/>
              <w:rPr>
                <w:sz w:val="20"/>
                <w:szCs w:val="20"/>
                <w:color w:val="auto"/>
              </w:rPr>
            </w:pPr>
            <w:r>
              <w:rPr>
                <w:rFonts w:ascii="Arial" w:cs="Arial" w:eastAsia="Arial" w:hAnsi="Arial"/>
                <w:sz w:val="22"/>
                <w:szCs w:val="22"/>
                <w:color w:val="auto"/>
              </w:rPr>
              <w:t>Collection of Money</w:t>
            </w:r>
          </w:p>
        </w:tc>
        <w:tc>
          <w:tcPr>
            <w:tcW w:w="90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8.02.</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Collection Account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8.03.</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Transaction Accounts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8.04.</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The Revolving Reserve Account; Fundings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8.05.</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Reinvestment of Funds in Covered Accounts; Reports by Collateral Agent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8.06.</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Accountings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8.07.</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Release of Securities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112</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8.08.</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Reports by Independent Accountants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113</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8.09.</w:t>
            </w:r>
          </w:p>
        </w:tc>
        <w:tc>
          <w:tcPr>
            <w:tcW w:w="7980" w:type="dxa"/>
            <w:vAlign w:val="bottom"/>
          </w:tcPr>
          <w:p>
            <w:pPr>
              <w:ind w:left="640"/>
              <w:spacing w:after="0"/>
              <w:rPr>
                <w:sz w:val="20"/>
                <w:szCs w:val="20"/>
                <w:color w:val="auto"/>
              </w:rPr>
            </w:pPr>
            <w:r>
              <w:rPr>
                <w:rFonts w:ascii="Arial" w:cs="Arial" w:eastAsia="Arial" w:hAnsi="Arial"/>
                <w:sz w:val="22"/>
                <w:szCs w:val="22"/>
                <w:color w:val="auto"/>
              </w:rPr>
              <w:t>Covered Account Details</w:t>
            </w:r>
          </w:p>
        </w:tc>
        <w:tc>
          <w:tcPr>
            <w:tcW w:w="90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608"/>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IX</w:t>
            </w:r>
          </w:p>
        </w:tc>
        <w:tc>
          <w:tcPr>
            <w:tcW w:w="7980" w:type="dxa"/>
            <w:vAlign w:val="bottom"/>
          </w:tcPr>
          <w:p>
            <w:pPr>
              <w:ind w:left="260"/>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PPLICATION OF</w:t>
            </w:r>
            <w:r>
              <w:rPr>
                <w:rFonts w:ascii="Arial" w:cs="Arial" w:eastAsia="Arial" w:hAnsi="Arial"/>
                <w:sz w:val="22"/>
                <w:szCs w:val="22"/>
                <w:color w:val="auto"/>
              </w:rPr>
              <w:t xml:space="preserve"> M</w:t>
            </w:r>
            <w:r>
              <w:rPr>
                <w:rFonts w:ascii="Arial" w:cs="Arial" w:eastAsia="Arial" w:hAnsi="Arial"/>
                <w:sz w:val="17"/>
                <w:szCs w:val="17"/>
                <w:color w:val="auto"/>
              </w:rPr>
              <w:t>ONIES</w:t>
            </w:r>
          </w:p>
        </w:tc>
        <w:tc>
          <w:tcPr>
            <w:tcW w:w="90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418"/>
        </w:trPr>
        <w:tc>
          <w:tcPr>
            <w:tcW w:w="2260" w:type="dxa"/>
            <w:vAlign w:val="bottom"/>
          </w:tcPr>
          <w:p>
            <w:pPr>
              <w:ind w:left="760"/>
              <w:spacing w:after="0"/>
              <w:rPr>
                <w:sz w:val="20"/>
                <w:szCs w:val="20"/>
                <w:color w:val="auto"/>
              </w:rPr>
            </w:pPr>
            <w:r>
              <w:rPr>
                <w:rFonts w:ascii="Arial" w:cs="Arial" w:eastAsia="Arial" w:hAnsi="Arial"/>
                <w:sz w:val="22"/>
                <w:szCs w:val="22"/>
                <w:color w:val="auto"/>
              </w:rPr>
              <w:t>Section 9.01.</w:t>
            </w:r>
          </w:p>
        </w:tc>
        <w:tc>
          <w:tcPr>
            <w:tcW w:w="7980" w:type="dxa"/>
            <w:vAlign w:val="bottom"/>
          </w:tcPr>
          <w:p>
            <w:pPr>
              <w:ind w:left="640"/>
              <w:spacing w:after="0"/>
              <w:rPr>
                <w:sz w:val="20"/>
                <w:szCs w:val="20"/>
                <w:color w:val="auto"/>
              </w:rPr>
            </w:pPr>
            <w:r>
              <w:rPr>
                <w:rFonts w:ascii="Arial" w:cs="Arial" w:eastAsia="Arial" w:hAnsi="Arial"/>
                <w:sz w:val="22"/>
                <w:szCs w:val="22"/>
                <w:color w:val="auto"/>
              </w:rPr>
              <w:t>Disbursements of Monies from Payment Account</w:t>
            </w:r>
          </w:p>
        </w:tc>
        <w:tc>
          <w:tcPr>
            <w:tcW w:w="90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608"/>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X</w:t>
            </w:r>
          </w:p>
        </w:tc>
        <w:tc>
          <w:tcPr>
            <w:tcW w:w="7980" w:type="dxa"/>
            <w:vAlign w:val="bottom"/>
          </w:tcPr>
          <w:p>
            <w:pPr>
              <w:ind w:left="260"/>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ALE OF</w:t>
            </w:r>
            <w:r>
              <w:rPr>
                <w:rFonts w:ascii="Arial" w:cs="Arial" w:eastAsia="Arial" w:hAnsi="Arial"/>
                <w:sz w:val="22"/>
                <w:szCs w:val="22"/>
                <w:color w:val="auto"/>
              </w:rPr>
              <w:t xml:space="preserve"> C</w:t>
            </w:r>
            <w:r>
              <w:rPr>
                <w:rFonts w:ascii="Arial" w:cs="Arial" w:eastAsia="Arial" w:hAnsi="Arial"/>
                <w:sz w:val="17"/>
                <w:szCs w:val="17"/>
                <w:color w:val="auto"/>
              </w:rPr>
              <w:t>OLLATERAL</w:t>
            </w:r>
            <w:r>
              <w:rPr>
                <w:rFonts w:ascii="Arial" w:cs="Arial" w:eastAsia="Arial" w:hAnsi="Arial"/>
                <w:sz w:val="22"/>
                <w:szCs w:val="22"/>
                <w:color w:val="auto"/>
              </w:rPr>
              <w:t xml:space="preserve"> L</w:t>
            </w:r>
            <w:r>
              <w:rPr>
                <w:rFonts w:ascii="Arial" w:cs="Arial" w:eastAsia="Arial" w:hAnsi="Arial"/>
                <w:sz w:val="17"/>
                <w:szCs w:val="17"/>
                <w:color w:val="auto"/>
              </w:rPr>
              <w:t>OANS</w:t>
            </w:r>
            <w:r>
              <w:rPr>
                <w:rFonts w:ascii="Arial" w:cs="Arial" w:eastAsia="Arial" w:hAnsi="Arial"/>
                <w:sz w:val="22"/>
                <w:szCs w:val="22"/>
                <w:color w:val="auto"/>
              </w:rPr>
              <w:t>; P</w:t>
            </w:r>
            <w:r>
              <w:rPr>
                <w:rFonts w:ascii="Arial" w:cs="Arial" w:eastAsia="Arial" w:hAnsi="Arial"/>
                <w:sz w:val="17"/>
                <w:szCs w:val="17"/>
                <w:color w:val="auto"/>
              </w:rPr>
              <w:t>URCHASE OF</w:t>
            </w:r>
            <w:r>
              <w:rPr>
                <w:rFonts w:ascii="Arial" w:cs="Arial" w:eastAsia="Arial" w:hAnsi="Arial"/>
                <w:sz w:val="22"/>
                <w:szCs w:val="22"/>
                <w:color w:val="auto"/>
              </w:rPr>
              <w:t xml:space="preserve"> A</w:t>
            </w:r>
            <w:r>
              <w:rPr>
                <w:rFonts w:ascii="Arial" w:cs="Arial" w:eastAsia="Arial" w:hAnsi="Arial"/>
                <w:sz w:val="17"/>
                <w:szCs w:val="17"/>
                <w:color w:val="auto"/>
              </w:rPr>
              <w:t>DDITIONAL</w:t>
            </w:r>
            <w:r>
              <w:rPr>
                <w:rFonts w:ascii="Arial" w:cs="Arial" w:eastAsia="Arial" w:hAnsi="Arial"/>
                <w:sz w:val="22"/>
                <w:szCs w:val="22"/>
                <w:color w:val="auto"/>
              </w:rPr>
              <w:t xml:space="preserve"> C</w:t>
            </w:r>
            <w:r>
              <w:rPr>
                <w:rFonts w:ascii="Arial" w:cs="Arial" w:eastAsia="Arial" w:hAnsi="Arial"/>
                <w:sz w:val="17"/>
                <w:szCs w:val="17"/>
                <w:color w:val="auto"/>
              </w:rPr>
              <w:t>OLLATERAL</w:t>
            </w:r>
            <w:r>
              <w:rPr>
                <w:rFonts w:ascii="Arial" w:cs="Arial" w:eastAsia="Arial" w:hAnsi="Arial"/>
                <w:sz w:val="22"/>
                <w:szCs w:val="22"/>
                <w:color w:val="auto"/>
              </w:rPr>
              <w:t xml:space="preserve"> L</w:t>
            </w:r>
            <w:r>
              <w:rPr>
                <w:rFonts w:ascii="Arial" w:cs="Arial" w:eastAsia="Arial" w:hAnsi="Arial"/>
                <w:sz w:val="17"/>
                <w:szCs w:val="17"/>
                <w:color w:val="auto"/>
              </w:rPr>
              <w:t>OANS</w:t>
            </w:r>
          </w:p>
        </w:tc>
        <w:tc>
          <w:tcPr>
            <w:tcW w:w="90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10.01.</w:t>
            </w:r>
          </w:p>
        </w:tc>
        <w:tc>
          <w:tcPr>
            <w:tcW w:w="7980" w:type="dxa"/>
            <w:vAlign w:val="bottom"/>
          </w:tcPr>
          <w:p>
            <w:pPr>
              <w:ind w:left="640"/>
              <w:spacing w:after="0"/>
              <w:rPr>
                <w:sz w:val="20"/>
                <w:szCs w:val="20"/>
                <w:color w:val="auto"/>
              </w:rPr>
            </w:pPr>
            <w:r>
              <w:rPr>
                <w:rFonts w:ascii="Arial" w:cs="Arial" w:eastAsia="Arial" w:hAnsi="Arial"/>
                <w:sz w:val="22"/>
                <w:szCs w:val="22"/>
                <w:color w:val="auto"/>
              </w:rPr>
              <w:t>Sales of Collateral Loans</w:t>
            </w:r>
          </w:p>
        </w:tc>
        <w:tc>
          <w:tcPr>
            <w:tcW w:w="90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10.02.</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Purchase of Additional Collateral Loans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118</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10.03.</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Substitution and Transfer of Loans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119</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10.04.</w:t>
            </w:r>
          </w:p>
        </w:tc>
        <w:tc>
          <w:tcPr>
            <w:tcW w:w="7980" w:type="dxa"/>
            <w:vAlign w:val="bottom"/>
          </w:tcPr>
          <w:p>
            <w:pPr>
              <w:ind w:left="640"/>
              <w:spacing w:after="0" w:line="243" w:lineRule="exact"/>
              <w:rPr>
                <w:sz w:val="20"/>
                <w:szCs w:val="20"/>
                <w:color w:val="auto"/>
              </w:rPr>
            </w:pPr>
            <w:r>
              <w:rPr>
                <w:rFonts w:ascii="Arial" w:cs="Arial" w:eastAsia="Arial" w:hAnsi="Arial"/>
                <w:sz w:val="22"/>
                <w:szCs w:val="22"/>
                <w:color w:val="auto"/>
              </w:rPr>
              <w:t>Conditions Applicable to All Sale and Purchase Transactions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10.05.</w:t>
            </w:r>
          </w:p>
        </w:tc>
        <w:tc>
          <w:tcPr>
            <w:tcW w:w="7980" w:type="dxa"/>
            <w:vAlign w:val="bottom"/>
          </w:tcPr>
          <w:p>
            <w:pPr>
              <w:ind w:left="640"/>
              <w:spacing w:after="0"/>
              <w:rPr>
                <w:sz w:val="20"/>
                <w:szCs w:val="20"/>
                <w:color w:val="auto"/>
              </w:rPr>
            </w:pPr>
            <w:r>
              <w:rPr>
                <w:rFonts w:ascii="Arial" w:cs="Arial" w:eastAsia="Arial" w:hAnsi="Arial"/>
                <w:sz w:val="22"/>
                <w:szCs w:val="22"/>
                <w:color w:val="auto"/>
              </w:rPr>
              <w:t>Additional Equity Contributions</w:t>
            </w:r>
          </w:p>
        </w:tc>
        <w:tc>
          <w:tcPr>
            <w:tcW w:w="900" w:type="dxa"/>
            <w:vAlign w:val="bottom"/>
          </w:tcPr>
          <w:p>
            <w:pPr>
              <w:jc w:val="right"/>
              <w:spacing w:after="0"/>
              <w:rPr>
                <w:sz w:val="20"/>
                <w:szCs w:val="20"/>
                <w:color w:val="auto"/>
              </w:rPr>
            </w:pPr>
            <w:r>
              <w:rPr>
                <w:rFonts w:ascii="Arial" w:cs="Arial" w:eastAsia="Arial" w:hAnsi="Arial"/>
                <w:sz w:val="22"/>
                <w:szCs w:val="22"/>
                <w:color w:val="auto"/>
              </w:rPr>
              <w:t>121</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40"/>
          </w:cols>
          <w:pgMar w:left="320" w:top="257"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74"/>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XI</w:t>
            </w:r>
          </w:p>
        </w:tc>
        <w:tc>
          <w:tcPr>
            <w:tcW w:w="8360" w:type="dxa"/>
            <w:vAlign w:val="bottom"/>
          </w:tcPr>
          <w:p>
            <w:pPr>
              <w:ind w:left="260"/>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DMINISTRATION AND</w:t>
            </w:r>
            <w:r>
              <w:rPr>
                <w:rFonts w:ascii="Arial" w:cs="Arial" w:eastAsia="Arial" w:hAnsi="Arial"/>
                <w:sz w:val="22"/>
                <w:szCs w:val="22"/>
                <w:color w:val="auto"/>
              </w:rPr>
              <w:t xml:space="preserve"> S</w:t>
            </w:r>
            <w:r>
              <w:rPr>
                <w:rFonts w:ascii="Arial" w:cs="Arial" w:eastAsia="Arial" w:hAnsi="Arial"/>
                <w:sz w:val="17"/>
                <w:szCs w:val="17"/>
                <w:color w:val="auto"/>
              </w:rPr>
              <w:t>ERVICING OF</w:t>
            </w:r>
            <w:r>
              <w:rPr>
                <w:rFonts w:ascii="Arial" w:cs="Arial" w:eastAsia="Arial" w:hAnsi="Arial"/>
                <w:sz w:val="22"/>
                <w:szCs w:val="22"/>
                <w:color w:val="auto"/>
              </w:rPr>
              <w:t xml:space="preserve"> C</w:t>
            </w:r>
            <w:r>
              <w:rPr>
                <w:rFonts w:ascii="Arial" w:cs="Arial" w:eastAsia="Arial" w:hAnsi="Arial"/>
                <w:sz w:val="17"/>
                <w:szCs w:val="17"/>
                <w:color w:val="auto"/>
              </w:rPr>
              <w:t>ONTRACTS</w:t>
            </w:r>
          </w:p>
        </w:tc>
        <w:tc>
          <w:tcPr>
            <w:tcW w:w="5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11.01.</w:t>
            </w:r>
          </w:p>
        </w:tc>
        <w:tc>
          <w:tcPr>
            <w:tcW w:w="8360" w:type="dxa"/>
            <w:vAlign w:val="bottom"/>
          </w:tcPr>
          <w:p>
            <w:pPr>
              <w:ind w:left="640"/>
              <w:spacing w:after="0"/>
              <w:rPr>
                <w:sz w:val="20"/>
                <w:szCs w:val="20"/>
                <w:color w:val="auto"/>
              </w:rPr>
            </w:pPr>
            <w:r>
              <w:rPr>
                <w:rFonts w:ascii="Arial" w:cs="Arial" w:eastAsia="Arial" w:hAnsi="Arial"/>
                <w:sz w:val="22"/>
                <w:szCs w:val="22"/>
                <w:color w:val="auto"/>
              </w:rPr>
              <w:t>Designation of the Collateral Manager</w:t>
            </w:r>
          </w:p>
        </w:tc>
        <w:tc>
          <w:tcPr>
            <w:tcW w:w="5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11.02.</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Duties of the Collateral Manager</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11.03.</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w w:val="93"/>
              </w:rPr>
              <w:t>Liability of the Collateral Manager; Indemnification of the Collateral Manager Persons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11.04.</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Authorization of the Collateral Manager</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11.05.</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Realization Upon Defaulted Collateral Loans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11.06.</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Collateral Management Compensation</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126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11.07.</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Payment of Certain Expenses by Collateral Manager</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126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11.08.</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The Collateral Manager Not to Resign; Assignment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126</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11.09.</w:t>
            </w:r>
          </w:p>
        </w:tc>
        <w:tc>
          <w:tcPr>
            <w:tcW w:w="8360" w:type="dxa"/>
            <w:vAlign w:val="bottom"/>
          </w:tcPr>
          <w:p>
            <w:pPr>
              <w:ind w:left="640"/>
              <w:spacing w:after="0"/>
              <w:rPr>
                <w:sz w:val="20"/>
                <w:szCs w:val="20"/>
                <w:color w:val="auto"/>
              </w:rPr>
            </w:pPr>
            <w:r>
              <w:rPr>
                <w:rFonts w:ascii="Arial" w:cs="Arial" w:eastAsia="Arial" w:hAnsi="Arial"/>
                <w:sz w:val="22"/>
                <w:szCs w:val="22"/>
                <w:color w:val="auto"/>
              </w:rPr>
              <w:t>Appointment of Successor Collateral Manager</w:t>
            </w:r>
          </w:p>
        </w:tc>
        <w:tc>
          <w:tcPr>
            <w:tcW w:w="5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608"/>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XII</w:t>
            </w:r>
          </w:p>
        </w:tc>
        <w:tc>
          <w:tcPr>
            <w:tcW w:w="8360" w:type="dxa"/>
            <w:vAlign w:val="bottom"/>
          </w:tcPr>
          <w:p>
            <w:pPr>
              <w:ind w:left="26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A</w:t>
            </w:r>
            <w:r>
              <w:rPr>
                <w:rFonts w:ascii="Arial" w:cs="Arial" w:eastAsia="Arial" w:hAnsi="Arial"/>
                <w:sz w:val="17"/>
                <w:szCs w:val="17"/>
                <w:color w:val="auto"/>
              </w:rPr>
              <w:t>GENTS</w:t>
            </w:r>
          </w:p>
        </w:tc>
        <w:tc>
          <w:tcPr>
            <w:tcW w:w="52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12.01.</w:t>
            </w:r>
          </w:p>
        </w:tc>
        <w:tc>
          <w:tcPr>
            <w:tcW w:w="8360" w:type="dxa"/>
            <w:vAlign w:val="bottom"/>
          </w:tcPr>
          <w:p>
            <w:pPr>
              <w:ind w:left="640"/>
              <w:spacing w:after="0"/>
              <w:rPr>
                <w:sz w:val="20"/>
                <w:szCs w:val="20"/>
                <w:color w:val="auto"/>
              </w:rPr>
            </w:pPr>
            <w:r>
              <w:rPr>
                <w:rFonts w:ascii="Arial" w:cs="Arial" w:eastAsia="Arial" w:hAnsi="Arial"/>
                <w:sz w:val="22"/>
                <w:szCs w:val="22"/>
                <w:color w:val="auto"/>
              </w:rPr>
              <w:t>Authorization and Action</w:t>
            </w:r>
          </w:p>
        </w:tc>
        <w:tc>
          <w:tcPr>
            <w:tcW w:w="52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12.02.</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Delegation of Duties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130</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12.03.</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Agent’s Reliance, Etc.</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12.04.</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Indemnification</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12.05.</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Successor Agents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12.06.</w:t>
            </w:r>
          </w:p>
        </w:tc>
        <w:tc>
          <w:tcPr>
            <w:tcW w:w="8360" w:type="dxa"/>
            <w:vAlign w:val="bottom"/>
          </w:tcPr>
          <w:p>
            <w:pPr>
              <w:ind w:left="640"/>
              <w:spacing w:after="0"/>
              <w:rPr>
                <w:sz w:val="20"/>
                <w:szCs w:val="20"/>
                <w:color w:val="auto"/>
              </w:rPr>
            </w:pPr>
            <w:r>
              <w:rPr>
                <w:rFonts w:ascii="Arial" w:cs="Arial" w:eastAsia="Arial" w:hAnsi="Arial"/>
                <w:sz w:val="22"/>
                <w:szCs w:val="22"/>
                <w:color w:val="auto"/>
              </w:rPr>
              <w:t>Administrative Agent’s Capacity as a Lender</w:t>
            </w:r>
          </w:p>
        </w:tc>
        <w:tc>
          <w:tcPr>
            <w:tcW w:w="52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608"/>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XIII</w:t>
            </w:r>
          </w:p>
        </w:tc>
        <w:tc>
          <w:tcPr>
            <w:tcW w:w="8360" w:type="dxa"/>
            <w:vAlign w:val="bottom"/>
          </w:tcPr>
          <w:p>
            <w:pPr>
              <w:ind w:left="26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B</w:t>
            </w:r>
            <w:r>
              <w:rPr>
                <w:rFonts w:ascii="Arial" w:cs="Arial" w:eastAsia="Arial" w:hAnsi="Arial"/>
                <w:sz w:val="17"/>
                <w:szCs w:val="17"/>
                <w:color w:val="auto"/>
              </w:rPr>
              <w:t>ACKUP</w:t>
            </w:r>
            <w:r>
              <w:rPr>
                <w:rFonts w:ascii="Arial" w:cs="Arial" w:eastAsia="Arial" w:hAnsi="Arial"/>
                <w:sz w:val="22"/>
                <w:szCs w:val="22"/>
                <w:color w:val="auto"/>
              </w:rPr>
              <w:t xml:space="preserve"> C</w:t>
            </w:r>
            <w:r>
              <w:rPr>
                <w:rFonts w:ascii="Arial" w:cs="Arial" w:eastAsia="Arial" w:hAnsi="Arial"/>
                <w:sz w:val="17"/>
                <w:szCs w:val="17"/>
                <w:color w:val="auto"/>
              </w:rPr>
              <w:t>OLLATERAL</w:t>
            </w:r>
            <w:r>
              <w:rPr>
                <w:rFonts w:ascii="Arial" w:cs="Arial" w:eastAsia="Arial" w:hAnsi="Arial"/>
                <w:sz w:val="22"/>
                <w:szCs w:val="22"/>
                <w:color w:val="auto"/>
              </w:rPr>
              <w:t xml:space="preserve"> M</w:t>
            </w:r>
            <w:r>
              <w:rPr>
                <w:rFonts w:ascii="Arial" w:cs="Arial" w:eastAsia="Arial" w:hAnsi="Arial"/>
                <w:sz w:val="17"/>
                <w:szCs w:val="17"/>
                <w:color w:val="auto"/>
              </w:rPr>
              <w:t>ANAGER</w:t>
            </w:r>
          </w:p>
        </w:tc>
        <w:tc>
          <w:tcPr>
            <w:tcW w:w="52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13.01.</w:t>
            </w:r>
          </w:p>
        </w:tc>
        <w:tc>
          <w:tcPr>
            <w:tcW w:w="8360" w:type="dxa"/>
            <w:vAlign w:val="bottom"/>
          </w:tcPr>
          <w:p>
            <w:pPr>
              <w:ind w:left="640"/>
              <w:spacing w:after="0"/>
              <w:rPr>
                <w:sz w:val="20"/>
                <w:szCs w:val="20"/>
                <w:color w:val="auto"/>
              </w:rPr>
            </w:pPr>
            <w:r>
              <w:rPr>
                <w:rFonts w:ascii="Arial" w:cs="Arial" w:eastAsia="Arial" w:hAnsi="Arial"/>
                <w:sz w:val="22"/>
                <w:szCs w:val="22"/>
                <w:color w:val="auto"/>
              </w:rPr>
              <w:t>Duties of the Backup Collateral Manager</w:t>
            </w:r>
          </w:p>
        </w:tc>
        <w:tc>
          <w:tcPr>
            <w:tcW w:w="52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13.02.</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Fees of Backup Collateral Manager</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13.03.</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Assumption of Servicing Duties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13.04.</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Indemnity</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13.05.</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Additional Provisions Applicable to Backup Collateral Manager</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13.06.</w:t>
            </w:r>
          </w:p>
        </w:tc>
        <w:tc>
          <w:tcPr>
            <w:tcW w:w="8360" w:type="dxa"/>
            <w:vAlign w:val="bottom"/>
          </w:tcPr>
          <w:p>
            <w:pPr>
              <w:ind w:left="640"/>
              <w:spacing w:after="0"/>
              <w:rPr>
                <w:sz w:val="20"/>
                <w:szCs w:val="20"/>
                <w:color w:val="auto"/>
              </w:rPr>
            </w:pPr>
            <w:r>
              <w:rPr>
                <w:rFonts w:ascii="Arial" w:cs="Arial" w:eastAsia="Arial" w:hAnsi="Arial"/>
                <w:sz w:val="22"/>
                <w:szCs w:val="22"/>
                <w:color w:val="auto"/>
              </w:rPr>
              <w:t>Resignation of the Backup Collateral Manager</w:t>
            </w:r>
          </w:p>
        </w:tc>
        <w:tc>
          <w:tcPr>
            <w:tcW w:w="52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608"/>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XIV</w:t>
            </w:r>
          </w:p>
        </w:tc>
        <w:tc>
          <w:tcPr>
            <w:tcW w:w="8360" w:type="dxa"/>
            <w:vAlign w:val="bottom"/>
          </w:tcPr>
          <w:p>
            <w:pPr>
              <w:ind w:left="26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C</w:t>
            </w:r>
            <w:r>
              <w:rPr>
                <w:rFonts w:ascii="Arial" w:cs="Arial" w:eastAsia="Arial" w:hAnsi="Arial"/>
                <w:sz w:val="17"/>
                <w:szCs w:val="17"/>
                <w:color w:val="auto"/>
              </w:rPr>
              <w:t>USTODIAN</w:t>
            </w:r>
          </w:p>
        </w:tc>
        <w:tc>
          <w:tcPr>
            <w:tcW w:w="520" w:type="dxa"/>
            <w:vAlign w:val="bottom"/>
          </w:tcPr>
          <w:p>
            <w:pPr>
              <w:jc w:val="right"/>
              <w:spacing w:after="0"/>
              <w:rPr>
                <w:sz w:val="20"/>
                <w:szCs w:val="20"/>
                <w:color w:val="auto"/>
              </w:rPr>
            </w:pPr>
            <w:r>
              <w:rPr>
                <w:rFonts w:ascii="Arial" w:cs="Arial" w:eastAsia="Arial" w:hAnsi="Arial"/>
                <w:sz w:val="22"/>
                <w:szCs w:val="22"/>
                <w:color w:val="auto"/>
              </w:rPr>
              <w:t>137</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14.01.</w:t>
            </w:r>
          </w:p>
        </w:tc>
        <w:tc>
          <w:tcPr>
            <w:tcW w:w="8360" w:type="dxa"/>
            <w:vAlign w:val="bottom"/>
          </w:tcPr>
          <w:p>
            <w:pPr>
              <w:ind w:left="640"/>
              <w:spacing w:after="0"/>
              <w:rPr>
                <w:sz w:val="20"/>
                <w:szCs w:val="20"/>
                <w:color w:val="auto"/>
              </w:rPr>
            </w:pPr>
            <w:r>
              <w:rPr>
                <w:rFonts w:ascii="Arial" w:cs="Arial" w:eastAsia="Arial" w:hAnsi="Arial"/>
                <w:sz w:val="22"/>
                <w:szCs w:val="22"/>
                <w:color w:val="auto"/>
              </w:rPr>
              <w:t>Designation of Custodian</w:t>
            </w:r>
          </w:p>
        </w:tc>
        <w:tc>
          <w:tcPr>
            <w:tcW w:w="520" w:type="dxa"/>
            <w:vAlign w:val="bottom"/>
          </w:tcPr>
          <w:p>
            <w:pPr>
              <w:jc w:val="right"/>
              <w:spacing w:after="0"/>
              <w:rPr>
                <w:sz w:val="20"/>
                <w:szCs w:val="20"/>
                <w:color w:val="auto"/>
              </w:rPr>
            </w:pPr>
            <w:r>
              <w:rPr>
                <w:rFonts w:ascii="Arial" w:cs="Arial" w:eastAsia="Arial" w:hAnsi="Arial"/>
                <w:sz w:val="22"/>
                <w:szCs w:val="22"/>
                <w:color w:val="auto"/>
              </w:rPr>
              <w:t>137</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14.02.</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Duties of Custodian</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137</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14.03.</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Merger or Consolidation</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139</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14.04.</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Custodian Compensation</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14.05.</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Custodian Removal</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14.06.</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Limitation on Liability</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14.07.</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Resignation of the Custodian</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14.08.</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Release of Related Documents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14.09.</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Return of Related Documents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14.10.</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w w:val="95"/>
              </w:rPr>
              <w:t>Access to Certain Documentation and Information Regarding the Collateral; Audits</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143</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14.11.</w:t>
            </w:r>
          </w:p>
        </w:tc>
        <w:tc>
          <w:tcPr>
            <w:tcW w:w="8360" w:type="dxa"/>
            <w:vAlign w:val="bottom"/>
          </w:tcPr>
          <w:p>
            <w:pPr>
              <w:ind w:left="640"/>
              <w:spacing w:after="0" w:line="243" w:lineRule="exact"/>
              <w:rPr>
                <w:sz w:val="20"/>
                <w:szCs w:val="20"/>
                <w:color w:val="auto"/>
              </w:rPr>
            </w:pPr>
            <w:r>
              <w:rPr>
                <w:rFonts w:ascii="Arial" w:cs="Arial" w:eastAsia="Arial" w:hAnsi="Arial"/>
                <w:sz w:val="22"/>
                <w:szCs w:val="22"/>
                <w:color w:val="auto"/>
              </w:rPr>
              <w:t>Representations and Warranties of the Custodian</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143</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14.12.</w:t>
            </w:r>
          </w:p>
        </w:tc>
        <w:tc>
          <w:tcPr>
            <w:tcW w:w="8360" w:type="dxa"/>
            <w:vAlign w:val="bottom"/>
          </w:tcPr>
          <w:p>
            <w:pPr>
              <w:ind w:left="640"/>
              <w:spacing w:after="0"/>
              <w:rPr>
                <w:sz w:val="20"/>
                <w:szCs w:val="20"/>
                <w:color w:val="auto"/>
              </w:rPr>
            </w:pPr>
            <w:r>
              <w:rPr>
                <w:rFonts w:ascii="Arial" w:cs="Arial" w:eastAsia="Arial" w:hAnsi="Arial"/>
                <w:sz w:val="22"/>
                <w:szCs w:val="22"/>
                <w:color w:val="auto"/>
              </w:rPr>
              <w:t>Covenants of the Custodian</w:t>
            </w:r>
          </w:p>
        </w:tc>
        <w:tc>
          <w:tcPr>
            <w:tcW w:w="520" w:type="dxa"/>
            <w:vAlign w:val="bottom"/>
          </w:tcPr>
          <w:p>
            <w:pPr>
              <w:jc w:val="right"/>
              <w:spacing w:after="0"/>
              <w:rPr>
                <w:sz w:val="20"/>
                <w:szCs w:val="20"/>
                <w:color w:val="auto"/>
              </w:rPr>
            </w:pPr>
            <w:r>
              <w:rPr>
                <w:rFonts w:ascii="Arial" w:cs="Arial" w:eastAsia="Arial" w:hAnsi="Arial"/>
                <w:sz w:val="22"/>
                <w:szCs w:val="22"/>
                <w:color w:val="auto"/>
              </w:rPr>
              <w:t>144</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140"/>
          </w:cols>
          <w:pgMar w:left="320" w:top="631"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74"/>
        </w:trPr>
        <w:tc>
          <w:tcPr>
            <w:tcW w:w="2260" w:type="dxa"/>
            <w:vAlign w:val="bottom"/>
          </w:tcPr>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RTICLE</w:t>
            </w:r>
            <w:r>
              <w:rPr>
                <w:rFonts w:ascii="Arial" w:cs="Arial" w:eastAsia="Arial" w:hAnsi="Arial"/>
                <w:sz w:val="22"/>
                <w:szCs w:val="22"/>
                <w:color w:val="auto"/>
              </w:rPr>
              <w:t xml:space="preserve"> XV</w:t>
            </w:r>
          </w:p>
        </w:tc>
        <w:tc>
          <w:tcPr>
            <w:tcW w:w="6380" w:type="dxa"/>
            <w:vAlign w:val="bottom"/>
          </w:tcPr>
          <w:p>
            <w:pPr>
              <w:ind w:left="260"/>
              <w:spacing w:after="0"/>
              <w:rPr>
                <w:sz w:val="20"/>
                <w:szCs w:val="20"/>
                <w:color w:val="auto"/>
              </w:rPr>
            </w:pPr>
            <w:r>
              <w:rPr>
                <w:rFonts w:ascii="Arial" w:cs="Arial" w:eastAsia="Arial" w:hAnsi="Arial"/>
                <w:sz w:val="22"/>
                <w:szCs w:val="22"/>
                <w:color w:val="auto"/>
              </w:rPr>
              <w:t>M</w:t>
            </w:r>
            <w:r>
              <w:rPr>
                <w:rFonts w:ascii="Arial" w:cs="Arial" w:eastAsia="Arial" w:hAnsi="Arial"/>
                <w:sz w:val="17"/>
                <w:szCs w:val="17"/>
                <w:color w:val="auto"/>
              </w:rPr>
              <w:t>ISCELLANEOUS</w:t>
            </w:r>
          </w:p>
        </w:tc>
        <w:tc>
          <w:tcPr>
            <w:tcW w:w="250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387"/>
        </w:trPr>
        <w:tc>
          <w:tcPr>
            <w:tcW w:w="2260" w:type="dxa"/>
            <w:vAlign w:val="bottom"/>
          </w:tcPr>
          <w:p>
            <w:pPr>
              <w:ind w:left="760"/>
              <w:spacing w:after="0"/>
              <w:rPr>
                <w:sz w:val="20"/>
                <w:szCs w:val="20"/>
                <w:color w:val="auto"/>
              </w:rPr>
            </w:pPr>
            <w:r>
              <w:rPr>
                <w:rFonts w:ascii="Arial" w:cs="Arial" w:eastAsia="Arial" w:hAnsi="Arial"/>
                <w:sz w:val="22"/>
                <w:szCs w:val="22"/>
                <w:color w:val="auto"/>
              </w:rPr>
              <w:t>Section 15.01.</w:t>
            </w:r>
          </w:p>
        </w:tc>
        <w:tc>
          <w:tcPr>
            <w:tcW w:w="6380" w:type="dxa"/>
            <w:vAlign w:val="bottom"/>
          </w:tcPr>
          <w:p>
            <w:pPr>
              <w:ind w:left="640"/>
              <w:spacing w:after="0"/>
              <w:rPr>
                <w:sz w:val="20"/>
                <w:szCs w:val="20"/>
                <w:color w:val="auto"/>
              </w:rPr>
            </w:pPr>
            <w:r>
              <w:rPr>
                <w:rFonts w:ascii="Arial" w:cs="Arial" w:eastAsia="Arial" w:hAnsi="Arial"/>
                <w:sz w:val="22"/>
                <w:szCs w:val="22"/>
                <w:color w:val="auto"/>
              </w:rPr>
              <w:t>No Waiver; Modifications in Writing</w:t>
            </w:r>
          </w:p>
        </w:tc>
        <w:tc>
          <w:tcPr>
            <w:tcW w:w="250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15.02.</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Notices, Etc.</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145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15.03.</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Taxes</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146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15.04.</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Costs and Expenses; Indemnification</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148</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15.05.</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Execution in Counterparts</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151</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15.06.</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Assignability</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151</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15.07.</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Governing Law</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153</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15.08.</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Severability of Provisions</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153</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15.09.</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Confidentiality</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153</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15.10.</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Merger</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15.11.</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Survival</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15.12.</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Submission to Jurisdiction; Waivers; Etc.</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15.13.</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Waiver of Jury Trial</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15.14.</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Service of Process</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155</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15.15.</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Waiver of Setoff</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15.16.</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PATRIOT Act Notice</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15.17.</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Legal Holidays</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15.18.</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Non-Petition</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15.19.</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CP Conduit Provisions</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15.20.</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Third Party Beneficiary</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157</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15.21.</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Amendment and Restatement</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157</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15.22.</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No Fiduciary Duty</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158</w:t>
            </w:r>
          </w:p>
        </w:tc>
      </w:tr>
      <w:tr>
        <w:trPr>
          <w:trHeight w:val="243"/>
        </w:trPr>
        <w:tc>
          <w:tcPr>
            <w:tcW w:w="2260" w:type="dxa"/>
            <w:vAlign w:val="bottom"/>
          </w:tcPr>
          <w:p>
            <w:pPr>
              <w:ind w:left="760"/>
              <w:spacing w:after="0" w:line="243" w:lineRule="exact"/>
              <w:rPr>
                <w:sz w:val="20"/>
                <w:szCs w:val="20"/>
                <w:color w:val="auto"/>
              </w:rPr>
            </w:pPr>
            <w:r>
              <w:rPr>
                <w:rFonts w:ascii="Arial" w:cs="Arial" w:eastAsia="Arial" w:hAnsi="Arial"/>
                <w:sz w:val="22"/>
                <w:szCs w:val="22"/>
                <w:color w:val="auto"/>
              </w:rPr>
              <w:t>Section 15.23.</w:t>
            </w:r>
          </w:p>
        </w:tc>
        <w:tc>
          <w:tcPr>
            <w:tcW w:w="6380" w:type="dxa"/>
            <w:vAlign w:val="bottom"/>
          </w:tcPr>
          <w:p>
            <w:pPr>
              <w:ind w:left="640"/>
              <w:spacing w:after="0" w:line="243" w:lineRule="exact"/>
              <w:rPr>
                <w:sz w:val="20"/>
                <w:szCs w:val="20"/>
                <w:color w:val="auto"/>
              </w:rPr>
            </w:pPr>
            <w:r>
              <w:rPr>
                <w:rFonts w:ascii="Arial" w:cs="Arial" w:eastAsia="Arial" w:hAnsi="Arial"/>
                <w:sz w:val="22"/>
                <w:szCs w:val="22"/>
                <w:color w:val="auto"/>
              </w:rPr>
              <w:t>Sharing of Payments by Lenders</w:t>
            </w:r>
          </w:p>
        </w:tc>
        <w:tc>
          <w:tcPr>
            <w:tcW w:w="2500" w:type="dxa"/>
            <w:vAlign w:val="bottom"/>
          </w:tcPr>
          <w:p>
            <w:pPr>
              <w:jc w:val="right"/>
              <w:spacing w:after="0" w:line="243" w:lineRule="exact"/>
              <w:rPr>
                <w:sz w:val="20"/>
                <w:szCs w:val="20"/>
                <w:color w:val="auto"/>
              </w:rPr>
            </w:pPr>
            <w:r>
              <w:rPr>
                <w:rFonts w:ascii="Arial" w:cs="Arial" w:eastAsia="Arial" w:hAnsi="Arial"/>
                <w:sz w:val="22"/>
                <w:szCs w:val="22"/>
                <w:color w:val="auto"/>
              </w:rPr>
              <w:t>158</w:t>
            </w:r>
          </w:p>
        </w:tc>
      </w:tr>
      <w:tr>
        <w:trPr>
          <w:trHeight w:val="274"/>
        </w:trPr>
        <w:tc>
          <w:tcPr>
            <w:tcW w:w="2260" w:type="dxa"/>
            <w:vAlign w:val="bottom"/>
          </w:tcPr>
          <w:p>
            <w:pPr>
              <w:ind w:left="760"/>
              <w:spacing w:after="0"/>
              <w:rPr>
                <w:sz w:val="20"/>
                <w:szCs w:val="20"/>
                <w:color w:val="auto"/>
              </w:rPr>
            </w:pPr>
            <w:r>
              <w:rPr>
                <w:rFonts w:ascii="Arial" w:cs="Arial" w:eastAsia="Arial" w:hAnsi="Arial"/>
                <w:sz w:val="22"/>
                <w:szCs w:val="22"/>
                <w:color w:val="auto"/>
              </w:rPr>
              <w:t>Section 15.24.</w:t>
            </w:r>
          </w:p>
        </w:tc>
        <w:tc>
          <w:tcPr>
            <w:tcW w:w="6380" w:type="dxa"/>
            <w:vAlign w:val="bottom"/>
          </w:tcPr>
          <w:p>
            <w:pPr>
              <w:ind w:left="640"/>
              <w:spacing w:after="0"/>
              <w:rPr>
                <w:sz w:val="20"/>
                <w:szCs w:val="20"/>
                <w:color w:val="auto"/>
              </w:rPr>
            </w:pPr>
            <w:r>
              <w:rPr>
                <w:rFonts w:ascii="Arial" w:cs="Arial" w:eastAsia="Arial" w:hAnsi="Arial"/>
                <w:sz w:val="22"/>
                <w:szCs w:val="22"/>
                <w:color w:val="auto"/>
              </w:rPr>
              <w:t>Judgment Currency</w:t>
            </w:r>
          </w:p>
        </w:tc>
        <w:tc>
          <w:tcPr>
            <w:tcW w:w="2500" w:type="dxa"/>
            <w:vAlign w:val="bottom"/>
          </w:tcPr>
          <w:p>
            <w:pPr>
              <w:jc w:val="right"/>
              <w:spacing w:after="0"/>
              <w:rPr>
                <w:sz w:val="20"/>
                <w:szCs w:val="20"/>
                <w:color w:val="auto"/>
              </w:rPr>
            </w:pPr>
            <w:r>
              <w:rPr>
                <w:rFonts w:ascii="Arial" w:cs="Arial" w:eastAsia="Arial" w:hAnsi="Arial"/>
                <w:sz w:val="22"/>
                <w:szCs w:val="22"/>
                <w:color w:val="auto"/>
              </w:rPr>
              <w:t>159</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140"/>
          </w:cols>
          <w:pgMar w:left="320" w:top="631" w:right="439" w:bottom="1440" w:gutter="0" w:footer="0" w:header="0"/>
        </w:sectPr>
      </w:pPr>
    </w:p>
    <w:bookmarkStart w:id="40" w:name="page41"/>
    <w:bookmarkEnd w:id="40"/>
    <w:p>
      <w:pPr>
        <w:ind w:left="50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CHEDULES</w:t>
      </w:r>
    </w:p>
    <w:p>
      <w:pPr>
        <w:sectPr>
          <w:pgSz w:w="11900" w:h="16838" w:orient="portrait"/>
          <w:cols w:equalWidth="0" w:num="1">
            <w:col w:w="10139"/>
          </w:cols>
          <w:pgMar w:left="320" w:top="261" w:right="1440" w:bottom="1440" w:gutter="0" w:footer="0" w:header="0"/>
        </w:sect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color w:val="auto"/>
        </w:rPr>
        <w:t>Schedule 1</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Schedule 2</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Schedule 3</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Schedule 4</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Schedule 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Schedule 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Schedule 7</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Schedule 8</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Schedule 9</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Schedule 10</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Initial Commitments and Percentages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Forms of Monthly Report and Payment Date Report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Initial Collateral Loans</w:t>
      </w:r>
    </w:p>
    <w:p>
      <w:pPr>
        <w:spacing w:after="0" w:line="230" w:lineRule="auto"/>
        <w:rPr>
          <w:sz w:val="20"/>
          <w:szCs w:val="20"/>
          <w:color w:val="auto"/>
        </w:rPr>
      </w:pPr>
      <w:r>
        <w:rPr>
          <w:rFonts w:ascii="Arial" w:cs="Arial" w:eastAsia="Arial" w:hAnsi="Arial"/>
          <w:sz w:val="22"/>
          <w:szCs w:val="22"/>
          <w:color w:val="auto"/>
        </w:rPr>
        <w:t>Moody’s Industry Classifications</w:t>
      </w:r>
    </w:p>
    <w:p>
      <w:pPr>
        <w:spacing w:after="0" w:line="231" w:lineRule="auto"/>
        <w:rPr>
          <w:sz w:val="20"/>
          <w:szCs w:val="20"/>
          <w:color w:val="auto"/>
        </w:rPr>
      </w:pPr>
      <w:r>
        <w:rPr>
          <w:rFonts w:ascii="Arial" w:cs="Arial" w:eastAsia="Arial" w:hAnsi="Arial"/>
          <w:sz w:val="22"/>
          <w:szCs w:val="22"/>
          <w:color w:val="auto"/>
        </w:rPr>
        <w:t>Matrix</w:t>
      </w:r>
    </w:p>
    <w:p>
      <w:pPr>
        <w:spacing w:after="0" w:line="230" w:lineRule="auto"/>
        <w:rPr>
          <w:sz w:val="20"/>
          <w:szCs w:val="20"/>
          <w:color w:val="auto"/>
        </w:rPr>
      </w:pPr>
      <w:r>
        <w:rPr>
          <w:rFonts w:ascii="Arial" w:cs="Arial" w:eastAsia="Arial" w:hAnsi="Arial"/>
          <w:sz w:val="22"/>
          <w:szCs w:val="22"/>
          <w:color w:val="auto"/>
        </w:rPr>
        <w:t>Notice Information</w:t>
      </w:r>
    </w:p>
    <w:p>
      <w:pPr>
        <w:spacing w:after="0" w:line="231" w:lineRule="auto"/>
        <w:rPr>
          <w:sz w:val="20"/>
          <w:szCs w:val="20"/>
          <w:color w:val="auto"/>
        </w:rPr>
      </w:pPr>
      <w:r>
        <w:rPr>
          <w:rFonts w:ascii="Arial" w:cs="Arial" w:eastAsia="Arial" w:hAnsi="Arial"/>
          <w:sz w:val="22"/>
          <w:szCs w:val="22"/>
          <w:color w:val="auto"/>
        </w:rPr>
        <w:t>Covered Account Details</w:t>
      </w:r>
    </w:p>
    <w:p>
      <w:pPr>
        <w:spacing w:after="0" w:line="230" w:lineRule="auto"/>
        <w:rPr>
          <w:sz w:val="20"/>
          <w:szCs w:val="20"/>
          <w:color w:val="auto"/>
        </w:rPr>
      </w:pPr>
      <w:r>
        <w:rPr>
          <w:rFonts w:ascii="Arial" w:cs="Arial" w:eastAsia="Arial" w:hAnsi="Arial"/>
          <w:sz w:val="22"/>
          <w:szCs w:val="22"/>
          <w:color w:val="auto"/>
        </w:rPr>
        <w:t>Diversity Score Calculation</w:t>
      </w:r>
    </w:p>
    <w:p>
      <w:pPr>
        <w:spacing w:after="0" w:line="231" w:lineRule="auto"/>
        <w:rPr>
          <w:sz w:val="20"/>
          <w:szCs w:val="20"/>
          <w:color w:val="auto"/>
        </w:rPr>
      </w:pPr>
      <w:r>
        <w:rPr>
          <w:rFonts w:ascii="Arial" w:cs="Arial" w:eastAsia="Arial" w:hAnsi="Arial"/>
          <w:sz w:val="22"/>
          <w:szCs w:val="22"/>
          <w:color w:val="auto"/>
        </w:rPr>
        <w:t>Moody’s Rating Criteria</w:t>
      </w:r>
    </w:p>
    <w:p>
      <w:pPr>
        <w:spacing w:after="0"/>
        <w:rPr>
          <w:sz w:val="20"/>
          <w:szCs w:val="20"/>
          <w:color w:val="auto"/>
        </w:rPr>
      </w:pPr>
      <w:r>
        <w:rPr>
          <w:rFonts w:ascii="Arial" w:cs="Arial" w:eastAsia="Arial" w:hAnsi="Arial"/>
          <w:sz w:val="22"/>
          <w:szCs w:val="22"/>
          <w:color w:val="auto"/>
        </w:rPr>
        <w:t>S&amp;P Rating Criteria</w:t>
      </w:r>
    </w:p>
    <w:p>
      <w:pPr>
        <w:spacing w:after="0" w:line="200" w:lineRule="exact"/>
        <w:rPr>
          <w:sz w:val="20"/>
          <w:szCs w:val="20"/>
          <w:color w:val="auto"/>
        </w:rPr>
      </w:pPr>
    </w:p>
    <w:p>
      <w:pPr>
        <w:sectPr>
          <w:pgSz w:w="11900" w:h="16838" w:orient="portrait"/>
          <w:cols w:equalWidth="0" w:num="2">
            <w:col w:w="1100" w:space="720"/>
            <w:col w:w="8319"/>
          </w:cols>
          <w:pgMar w:left="320" w:top="261" w:right="1440" w:bottom="1440" w:gutter="0" w:footer="0" w:header="0"/>
          <w:type w:val="continuous"/>
        </w:sectPr>
      </w:pPr>
    </w:p>
    <w:p>
      <w:pPr>
        <w:spacing w:after="0" w:line="158"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XHIBITS</w:t>
      </w:r>
    </w:p>
    <w:p>
      <w:pPr>
        <w:sectPr>
          <w:pgSz w:w="11900" w:h="16838" w:orient="portrait"/>
          <w:cols w:equalWidth="0" w:num="1">
            <w:col w:w="10139"/>
          </w:cols>
          <w:pgMar w:left="320" w:top="261" w:right="1440" w:bottom="1440" w:gutter="0" w:footer="0" w:header="0"/>
          <w:type w:val="continuous"/>
        </w:sect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color w:val="auto"/>
        </w:rPr>
        <w:t>Exhibit 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Exhibit B</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Exhibit 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Exhibit 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Exhibit E</w:t>
      </w:r>
    </w:p>
    <w:p>
      <w:pPr>
        <w:spacing w:after="0" w:line="231" w:lineRule="auto"/>
        <w:rPr>
          <w:sz w:val="20"/>
          <w:szCs w:val="20"/>
          <w:color w:val="auto"/>
        </w:rPr>
      </w:pPr>
      <w:r>
        <w:rPr>
          <w:rFonts w:ascii="Arial" w:cs="Arial" w:eastAsia="Arial" w:hAnsi="Arial"/>
          <w:sz w:val="22"/>
          <w:szCs w:val="22"/>
          <w:color w:val="auto"/>
        </w:rPr>
        <w:t>Exhibit F</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Exhibit G</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Exhibit H</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Exhibit I</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Form of Excess Interest Proceeds Estimate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Form of Notice of Borrowing (with attached form of Borrowing Base Calculation)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Form of Notice of Prepayment</w:t>
      </w:r>
    </w:p>
    <w:p>
      <w:pPr>
        <w:spacing w:after="0" w:line="230" w:lineRule="auto"/>
        <w:rPr>
          <w:sz w:val="20"/>
          <w:szCs w:val="20"/>
          <w:color w:val="auto"/>
        </w:rPr>
      </w:pPr>
      <w:r>
        <w:rPr>
          <w:rFonts w:ascii="Arial" w:cs="Arial" w:eastAsia="Arial" w:hAnsi="Arial"/>
          <w:sz w:val="22"/>
          <w:szCs w:val="22"/>
          <w:color w:val="auto"/>
        </w:rPr>
        <w:t>Form of Assignment and Acceptance</w:t>
      </w:r>
    </w:p>
    <w:p>
      <w:pPr>
        <w:spacing w:after="0" w:line="231" w:lineRule="auto"/>
        <w:rPr>
          <w:sz w:val="20"/>
          <w:szCs w:val="20"/>
          <w:color w:val="auto"/>
        </w:rPr>
      </w:pPr>
      <w:r>
        <w:rPr>
          <w:rFonts w:ascii="Arial" w:cs="Arial" w:eastAsia="Arial" w:hAnsi="Arial"/>
          <w:sz w:val="22"/>
          <w:szCs w:val="22"/>
          <w:color w:val="auto"/>
        </w:rPr>
        <w:t>Form of Account Control Agreement</w:t>
      </w:r>
    </w:p>
    <w:p>
      <w:pPr>
        <w:spacing w:after="0" w:line="230" w:lineRule="auto"/>
        <w:rPr>
          <w:sz w:val="20"/>
          <w:szCs w:val="20"/>
          <w:color w:val="auto"/>
        </w:rPr>
      </w:pPr>
      <w:r>
        <w:rPr>
          <w:rFonts w:ascii="Arial" w:cs="Arial" w:eastAsia="Arial" w:hAnsi="Arial"/>
          <w:sz w:val="22"/>
          <w:szCs w:val="22"/>
          <w:color w:val="auto"/>
        </w:rPr>
        <w:t>Form of Facility Amount Increase Request</w:t>
      </w:r>
    </w:p>
    <w:p>
      <w:pPr>
        <w:spacing w:after="0" w:line="231" w:lineRule="auto"/>
        <w:rPr>
          <w:sz w:val="20"/>
          <w:szCs w:val="20"/>
          <w:color w:val="auto"/>
        </w:rPr>
      </w:pPr>
      <w:r>
        <w:rPr>
          <w:rFonts w:ascii="Arial" w:cs="Arial" w:eastAsia="Arial" w:hAnsi="Arial"/>
          <w:sz w:val="22"/>
          <w:szCs w:val="22"/>
          <w:color w:val="auto"/>
        </w:rPr>
        <w:t>Form of Release of Related Documents</w:t>
      </w:r>
    </w:p>
    <w:p>
      <w:pPr>
        <w:spacing w:after="0" w:line="230" w:lineRule="auto"/>
        <w:rPr>
          <w:sz w:val="20"/>
          <w:szCs w:val="20"/>
          <w:color w:val="auto"/>
        </w:rPr>
      </w:pPr>
      <w:r>
        <w:rPr>
          <w:rFonts w:ascii="Arial" w:cs="Arial" w:eastAsia="Arial" w:hAnsi="Arial"/>
          <w:sz w:val="22"/>
          <w:szCs w:val="22"/>
          <w:color w:val="auto"/>
        </w:rPr>
        <w:t>Form of Matrix Adjustment Notice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Form of Third Restatement Effective Date Closing Certificate</w:t>
      </w:r>
    </w:p>
    <w:p>
      <w:pPr>
        <w:spacing w:after="0" w:line="121" w:lineRule="exact"/>
        <w:rPr>
          <w:sz w:val="20"/>
          <w:szCs w:val="20"/>
          <w:color w:val="auto"/>
        </w:rPr>
      </w:pPr>
    </w:p>
    <w:p>
      <w:pPr>
        <w:sectPr>
          <w:pgSz w:w="11900" w:h="16838" w:orient="portrait"/>
          <w:cols w:equalWidth="0" w:num="2">
            <w:col w:w="1100" w:space="720"/>
            <w:col w:w="8319"/>
          </w:cols>
          <w:pgMar w:left="320" w:top="261" w:right="1440" w:bottom="1440" w:gutter="0" w:footer="0" w:header="0"/>
          <w:type w:val="continuous"/>
        </w:sectPr>
      </w:pPr>
    </w:p>
    <w:p>
      <w:pPr>
        <w:ind w:left="550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39"/>
          </w:cols>
          <w:pgMar w:left="320" w:top="261" w:right="1440"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7"/>
          <w:szCs w:val="17"/>
          <w:b w:val="1"/>
          <w:bCs w:val="1"/>
          <w:color w:val="auto"/>
        </w:rPr>
        <w:t>HIRD</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EVOLVING</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ND</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ECURITY</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GREEMENT</w:t>
      </w:r>
    </w:p>
    <w:p>
      <w:pPr>
        <w:spacing w:after="0" w:line="296" w:lineRule="exact"/>
        <w:rPr>
          <w:sz w:val="20"/>
          <w:szCs w:val="20"/>
          <w:color w:val="auto"/>
        </w:rPr>
      </w:pPr>
    </w:p>
    <w:p>
      <w:pPr>
        <w:jc w:val="both"/>
        <w:ind w:firstLine="786"/>
        <w:spacing w:after="0" w:line="244" w:lineRule="auto"/>
        <w:rPr>
          <w:sz w:val="20"/>
          <w:szCs w:val="20"/>
          <w:color w:val="auto"/>
        </w:rPr>
      </w:pPr>
      <w:r>
        <w:rPr>
          <w:rFonts w:ascii="Arial" w:cs="Arial" w:eastAsia="Arial" w:hAnsi="Arial"/>
          <w:sz w:val="21"/>
          <w:szCs w:val="21"/>
          <w:color w:val="auto"/>
        </w:rPr>
        <w:t>T</w:t>
      </w:r>
      <w:r>
        <w:rPr>
          <w:rFonts w:ascii="Arial" w:cs="Arial" w:eastAsia="Arial" w:hAnsi="Arial"/>
          <w:sz w:val="16"/>
          <w:szCs w:val="16"/>
          <w:color w:val="auto"/>
        </w:rPr>
        <w:t>HIRD</w:t>
      </w:r>
      <w:r>
        <w:rPr>
          <w:rFonts w:ascii="Arial" w:cs="Arial" w:eastAsia="Arial" w:hAnsi="Arial"/>
          <w:sz w:val="21"/>
          <w:szCs w:val="21"/>
          <w:color w:val="auto"/>
        </w:rPr>
        <w:t xml:space="preserve"> A</w:t>
      </w:r>
      <w:r>
        <w:rPr>
          <w:rFonts w:ascii="Arial" w:cs="Arial" w:eastAsia="Arial" w:hAnsi="Arial"/>
          <w:sz w:val="16"/>
          <w:szCs w:val="16"/>
          <w:color w:val="auto"/>
        </w:rPr>
        <w:t>MENDED AND</w:t>
      </w:r>
      <w:r>
        <w:rPr>
          <w:rFonts w:ascii="Arial" w:cs="Arial" w:eastAsia="Arial" w:hAnsi="Arial"/>
          <w:sz w:val="21"/>
          <w:szCs w:val="21"/>
          <w:color w:val="auto"/>
        </w:rPr>
        <w:t xml:space="preserve"> R</w:t>
      </w:r>
      <w:r>
        <w:rPr>
          <w:rFonts w:ascii="Arial" w:cs="Arial" w:eastAsia="Arial" w:hAnsi="Arial"/>
          <w:sz w:val="16"/>
          <w:szCs w:val="16"/>
          <w:color w:val="auto"/>
        </w:rPr>
        <w:t>ESTATED</w:t>
      </w:r>
      <w:r>
        <w:rPr>
          <w:rFonts w:ascii="Arial" w:cs="Arial" w:eastAsia="Arial" w:hAnsi="Arial"/>
          <w:sz w:val="21"/>
          <w:szCs w:val="21"/>
          <w:color w:val="auto"/>
        </w:rPr>
        <w:t xml:space="preserve"> R</w:t>
      </w:r>
      <w:r>
        <w:rPr>
          <w:rFonts w:ascii="Arial" w:cs="Arial" w:eastAsia="Arial" w:hAnsi="Arial"/>
          <w:sz w:val="16"/>
          <w:szCs w:val="16"/>
          <w:color w:val="auto"/>
        </w:rPr>
        <w:t>EVOLVING</w:t>
      </w:r>
      <w:r>
        <w:rPr>
          <w:rFonts w:ascii="Arial" w:cs="Arial" w:eastAsia="Arial" w:hAnsi="Arial"/>
          <w:sz w:val="21"/>
          <w:szCs w:val="21"/>
          <w:color w:val="auto"/>
        </w:rPr>
        <w:t xml:space="preserve"> C</w:t>
      </w:r>
      <w:r>
        <w:rPr>
          <w:rFonts w:ascii="Arial" w:cs="Arial" w:eastAsia="Arial" w:hAnsi="Arial"/>
          <w:sz w:val="16"/>
          <w:szCs w:val="16"/>
          <w:color w:val="auto"/>
        </w:rPr>
        <w:t>REDIT AND</w:t>
      </w:r>
      <w:r>
        <w:rPr>
          <w:rFonts w:ascii="Arial" w:cs="Arial" w:eastAsia="Arial" w:hAnsi="Arial"/>
          <w:sz w:val="21"/>
          <w:szCs w:val="21"/>
          <w:color w:val="auto"/>
        </w:rPr>
        <w:t xml:space="preserve"> S</w:t>
      </w:r>
      <w:r>
        <w:rPr>
          <w:rFonts w:ascii="Arial" w:cs="Arial" w:eastAsia="Arial" w:hAnsi="Arial"/>
          <w:sz w:val="16"/>
          <w:szCs w:val="16"/>
          <w:color w:val="auto"/>
        </w:rPr>
        <w:t>ECURITY</w:t>
      </w:r>
      <w:r>
        <w:rPr>
          <w:rFonts w:ascii="Arial" w:cs="Arial" w:eastAsia="Arial" w:hAnsi="Arial"/>
          <w:sz w:val="21"/>
          <w:szCs w:val="21"/>
          <w:color w:val="auto"/>
        </w:rPr>
        <w:t xml:space="preserve"> A</w:t>
      </w:r>
      <w:r>
        <w:rPr>
          <w:rFonts w:ascii="Arial" w:cs="Arial" w:eastAsia="Arial" w:hAnsi="Arial"/>
          <w:sz w:val="16"/>
          <w:szCs w:val="16"/>
          <w:color w:val="auto"/>
        </w:rPr>
        <w:t>GREEMENT</w:t>
      </w:r>
      <w:r>
        <w:rPr>
          <w:rFonts w:ascii="Arial" w:cs="Arial" w:eastAsia="Arial" w:hAnsi="Arial"/>
          <w:sz w:val="21"/>
          <w:szCs w:val="21"/>
          <w:color w:val="auto"/>
        </w:rPr>
        <w:t xml:space="preserve"> dated as of May 22, 2015 among P</w:t>
      </w:r>
      <w:r>
        <w:rPr>
          <w:rFonts w:ascii="Arial" w:cs="Arial" w:eastAsia="Arial" w:hAnsi="Arial"/>
          <w:sz w:val="16"/>
          <w:szCs w:val="16"/>
          <w:color w:val="auto"/>
        </w:rPr>
        <w:t>ENNANT</w:t>
      </w:r>
      <w:r>
        <w:rPr>
          <w:rFonts w:ascii="Arial" w:cs="Arial" w:eastAsia="Arial" w:hAnsi="Arial"/>
          <w:sz w:val="21"/>
          <w:szCs w:val="21"/>
          <w:color w:val="auto"/>
        </w:rPr>
        <w:t>P</w:t>
      </w:r>
      <w:r>
        <w:rPr>
          <w:rFonts w:ascii="Arial" w:cs="Arial" w:eastAsia="Arial" w:hAnsi="Arial"/>
          <w:sz w:val="16"/>
          <w:szCs w:val="16"/>
          <w:color w:val="auto"/>
        </w:rPr>
        <w:t>ARK</w:t>
      </w:r>
      <w:r>
        <w:rPr>
          <w:rFonts w:ascii="Arial" w:cs="Arial" w:eastAsia="Arial" w:hAnsi="Arial"/>
          <w:sz w:val="21"/>
          <w:szCs w:val="21"/>
          <w:color w:val="auto"/>
        </w:rPr>
        <w:t xml:space="preserve"> F</w:t>
      </w:r>
      <w:r>
        <w:rPr>
          <w:rFonts w:ascii="Arial" w:cs="Arial" w:eastAsia="Arial" w:hAnsi="Arial"/>
          <w:sz w:val="16"/>
          <w:szCs w:val="16"/>
          <w:color w:val="auto"/>
        </w:rPr>
        <w:t>LOATING</w:t>
      </w:r>
      <w:r>
        <w:rPr>
          <w:rFonts w:ascii="Arial" w:cs="Arial" w:eastAsia="Arial" w:hAnsi="Arial"/>
          <w:sz w:val="21"/>
          <w:szCs w:val="21"/>
          <w:color w:val="auto"/>
        </w:rPr>
        <w:t xml:space="preserve"> R</w:t>
      </w:r>
      <w:r>
        <w:rPr>
          <w:rFonts w:ascii="Arial" w:cs="Arial" w:eastAsia="Arial" w:hAnsi="Arial"/>
          <w:sz w:val="16"/>
          <w:szCs w:val="16"/>
          <w:color w:val="auto"/>
        </w:rPr>
        <w:t>ATE</w:t>
      </w:r>
      <w:r>
        <w:rPr>
          <w:rFonts w:ascii="Arial" w:cs="Arial" w:eastAsia="Arial" w:hAnsi="Arial"/>
          <w:sz w:val="21"/>
          <w:szCs w:val="21"/>
          <w:color w:val="auto"/>
        </w:rPr>
        <w:t xml:space="preserve"> F</w:t>
      </w:r>
      <w:r>
        <w:rPr>
          <w:rFonts w:ascii="Arial" w:cs="Arial" w:eastAsia="Arial" w:hAnsi="Arial"/>
          <w:sz w:val="16"/>
          <w:szCs w:val="16"/>
          <w:color w:val="auto"/>
        </w:rPr>
        <w:t>UNDING</w:t>
      </w:r>
      <w:r>
        <w:rPr>
          <w:rFonts w:ascii="Arial" w:cs="Arial" w:eastAsia="Arial" w:hAnsi="Arial"/>
          <w:sz w:val="21"/>
          <w:szCs w:val="21"/>
          <w:color w:val="auto"/>
        </w:rPr>
        <w:t xml:space="preserve"> I, LLC, a Delaware limited liability company, as borrower (together with its permitted successors and assigns, the </w:t>
      </w:r>
      <w:r>
        <w:rPr>
          <w:rFonts w:ascii="Arial" w:cs="Arial" w:eastAsia="Arial" w:hAnsi="Arial"/>
          <w:sz w:val="21"/>
          <w:szCs w:val="21"/>
          <w:i w:val="1"/>
          <w:iCs w:val="1"/>
          <w:color w:val="auto"/>
        </w:rPr>
        <w:t>“Borrower”</w:t>
      </w:r>
      <w:r>
        <w:rPr>
          <w:rFonts w:ascii="Arial" w:cs="Arial" w:eastAsia="Arial" w:hAnsi="Arial"/>
          <w:sz w:val="21"/>
          <w:szCs w:val="21"/>
          <w:color w:val="auto"/>
        </w:rPr>
        <w:t>); P</w:t>
      </w:r>
      <w:r>
        <w:rPr>
          <w:rFonts w:ascii="Arial" w:cs="Arial" w:eastAsia="Arial" w:hAnsi="Arial"/>
          <w:sz w:val="16"/>
          <w:szCs w:val="16"/>
          <w:color w:val="auto"/>
        </w:rPr>
        <w:t>ENNANT</w:t>
      </w:r>
      <w:r>
        <w:rPr>
          <w:rFonts w:ascii="Arial" w:cs="Arial" w:eastAsia="Arial" w:hAnsi="Arial"/>
          <w:sz w:val="21"/>
          <w:szCs w:val="21"/>
          <w:color w:val="auto"/>
        </w:rPr>
        <w:t>P</w:t>
      </w:r>
      <w:r>
        <w:rPr>
          <w:rFonts w:ascii="Arial" w:cs="Arial" w:eastAsia="Arial" w:hAnsi="Arial"/>
          <w:sz w:val="16"/>
          <w:szCs w:val="16"/>
          <w:color w:val="auto"/>
        </w:rPr>
        <w:t>ARK</w:t>
      </w:r>
      <w:r>
        <w:rPr>
          <w:rFonts w:ascii="Arial" w:cs="Arial" w:eastAsia="Arial" w:hAnsi="Arial"/>
          <w:sz w:val="21"/>
          <w:szCs w:val="21"/>
          <w:color w:val="auto"/>
        </w:rPr>
        <w:t xml:space="preserve"> I</w:t>
      </w:r>
      <w:r>
        <w:rPr>
          <w:rFonts w:ascii="Arial" w:cs="Arial" w:eastAsia="Arial" w:hAnsi="Arial"/>
          <w:sz w:val="16"/>
          <w:szCs w:val="16"/>
          <w:color w:val="auto"/>
        </w:rPr>
        <w:t>NVESTMENT</w:t>
      </w:r>
      <w:r>
        <w:rPr>
          <w:rFonts w:ascii="Arial" w:cs="Arial" w:eastAsia="Arial" w:hAnsi="Arial"/>
          <w:sz w:val="21"/>
          <w:szCs w:val="21"/>
          <w:color w:val="auto"/>
        </w:rPr>
        <w:t xml:space="preserve"> A</w:t>
      </w:r>
      <w:r>
        <w:rPr>
          <w:rFonts w:ascii="Arial" w:cs="Arial" w:eastAsia="Arial" w:hAnsi="Arial"/>
          <w:sz w:val="16"/>
          <w:szCs w:val="16"/>
          <w:color w:val="auto"/>
        </w:rPr>
        <w:t>DVISERS</w:t>
      </w:r>
      <w:r>
        <w:rPr>
          <w:rFonts w:ascii="Arial" w:cs="Arial" w:eastAsia="Arial" w:hAnsi="Arial"/>
          <w:sz w:val="21"/>
          <w:szCs w:val="21"/>
          <w:color w:val="auto"/>
        </w:rPr>
        <w:t xml:space="preserve">, LLC, a Delaware limited liability company, as the collateral manager (together with its permitted successors and assigns, the </w:t>
      </w:r>
      <w:r>
        <w:rPr>
          <w:rFonts w:ascii="Arial" w:cs="Arial" w:eastAsia="Arial" w:hAnsi="Arial"/>
          <w:sz w:val="21"/>
          <w:szCs w:val="21"/>
          <w:i w:val="1"/>
          <w:iCs w:val="1"/>
          <w:color w:val="auto"/>
        </w:rPr>
        <w:t>“Collateral Manager”</w:t>
      </w:r>
      <w:r>
        <w:rPr>
          <w:rFonts w:ascii="Arial" w:cs="Arial" w:eastAsia="Arial" w:hAnsi="Arial"/>
          <w:sz w:val="21"/>
          <w:szCs w:val="21"/>
          <w:color w:val="auto"/>
        </w:rPr>
        <w:t>), the L</w:t>
      </w:r>
      <w:r>
        <w:rPr>
          <w:rFonts w:ascii="Arial" w:cs="Arial" w:eastAsia="Arial" w:hAnsi="Arial"/>
          <w:sz w:val="16"/>
          <w:szCs w:val="16"/>
          <w:color w:val="auto"/>
        </w:rPr>
        <w:t>ENDERS</w:t>
      </w:r>
      <w:r>
        <w:rPr>
          <w:rFonts w:ascii="Arial" w:cs="Arial" w:eastAsia="Arial" w:hAnsi="Arial"/>
          <w:sz w:val="21"/>
          <w:szCs w:val="21"/>
          <w:color w:val="auto"/>
        </w:rPr>
        <w:t xml:space="preserve"> from time to time party hereto; S</w:t>
      </w:r>
      <w:r>
        <w:rPr>
          <w:rFonts w:ascii="Arial" w:cs="Arial" w:eastAsia="Arial" w:hAnsi="Arial"/>
          <w:sz w:val="16"/>
          <w:szCs w:val="16"/>
          <w:color w:val="auto"/>
        </w:rPr>
        <w:t>UN</w:t>
      </w:r>
      <w:r>
        <w:rPr>
          <w:rFonts w:ascii="Arial" w:cs="Arial" w:eastAsia="Arial" w:hAnsi="Arial"/>
          <w:sz w:val="21"/>
          <w:szCs w:val="21"/>
          <w:color w:val="auto"/>
        </w:rPr>
        <w:t>T</w:t>
      </w:r>
      <w:r>
        <w:rPr>
          <w:rFonts w:ascii="Arial" w:cs="Arial" w:eastAsia="Arial" w:hAnsi="Arial"/>
          <w:sz w:val="16"/>
          <w:szCs w:val="16"/>
          <w:color w:val="auto"/>
        </w:rPr>
        <w:t>RUST</w:t>
      </w:r>
      <w:r>
        <w:rPr>
          <w:rFonts w:ascii="Arial" w:cs="Arial" w:eastAsia="Arial" w:hAnsi="Arial"/>
          <w:sz w:val="21"/>
          <w:szCs w:val="21"/>
          <w:color w:val="auto"/>
        </w:rPr>
        <w:t xml:space="preserve"> B</w:t>
      </w:r>
      <w:r>
        <w:rPr>
          <w:rFonts w:ascii="Arial" w:cs="Arial" w:eastAsia="Arial" w:hAnsi="Arial"/>
          <w:sz w:val="16"/>
          <w:szCs w:val="16"/>
          <w:color w:val="auto"/>
        </w:rPr>
        <w:t>ANK</w:t>
      </w:r>
      <w:r>
        <w:rPr>
          <w:rFonts w:ascii="Arial" w:cs="Arial" w:eastAsia="Arial" w:hAnsi="Arial"/>
          <w:sz w:val="21"/>
          <w:szCs w:val="21"/>
          <w:color w:val="auto"/>
        </w:rPr>
        <w:t xml:space="preserve">, as administrative agent for the Secured Parties (as hereinafter defined) (in such capacity, together with its successors and assigns,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S</w:t>
      </w:r>
      <w:r>
        <w:rPr>
          <w:rFonts w:ascii="Arial" w:cs="Arial" w:eastAsia="Arial" w:hAnsi="Arial"/>
          <w:sz w:val="16"/>
          <w:szCs w:val="16"/>
          <w:color w:val="auto"/>
        </w:rPr>
        <w:t>UN</w:t>
      </w:r>
      <w:r>
        <w:rPr>
          <w:rFonts w:ascii="Arial" w:cs="Arial" w:eastAsia="Arial" w:hAnsi="Arial"/>
          <w:sz w:val="21"/>
          <w:szCs w:val="21"/>
          <w:color w:val="auto"/>
        </w:rPr>
        <w:t>T</w:t>
      </w:r>
      <w:r>
        <w:rPr>
          <w:rFonts w:ascii="Arial" w:cs="Arial" w:eastAsia="Arial" w:hAnsi="Arial"/>
          <w:sz w:val="16"/>
          <w:szCs w:val="16"/>
          <w:color w:val="auto"/>
        </w:rPr>
        <w:t>RUST</w:t>
      </w:r>
      <w:r>
        <w:rPr>
          <w:rFonts w:ascii="Arial" w:cs="Arial" w:eastAsia="Arial" w:hAnsi="Arial"/>
          <w:sz w:val="21"/>
          <w:szCs w:val="21"/>
          <w:color w:val="auto"/>
        </w:rPr>
        <w:t xml:space="preserve"> B</w:t>
      </w:r>
      <w:r>
        <w:rPr>
          <w:rFonts w:ascii="Arial" w:cs="Arial" w:eastAsia="Arial" w:hAnsi="Arial"/>
          <w:sz w:val="16"/>
          <w:szCs w:val="16"/>
          <w:color w:val="auto"/>
        </w:rPr>
        <w:t>ANK</w:t>
      </w:r>
      <w:r>
        <w:rPr>
          <w:rFonts w:ascii="Arial" w:cs="Arial" w:eastAsia="Arial" w:hAnsi="Arial"/>
          <w:sz w:val="21"/>
          <w:szCs w:val="21"/>
          <w:color w:val="auto"/>
        </w:rPr>
        <w:t>, as the swingline lender (the “</w:t>
      </w:r>
      <w:r>
        <w:rPr>
          <w:rFonts w:ascii="Arial" w:cs="Arial" w:eastAsia="Arial" w:hAnsi="Arial"/>
          <w:sz w:val="21"/>
          <w:szCs w:val="21"/>
          <w:i w:val="1"/>
          <w:iCs w:val="1"/>
          <w:color w:val="auto"/>
        </w:rPr>
        <w:t>Swingline</w:t>
      </w:r>
      <w:r>
        <w:rPr>
          <w:rFonts w:ascii="Arial" w:cs="Arial" w:eastAsia="Arial" w:hAnsi="Arial"/>
          <w:sz w:val="21"/>
          <w:szCs w:val="21"/>
          <w:color w:val="auto"/>
        </w:rPr>
        <w:t xml:space="preserve"> </w:t>
      </w:r>
      <w:r>
        <w:rPr>
          <w:rFonts w:ascii="Arial" w:cs="Arial" w:eastAsia="Arial" w:hAnsi="Arial"/>
          <w:sz w:val="21"/>
          <w:szCs w:val="21"/>
          <w:i w:val="1"/>
          <w:iCs w:val="1"/>
          <w:color w:val="auto"/>
        </w:rPr>
        <w:t>Lender</w:t>
      </w:r>
      <w:r>
        <w:rPr>
          <w:rFonts w:ascii="Arial" w:cs="Arial" w:eastAsia="Arial" w:hAnsi="Arial"/>
          <w:sz w:val="21"/>
          <w:szCs w:val="21"/>
          <w:color w:val="auto"/>
        </w:rPr>
        <w:t>”), U.S. B</w:t>
      </w:r>
      <w:r>
        <w:rPr>
          <w:rFonts w:ascii="Arial" w:cs="Arial" w:eastAsia="Arial" w:hAnsi="Arial"/>
          <w:sz w:val="16"/>
          <w:szCs w:val="16"/>
          <w:color w:val="auto"/>
        </w:rPr>
        <w:t>ANK</w:t>
      </w:r>
      <w:r>
        <w:rPr>
          <w:rFonts w:ascii="Arial" w:cs="Arial" w:eastAsia="Arial" w:hAnsi="Arial"/>
          <w:sz w:val="21"/>
          <w:szCs w:val="21"/>
          <w:i w:val="1"/>
          <w:iCs w:val="1"/>
          <w:color w:val="auto"/>
        </w:rPr>
        <w:t xml:space="preserve"> </w:t>
      </w:r>
      <w:r>
        <w:rPr>
          <w:rFonts w:ascii="Arial" w:cs="Arial" w:eastAsia="Arial" w:hAnsi="Arial"/>
          <w:sz w:val="21"/>
          <w:szCs w:val="21"/>
          <w:color w:val="auto"/>
        </w:rPr>
        <w:t>N</w:t>
      </w:r>
      <w:r>
        <w:rPr>
          <w:rFonts w:ascii="Arial" w:cs="Arial" w:eastAsia="Arial" w:hAnsi="Arial"/>
          <w:sz w:val="16"/>
          <w:szCs w:val="16"/>
          <w:color w:val="auto"/>
        </w:rPr>
        <w:t>ATIONAL</w:t>
      </w:r>
      <w:r>
        <w:rPr>
          <w:rFonts w:ascii="Arial" w:cs="Arial" w:eastAsia="Arial" w:hAnsi="Arial"/>
          <w:sz w:val="21"/>
          <w:szCs w:val="21"/>
          <w:i w:val="1"/>
          <w:iCs w:val="1"/>
          <w:color w:val="auto"/>
        </w:rPr>
        <w:t xml:space="preserve"> </w:t>
      </w:r>
      <w:r>
        <w:rPr>
          <w:rFonts w:ascii="Arial" w:cs="Arial" w:eastAsia="Arial" w:hAnsi="Arial"/>
          <w:sz w:val="21"/>
          <w:szCs w:val="21"/>
          <w:color w:val="auto"/>
        </w:rPr>
        <w:t>A</w:t>
      </w:r>
      <w:r>
        <w:rPr>
          <w:rFonts w:ascii="Arial" w:cs="Arial" w:eastAsia="Arial" w:hAnsi="Arial"/>
          <w:sz w:val="16"/>
          <w:szCs w:val="16"/>
          <w:color w:val="auto"/>
        </w:rPr>
        <w:t>SSOCIATION</w:t>
      </w:r>
      <w:r>
        <w:rPr>
          <w:rFonts w:ascii="Arial" w:cs="Arial" w:eastAsia="Arial" w:hAnsi="Arial"/>
          <w:sz w:val="21"/>
          <w:szCs w:val="21"/>
          <w:color w:val="auto"/>
        </w:rPr>
        <w:t>, as collateral agent for the Secured Parties (as hereinafter defined) (in such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capacity, together with its successors and assigns, the </w:t>
      </w:r>
      <w:r>
        <w:rPr>
          <w:rFonts w:ascii="Arial" w:cs="Arial" w:eastAsia="Arial" w:hAnsi="Arial"/>
          <w:sz w:val="21"/>
          <w:szCs w:val="21"/>
          <w:i w:val="1"/>
          <w:iCs w:val="1"/>
          <w:color w:val="auto"/>
        </w:rPr>
        <w:t>“Collateral Agent”</w:t>
      </w:r>
      <w:r>
        <w:rPr>
          <w:rFonts w:ascii="Arial" w:cs="Arial" w:eastAsia="Arial" w:hAnsi="Arial"/>
          <w:sz w:val="21"/>
          <w:szCs w:val="21"/>
          <w:color w:val="auto"/>
        </w:rPr>
        <w:t>); 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xml:space="preserve">, as custodian (in such capacity, together with its successors and assigns, the </w:t>
      </w:r>
      <w:r>
        <w:rPr>
          <w:rFonts w:ascii="Arial" w:cs="Arial" w:eastAsia="Arial" w:hAnsi="Arial"/>
          <w:sz w:val="21"/>
          <w:szCs w:val="21"/>
          <w:i w:val="1"/>
          <w:iCs w:val="1"/>
          <w:color w:val="auto"/>
        </w:rPr>
        <w:t>“Custodian”</w:t>
      </w:r>
      <w:r>
        <w:rPr>
          <w:rFonts w:ascii="Arial" w:cs="Arial" w:eastAsia="Arial" w:hAnsi="Arial"/>
          <w:sz w:val="21"/>
          <w:szCs w:val="21"/>
          <w:color w:val="auto"/>
        </w:rPr>
        <w:t>); 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xml:space="preserve">, as collateral administrator (in such capacity, together with its successors and assigns, the </w:t>
      </w:r>
      <w:r>
        <w:rPr>
          <w:rFonts w:ascii="Arial" w:cs="Arial" w:eastAsia="Arial" w:hAnsi="Arial"/>
          <w:sz w:val="21"/>
          <w:szCs w:val="21"/>
          <w:i w:val="1"/>
          <w:iCs w:val="1"/>
          <w:color w:val="auto"/>
        </w:rPr>
        <w:t>“Collateral Administrator”</w:t>
      </w:r>
      <w:r>
        <w:rPr>
          <w:rFonts w:ascii="Arial" w:cs="Arial" w:eastAsia="Arial" w:hAnsi="Arial"/>
          <w:sz w:val="21"/>
          <w:szCs w:val="21"/>
          <w:color w:val="auto"/>
        </w:rPr>
        <w:t>); and 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xml:space="preserve">, as backup collateral manager (in such capacity, together with its successors and assigns, the </w:t>
      </w:r>
      <w:r>
        <w:rPr>
          <w:rFonts w:ascii="Arial" w:cs="Arial" w:eastAsia="Arial" w:hAnsi="Arial"/>
          <w:sz w:val="21"/>
          <w:szCs w:val="21"/>
          <w:i w:val="1"/>
          <w:iCs w:val="1"/>
          <w:color w:val="auto"/>
        </w:rPr>
        <w:t>“Backup</w:t>
      </w:r>
      <w:r>
        <w:rPr>
          <w:rFonts w:ascii="Arial" w:cs="Arial" w:eastAsia="Arial" w:hAnsi="Arial"/>
          <w:sz w:val="21"/>
          <w:szCs w:val="21"/>
          <w:color w:val="auto"/>
        </w:rPr>
        <w:t xml:space="preserve"> </w:t>
      </w:r>
      <w:r>
        <w:rPr>
          <w:rFonts w:ascii="Arial" w:cs="Arial" w:eastAsia="Arial" w:hAnsi="Arial"/>
          <w:sz w:val="21"/>
          <w:szCs w:val="21"/>
          <w:i w:val="1"/>
          <w:iCs w:val="1"/>
          <w:color w:val="auto"/>
        </w:rPr>
        <w:t>Collateral Manager”</w:t>
      </w:r>
      <w:r>
        <w:rPr>
          <w:rFonts w:ascii="Arial" w:cs="Arial" w:eastAsia="Arial" w:hAnsi="Arial"/>
          <w:sz w:val="21"/>
          <w:szCs w:val="21"/>
          <w:color w:val="auto"/>
        </w:rPr>
        <w: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7"/>
          <w:szCs w:val="17"/>
          <w:b w:val="1"/>
          <w:bCs w:val="1"/>
          <w:color w:val="auto"/>
        </w:rPr>
        <w:t>ITNESSETH</w:t>
      </w:r>
      <w:r>
        <w:rPr>
          <w:rFonts w:ascii="Arial" w:cs="Arial" w:eastAsia="Arial" w:hAnsi="Arial"/>
          <w:sz w:val="22"/>
          <w:szCs w:val="22"/>
          <w:b w:val="1"/>
          <w:bCs w:val="1"/>
          <w:color w:val="auto"/>
        </w:rPr>
        <w:t>:</w:t>
      </w:r>
    </w:p>
    <w:p>
      <w:pPr>
        <w:spacing w:after="0" w:line="320" w:lineRule="exact"/>
        <w:rPr>
          <w:sz w:val="20"/>
          <w:szCs w:val="20"/>
          <w:color w:val="auto"/>
        </w:rPr>
      </w:pPr>
    </w:p>
    <w:p>
      <w:pPr>
        <w:jc w:val="both"/>
        <w:ind w:firstLine="786"/>
        <w:spacing w:after="0" w:line="244" w:lineRule="auto"/>
        <w:rPr>
          <w:sz w:val="20"/>
          <w:szCs w:val="20"/>
          <w:color w:val="auto"/>
        </w:rPr>
      </w:pPr>
      <w:r>
        <w:rPr>
          <w:rFonts w:ascii="Arial" w:cs="Arial" w:eastAsia="Arial" w:hAnsi="Arial"/>
          <w:sz w:val="21"/>
          <w:szCs w:val="21"/>
          <w:color w:val="auto"/>
        </w:rPr>
        <w:t>W</w:t>
      </w:r>
      <w:r>
        <w:rPr>
          <w:rFonts w:ascii="Arial" w:cs="Arial" w:eastAsia="Arial" w:hAnsi="Arial"/>
          <w:sz w:val="16"/>
          <w:szCs w:val="16"/>
          <w:color w:val="auto"/>
        </w:rPr>
        <w:t>HEREAS</w:t>
      </w:r>
      <w:r>
        <w:rPr>
          <w:rFonts w:ascii="Arial" w:cs="Arial" w:eastAsia="Arial" w:hAnsi="Arial"/>
          <w:sz w:val="21"/>
          <w:szCs w:val="21"/>
          <w:color w:val="auto"/>
        </w:rPr>
        <w:t xml:space="preserve">, the Borrower, the Collateral Manager, the Administrative Agent, the Collateral Agent, the Custodian, the Lenders and Backup Collateral Manager have previously entered into that certain Revolving Credit and Security Agreement dated as of June 23, 2011 (as amended, restated, supplemented and otherwise modified from time to time, the </w:t>
      </w:r>
      <w:r>
        <w:rPr>
          <w:rFonts w:ascii="Arial" w:cs="Arial" w:eastAsia="Arial" w:hAnsi="Arial"/>
          <w:sz w:val="21"/>
          <w:szCs w:val="21"/>
          <w:i w:val="1"/>
          <w:iCs w:val="1"/>
          <w:color w:val="auto"/>
        </w:rPr>
        <w:t>“Original</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w:t>
      </w:r>
      <w:r>
        <w:rPr>
          <w:rFonts w:ascii="Arial" w:cs="Arial" w:eastAsia="Arial" w:hAnsi="Arial"/>
          <w:sz w:val="21"/>
          <w:szCs w:val="21"/>
          <w:color w:val="auto"/>
        </w:rPr>
        <w:t>), which agreement was amended and restated in its entirety by an Amended and Restated Revolving Credit and</w:t>
      </w:r>
      <w:r>
        <w:rPr>
          <w:rFonts w:ascii="Arial" w:cs="Arial" w:eastAsia="Arial" w:hAnsi="Arial"/>
          <w:sz w:val="21"/>
          <w:szCs w:val="21"/>
          <w:i w:val="1"/>
          <w:iCs w:val="1"/>
          <w:color w:val="auto"/>
        </w:rPr>
        <w:t xml:space="preserve"> </w:t>
      </w:r>
      <w:r>
        <w:rPr>
          <w:rFonts w:ascii="Arial" w:cs="Arial" w:eastAsia="Arial" w:hAnsi="Arial"/>
          <w:sz w:val="21"/>
          <w:szCs w:val="21"/>
          <w:color w:val="auto"/>
        </w:rPr>
        <w:t>Security Agreement dated as of May 14, 2012 among the Borrower, the Collateral Manager, the Administrative Agent, the Collateral Agent, the Custodian, the Lenders and Backup Collateral Manager (as amended, restated, supplemented and otherwise modified from time to time, the “</w:t>
      </w:r>
      <w:r>
        <w:rPr>
          <w:rFonts w:ascii="Arial" w:cs="Arial" w:eastAsia="Arial" w:hAnsi="Arial"/>
          <w:sz w:val="21"/>
          <w:szCs w:val="21"/>
          <w:i w:val="1"/>
          <w:iCs w:val="1"/>
          <w:color w:val="auto"/>
        </w:rPr>
        <w:t>Amended and Restated Agreement</w:t>
      </w:r>
      <w:r>
        <w:rPr>
          <w:rFonts w:ascii="Arial" w:cs="Arial" w:eastAsia="Arial" w:hAnsi="Arial"/>
          <w:sz w:val="21"/>
          <w:szCs w:val="21"/>
          <w:color w:val="auto"/>
        </w:rPr>
        <w:t>”), which agreement was amended and restated in its entirety by a Second Amended and Restated Revolving Credit and Security Agreement dated as of October 1, 2013 among the Borrower, the Collateral Manager, the Administrative Agent, the Collateral Agent, the Custodian, the Lenders and Backup Collateral Manager (as amended, restated, supplemented and otherwise modified from time to time, the “</w:t>
      </w:r>
      <w:r>
        <w:rPr>
          <w:rFonts w:ascii="Arial" w:cs="Arial" w:eastAsia="Arial" w:hAnsi="Arial"/>
          <w:sz w:val="21"/>
          <w:szCs w:val="21"/>
          <w:i w:val="1"/>
          <w:iCs w:val="1"/>
          <w:color w:val="auto"/>
        </w:rPr>
        <w:t>Second Amended and Restated</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w:t>
      </w:r>
      <w:r>
        <w:rPr>
          <w:rFonts w:ascii="Arial" w:cs="Arial" w:eastAsia="Arial" w:hAnsi="Arial"/>
          <w:sz w:val="21"/>
          <w:szCs w:val="21"/>
          <w:color w:val="auto"/>
        </w:rPr>
        <w:t>”);</w:t>
      </w:r>
    </w:p>
    <w:p>
      <w:pPr>
        <w:spacing w:after="0" w:line="296" w:lineRule="exact"/>
        <w:rPr>
          <w:sz w:val="20"/>
          <w:szCs w:val="20"/>
          <w:color w:val="auto"/>
        </w:rPr>
      </w:pPr>
    </w:p>
    <w:p>
      <w:pPr>
        <w:jc w:val="both"/>
        <w:ind w:firstLine="786"/>
        <w:spacing w:after="0" w:line="277" w:lineRule="auto"/>
        <w:rPr>
          <w:sz w:val="20"/>
          <w:szCs w:val="20"/>
          <w:color w:val="auto"/>
        </w:rPr>
      </w:pPr>
      <w:r>
        <w:rPr>
          <w:rFonts w:ascii="Arial" w:cs="Arial" w:eastAsia="Arial" w:hAnsi="Arial"/>
          <w:sz w:val="19"/>
          <w:szCs w:val="19"/>
          <w:color w:val="auto"/>
        </w:rPr>
        <w:t>W</w:t>
      </w:r>
      <w:r>
        <w:rPr>
          <w:rFonts w:ascii="Arial" w:cs="Arial" w:eastAsia="Arial" w:hAnsi="Arial"/>
          <w:sz w:val="15"/>
          <w:szCs w:val="15"/>
          <w:color w:val="auto"/>
        </w:rPr>
        <w:t>HEREAS</w:t>
      </w:r>
      <w:r>
        <w:rPr>
          <w:rFonts w:ascii="Arial" w:cs="Arial" w:eastAsia="Arial" w:hAnsi="Arial"/>
          <w:sz w:val="19"/>
          <w:szCs w:val="19"/>
          <w:color w:val="auto"/>
        </w:rPr>
        <w:t>, subject to and upon the terms and conditions set forth herein, the parties hereto desire to make certain amendments to the Second Amended and Restated Agreement and (iii) for the sake of clarity and convenience, amend and restate the Second Amended and Restated Agreement in the form of this Agreement in its entirety, and from and after the date hereof, all references made to the Original Agreement, the Amended and Restated Agreement or the Second Amended and Restated Agreement in any Facility Document or in any other instrument or document shall, without more, be deemed to refer to this Agreement. This Third Amended and Restated Revolving Credit and Security Agreement constitutes for all purposes an amendment to the Second Amended and Restated Agreement and not a new or substitute agreement;</w:t>
      </w:r>
    </w:p>
    <w:p>
      <w:pPr>
        <w:sectPr>
          <w:pgSz w:w="11900" w:h="16838" w:orient="portrait"/>
          <w:cols w:equalWidth="0" w:num="1">
            <w:col w:w="11240"/>
          </w:cols>
          <w:pgMar w:left="320" w:top="261" w:right="339" w:bottom="1440" w:gutter="0" w:footer="0" w:header="0"/>
        </w:sectPr>
      </w:pPr>
    </w:p>
    <w:bookmarkStart w:id="42" w:name="page43"/>
    <w:bookmarkEnd w:id="42"/>
    <w:p>
      <w:pPr>
        <w:jc w:val="both"/>
        <w:ind w:firstLine="786"/>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w:t>
      </w:r>
      <w:r>
        <w:rPr>
          <w:rFonts w:ascii="Arial" w:cs="Arial" w:eastAsia="Arial" w:hAnsi="Arial"/>
          <w:sz w:val="17"/>
          <w:szCs w:val="17"/>
          <w:color w:val="auto"/>
        </w:rPr>
        <w:t>HEREAS</w:t>
      </w:r>
      <w:r>
        <w:rPr>
          <w:rFonts w:ascii="Arial" w:cs="Arial" w:eastAsia="Arial" w:hAnsi="Arial"/>
          <w:sz w:val="22"/>
          <w:szCs w:val="22"/>
          <w:color w:val="auto"/>
        </w:rPr>
        <w:t>, the Borrower desires that the Lenders make advances on a revolving basis to the Borrower on the terms and subject to the conditions set forth in this Agreement; and</w:t>
      </w:r>
    </w:p>
    <w:p>
      <w:pPr>
        <w:spacing w:after="0" w:line="283"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HEREAS</w:t>
      </w:r>
      <w:r>
        <w:rPr>
          <w:rFonts w:ascii="Arial" w:cs="Arial" w:eastAsia="Arial" w:hAnsi="Arial"/>
          <w:sz w:val="22"/>
          <w:szCs w:val="22"/>
          <w:color w:val="auto"/>
        </w:rPr>
        <w:t>, each Lender is willing to make such advances to the Borrower on the terms and subject to the conditions set forth in this Agreement.</w:t>
      </w:r>
    </w:p>
    <w:p>
      <w:pPr>
        <w:spacing w:after="0" w:line="28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color w:val="auto"/>
        </w:rPr>
        <w:t>N</w:t>
      </w:r>
      <w:r>
        <w:rPr>
          <w:rFonts w:ascii="Arial" w:cs="Arial" w:eastAsia="Arial" w:hAnsi="Arial"/>
          <w:sz w:val="17"/>
          <w:szCs w:val="17"/>
          <w:color w:val="auto"/>
        </w:rPr>
        <w:t>OW</w:t>
      </w:r>
      <w:r>
        <w:rPr>
          <w:rFonts w:ascii="Arial" w:cs="Arial" w:eastAsia="Arial" w:hAnsi="Arial"/>
          <w:sz w:val="22"/>
          <w:szCs w:val="22"/>
          <w:color w:val="auto"/>
        </w:rPr>
        <w:t>, T</w:t>
      </w:r>
      <w:r>
        <w:rPr>
          <w:rFonts w:ascii="Arial" w:cs="Arial" w:eastAsia="Arial" w:hAnsi="Arial"/>
          <w:sz w:val="17"/>
          <w:szCs w:val="17"/>
          <w:color w:val="auto"/>
        </w:rPr>
        <w:t>HEREFORE</w:t>
      </w:r>
      <w:r>
        <w:rPr>
          <w:rFonts w:ascii="Arial" w:cs="Arial" w:eastAsia="Arial" w:hAnsi="Arial"/>
          <w:sz w:val="22"/>
          <w:szCs w:val="22"/>
          <w:color w:val="auto"/>
        </w:rPr>
        <w:t>, in consideration of the premises and of the mutual covenants herein contained, the parties hereto agree as follows: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I</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7"/>
          <w:szCs w:val="17"/>
          <w:b w:val="1"/>
          <w:bCs w:val="1"/>
          <w:color w:val="auto"/>
        </w:rPr>
        <w:t>EFINITIONS</w:t>
      </w:r>
      <w:r>
        <w:rPr>
          <w:rFonts w:ascii="Arial" w:cs="Arial" w:eastAsia="Arial" w:hAnsi="Arial"/>
          <w:sz w:val="22"/>
          <w:szCs w:val="22"/>
          <w:b w:val="1"/>
          <w:bCs w:val="1"/>
          <w:color w:val="auto"/>
        </w:rPr>
        <w:t>; R</w:t>
      </w:r>
      <w:r>
        <w:rPr>
          <w:rFonts w:ascii="Arial" w:cs="Arial" w:eastAsia="Arial" w:hAnsi="Arial"/>
          <w:sz w:val="17"/>
          <w:szCs w:val="17"/>
          <w:b w:val="1"/>
          <w:bCs w:val="1"/>
          <w:color w:val="auto"/>
        </w:rPr>
        <w:t>ULES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ONSTRUCTION</w:t>
      </w:r>
      <w:r>
        <w:rPr>
          <w:rFonts w:ascii="Arial" w:cs="Arial" w:eastAsia="Arial" w:hAnsi="Arial"/>
          <w:sz w:val="22"/>
          <w:szCs w:val="22"/>
          <w:b w:val="1"/>
          <w:bCs w:val="1"/>
          <w:color w:val="auto"/>
        </w:rPr>
        <w:t>; C</w:t>
      </w:r>
      <w:r>
        <w:rPr>
          <w:rFonts w:ascii="Arial" w:cs="Arial" w:eastAsia="Arial" w:hAnsi="Arial"/>
          <w:sz w:val="17"/>
          <w:szCs w:val="17"/>
          <w:b w:val="1"/>
          <w:bCs w:val="1"/>
          <w:color w:val="auto"/>
        </w:rPr>
        <w:t>OMPUTATIONS</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22"/>
          <w:szCs w:val="22"/>
          <w:i w:val="1"/>
          <w:iCs w:val="1"/>
          <w:color w:val="auto"/>
        </w:rPr>
        <w:t>Section 1.01. Definitions</w:t>
      </w:r>
      <w:r>
        <w:rPr>
          <w:rFonts w:ascii="Arial" w:cs="Arial" w:eastAsia="Arial" w:hAnsi="Arial"/>
          <w:sz w:val="22"/>
          <w:szCs w:val="22"/>
          <w:color w:val="auto"/>
        </w:rPr>
        <w:t>. As used in this Agreement, the following terms shall have the meanings indicated:</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“ABL Facility” </w:t>
      </w:r>
      <w:r>
        <w:rPr>
          <w:rFonts w:ascii="Arial" w:cs="Arial" w:eastAsia="Arial" w:hAnsi="Arial"/>
          <w:sz w:val="22"/>
          <w:szCs w:val="22"/>
          <w:color w:val="auto"/>
        </w:rPr>
        <w:t>means a lending facility pursuant to which the loans thereunder are secured by a perfected, first priority</w:t>
      </w:r>
      <w:r>
        <w:rPr>
          <w:rFonts w:ascii="Arial" w:cs="Arial" w:eastAsia="Arial" w:hAnsi="Arial"/>
          <w:sz w:val="22"/>
          <w:szCs w:val="22"/>
          <w:i w:val="1"/>
          <w:iCs w:val="1"/>
          <w:color w:val="auto"/>
        </w:rPr>
        <w:t xml:space="preserve"> </w:t>
      </w:r>
      <w:r>
        <w:rPr>
          <w:rFonts w:ascii="Arial" w:cs="Arial" w:eastAsia="Arial" w:hAnsi="Arial"/>
          <w:sz w:val="22"/>
          <w:szCs w:val="22"/>
          <w:color w:val="auto"/>
        </w:rPr>
        <w:t>security interest in accounts receivable, inventory, machinery, equipment, or periodic revenues, where such collateral security consists of assets generated or acquired by the related Obligor in its business.</w:t>
      </w:r>
    </w:p>
    <w:p>
      <w:pPr>
        <w:spacing w:after="0" w:line="29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“Account Control Agreement” </w:t>
      </w:r>
      <w:r>
        <w:rPr>
          <w:rFonts w:ascii="Arial" w:cs="Arial" w:eastAsia="Arial" w:hAnsi="Arial"/>
          <w:sz w:val="22"/>
          <w:szCs w:val="22"/>
          <w:color w:val="auto"/>
        </w:rPr>
        <w:t>means an agreement in substantially the form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 E</w:t>
      </w:r>
      <w:r>
        <w:rPr>
          <w:rFonts w:ascii="Arial" w:cs="Arial" w:eastAsia="Arial" w:hAnsi="Arial"/>
          <w:sz w:val="22"/>
          <w:szCs w:val="22"/>
          <w:i w:val="1"/>
          <w:iCs w:val="1"/>
          <w:color w:val="auto"/>
        </w:rPr>
        <w:t xml:space="preserve"> </w:t>
      </w:r>
      <w:r>
        <w:rPr>
          <w:rFonts w:ascii="Arial" w:cs="Arial" w:eastAsia="Arial" w:hAnsi="Arial"/>
          <w:sz w:val="22"/>
          <w:szCs w:val="22"/>
          <w:color w:val="auto"/>
        </w:rPr>
        <w:t>hereto.</w:t>
      </w:r>
    </w:p>
    <w:p>
      <w:pPr>
        <w:spacing w:after="0" w:line="314"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i w:val="1"/>
          <w:iCs w:val="1"/>
          <w:color w:val="auto"/>
        </w:rPr>
        <w:t xml:space="preserve">“Adjusted LIBOR Rate” </w:t>
      </w:r>
      <w:r>
        <w:rPr>
          <w:rFonts w:ascii="Arial" w:cs="Arial" w:eastAsia="Arial" w:hAnsi="Arial"/>
          <w:sz w:val="19"/>
          <w:szCs w:val="19"/>
          <w:color w:val="auto"/>
        </w:rPr>
        <w:t>means (a) for the Interest Accrual Period for any Eurocurrency Advance denominated in a</w:t>
      </w:r>
      <w:r>
        <w:rPr>
          <w:rFonts w:ascii="Arial" w:cs="Arial" w:eastAsia="Arial" w:hAnsi="Arial"/>
          <w:sz w:val="19"/>
          <w:szCs w:val="19"/>
          <w:i w:val="1"/>
          <w:iCs w:val="1"/>
          <w:color w:val="auto"/>
        </w:rPr>
        <w:t xml:space="preserve"> </w:t>
      </w:r>
      <w:r>
        <w:rPr>
          <w:rFonts w:ascii="Arial" w:cs="Arial" w:eastAsia="Arial" w:hAnsi="Arial"/>
          <w:sz w:val="19"/>
          <w:szCs w:val="19"/>
          <w:color w:val="auto"/>
        </w:rPr>
        <w:t>LIBOR Quoted Currency, an interest rate per annum (rounded upwards, if necessary, to the next 1/100 of 1%) equal to (i) the LIBOR Rate for such Interest Accrual Period multiplied by (ii) the Statutory Reserve Rate for such Interest Accrual Period and</w:t>
      </w:r>
    </w:p>
    <w:p>
      <w:pPr>
        <w:spacing w:after="0" w:line="1" w:lineRule="exact"/>
        <w:rPr>
          <w:sz w:val="20"/>
          <w:szCs w:val="20"/>
          <w:color w:val="auto"/>
        </w:rPr>
      </w:pPr>
    </w:p>
    <w:p>
      <w:pPr>
        <w:ind w:right="20" w:firstLine="8"/>
        <w:spacing w:after="0" w:line="308" w:lineRule="auto"/>
        <w:tabs>
          <w:tab w:leader="none" w:pos="312" w:val="left"/>
        </w:tabs>
        <w:numPr>
          <w:ilvl w:val="0"/>
          <w:numId w:val="15"/>
        </w:numPr>
        <w:rPr>
          <w:rFonts w:ascii="Arial" w:cs="Arial" w:eastAsia="Arial" w:hAnsi="Arial"/>
          <w:sz w:val="19"/>
          <w:szCs w:val="19"/>
          <w:color w:val="auto"/>
        </w:rPr>
      </w:pPr>
      <w:r>
        <w:rPr>
          <w:rFonts w:ascii="Arial" w:cs="Arial" w:eastAsia="Arial" w:hAnsi="Arial"/>
          <w:sz w:val="19"/>
          <w:szCs w:val="19"/>
          <w:color w:val="auto"/>
        </w:rPr>
        <w:t>for the Interest Accrual Period for any Eurocurrency Advance denominated in a Non-LIBO Quoted Currency, an interest rate per annum (rounded upwards, if necessary, to the next 1/16 of 1%) equal to the LIBOR Rate for such Interest Accrual Period.</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“Administrative Agent” </w:t>
      </w:r>
      <w:r>
        <w:rPr>
          <w:rFonts w:ascii="Arial" w:cs="Arial" w:eastAsia="Arial" w:hAnsi="Arial"/>
          <w:sz w:val="22"/>
          <w:szCs w:val="22"/>
          <w:color w:val="auto"/>
        </w:rPr>
        <w:t>has the meaning assigned to such term in the introduction to this Agreement.</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“Administrative Agent Fee Letter” </w:t>
      </w:r>
      <w:r>
        <w:rPr>
          <w:rFonts w:ascii="Arial" w:cs="Arial" w:eastAsia="Arial" w:hAnsi="Arial"/>
          <w:sz w:val="22"/>
          <w:szCs w:val="22"/>
          <w:color w:val="auto"/>
        </w:rPr>
        <w:t>means that certain Amended and Restated Administrative Agent Fee Letter, dated as</w:t>
      </w:r>
      <w:r>
        <w:rPr>
          <w:rFonts w:ascii="Arial" w:cs="Arial" w:eastAsia="Arial" w:hAnsi="Arial"/>
          <w:sz w:val="22"/>
          <w:szCs w:val="22"/>
          <w:i w:val="1"/>
          <w:iCs w:val="1"/>
          <w:color w:val="auto"/>
        </w:rPr>
        <w:t xml:space="preserve"> </w:t>
      </w:r>
      <w:r>
        <w:rPr>
          <w:rFonts w:ascii="Arial" w:cs="Arial" w:eastAsia="Arial" w:hAnsi="Arial"/>
          <w:sz w:val="22"/>
          <w:szCs w:val="22"/>
          <w:color w:val="auto"/>
        </w:rPr>
        <w:t>of October 1, 2013, by and among the Administrative Agent and the Borrower, as the same may be amended or amended and restated from time to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267" w:right="339" w:bottom="1440" w:gutter="0" w:footer="0" w:header="0"/>
        </w:sectPr>
      </w:pPr>
    </w:p>
    <w:bookmarkStart w:id="43" w:name="page44"/>
    <w:bookmarkEnd w:id="43"/>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“Administrative Expense Cap” </w:t>
      </w:r>
      <w:r>
        <w:rPr>
          <w:rFonts w:ascii="Arial" w:cs="Arial" w:eastAsia="Arial" w:hAnsi="Arial"/>
          <w:sz w:val="22"/>
          <w:szCs w:val="22"/>
          <w:color w:val="auto"/>
        </w:rPr>
        <w:t>means, for any rolling 12-month period, an amount equal to $150,000.</w:t>
      </w:r>
    </w:p>
    <w:p>
      <w:pPr>
        <w:spacing w:after="0" w:line="314" w:lineRule="exact"/>
        <w:rPr>
          <w:sz w:val="20"/>
          <w:szCs w:val="20"/>
          <w:color w:val="auto"/>
        </w:rPr>
      </w:pPr>
    </w:p>
    <w:p>
      <w:pPr>
        <w:ind w:right="20" w:firstLine="786"/>
        <w:spacing w:after="0" w:line="250" w:lineRule="auto"/>
        <w:rPr>
          <w:sz w:val="20"/>
          <w:szCs w:val="20"/>
          <w:color w:val="auto"/>
        </w:rPr>
      </w:pPr>
      <w:r>
        <w:rPr>
          <w:rFonts w:ascii="Arial" w:cs="Arial" w:eastAsia="Arial" w:hAnsi="Arial"/>
          <w:sz w:val="22"/>
          <w:szCs w:val="22"/>
          <w:i w:val="1"/>
          <w:iCs w:val="1"/>
          <w:color w:val="auto"/>
        </w:rPr>
        <w:t xml:space="preserve">“Administrative Expenses” </w:t>
      </w:r>
      <w:r>
        <w:rPr>
          <w:rFonts w:ascii="Arial" w:cs="Arial" w:eastAsia="Arial" w:hAnsi="Arial"/>
          <w:sz w:val="22"/>
          <w:szCs w:val="22"/>
          <w:color w:val="auto"/>
        </w:rPr>
        <w:t>means the fees and expenses (including indemnities) and other amounts of the Borrower due</w:t>
      </w:r>
      <w:r>
        <w:rPr>
          <w:rFonts w:ascii="Arial" w:cs="Arial" w:eastAsia="Arial" w:hAnsi="Arial"/>
          <w:sz w:val="22"/>
          <w:szCs w:val="22"/>
          <w:i w:val="1"/>
          <w:iCs w:val="1"/>
          <w:color w:val="auto"/>
        </w:rPr>
        <w:t xml:space="preserve"> </w:t>
      </w:r>
      <w:r>
        <w:rPr>
          <w:rFonts w:ascii="Arial" w:cs="Arial" w:eastAsia="Arial" w:hAnsi="Arial"/>
          <w:sz w:val="22"/>
          <w:szCs w:val="22"/>
          <w:color w:val="auto"/>
        </w:rPr>
        <w:t>or accrued with respect to any Payment Date and payable in the following order:</w:t>
      </w:r>
    </w:p>
    <w:p>
      <w:pPr>
        <w:spacing w:after="0" w:line="283" w:lineRule="exact"/>
        <w:rPr>
          <w:sz w:val="20"/>
          <w:szCs w:val="20"/>
          <w:color w:val="auto"/>
        </w:rPr>
      </w:pPr>
    </w:p>
    <w:p>
      <w:pPr>
        <w:jc w:val="both"/>
        <w:ind w:left="800" w:firstLine="934"/>
        <w:spacing w:after="0" w:line="238" w:lineRule="auto"/>
        <w:tabs>
          <w:tab w:leader="none" w:pos="2317" w:val="left"/>
        </w:tabs>
        <w:numPr>
          <w:ilvl w:val="0"/>
          <w:numId w:val="16"/>
        </w:numPr>
        <w:rPr>
          <w:rFonts w:ascii="Arial" w:cs="Arial" w:eastAsia="Arial" w:hAnsi="Arial"/>
          <w:sz w:val="22"/>
          <w:szCs w:val="22"/>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Collateral Agent, the Collateral Administrator, the Backup Collateral Manager,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Intermediary and the Custodian, any amounts payable pursuant to the Collateral Agent Fee Letter, the Backup Collateral Manager Fee Letter, the Custodian Fee Letter, the Collateral Administration Agreement, this Agreement and the other Facility Documents;</w:t>
      </w:r>
    </w:p>
    <w:p>
      <w:pPr>
        <w:spacing w:after="0" w:line="292" w:lineRule="exact"/>
        <w:rPr>
          <w:rFonts w:ascii="Arial" w:cs="Arial" w:eastAsia="Arial" w:hAnsi="Arial"/>
          <w:sz w:val="22"/>
          <w:szCs w:val="22"/>
          <w:color w:val="auto"/>
        </w:rPr>
      </w:pPr>
    </w:p>
    <w:p>
      <w:pPr>
        <w:ind w:left="2260" w:hanging="526"/>
        <w:spacing w:after="0"/>
        <w:tabs>
          <w:tab w:leader="none" w:pos="2260" w:val="left"/>
        </w:tabs>
        <w:numPr>
          <w:ilvl w:val="0"/>
          <w:numId w:val="16"/>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the Administrative Agent for fees and accrued expenses;</w:t>
      </w:r>
    </w:p>
    <w:p>
      <w:pPr>
        <w:spacing w:after="0" w:line="314" w:lineRule="exact"/>
        <w:rPr>
          <w:rFonts w:ascii="Arial" w:cs="Arial" w:eastAsia="Arial" w:hAnsi="Arial"/>
          <w:sz w:val="22"/>
          <w:szCs w:val="22"/>
          <w:color w:val="auto"/>
        </w:rPr>
      </w:pPr>
    </w:p>
    <w:p>
      <w:pPr>
        <w:jc w:val="both"/>
        <w:ind w:left="800" w:right="20" w:firstLine="934"/>
        <w:spacing w:after="0"/>
        <w:tabs>
          <w:tab w:leader="none" w:pos="2479" w:val="left"/>
        </w:tabs>
        <w:numPr>
          <w:ilvl w:val="0"/>
          <w:numId w:val="16"/>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Collateral Manager for expenses (including indemnities) incurred by the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Manager in connection with the services provided under this Agreement and as further described in </w:t>
      </w:r>
      <w:r>
        <w:rPr>
          <w:rFonts w:ascii="Arial" w:cs="Arial" w:eastAsia="Arial" w:hAnsi="Arial"/>
          <w:sz w:val="22"/>
          <w:szCs w:val="22"/>
          <w:u w:val="single" w:color="auto"/>
          <w:color w:val="auto"/>
        </w:rPr>
        <w:t>Sections 11.03</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11.09</w:t>
      </w:r>
      <w:r>
        <w:rPr>
          <w:rFonts w:ascii="Arial" w:cs="Arial" w:eastAsia="Arial" w:hAnsi="Arial"/>
          <w:sz w:val="22"/>
          <w:szCs w:val="22"/>
          <w:color w:val="auto"/>
        </w:rPr>
        <w:t>; and</w:t>
      </w:r>
    </w:p>
    <w:p>
      <w:pPr>
        <w:spacing w:after="0" w:line="294" w:lineRule="exact"/>
        <w:rPr>
          <w:rFonts w:ascii="Arial" w:cs="Arial" w:eastAsia="Arial" w:hAnsi="Arial"/>
          <w:sz w:val="22"/>
          <w:szCs w:val="22"/>
          <w:color w:val="auto"/>
        </w:rPr>
      </w:pPr>
    </w:p>
    <w:p>
      <w:pPr>
        <w:ind w:left="2260" w:hanging="526"/>
        <w:spacing w:after="0"/>
        <w:tabs>
          <w:tab w:leader="none" w:pos="2260" w:val="left"/>
        </w:tabs>
        <w:numPr>
          <w:ilvl w:val="0"/>
          <w:numId w:val="16"/>
        </w:numPr>
        <w:rPr>
          <w:rFonts w:ascii="Arial" w:cs="Arial" w:eastAsia="Arial" w:hAnsi="Arial"/>
          <w:sz w:val="22"/>
          <w:szCs w:val="22"/>
          <w:color w:val="auto"/>
        </w:rPr>
      </w:pPr>
      <w:r>
        <w:rPr>
          <w:rFonts w:ascii="Arial" w:cs="Arial" w:eastAsia="Arial" w:hAnsi="Arial"/>
          <w:sz w:val="22"/>
          <w:szCs w:val="22"/>
          <w:i w:val="1"/>
          <w:iCs w:val="1"/>
          <w:color w:val="auto"/>
        </w:rPr>
        <w:t>fourth</w:t>
      </w:r>
      <w:r>
        <w:rPr>
          <w:rFonts w:ascii="Arial" w:cs="Arial" w:eastAsia="Arial" w:hAnsi="Arial"/>
          <w:sz w:val="22"/>
          <w:szCs w:val="22"/>
          <w:color w:val="auto"/>
        </w:rPr>
        <w:t>, on a</w:t>
      </w:r>
      <w:r>
        <w:rPr>
          <w:rFonts w:ascii="Arial" w:cs="Arial" w:eastAsia="Arial" w:hAnsi="Arial"/>
          <w:sz w:val="22"/>
          <w:szCs w:val="22"/>
          <w:i w:val="1"/>
          <w:iCs w:val="1"/>
          <w:color w:val="auto"/>
        </w:rPr>
        <w:t xml:space="preserve"> pro rata </w:t>
      </w:r>
      <w:r>
        <w:rPr>
          <w:rFonts w:ascii="Arial" w:cs="Arial" w:eastAsia="Arial" w:hAnsi="Arial"/>
          <w:sz w:val="22"/>
          <w:szCs w:val="22"/>
          <w:color w:val="auto"/>
        </w:rPr>
        <w:t>basis, to:</w:t>
      </w:r>
    </w:p>
    <w:p>
      <w:pPr>
        <w:spacing w:after="0" w:line="314" w:lineRule="exact"/>
        <w:rPr>
          <w:rFonts w:ascii="Arial" w:cs="Arial" w:eastAsia="Arial" w:hAnsi="Arial"/>
          <w:sz w:val="22"/>
          <w:szCs w:val="22"/>
          <w:color w:val="auto"/>
        </w:rPr>
      </w:pPr>
    </w:p>
    <w:p>
      <w:pPr>
        <w:ind w:left="1700" w:right="20" w:firstLine="714"/>
        <w:spacing w:after="0" w:line="274" w:lineRule="auto"/>
        <w:tabs>
          <w:tab w:leader="none" w:pos="3071" w:val="left"/>
        </w:tabs>
        <w:numPr>
          <w:ilvl w:val="2"/>
          <w:numId w:val="16"/>
        </w:numPr>
        <w:rPr>
          <w:rFonts w:ascii="Arial" w:cs="Arial" w:eastAsia="Arial" w:hAnsi="Arial"/>
          <w:sz w:val="21"/>
          <w:szCs w:val="21"/>
          <w:color w:val="auto"/>
        </w:rPr>
      </w:pPr>
      <w:r>
        <w:rPr>
          <w:rFonts w:ascii="Arial" w:cs="Arial" w:eastAsia="Arial" w:hAnsi="Arial"/>
          <w:sz w:val="21"/>
          <w:szCs w:val="21"/>
          <w:color w:val="auto"/>
        </w:rPr>
        <w:t>the Independent Accountants, agents (other than the Collateral Manager) and counsel of the Borrower for fees and expenses related to the Collateral and the Facility Documents;</w:t>
      </w:r>
    </w:p>
    <w:p>
      <w:pPr>
        <w:spacing w:after="0" w:line="258" w:lineRule="exact"/>
        <w:rPr>
          <w:rFonts w:ascii="Arial" w:cs="Arial" w:eastAsia="Arial" w:hAnsi="Arial"/>
          <w:sz w:val="21"/>
          <w:szCs w:val="21"/>
          <w:color w:val="auto"/>
        </w:rPr>
      </w:pPr>
    </w:p>
    <w:p>
      <w:pPr>
        <w:ind w:left="1700" w:firstLine="619"/>
        <w:spacing w:after="0" w:line="250" w:lineRule="auto"/>
        <w:tabs>
          <w:tab w:leader="none" w:pos="2861"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Rating Agencies for fees and expenses in connection with the rating of (or provision of credit estimates in respect of) any Collateral Loans;</w:t>
      </w:r>
    </w:p>
    <w:p>
      <w:pPr>
        <w:spacing w:after="0" w:line="282" w:lineRule="exact"/>
        <w:rPr>
          <w:rFonts w:ascii="Arial" w:cs="Arial" w:eastAsia="Arial" w:hAnsi="Arial"/>
          <w:sz w:val="22"/>
          <w:szCs w:val="22"/>
          <w:color w:val="auto"/>
        </w:rPr>
      </w:pPr>
    </w:p>
    <w:p>
      <w:pPr>
        <w:ind w:left="1700" w:firstLine="565"/>
        <w:spacing w:after="0" w:line="250" w:lineRule="auto"/>
        <w:tabs>
          <w:tab w:leader="none" w:pos="2826"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other Person in respect of any other fees or expenses permitted under or incurred pursuant to or in connection with the Facility Documents; and</w:t>
      </w:r>
    </w:p>
    <w:p>
      <w:pPr>
        <w:spacing w:after="0" w:line="282" w:lineRule="exact"/>
        <w:rPr>
          <w:rFonts w:ascii="Arial" w:cs="Arial" w:eastAsia="Arial" w:hAnsi="Arial"/>
          <w:sz w:val="22"/>
          <w:szCs w:val="22"/>
          <w:color w:val="auto"/>
        </w:rPr>
      </w:pPr>
    </w:p>
    <w:p>
      <w:pPr>
        <w:ind w:left="1700" w:right="20" w:firstLine="565"/>
        <w:spacing w:after="0" w:line="250" w:lineRule="auto"/>
        <w:tabs>
          <w:tab w:leader="none" w:pos="2819"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Lenders and the Agents (or related indemnified parties) for fees, expenses and other amounts payable by the Borrower under any Facility Document;</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for the avoidance of doubt, amounts that are expressly payable to any Person under the Priority of Payments in</w:t>
      </w:r>
      <w:r>
        <w:rPr>
          <w:rFonts w:ascii="Arial" w:cs="Arial" w:eastAsia="Arial" w:hAnsi="Arial"/>
          <w:sz w:val="19"/>
          <w:szCs w:val="19"/>
          <w:i w:val="1"/>
          <w:iCs w:val="1"/>
          <w:color w:val="auto"/>
        </w:rPr>
        <w:t xml:space="preserve"> </w:t>
      </w:r>
      <w:r>
        <w:rPr>
          <w:rFonts w:ascii="Arial" w:cs="Arial" w:eastAsia="Arial" w:hAnsi="Arial"/>
          <w:sz w:val="19"/>
          <w:szCs w:val="19"/>
          <w:color w:val="auto"/>
        </w:rPr>
        <w:t>respect of an amount that is stated 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251" w:lineRule="exact"/>
        <w:rPr>
          <w:sz w:val="20"/>
          <w:szCs w:val="20"/>
          <w:color w:val="auto"/>
        </w:rPr>
      </w:pPr>
    </w:p>
    <w:p>
      <w:pPr>
        <w:ind w:left="560"/>
        <w:spacing w:after="0"/>
        <w:rPr>
          <w:sz w:val="20"/>
          <w:szCs w:val="20"/>
          <w:color w:val="auto"/>
        </w:rPr>
      </w:pPr>
      <w:r>
        <w:rPr>
          <w:rFonts w:ascii="Arial" w:cs="Arial" w:eastAsia="Arial" w:hAnsi="Arial"/>
          <w:sz w:val="22"/>
          <w:szCs w:val="22"/>
          <w:i w:val="1"/>
          <w:iCs w:val="1"/>
          <w:color w:val="auto"/>
        </w:rPr>
        <w:t xml:space="preserve">“Advances”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314"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22"/>
          <w:szCs w:val="22"/>
          <w:i w:val="1"/>
          <w:iCs w:val="1"/>
          <w:color w:val="auto"/>
        </w:rPr>
        <w:t xml:space="preserve">“Affected Person” </w:t>
      </w:r>
      <w:r>
        <w:rPr>
          <w:rFonts w:ascii="Arial" w:cs="Arial" w:eastAsia="Arial" w:hAnsi="Arial"/>
          <w:sz w:val="22"/>
          <w:szCs w:val="22"/>
          <w:color w:val="auto"/>
        </w:rPr>
        <w:t>means (i) each Lender and each of its Affiliates, (ii) any Liquidity Bank and (iii) any assignee or</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 of any Lender.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267" w:right="339" w:bottom="1440" w:gutter="0" w:footer="0" w:header="0"/>
        </w:sectPr>
      </w:pPr>
    </w:p>
    <w:bookmarkStart w:id="44" w:name="page45"/>
    <w:bookmarkEnd w:id="44"/>
    <w:p>
      <w:pPr>
        <w:jc w:val="both"/>
        <w:ind w:firstLine="786"/>
        <w:spacing w:after="0" w:line="236"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“Affiliate” </w:t>
      </w:r>
      <w:r>
        <w:rPr>
          <w:rFonts w:ascii="Arial" w:cs="Arial" w:eastAsia="Arial" w:hAnsi="Arial"/>
          <w:sz w:val="22"/>
          <w:szCs w:val="22"/>
          <w:color w:val="auto"/>
        </w:rPr>
        <w:t>means, in respect of a referenced Person, another Person Controlling, Controlled by or under common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Control with such referenced Person;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Person shall not be deemed to be an “</w:t>
      </w:r>
      <w:r>
        <w:rPr>
          <w:rFonts w:ascii="Arial" w:cs="Arial" w:eastAsia="Arial" w:hAnsi="Arial"/>
          <w:sz w:val="22"/>
          <w:szCs w:val="22"/>
          <w:i w:val="1"/>
          <w:iCs w:val="1"/>
          <w:color w:val="auto"/>
        </w:rPr>
        <w:t>Affiliate</w:t>
      </w:r>
      <w:r>
        <w:rPr>
          <w:rFonts w:ascii="Arial" w:cs="Arial" w:eastAsia="Arial" w:hAnsi="Arial"/>
          <w:sz w:val="22"/>
          <w:szCs w:val="22"/>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29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“Agents” </w:t>
      </w:r>
      <w:r>
        <w:rPr>
          <w:rFonts w:ascii="Arial" w:cs="Arial" w:eastAsia="Arial" w:hAnsi="Arial"/>
          <w:sz w:val="22"/>
          <w:szCs w:val="22"/>
          <w:color w:val="auto"/>
        </w:rPr>
        <w:t>means, collectively, the Administrative Agent and the Collateral Agent.</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“Agent’s Account” </w:t>
      </w:r>
      <w:r>
        <w:rPr>
          <w:rFonts w:ascii="Arial" w:cs="Arial" w:eastAsia="Arial" w:hAnsi="Arial"/>
          <w:sz w:val="22"/>
          <w:szCs w:val="22"/>
          <w:color w:val="auto"/>
        </w:rPr>
        <w:t>means SunTrust Bank, Atlanta, GA, ABA #061000104, Account to be credited: STB Agency</w:t>
      </w:r>
      <w:r>
        <w:rPr>
          <w:rFonts w:ascii="Arial" w:cs="Arial" w:eastAsia="Arial" w:hAnsi="Arial"/>
          <w:sz w:val="22"/>
          <w:szCs w:val="22"/>
          <w:i w:val="1"/>
          <w:iCs w:val="1"/>
          <w:color w:val="auto"/>
        </w:rPr>
        <w:t xml:space="preserve"> </w:t>
      </w:r>
      <w:r>
        <w:rPr>
          <w:rFonts w:ascii="Arial" w:cs="Arial" w:eastAsia="Arial" w:hAnsi="Arial"/>
          <w:sz w:val="22"/>
          <w:szCs w:val="22"/>
          <w:color w:val="auto"/>
        </w:rPr>
        <w:t>Services Operating Account, Account number: 1000022220783, Attn: Doug Weltz, Ref: PennantPark Floating Rate Funding I, LLC.</w:t>
      </w:r>
    </w:p>
    <w:p>
      <w:pPr>
        <w:spacing w:after="0" w:line="294"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“Aggregate Collateral Balance” </w:t>
      </w:r>
      <w:r>
        <w:rPr>
          <w:rFonts w:ascii="Arial" w:cs="Arial" w:eastAsia="Arial" w:hAnsi="Arial"/>
          <w:sz w:val="22"/>
          <w:szCs w:val="22"/>
          <w:color w:val="auto"/>
        </w:rPr>
        <w:t>means, at any time, the sum of: (a) the Assigned Value of all Collateral Loans (other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than Ineligible Collateral Loans),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Dollar Equivalent of the aggregate unfunded commitments of all Delayed Drawdown Collateral Loans (other than Ineligible Collateral Loans) and Revolving Collateral Loans (other than Ineligible Collateral Loans).</w:t>
      </w:r>
    </w:p>
    <w:p>
      <w:pPr>
        <w:spacing w:after="0" w:line="293"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i w:val="1"/>
          <w:iCs w:val="1"/>
          <w:color w:val="auto"/>
        </w:rPr>
        <w:t xml:space="preserve">“Aggregate Foreign Currency Borrowing Base” </w:t>
      </w:r>
      <w:r>
        <w:rPr>
          <w:rFonts w:ascii="Arial" w:cs="Arial" w:eastAsia="Arial" w:hAnsi="Arial"/>
          <w:sz w:val="21"/>
          <w:szCs w:val="21"/>
          <w:color w:val="auto"/>
        </w:rPr>
        <w:t>means, at any time, the sum of (i) the Dollar Equivalent of the</w:t>
      </w:r>
      <w:r>
        <w:rPr>
          <w:rFonts w:ascii="Arial" w:cs="Arial" w:eastAsia="Arial" w:hAnsi="Arial"/>
          <w:sz w:val="21"/>
          <w:szCs w:val="21"/>
          <w:i w:val="1"/>
          <w:iCs w:val="1"/>
          <w:color w:val="auto"/>
        </w:rPr>
        <w:t xml:space="preserve"> </w:t>
      </w:r>
      <w:r>
        <w:rPr>
          <w:rFonts w:ascii="Arial" w:cs="Arial" w:eastAsia="Arial" w:hAnsi="Arial"/>
          <w:sz w:val="21"/>
          <w:szCs w:val="21"/>
          <w:color w:val="auto"/>
        </w:rPr>
        <w:t>Australian Dollar Borrowing Base, (ii) the Dollar Equivalent of the Canadian Dollar Borrowing Base, (iii) the Dollar Equivalent of the Euro Borrowing Base, and (iv) the Dollar Equivalent of the Pounds Sterling Borrowing Base.</w:t>
      </w:r>
    </w:p>
    <w:p>
      <w:pPr>
        <w:spacing w:after="0" w:line="277"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“Aggregate Funded Spread” </w:t>
      </w:r>
      <w:r>
        <w:rPr>
          <w:rFonts w:ascii="Arial" w:cs="Arial" w:eastAsia="Arial" w:hAnsi="Arial"/>
          <w:sz w:val="22"/>
          <w:szCs w:val="22"/>
          <w:color w:val="auto"/>
        </w:rPr>
        <w:t>means, as of any date, the sum of:</w:t>
      </w:r>
    </w:p>
    <w:p>
      <w:pPr>
        <w:spacing w:after="0" w:line="314" w:lineRule="exact"/>
        <w:rPr>
          <w:sz w:val="20"/>
          <w:szCs w:val="20"/>
          <w:color w:val="auto"/>
        </w:rPr>
      </w:pPr>
    </w:p>
    <w:p>
      <w:pPr>
        <w:jc w:val="both"/>
        <w:ind w:left="800" w:firstLine="725"/>
        <w:spacing w:after="0" w:line="252" w:lineRule="auto"/>
        <w:tabs>
          <w:tab w:leader="none" w:pos="2231"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Arial" w:cs="Arial" w:eastAsia="Arial" w:hAnsi="Arial"/>
          <w:sz w:val="21"/>
          <w:szCs w:val="21"/>
          <w:i w:val="1"/>
          <w:iCs w:val="1"/>
          <w:color w:val="auto"/>
        </w:rPr>
        <w:t>over</w:t>
      </w:r>
      <w:r>
        <w:rPr>
          <w:rFonts w:ascii="Arial" w:cs="Arial" w:eastAsia="Arial" w:hAnsi="Arial"/>
          <w:sz w:val="21"/>
          <w:szCs w:val="21"/>
          <w:color w:val="auto"/>
        </w:rPr>
        <w:t xml:space="preserve"> Specified LIBOR as then in effect (which spread or excess may be expressed as a negative percentage)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(ii) the Principal Balance of such Collateral Loan; and</w:t>
      </w:r>
    </w:p>
    <w:p>
      <w:pPr>
        <w:spacing w:after="0" w:line="281" w:lineRule="exact"/>
        <w:rPr>
          <w:rFonts w:ascii="Arial" w:cs="Arial" w:eastAsia="Arial" w:hAnsi="Arial"/>
          <w:sz w:val="21"/>
          <w:szCs w:val="21"/>
          <w:color w:val="auto"/>
        </w:rPr>
      </w:pPr>
    </w:p>
    <w:p>
      <w:pPr>
        <w:jc w:val="both"/>
        <w:ind w:left="800" w:firstLine="725"/>
        <w:spacing w:after="0" w:line="297" w:lineRule="auto"/>
        <w:tabs>
          <w:tab w:leader="none" w:pos="211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in the case of each Floor Obligation, (i) the excess of the interest rate on such Floor Obligation (including any interest rate spread) as of such date </w:t>
      </w:r>
      <w:r>
        <w:rPr>
          <w:rFonts w:ascii="Arial" w:cs="Arial" w:eastAsia="Arial" w:hAnsi="Arial"/>
          <w:sz w:val="19"/>
          <w:szCs w:val="19"/>
          <w:i w:val="1"/>
          <w:iCs w:val="1"/>
          <w:color w:val="auto"/>
        </w:rPr>
        <w:t>over</w:t>
      </w:r>
      <w:r>
        <w:rPr>
          <w:rFonts w:ascii="Arial" w:cs="Arial" w:eastAsia="Arial" w:hAnsi="Arial"/>
          <w:sz w:val="19"/>
          <w:szCs w:val="19"/>
          <w:color w:val="auto"/>
        </w:rPr>
        <w:t xml:space="preserve"> Specified LIBOR as then in effect (which spread or excess may be expressed as a negative percentage)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the Principal Balance of each such Collateral Loan.</w:t>
      </w:r>
    </w:p>
    <w:p>
      <w:pPr>
        <w:spacing w:after="0" w:line="242"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“Aggregate Principal Balance” </w:t>
      </w:r>
      <w:r>
        <w:rPr>
          <w:rFonts w:ascii="Arial" w:cs="Arial" w:eastAsia="Arial" w:hAnsi="Arial"/>
          <w:sz w:val="22"/>
          <w:szCs w:val="22"/>
          <w:color w:val="auto"/>
        </w:rPr>
        <w:t>means, when used with respect to all or a portion of the Collateral Loans, the sum of the</w:t>
      </w:r>
      <w:r>
        <w:rPr>
          <w:rFonts w:ascii="Arial" w:cs="Arial" w:eastAsia="Arial" w:hAnsi="Arial"/>
          <w:sz w:val="22"/>
          <w:szCs w:val="22"/>
          <w:i w:val="1"/>
          <w:iCs w:val="1"/>
          <w:color w:val="auto"/>
        </w:rPr>
        <w:t xml:space="preserve"> </w:t>
      </w:r>
      <w:r>
        <w:rPr>
          <w:rFonts w:ascii="Arial" w:cs="Arial" w:eastAsia="Arial" w:hAnsi="Arial"/>
          <w:sz w:val="22"/>
          <w:szCs w:val="22"/>
          <w:color w:val="auto"/>
        </w:rPr>
        <w:t>Principal Balances of all or of such portion of such Collateral Loans.</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“Aggregate Unfunded Spread” </w:t>
      </w:r>
      <w:r>
        <w:rPr>
          <w:rFonts w:ascii="Arial" w:cs="Arial" w:eastAsia="Arial" w:hAnsi="Arial"/>
          <w:sz w:val="22"/>
          <w:szCs w:val="22"/>
          <w:color w:val="auto"/>
        </w:rPr>
        <w:t>means, as of any date, the sum of the products obtained by multiplying (a) for each</w:t>
      </w:r>
      <w:r>
        <w:rPr>
          <w:rFonts w:ascii="Arial" w:cs="Arial" w:eastAsia="Arial" w:hAnsi="Arial"/>
          <w:sz w:val="22"/>
          <w:szCs w:val="22"/>
          <w:i w:val="1"/>
          <w:iCs w:val="1"/>
          <w:color w:val="auto"/>
        </w:rPr>
        <w:t xml:space="preserve"> </w:t>
      </w:r>
      <w:r>
        <w:rPr>
          <w:rFonts w:ascii="Arial" w:cs="Arial" w:eastAsia="Arial" w:hAnsi="Arial"/>
          <w:sz w:val="22"/>
          <w:szCs w:val="22"/>
          <w:color w:val="auto"/>
        </w:rPr>
        <w:t>Delayed Drawdown Collateral 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267" w:right="339" w:bottom="1440" w:gutter="0" w:footer="0" w:header="0"/>
        </w:sectPr>
      </w:pPr>
    </w:p>
    <w:bookmarkStart w:id="45" w:name="page46"/>
    <w:bookmarkEnd w:id="45"/>
    <w:p>
      <w:pPr>
        <w:ind w:left="800"/>
        <w:spacing w:after="0"/>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“Agreed Foreign Currency” </w:t>
      </w:r>
      <w:r>
        <w:rPr>
          <w:rFonts w:ascii="Arial" w:cs="Arial" w:eastAsia="Arial" w:hAnsi="Arial"/>
          <w:sz w:val="21"/>
          <w:szCs w:val="21"/>
          <w:color w:val="auto"/>
        </w:rPr>
        <w:t>means, at any time, any of Canadian Dollars, Pounds Sterling, Euros, and Australian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Dollars.</w:t>
      </w:r>
    </w:p>
    <w:p>
      <w:pPr>
        <w:spacing w:after="0" w:line="296"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Third Amended and Restated Revolving Credit and Security Agreement, as amended, restated,</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supplemented or otherwise modified from time to time.</w:t>
      </w:r>
    </w:p>
    <w:p>
      <w:pPr>
        <w:spacing w:after="0" w:line="283"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i w:val="1"/>
          <w:iCs w:val="1"/>
          <w:color w:val="auto"/>
        </w:rPr>
        <w:t xml:space="preserve">“Alternative Rate” </w:t>
      </w:r>
      <w:r>
        <w:rPr>
          <w:rFonts w:ascii="Arial" w:cs="Arial" w:eastAsia="Arial" w:hAnsi="Arial"/>
          <w:sz w:val="21"/>
          <w:szCs w:val="21"/>
          <w:color w:val="auto"/>
        </w:rPr>
        <w:t>means an interest rate</w:t>
      </w:r>
      <w:r>
        <w:rPr>
          <w:rFonts w:ascii="Arial" w:cs="Arial" w:eastAsia="Arial" w:hAnsi="Arial"/>
          <w:sz w:val="21"/>
          <w:szCs w:val="21"/>
          <w:i w:val="1"/>
          <w:iCs w:val="1"/>
          <w:color w:val="auto"/>
        </w:rPr>
        <w:t xml:space="preserve"> per annum </w:t>
      </w:r>
      <w:r>
        <w:rPr>
          <w:rFonts w:ascii="Arial" w:cs="Arial" w:eastAsia="Arial" w:hAnsi="Arial"/>
          <w:sz w:val="21"/>
          <w:szCs w:val="21"/>
          <w:color w:val="auto"/>
        </w:rPr>
        <w:t>equal to (i) if a Eurodollar Disruption Event has occurred and is</w:t>
      </w:r>
      <w:r>
        <w:rPr>
          <w:rFonts w:ascii="Arial" w:cs="Arial" w:eastAsia="Arial" w:hAnsi="Arial"/>
          <w:sz w:val="21"/>
          <w:szCs w:val="21"/>
          <w:i w:val="1"/>
          <w:iCs w:val="1"/>
          <w:color w:val="auto"/>
        </w:rPr>
        <w:t xml:space="preserve"> </w:t>
      </w:r>
      <w:r>
        <w:rPr>
          <w:rFonts w:ascii="Arial" w:cs="Arial" w:eastAsia="Arial" w:hAnsi="Arial"/>
          <w:sz w:val="21"/>
          <w:szCs w:val="21"/>
          <w:color w:val="auto"/>
        </w:rPr>
        <w:t>continuing or an Event of Default has occurred and is continuing (and has not otherwise been waived by the Lenders pursuant to the terms hereof), the Base Rate, or (ii) in all other cases, the Adjusted LIBOR Rate.</w:t>
      </w:r>
    </w:p>
    <w:p>
      <w:pPr>
        <w:spacing w:after="0" w:line="27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Amended and Restated Agreement</w:t>
      </w:r>
      <w:r>
        <w:rPr>
          <w:rFonts w:ascii="Arial" w:cs="Arial" w:eastAsia="Arial" w:hAnsi="Arial"/>
          <w:sz w:val="19"/>
          <w:szCs w:val="19"/>
          <w:color w:val="auto"/>
        </w:rPr>
        <w:t>” has the meaning assigned to such term in the introduction to this Agreement.</w:t>
      </w:r>
    </w:p>
    <w:p>
      <w:pPr>
        <w:spacing w:after="0" w:line="349"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“Applicable Law” </w:t>
      </w:r>
      <w:r>
        <w:rPr>
          <w:rFonts w:ascii="Arial" w:cs="Arial" w:eastAsia="Arial" w:hAnsi="Arial"/>
          <w:sz w:val="22"/>
          <w:szCs w:val="22"/>
          <w:color w:val="auto"/>
        </w:rPr>
        <w:t>means any Law of any Governmental Authority, including all Federal and state banking or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laws, to which the Person in question is subject or by which it or any of its assets or properties are bound.</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“Applicable Margin” </w:t>
      </w:r>
      <w:r>
        <w:rPr>
          <w:rFonts w:ascii="Arial" w:cs="Arial" w:eastAsia="Arial" w:hAnsi="Arial"/>
          <w:sz w:val="22"/>
          <w:szCs w:val="22"/>
          <w:color w:val="auto"/>
        </w:rPr>
        <w:t>has the meaning assigned to such term in the Lender Fee Letter.</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“Appraisal” </w:t>
      </w:r>
      <w:r>
        <w:rPr>
          <w:rFonts w:ascii="Arial" w:cs="Arial" w:eastAsia="Arial" w:hAnsi="Arial"/>
          <w:sz w:val="22"/>
          <w:szCs w:val="22"/>
          <w:color w:val="auto"/>
        </w:rPr>
        <w:t>means:</w:t>
      </w:r>
    </w:p>
    <w:p>
      <w:pPr>
        <w:spacing w:after="0" w:line="314" w:lineRule="exact"/>
        <w:rPr>
          <w:sz w:val="20"/>
          <w:szCs w:val="20"/>
          <w:color w:val="auto"/>
        </w:rPr>
      </w:pPr>
    </w:p>
    <w:p>
      <w:pPr>
        <w:jc w:val="both"/>
        <w:ind w:left="800" w:firstLine="725"/>
        <w:spacing w:after="0" w:line="282" w:lineRule="auto"/>
        <w:tabs>
          <w:tab w:leader="none" w:pos="2334" w:val="left"/>
        </w:tabs>
        <w:numPr>
          <w:ilvl w:val="0"/>
          <w:numId w:val="18"/>
        </w:numPr>
        <w:rPr>
          <w:rFonts w:ascii="Arial" w:cs="Arial" w:eastAsia="Arial" w:hAnsi="Arial"/>
          <w:sz w:val="19"/>
          <w:szCs w:val="19"/>
          <w:color w:val="auto"/>
        </w:rPr>
      </w:pPr>
      <w:r>
        <w:rPr>
          <w:rFonts w:ascii="Arial" w:cs="Arial" w:eastAsia="Arial" w:hAnsi="Arial"/>
          <w:sz w:val="19"/>
          <w:szCs w:val="19"/>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arm’s-length basis), which may be in the form of an update or reaffirmation by an Approved Appraisal Firm of an Appraisal of such Defaulted Collateral Loan previously performed by an Approved Appraisal Firm; and</w:t>
      </w:r>
    </w:p>
    <w:p>
      <w:pPr>
        <w:spacing w:after="0" w:line="255" w:lineRule="exact"/>
        <w:rPr>
          <w:rFonts w:ascii="Arial" w:cs="Arial" w:eastAsia="Arial" w:hAnsi="Arial"/>
          <w:sz w:val="19"/>
          <w:szCs w:val="19"/>
          <w:color w:val="auto"/>
        </w:rPr>
      </w:pPr>
    </w:p>
    <w:p>
      <w:pPr>
        <w:jc w:val="both"/>
        <w:ind w:left="800" w:firstLine="725"/>
        <w:spacing w:after="0" w:line="238" w:lineRule="auto"/>
        <w:tabs>
          <w:tab w:leader="none" w:pos="2315"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293"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9"/>
          <w:szCs w:val="19"/>
          <w:i w:val="1"/>
          <w:iCs w:val="1"/>
          <w:color w:val="auto"/>
        </w:rPr>
        <w:t xml:space="preserve">“Approved Appraisal Firm” </w:t>
      </w:r>
      <w:r>
        <w:rPr>
          <w:rFonts w:ascii="Arial" w:cs="Arial" w:eastAsia="Arial" w:hAnsi="Arial"/>
          <w:sz w:val="19"/>
          <w:szCs w:val="19"/>
          <w:color w:val="auto"/>
        </w:rPr>
        <w:t>means (a) an independent appraisal firm recognized as being experienced in conducting</w:t>
      </w:r>
      <w:r>
        <w:rPr>
          <w:rFonts w:ascii="Arial" w:cs="Arial" w:eastAsia="Arial" w:hAnsi="Arial"/>
          <w:sz w:val="19"/>
          <w:szCs w:val="19"/>
          <w:i w:val="1"/>
          <w:iCs w:val="1"/>
          <w:color w:val="auto"/>
        </w:rPr>
        <w:t xml:space="preserve"> </w:t>
      </w:r>
      <w:r>
        <w:rPr>
          <w:rFonts w:ascii="Arial" w:cs="Arial" w:eastAsia="Arial" w:hAnsi="Arial"/>
          <w:sz w:val="19"/>
          <w:szCs w:val="19"/>
          <w:color w:val="auto"/>
        </w:rPr>
        <w:t>valuations of secured loans or (b) an independent financial adviser of recognized standing retained by the Borrower, the Collateral Manager or the agent or lenders under any Collateral Loan, in each case as consented to by the Administrative Agent.</w:t>
      </w:r>
    </w:p>
    <w:p>
      <w:pPr>
        <w:spacing w:after="0" w:line="242"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9"/>
          <w:szCs w:val="19"/>
          <w:i w:val="1"/>
          <w:iCs w:val="1"/>
          <w:color w:val="auto"/>
        </w:rPr>
        <w:t xml:space="preserve">“Approved Dealer” </w:t>
      </w:r>
      <w:r>
        <w:rPr>
          <w:rFonts w:ascii="Arial" w:cs="Arial" w:eastAsia="Arial" w:hAnsi="Arial"/>
          <w:sz w:val="19"/>
          <w:szCs w:val="19"/>
          <w:color w:val="auto"/>
        </w:rPr>
        <w:t>means (a) in the case of any Single Covenant Obligation, a bank or a broker-dealer registered under</w:t>
      </w:r>
      <w:r>
        <w:rPr>
          <w:rFonts w:ascii="Arial" w:cs="Arial" w:eastAsia="Arial" w:hAnsi="Arial"/>
          <w:sz w:val="19"/>
          <w:szCs w:val="19"/>
          <w:i w:val="1"/>
          <w:iCs w:val="1"/>
          <w:color w:val="auto"/>
        </w:rPr>
        <w:t xml:space="preserve"> </w:t>
      </w:r>
      <w:r>
        <w:rPr>
          <w:rFonts w:ascii="Arial" w:cs="Arial" w:eastAsia="Arial" w:hAnsi="Arial"/>
          <w:sz w:val="19"/>
          <w:szCs w:val="19"/>
          <w:color w:val="auto"/>
        </w:rPr>
        <w:t>the Securities Exchange Act of 1934 of nationally recognized standing or an Affiliate thereof, and (b) in the case of any foreign Single Covenant Obligation, any foreign broker-dealer of internationally recognized standing or an Affiliate thereof.</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267" w:right="339" w:bottom="1440" w:gutter="0" w:footer="0" w:header="0"/>
        </w:sectPr>
      </w:pPr>
    </w:p>
    <w:bookmarkStart w:id="46" w:name="page47"/>
    <w:bookmarkEnd w:id="46"/>
    <w:p>
      <w:pPr>
        <w:jc w:val="both"/>
        <w:ind w:firstLine="786"/>
        <w:spacing w:after="0" w:line="273"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“Assigned Value” </w:t>
      </w:r>
      <w:r>
        <w:rPr>
          <w:rFonts w:ascii="Arial" w:cs="Arial" w:eastAsia="Arial" w:hAnsi="Arial"/>
          <w:sz w:val="19"/>
          <w:szCs w:val="19"/>
          <w:color w:val="auto"/>
        </w:rPr>
        <w:t>means, for any Collateral Loan as of any date of determination, the Dollar Equivalent of the value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Collateral Loan as reflected on the books and records of the Collateral Manager on such date of determination, subject to a maximum Assigned Value of the lesser of (i) 100% of the Dollar Equivalent of such Collateral Loan’s Principal Balance and</w:t>
      </w:r>
    </w:p>
    <w:p>
      <w:pPr>
        <w:spacing w:after="0" w:line="1" w:lineRule="exact"/>
        <w:rPr>
          <w:sz w:val="20"/>
          <w:szCs w:val="20"/>
          <w:color w:val="auto"/>
        </w:rPr>
      </w:pPr>
    </w:p>
    <w:p>
      <w:pPr>
        <w:jc w:val="both"/>
        <w:ind w:firstLine="8"/>
        <w:spacing w:after="0" w:line="231" w:lineRule="auto"/>
        <w:tabs>
          <w:tab w:leader="none" w:pos="339"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the Dollar Equivalent of the purchase price initially paid by the BDC or the Borrower for such Collateral Loan,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however, </w:t>
      </w:r>
      <w:r>
        <w:rPr>
          <w:rFonts w:ascii="Arial" w:cs="Arial" w:eastAsia="Arial" w:hAnsi="Arial"/>
          <w:sz w:val="22"/>
          <w:szCs w:val="22"/>
          <w:color w:val="auto"/>
        </w:rPr>
        <w:t>that at any time following an Assigned Value Adjustment Event, the Assigned Value may be determined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Administrative Agent acting in its reasonable discretion,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the Assigned Value of any Collateral Loan shall not be less than the Dollar Equivalent of the lowest price quoted by a nationally recognized service selected by the Administrative Agent. In the event the Borrower disputes any Assigned Value which has been determined by the Administrative Agent, the Borrower may, at the Borrower’s expense, retain a nationally recognized valuation firm to value such Collateral Loan and if such nationally recognized valuation firm’s Assigned Value is higher than the Assigned Value determined by the Administrative Agent, such nationally recognized valuation firm’s Assigned Value shall be the Assigned Value with respect to such Collateral Loan.</w:t>
      </w:r>
    </w:p>
    <w:p>
      <w:pPr>
        <w:spacing w:after="0" w:line="302"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“Assigned Value Adjustment Event” </w:t>
      </w:r>
      <w:r>
        <w:rPr>
          <w:rFonts w:ascii="Arial" w:cs="Arial" w:eastAsia="Arial" w:hAnsi="Arial"/>
          <w:sz w:val="22"/>
          <w:szCs w:val="22"/>
          <w:color w:val="auto"/>
        </w:rPr>
        <w:t>means, for any Collateral Loan, the occurrence of any of the following:</w:t>
      </w:r>
    </w:p>
    <w:p>
      <w:pPr>
        <w:spacing w:after="0" w:line="314" w:lineRule="exact"/>
        <w:rPr>
          <w:sz w:val="20"/>
          <w:szCs w:val="20"/>
          <w:color w:val="auto"/>
        </w:rPr>
      </w:pPr>
    </w:p>
    <w:p>
      <w:pPr>
        <w:ind w:left="800" w:firstLine="725"/>
        <w:spacing w:after="0" w:line="250" w:lineRule="auto"/>
        <w:tabs>
          <w:tab w:leader="none" w:pos="2133"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 Obligor payment default on such Collateral Loan past any applicable cure periods provided under the applicable loan documents;</w:t>
      </w:r>
    </w:p>
    <w:p>
      <w:pPr>
        <w:spacing w:after="0" w:line="282" w:lineRule="exact"/>
        <w:rPr>
          <w:rFonts w:ascii="Arial" w:cs="Arial" w:eastAsia="Arial" w:hAnsi="Arial"/>
          <w:sz w:val="22"/>
          <w:szCs w:val="22"/>
          <w:color w:val="auto"/>
        </w:rPr>
      </w:pPr>
    </w:p>
    <w:p>
      <w:pPr>
        <w:jc w:val="both"/>
        <w:ind w:left="800" w:right="20" w:firstLine="725"/>
        <w:spacing w:after="0" w:line="257" w:lineRule="auto"/>
        <w:tabs>
          <w:tab w:leader="none" w:pos="2427" w:val="left"/>
        </w:tabs>
        <w:numPr>
          <w:ilvl w:val="0"/>
          <w:numId w:val="20"/>
        </w:numPr>
        <w:rPr>
          <w:rFonts w:ascii="Arial" w:cs="Arial" w:eastAsia="Arial" w:hAnsi="Arial"/>
          <w:sz w:val="21"/>
          <w:szCs w:val="21"/>
          <w:color w:val="auto"/>
        </w:rPr>
      </w:pPr>
      <w:r>
        <w:rPr>
          <w:rFonts w:ascii="Arial" w:cs="Arial" w:eastAsia="Arial" w:hAnsi="Arial"/>
          <w:sz w:val="21"/>
          <w:szCs w:val="21"/>
          <w:color w:val="auto"/>
        </w:rPr>
        <w:t>any default has occurred with respect to such Collateral Loan for which the Borrower (or the Administrative Agent or Required Lenders pursuant the Related Documents, as applicable) has elected to exercise any of its rights and remedies under the Related Documents or any other applicable loan documents;</w:t>
      </w:r>
    </w:p>
    <w:p>
      <w:pPr>
        <w:spacing w:after="0" w:line="277" w:lineRule="exact"/>
        <w:rPr>
          <w:rFonts w:ascii="Arial" w:cs="Arial" w:eastAsia="Arial" w:hAnsi="Arial"/>
          <w:sz w:val="21"/>
          <w:szCs w:val="21"/>
          <w:color w:val="auto"/>
        </w:rPr>
      </w:pPr>
    </w:p>
    <w:p>
      <w:pPr>
        <w:ind w:left="2080" w:hanging="555"/>
        <w:spacing w:after="0"/>
        <w:tabs>
          <w:tab w:leader="none" w:pos="2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Borrower enters into a Material Modification with respect to such Collateral Loan; or</w:t>
      </w:r>
    </w:p>
    <w:p>
      <w:pPr>
        <w:spacing w:after="0" w:line="314" w:lineRule="exact"/>
        <w:rPr>
          <w:rFonts w:ascii="Arial" w:cs="Arial" w:eastAsia="Arial" w:hAnsi="Arial"/>
          <w:sz w:val="22"/>
          <w:szCs w:val="22"/>
          <w:color w:val="auto"/>
        </w:rPr>
      </w:pPr>
    </w:p>
    <w:p>
      <w:pPr>
        <w:ind w:left="2100" w:hanging="575"/>
        <w:spacing w:after="0"/>
        <w:tabs>
          <w:tab w:leader="none" w:pos="21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 Insolvency Event occurs with respect to the Obligor of such Collateral Loan.</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“Assignment and Acceptance” </w:t>
      </w:r>
      <w:r>
        <w:rPr>
          <w:rFonts w:ascii="Arial" w:cs="Arial" w:eastAsia="Arial" w:hAnsi="Arial"/>
          <w:sz w:val="22"/>
          <w:szCs w:val="22"/>
          <w:color w:val="auto"/>
        </w:rPr>
        <w:t>means an Assignment and Acceptance in substantially the form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 D</w:t>
      </w:r>
      <w:r>
        <w:rPr>
          <w:rFonts w:ascii="Arial" w:cs="Arial" w:eastAsia="Arial" w:hAnsi="Arial"/>
          <w:sz w:val="22"/>
          <w:szCs w:val="22"/>
          <w:i w:val="1"/>
          <w:iCs w:val="1"/>
          <w:color w:val="auto"/>
        </w:rPr>
        <w:t xml:space="preserve"> </w:t>
      </w:r>
      <w:r>
        <w:rPr>
          <w:rFonts w:ascii="Arial" w:cs="Arial" w:eastAsia="Arial" w:hAnsi="Arial"/>
          <w:sz w:val="22"/>
          <w:szCs w:val="22"/>
          <w:color w:val="auto"/>
        </w:rPr>
        <w:t>hereto,</w:t>
      </w:r>
      <w:r>
        <w:rPr>
          <w:rFonts w:ascii="Arial" w:cs="Arial" w:eastAsia="Arial" w:hAnsi="Arial"/>
          <w:sz w:val="22"/>
          <w:szCs w:val="22"/>
          <w:i w:val="1"/>
          <w:iCs w:val="1"/>
          <w:color w:val="auto"/>
        </w:rPr>
        <w:t xml:space="preserve"> </w:t>
      </w:r>
      <w:r>
        <w:rPr>
          <w:rFonts w:ascii="Arial" w:cs="Arial" w:eastAsia="Arial" w:hAnsi="Arial"/>
          <w:sz w:val="22"/>
          <w:szCs w:val="22"/>
          <w:color w:val="auto"/>
        </w:rPr>
        <w:t>entered into by a Lender, an assignee, the Administrative Agent and, if applicable, the Borrower.</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“AUS”</w:t>
      </w:r>
      <w:r>
        <w:rPr>
          <w:rFonts w:ascii="Arial" w:cs="Arial" w:eastAsia="Arial" w:hAnsi="Arial"/>
          <w:sz w:val="22"/>
          <w:szCs w:val="22"/>
          <w:color w:val="auto"/>
        </w:rPr>
        <w:t>,</w:t>
      </w:r>
      <w:r>
        <w:rPr>
          <w:rFonts w:ascii="Arial" w:cs="Arial" w:eastAsia="Arial" w:hAnsi="Arial"/>
          <w:sz w:val="22"/>
          <w:szCs w:val="22"/>
          <w:i w:val="1"/>
          <w:iCs w:val="1"/>
          <w:color w:val="auto"/>
        </w:rPr>
        <w:t xml:space="preserve"> “AUS$” </w:t>
      </w:r>
      <w:r>
        <w:rPr>
          <w:rFonts w:ascii="Arial" w:cs="Arial" w:eastAsia="Arial" w:hAnsi="Arial"/>
          <w:sz w:val="22"/>
          <w:szCs w:val="22"/>
          <w:color w:val="auto"/>
        </w:rPr>
        <w:t>or</w:t>
      </w:r>
      <w:r>
        <w:rPr>
          <w:rFonts w:ascii="Arial" w:cs="Arial" w:eastAsia="Arial" w:hAnsi="Arial"/>
          <w:sz w:val="22"/>
          <w:szCs w:val="22"/>
          <w:i w:val="1"/>
          <w:iCs w:val="1"/>
          <w:color w:val="auto"/>
        </w:rPr>
        <w:t xml:space="preserve"> “Australian Dollar” </w:t>
      </w:r>
      <w:r>
        <w:rPr>
          <w:rFonts w:ascii="Arial" w:cs="Arial" w:eastAsia="Arial" w:hAnsi="Arial"/>
          <w:sz w:val="22"/>
          <w:szCs w:val="22"/>
          <w:color w:val="auto"/>
        </w:rPr>
        <w:t>means lawful money of the Commonwealth of Australia.</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“Australian Dollars Borrowing Base” </w:t>
      </w:r>
      <w:r>
        <w:rPr>
          <w:rFonts w:ascii="Arial" w:cs="Arial" w:eastAsia="Arial" w:hAnsi="Arial"/>
          <w:sz w:val="22"/>
          <w:szCs w:val="22"/>
          <w:color w:val="auto"/>
        </w:rPr>
        <w:t>means an amount, calculated in Australian Dollars, equal to (a) the portion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Borrowing Base that is allocable to Collateral Loans that are denominated in Australian Dollars,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aggregate amount of Australian Dollars then on deposit in the applicable Principal Collection Subaccount.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267" w:right="339" w:bottom="1440" w:gutter="0" w:footer="0" w:header="0"/>
        </w:sectPr>
      </w:pPr>
    </w:p>
    <w:bookmarkStart w:id="47" w:name="page48"/>
    <w:bookmarkEnd w:id="47"/>
    <w:p>
      <w:pPr>
        <w:jc w:val="both"/>
        <w:ind w:firstLine="786"/>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“Australian Dollars Borrowing Base Test” </w:t>
      </w:r>
      <w:r>
        <w:rPr>
          <w:rFonts w:ascii="Arial" w:cs="Arial" w:eastAsia="Arial" w:hAnsi="Arial"/>
          <w:sz w:val="22"/>
          <w:szCs w:val="22"/>
          <w:color w:val="auto"/>
        </w:rPr>
        <w:t>means a test that will be satisfied at any time that (i) the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outstanding principal balance of Advances denominated in Australian Dollars is less than or equal to (ii) the Australian Dollars Borrowing Base.</w:t>
      </w:r>
    </w:p>
    <w:p>
      <w:pPr>
        <w:spacing w:after="0" w:line="294" w:lineRule="exact"/>
        <w:rPr>
          <w:sz w:val="20"/>
          <w:szCs w:val="20"/>
          <w:color w:val="auto"/>
        </w:rPr>
      </w:pPr>
    </w:p>
    <w:p>
      <w:pPr>
        <w:jc w:val="both"/>
        <w:ind w:firstLine="786"/>
        <w:spacing w:after="0" w:line="287" w:lineRule="auto"/>
        <w:rPr>
          <w:sz w:val="20"/>
          <w:szCs w:val="20"/>
          <w:color w:val="auto"/>
        </w:rPr>
      </w:pPr>
      <w:r>
        <w:rPr>
          <w:rFonts w:ascii="Arial" w:cs="Arial" w:eastAsia="Arial" w:hAnsi="Arial"/>
          <w:sz w:val="19"/>
          <w:szCs w:val="19"/>
          <w:i w:val="1"/>
          <w:iCs w:val="1"/>
          <w:color w:val="auto"/>
        </w:rPr>
        <w:t xml:space="preserve">“Australian Dollar Variability Reserve” </w:t>
      </w:r>
      <w:r>
        <w:rPr>
          <w:rFonts w:ascii="Arial" w:cs="Arial" w:eastAsia="Arial" w:hAnsi="Arial"/>
          <w:sz w:val="19"/>
          <w:szCs w:val="19"/>
          <w:color w:val="auto"/>
        </w:rPr>
        <w:t>means, the sum, for each Collateral Loan in the Australian Dollars Borrowing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Base, of an amount equal to the following: (i) the Dollar Equivalent of the Principal Balance of such Collateral Loan as of such date,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 (a percentage equal to 100.00%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Maximum Advance Rate)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(iii) the applicable Currency Variability Factor </w:t>
      </w:r>
      <w:r>
        <w:rPr>
          <w:rFonts w:ascii="Arial" w:cs="Arial" w:eastAsia="Arial" w:hAnsi="Arial"/>
          <w:sz w:val="19"/>
          <w:szCs w:val="19"/>
          <w:i w:val="1"/>
          <w:iCs w:val="1"/>
          <w:color w:val="auto"/>
        </w:rPr>
        <w:t>times</w:t>
      </w:r>
      <w:r>
        <w:rPr>
          <w:rFonts w:ascii="Arial" w:cs="Arial" w:eastAsia="Arial" w:hAnsi="Arial"/>
          <w:sz w:val="19"/>
          <w:szCs w:val="19"/>
          <w:color w:val="auto"/>
        </w:rPr>
        <w:t xml:space="preserve"> (iv) the applicable Foreign Currency Collateral Loan Percentage for such Collateral Loan.</w:t>
      </w:r>
    </w:p>
    <w:p>
      <w:pPr>
        <w:spacing w:after="0" w:line="251"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“Backup Collateral Manager” </w:t>
      </w:r>
      <w:r>
        <w:rPr>
          <w:rFonts w:ascii="Arial" w:cs="Arial" w:eastAsia="Arial" w:hAnsi="Arial"/>
          <w:sz w:val="22"/>
          <w:szCs w:val="22"/>
          <w:color w:val="auto"/>
        </w:rPr>
        <w:t>means U.S. Bank National Association, a national banking association, and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thereto appointed under this Agreement.</w:t>
      </w:r>
    </w:p>
    <w:p>
      <w:pPr>
        <w:spacing w:after="0" w:line="283"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i w:val="1"/>
          <w:iCs w:val="1"/>
          <w:color w:val="auto"/>
        </w:rPr>
        <w:t xml:space="preserve">“Backup Collateral Manager Fee Letter” </w:t>
      </w:r>
      <w:r>
        <w:rPr>
          <w:rFonts w:ascii="Arial" w:cs="Arial" w:eastAsia="Arial" w:hAnsi="Arial"/>
          <w:sz w:val="21"/>
          <w:szCs w:val="21"/>
          <w:color w:val="auto"/>
        </w:rPr>
        <w:t>means the Collateral Agent Fee Letter, setting forth the fees payable by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among other parties, to the Backup Collateral Manager in connection with the transactions contemplated by this Agreement, as the same may be amended or amended and restated from time to time.</w:t>
      </w:r>
    </w:p>
    <w:p>
      <w:pPr>
        <w:spacing w:after="0" w:line="27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Backup Collateral Manager Indemnified Amounts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13.04</w:t>
      </w:r>
      <w:r>
        <w:rPr>
          <w:rFonts w:ascii="Arial" w:cs="Arial" w:eastAsia="Arial" w:hAnsi="Arial"/>
          <w:sz w:val="22"/>
          <w:szCs w:val="22"/>
          <w:color w:val="auto"/>
        </w:rPr>
        <w:t xml:space="preserve"> hereof.</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“Bankruptcy Code” </w:t>
      </w:r>
      <w:r>
        <w:rPr>
          <w:rFonts w:ascii="Arial" w:cs="Arial" w:eastAsia="Arial" w:hAnsi="Arial"/>
          <w:sz w:val="22"/>
          <w:szCs w:val="22"/>
          <w:color w:val="auto"/>
        </w:rPr>
        <w:t>means the United States Bankruptcy Code, as amended.</w:t>
      </w:r>
    </w:p>
    <w:p>
      <w:pPr>
        <w:spacing w:after="0" w:line="314" w:lineRule="exact"/>
        <w:rPr>
          <w:sz w:val="20"/>
          <w:szCs w:val="20"/>
          <w:color w:val="auto"/>
        </w:rPr>
      </w:pPr>
    </w:p>
    <w:p>
      <w:pPr>
        <w:jc w:val="both"/>
        <w:ind w:firstLine="786"/>
        <w:spacing w:after="0" w:line="279" w:lineRule="auto"/>
        <w:rPr>
          <w:sz w:val="20"/>
          <w:szCs w:val="20"/>
          <w:color w:val="auto"/>
        </w:rPr>
      </w:pPr>
      <w:r>
        <w:rPr>
          <w:rFonts w:ascii="Arial" w:cs="Arial" w:eastAsia="Arial" w:hAnsi="Arial"/>
          <w:sz w:val="19"/>
          <w:szCs w:val="19"/>
          <w:i w:val="1"/>
          <w:iCs w:val="1"/>
          <w:color w:val="auto"/>
        </w:rPr>
        <w:t xml:space="preserve">“Base Rate” </w:t>
      </w:r>
      <w:r>
        <w:rPr>
          <w:rFonts w:ascii="Arial" w:cs="Arial" w:eastAsia="Arial" w:hAnsi="Arial"/>
          <w:sz w:val="19"/>
          <w:szCs w:val="19"/>
          <w:color w:val="auto"/>
        </w:rPr>
        <w:t>means, on any date, a fluctuating interest rate</w:t>
      </w:r>
      <w:r>
        <w:rPr>
          <w:rFonts w:ascii="Arial" w:cs="Arial" w:eastAsia="Arial" w:hAnsi="Arial"/>
          <w:sz w:val="19"/>
          <w:szCs w:val="19"/>
          <w:i w:val="1"/>
          <w:iCs w:val="1"/>
          <w:color w:val="auto"/>
        </w:rPr>
        <w:t xml:space="preserve"> per annum </w:t>
      </w:r>
      <w:r>
        <w:rPr>
          <w:rFonts w:ascii="Arial" w:cs="Arial" w:eastAsia="Arial" w:hAnsi="Arial"/>
          <w:sz w:val="19"/>
          <w:szCs w:val="19"/>
          <w:color w:val="auto"/>
        </w:rPr>
        <w:t>equal to the highest of (a) the Prime Rate, (b)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Federal Funds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0.50%, and (c) the one-month LIBOR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solely to the extent an Event of Default has occurred and is continuing, 1.0%. The Base Rate is a reference rate and does not necessarily represent the lowest or best rate actually charged to any customer of any Agent or any Lender. Interest calculated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will be determined based on a year of 365 days or 366 days, as applicable, and actual days elapsed. Interest calculated pursuant to </w:t>
      </w:r>
      <w:r>
        <w:rPr>
          <w:rFonts w:ascii="Arial" w:cs="Arial" w:eastAsia="Arial" w:hAnsi="Arial"/>
          <w:sz w:val="19"/>
          <w:szCs w:val="19"/>
          <w:u w:val="single" w:color="auto"/>
          <w:color w:val="auto"/>
        </w:rPr>
        <w:t>clauses (b) and (c)</w:t>
      </w:r>
      <w:r>
        <w:rPr>
          <w:rFonts w:ascii="Arial" w:cs="Arial" w:eastAsia="Arial" w:hAnsi="Arial"/>
          <w:sz w:val="19"/>
          <w:szCs w:val="19"/>
          <w:color w:val="auto"/>
        </w:rPr>
        <w:t xml:space="preserve"> above will be determined based on a year of 360 days and actual days elapsed.</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“BDC” </w:t>
      </w:r>
      <w:r>
        <w:rPr>
          <w:rFonts w:ascii="Arial" w:cs="Arial" w:eastAsia="Arial" w:hAnsi="Arial"/>
          <w:sz w:val="22"/>
          <w:szCs w:val="22"/>
          <w:color w:val="auto"/>
        </w:rPr>
        <w:t>means PennantPark Floating Rate Capital Ltd., a Maryland corporation.</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“Borrower” </w:t>
      </w:r>
      <w:r>
        <w:rPr>
          <w:rFonts w:ascii="Arial" w:cs="Arial" w:eastAsia="Arial" w:hAnsi="Arial"/>
          <w:sz w:val="22"/>
          <w:szCs w:val="22"/>
          <w:color w:val="auto"/>
        </w:rPr>
        <w:t>has the meaning assigned to such term in the introduction to this Agreement.</w:t>
      </w:r>
    </w:p>
    <w:p>
      <w:pPr>
        <w:spacing w:after="0" w:line="314"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“Borrower LLC Agreement” </w:t>
      </w:r>
      <w:r>
        <w:rPr>
          <w:rFonts w:ascii="Arial" w:cs="Arial" w:eastAsia="Arial" w:hAnsi="Arial"/>
          <w:sz w:val="22"/>
          <w:szCs w:val="22"/>
          <w:color w:val="auto"/>
        </w:rPr>
        <w:t>means the Limited Liability Company Operating Agreement of the Borrower, dated as of</w:t>
      </w:r>
      <w:r>
        <w:rPr>
          <w:rFonts w:ascii="Arial" w:cs="Arial" w:eastAsia="Arial" w:hAnsi="Arial"/>
          <w:sz w:val="22"/>
          <w:szCs w:val="22"/>
          <w:i w:val="1"/>
          <w:iCs w:val="1"/>
          <w:color w:val="auto"/>
        </w:rPr>
        <w:t xml:space="preserve"> </w:t>
      </w:r>
      <w:r>
        <w:rPr>
          <w:rFonts w:ascii="Arial" w:cs="Arial" w:eastAsia="Arial" w:hAnsi="Arial"/>
          <w:sz w:val="22"/>
          <w:szCs w:val="22"/>
          <w:color w:val="auto"/>
        </w:rPr>
        <w:t>June 23, 2011.</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“Borrowing”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3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267" w:right="339" w:bottom="1440" w:gutter="0" w:footer="0" w:header="0"/>
        </w:sectPr>
      </w:pPr>
    </w:p>
    <w:bookmarkStart w:id="48" w:name="page49"/>
    <w:bookmarkEnd w:id="48"/>
    <w:p>
      <w:pPr>
        <w:jc w:val="both"/>
        <w:ind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“Borrowing Base” </w:t>
      </w:r>
      <w:r>
        <w:rPr>
          <w:rFonts w:ascii="Arial" w:cs="Arial" w:eastAsia="Arial" w:hAnsi="Arial"/>
          <w:sz w:val="22"/>
          <w:szCs w:val="22"/>
          <w:color w:val="auto"/>
        </w:rPr>
        <w:t>means, at any time, (a) the Aggregate Collateral Balance (calculated only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clause (a)</w:t>
      </w:r>
      <w:r>
        <w:rPr>
          <w:rFonts w:ascii="Arial" w:cs="Arial" w:eastAsia="Arial" w:hAnsi="Arial"/>
          <w:sz w:val="22"/>
          <w:szCs w:val="22"/>
          <w:i w:val="1"/>
          <w:iCs w:val="1"/>
          <w:color w:val="auto"/>
        </w:rPr>
        <w:t xml:space="preserve"> </w:t>
      </w:r>
      <w:r>
        <w:rPr>
          <w:rFonts w:ascii="Arial" w:cs="Arial" w:eastAsia="Arial" w:hAnsi="Arial"/>
          <w:sz w:val="22"/>
          <w:szCs w:val="22"/>
          <w:color w:val="auto"/>
        </w:rPr>
        <w:t>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such definition),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any Excess Concentration Amounts.</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“Borrowing Base Calculation Statement” </w:t>
      </w:r>
      <w:r>
        <w:rPr>
          <w:rFonts w:ascii="Arial" w:cs="Arial" w:eastAsia="Arial" w:hAnsi="Arial"/>
          <w:sz w:val="22"/>
          <w:szCs w:val="22"/>
          <w:color w:val="auto"/>
        </w:rPr>
        <w:t>means a statement in substantially the form attached to the form of Notice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Borrowing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“Borrowing Date” </w:t>
      </w:r>
      <w:r>
        <w:rPr>
          <w:rFonts w:ascii="Arial" w:cs="Arial" w:eastAsia="Arial" w:hAnsi="Arial"/>
          <w:sz w:val="22"/>
          <w:szCs w:val="22"/>
          <w:color w:val="auto"/>
        </w:rPr>
        <w:t>means the date of a Borrowing.</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“Broadly Syndicated Loan” </w:t>
      </w:r>
      <w:r>
        <w:rPr>
          <w:rFonts w:ascii="Arial" w:cs="Arial" w:eastAsia="Arial" w:hAnsi="Arial"/>
          <w:sz w:val="22"/>
          <w:szCs w:val="22"/>
          <w:color w:val="auto"/>
        </w:rPr>
        <w:t>means a Collateral Loan that (i) is a first lien broadly syndicated commercial loan, (ii) has</w:t>
      </w:r>
      <w:r>
        <w:rPr>
          <w:rFonts w:ascii="Arial" w:cs="Arial" w:eastAsia="Arial" w:hAnsi="Arial"/>
          <w:sz w:val="22"/>
          <w:szCs w:val="22"/>
          <w:i w:val="1"/>
          <w:iCs w:val="1"/>
          <w:color w:val="auto"/>
        </w:rPr>
        <w:t xml:space="preserve"> </w:t>
      </w:r>
      <w:r>
        <w:rPr>
          <w:rFonts w:ascii="Arial" w:cs="Arial" w:eastAsia="Arial" w:hAnsi="Arial"/>
          <w:sz w:val="22"/>
          <w:szCs w:val="22"/>
          <w:color w:val="auto"/>
        </w:rPr>
        <w:t>an original principal balance of (and unfunded commitments in respect of) of the Dollar Equivalent of $250,000,000 or greater, and (iii) has a rating of at least (a) “B-” from S&amp;P and (b) “B3” from Moody’s.</w:t>
      </w:r>
    </w:p>
    <w:p>
      <w:pPr>
        <w:spacing w:after="0" w:line="294" w:lineRule="exact"/>
        <w:rPr>
          <w:sz w:val="20"/>
          <w:szCs w:val="20"/>
          <w:color w:val="auto"/>
        </w:rPr>
      </w:pPr>
    </w:p>
    <w:p>
      <w:pPr>
        <w:jc w:val="both"/>
        <w:ind w:firstLine="786"/>
        <w:spacing w:after="0" w:line="245" w:lineRule="auto"/>
        <w:rPr>
          <w:sz w:val="20"/>
          <w:szCs w:val="20"/>
          <w:color w:val="auto"/>
        </w:rPr>
      </w:pPr>
      <w:r>
        <w:rPr>
          <w:rFonts w:ascii="Arial" w:cs="Arial" w:eastAsia="Arial" w:hAnsi="Arial"/>
          <w:sz w:val="21"/>
          <w:szCs w:val="21"/>
          <w:i w:val="1"/>
          <w:iCs w:val="1"/>
          <w:color w:val="auto"/>
        </w:rPr>
        <w:t xml:space="preserve">“Business Day” </w:t>
      </w:r>
      <w:r>
        <w:rPr>
          <w:rFonts w:ascii="Arial" w:cs="Arial" w:eastAsia="Arial" w:hAnsi="Arial"/>
          <w:sz w:val="21"/>
          <w:szCs w:val="21"/>
          <w:color w:val="auto"/>
        </w:rPr>
        <w:t>means any day other than a Saturday or Sunday,</w:t>
      </w:r>
      <w:r>
        <w:rPr>
          <w:rFonts w:ascii="Arial" w:cs="Arial" w:eastAsia="Arial" w:hAnsi="Arial"/>
          <w:sz w:val="21"/>
          <w:szCs w:val="21"/>
          <w:i w:val="1"/>
          <w:iCs w:val="1"/>
          <w:color w:val="auto"/>
        </w:rPr>
        <w:t xml:space="preserve"> provided </w:t>
      </w:r>
      <w:r>
        <w:rPr>
          <w:rFonts w:ascii="Arial" w:cs="Arial" w:eastAsia="Arial" w:hAnsi="Arial"/>
          <w:sz w:val="21"/>
          <w:szCs w:val="21"/>
          <w:color w:val="auto"/>
        </w:rPr>
        <w:t>that the following shall not constitute</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Days (i) days on which banks are authorized or required to close in New York, New York, Minneapolis, Minnesota, Florence, South Carolina, or Atlanta, Georgia, (ii) days on which the Depository Trust Company or commercial paper markets in the United States are closed, (iii) if the applicable Business Day relates to the advance or continuation of, or conversion into, or payment of an Advance denominated in Dollars bearing interest at the LIBOR Rate or the determination of the LIBOR Rate, days on which banks are dealing in Dollar deposits in the interbank eurodollar market in London, England are closed and (iv) if the applicable Business Day relates to the advance or continuation of, or conversion into, or payment of an Advance denominated in any Agreed Foreign Currency, days on which commercial banks and the London foreign exchange market settle payments in the Principal Financial Center are closed.</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“Canadian Dollars” </w:t>
      </w:r>
      <w:r>
        <w:rPr>
          <w:rFonts w:ascii="Arial" w:cs="Arial" w:eastAsia="Arial" w:hAnsi="Arial"/>
          <w:sz w:val="22"/>
          <w:szCs w:val="22"/>
          <w:color w:val="auto"/>
        </w:rPr>
        <w:t>and</w:t>
      </w:r>
      <w:r>
        <w:rPr>
          <w:rFonts w:ascii="Arial" w:cs="Arial" w:eastAsia="Arial" w:hAnsi="Arial"/>
          <w:sz w:val="22"/>
          <w:szCs w:val="22"/>
          <w:i w:val="1"/>
          <w:iCs w:val="1"/>
          <w:color w:val="auto"/>
        </w:rPr>
        <w:t xml:space="preserve"> “Cdn $” </w:t>
      </w:r>
      <w:r>
        <w:rPr>
          <w:rFonts w:ascii="Arial" w:cs="Arial" w:eastAsia="Arial" w:hAnsi="Arial"/>
          <w:sz w:val="22"/>
          <w:szCs w:val="22"/>
          <w:color w:val="auto"/>
        </w:rPr>
        <w:t>each means the lawful currency of Canada.</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“Canadian Dollars Borrowing Base” </w:t>
      </w:r>
      <w:r>
        <w:rPr>
          <w:rFonts w:ascii="Arial" w:cs="Arial" w:eastAsia="Arial" w:hAnsi="Arial"/>
          <w:sz w:val="22"/>
          <w:szCs w:val="22"/>
          <w:color w:val="auto"/>
        </w:rPr>
        <w:t>means an amount, calculated in Canadian Dollars, equal to (a) the portion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Borrowing Base that is allocable to Collateral Loans that are denominated in Canadian Dollars,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aggregate amount of Canadian Dollars then on deposit in the applicable Principal Collection Subaccount.</w:t>
      </w:r>
    </w:p>
    <w:p>
      <w:pPr>
        <w:spacing w:after="0" w:line="29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“Canadian Dollars Borrowing Base Test” </w:t>
      </w:r>
      <w:r>
        <w:rPr>
          <w:rFonts w:ascii="Arial" w:cs="Arial" w:eastAsia="Arial" w:hAnsi="Arial"/>
          <w:sz w:val="22"/>
          <w:szCs w:val="22"/>
          <w:color w:val="auto"/>
        </w:rPr>
        <w:t>means a test that will be satisfied at any time that (i) the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outstanding principal balance of Advances denominated in Canadian Dollars is less than or equal to (ii) the Canadian Dollars Borrowing Base.</w:t>
      </w:r>
    </w:p>
    <w:p>
      <w:pPr>
        <w:spacing w:after="0" w:line="294" w:lineRule="exact"/>
        <w:rPr>
          <w:sz w:val="20"/>
          <w:szCs w:val="20"/>
          <w:color w:val="auto"/>
        </w:rPr>
      </w:pPr>
    </w:p>
    <w:p>
      <w:pPr>
        <w:jc w:val="both"/>
        <w:ind w:firstLine="786"/>
        <w:spacing w:after="0" w:line="287" w:lineRule="auto"/>
        <w:rPr>
          <w:sz w:val="20"/>
          <w:szCs w:val="20"/>
          <w:color w:val="auto"/>
        </w:rPr>
      </w:pPr>
      <w:r>
        <w:rPr>
          <w:rFonts w:ascii="Arial" w:cs="Arial" w:eastAsia="Arial" w:hAnsi="Arial"/>
          <w:sz w:val="19"/>
          <w:szCs w:val="19"/>
          <w:i w:val="1"/>
          <w:iCs w:val="1"/>
          <w:color w:val="auto"/>
        </w:rPr>
        <w:t xml:space="preserve">“Canadian Dollar Variability Reserve” </w:t>
      </w:r>
      <w:r>
        <w:rPr>
          <w:rFonts w:ascii="Arial" w:cs="Arial" w:eastAsia="Arial" w:hAnsi="Arial"/>
          <w:sz w:val="19"/>
          <w:szCs w:val="19"/>
          <w:color w:val="auto"/>
        </w:rPr>
        <w:t>means, the sum, for each Collateral Loan in the Canadian Dollars Borrowing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Base, of an amount equal to the following: (i) the Dollar Equivalent of the Principal Balance of such Collateral Loan as of such date,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 (a percentage equal to 100.00%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Maximum Advance Rate)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(iii) the applicable Currency Variability Factor </w:t>
      </w:r>
      <w:r>
        <w:rPr>
          <w:rFonts w:ascii="Arial" w:cs="Arial" w:eastAsia="Arial" w:hAnsi="Arial"/>
          <w:sz w:val="19"/>
          <w:szCs w:val="19"/>
          <w:i w:val="1"/>
          <w:iCs w:val="1"/>
          <w:color w:val="auto"/>
        </w:rPr>
        <w:t>times</w:t>
      </w:r>
      <w:r>
        <w:rPr>
          <w:rFonts w:ascii="Arial" w:cs="Arial" w:eastAsia="Arial" w:hAnsi="Arial"/>
          <w:sz w:val="19"/>
          <w:szCs w:val="19"/>
          <w:color w:val="auto"/>
        </w:rPr>
        <w:t xml:space="preserve"> (iv) the applicable Foreign Currency Collateral Loan Percentage for such Collateral Loan.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267" w:right="339" w:bottom="1440" w:gutter="0" w:footer="0" w:header="0"/>
        </w:sectPr>
      </w:pPr>
    </w:p>
    <w:bookmarkStart w:id="49" w:name="page50"/>
    <w:bookmarkEnd w:id="49"/>
    <w:p>
      <w:pPr>
        <w:jc w:val="both"/>
        <w:ind w:right="20"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“Cash” </w:t>
      </w:r>
      <w:r>
        <w:rPr>
          <w:rFonts w:ascii="Arial" w:cs="Arial" w:eastAsia="Arial" w:hAnsi="Arial"/>
          <w:sz w:val="22"/>
          <w:szCs w:val="22"/>
          <w:color w:val="auto"/>
        </w:rPr>
        <w:t>means any immediately available funds in Dollars or in any currency other than Dollars (measured in terms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Dollar Equivalent thereof) which is a freely convertible currency.</w:t>
      </w:r>
    </w:p>
    <w:p>
      <w:pPr>
        <w:spacing w:after="0" w:line="28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“Cause” </w:t>
      </w:r>
      <w:r>
        <w:rPr>
          <w:rFonts w:ascii="Arial" w:cs="Arial" w:eastAsia="Arial" w:hAnsi="Arial"/>
          <w:sz w:val="22"/>
          <w:szCs w:val="22"/>
          <w:color w:val="auto"/>
        </w:rPr>
        <w:t>means the indictment for or conviction of any crime of dishonesty or moral turpitude or any act or omission</w:t>
      </w:r>
      <w:r>
        <w:rPr>
          <w:rFonts w:ascii="Arial" w:cs="Arial" w:eastAsia="Arial" w:hAnsi="Arial"/>
          <w:sz w:val="22"/>
          <w:szCs w:val="22"/>
          <w:i w:val="1"/>
          <w:iCs w:val="1"/>
          <w:color w:val="auto"/>
        </w:rPr>
        <w:t xml:space="preserve"> </w:t>
      </w:r>
      <w:r>
        <w:rPr>
          <w:rFonts w:ascii="Arial" w:cs="Arial" w:eastAsia="Arial" w:hAnsi="Arial"/>
          <w:sz w:val="22"/>
          <w:szCs w:val="22"/>
          <w:color w:val="auto"/>
        </w:rPr>
        <w:t>that would constitute gross negligence, bad faith or willful misconduct.</w:t>
      </w:r>
    </w:p>
    <w:p>
      <w:pPr>
        <w:spacing w:after="0" w:line="283" w:lineRule="exact"/>
        <w:rPr>
          <w:sz w:val="20"/>
          <w:szCs w:val="20"/>
          <w:color w:val="auto"/>
        </w:rPr>
      </w:pPr>
    </w:p>
    <w:p>
      <w:pPr>
        <w:jc w:val="both"/>
        <w:ind w:firstLine="786"/>
        <w:spacing w:after="0" w:line="234" w:lineRule="auto"/>
        <w:rPr>
          <w:sz w:val="20"/>
          <w:szCs w:val="20"/>
          <w:color w:val="auto"/>
        </w:rPr>
      </w:pPr>
      <w:r>
        <w:rPr>
          <w:rFonts w:ascii="Arial" w:cs="Arial" w:eastAsia="Arial" w:hAnsi="Arial"/>
          <w:sz w:val="22"/>
          <w:szCs w:val="22"/>
          <w:i w:val="1"/>
          <w:iCs w:val="1"/>
          <w:color w:val="auto"/>
        </w:rPr>
        <w:t xml:space="preserve">“CDOR Rate” </w:t>
      </w:r>
      <w:r>
        <w:rPr>
          <w:rFonts w:ascii="Arial" w:cs="Arial" w:eastAsia="Arial" w:hAnsi="Arial"/>
          <w:sz w:val="22"/>
          <w:szCs w:val="22"/>
          <w:color w:val="auto"/>
        </w:rPr>
        <w:t>means, for an Interest Accrual Period, the rate per annum equal to the average of the annual yield rates</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to Canadian Dollar bankers’ acceptances at or about 10:00 a.m. (Toronto, Ontario time) on the first day of such Interest Accrual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Accrual Period (or, if such Interest Accrual Period is not equal to a number of months, for a term equivalent to the number of months closest to such Interest Accrual Period).</w:t>
      </w:r>
    </w:p>
    <w:p>
      <w:pPr>
        <w:spacing w:after="0" w:line="29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“Certificated Security” </w:t>
      </w:r>
      <w:r>
        <w:rPr>
          <w:rFonts w:ascii="Arial" w:cs="Arial" w:eastAsia="Arial" w:hAnsi="Arial"/>
          <w:sz w:val="22"/>
          <w:szCs w:val="22"/>
          <w:color w:val="auto"/>
        </w:rPr>
        <w:t>has the meaning specified in Section 8-102(a)(4) of the UCC.</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means, at any time, the occurrence of one of the following events: (1) the BDC fails to own 100%</w:t>
      </w:r>
      <w:r>
        <w:rPr>
          <w:rFonts w:ascii="Arial" w:cs="Arial" w:eastAsia="Arial" w:hAnsi="Arial"/>
          <w:sz w:val="22"/>
          <w:szCs w:val="22"/>
          <w:i w:val="1"/>
          <w:iCs w:val="1"/>
          <w:color w:val="auto"/>
        </w:rPr>
        <w:t xml:space="preserve"> </w:t>
      </w:r>
      <w:r>
        <w:rPr>
          <w:rFonts w:ascii="Arial" w:cs="Arial" w:eastAsia="Arial" w:hAnsi="Arial"/>
          <w:sz w:val="22"/>
          <w:szCs w:val="22"/>
          <w:color w:val="auto"/>
        </w:rPr>
        <w:t>of the equity interests of the Borrower at any time; or (2) the Collateral Manager fails to exercise the power to direct the management and policies of the Borrower.</w:t>
      </w:r>
    </w:p>
    <w:p>
      <w:pPr>
        <w:spacing w:after="0" w:line="294" w:lineRule="exact"/>
        <w:rPr>
          <w:sz w:val="20"/>
          <w:szCs w:val="20"/>
          <w:color w:val="auto"/>
        </w:rPr>
      </w:pPr>
    </w:p>
    <w:p>
      <w:pPr>
        <w:jc w:val="both"/>
        <w:ind w:right="20" w:firstLine="786"/>
        <w:spacing w:after="0" w:line="328" w:lineRule="auto"/>
        <w:rPr>
          <w:sz w:val="20"/>
          <w:szCs w:val="20"/>
          <w:color w:val="auto"/>
        </w:rPr>
      </w:pPr>
      <w:r>
        <w:rPr>
          <w:rFonts w:ascii="Arial" w:cs="Arial" w:eastAsia="Arial" w:hAnsi="Arial"/>
          <w:sz w:val="19"/>
          <w:szCs w:val="19"/>
          <w:i w:val="1"/>
          <w:iCs w:val="1"/>
          <w:color w:val="auto"/>
        </w:rPr>
        <w:t>“Class”</w:t>
      </w:r>
      <w:r>
        <w:rPr>
          <w:rFonts w:ascii="Arial" w:cs="Arial" w:eastAsia="Arial" w:hAnsi="Arial"/>
          <w:sz w:val="19"/>
          <w:szCs w:val="19"/>
          <w:color w:val="auto"/>
        </w:rPr>
        <w:t>, when used in reference to any Advance or Borrowing, refers to whether such Advance, or the Advances</w:t>
      </w:r>
      <w:r>
        <w:rPr>
          <w:rFonts w:ascii="Arial" w:cs="Arial" w:eastAsia="Arial" w:hAnsi="Arial"/>
          <w:sz w:val="19"/>
          <w:szCs w:val="19"/>
          <w:i w:val="1"/>
          <w:iCs w:val="1"/>
          <w:color w:val="auto"/>
        </w:rPr>
        <w:t xml:space="preserve"> </w:t>
      </w:r>
      <w:r>
        <w:rPr>
          <w:rFonts w:ascii="Arial" w:cs="Arial" w:eastAsia="Arial" w:hAnsi="Arial"/>
          <w:sz w:val="19"/>
          <w:szCs w:val="19"/>
          <w:color w:val="auto"/>
        </w:rPr>
        <w:t>constituting such Borrowing, are Syndicated Dollar Advances, Syndicated Multicurrency Advances or Swingline Advances.</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“Clearing Agency” </w:t>
      </w:r>
      <w:r>
        <w:rPr>
          <w:rFonts w:ascii="Arial" w:cs="Arial" w:eastAsia="Arial" w:hAnsi="Arial"/>
          <w:sz w:val="19"/>
          <w:szCs w:val="19"/>
          <w:color w:val="auto"/>
        </w:rPr>
        <w:t>means an organization registered as a “clearing agency” pursuant to Section 17A of the Exchange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296"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“Clearing Corporation” </w:t>
      </w:r>
      <w:r>
        <w:rPr>
          <w:rFonts w:ascii="Arial" w:cs="Arial" w:eastAsia="Arial" w:hAnsi="Arial"/>
          <w:sz w:val="22"/>
          <w:szCs w:val="22"/>
          <w:color w:val="auto"/>
        </w:rPr>
        <w:t>means each entity included within the meaning of “clearing corporation” under Section 8-102(a)(5) of the UCC.</w:t>
      </w:r>
    </w:p>
    <w:p>
      <w:pPr>
        <w:spacing w:after="0" w:line="283"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i w:val="1"/>
          <w:iCs w:val="1"/>
          <w:color w:val="auto"/>
        </w:rPr>
        <w:t xml:space="preserve">“Clearing Corporation Security” </w:t>
      </w:r>
      <w:r>
        <w:rPr>
          <w:rFonts w:ascii="Arial" w:cs="Arial" w:eastAsia="Arial" w:hAnsi="Arial"/>
          <w:sz w:val="21"/>
          <w:szCs w:val="21"/>
          <w:color w:val="auto"/>
        </w:rPr>
        <w:t>means securities which are in the custody of or maintained on the books of a Clearing</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Corporation or a nominee subject to the control of a Clearing Corporation and, if they are Certificated Securities in registered form, properly endorsed to or registered in the name of the Clearing Corporation or such nominee.</w:t>
      </w:r>
    </w:p>
    <w:p>
      <w:pPr>
        <w:spacing w:after="0" w:line="277"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“Closing Date” </w:t>
      </w:r>
      <w:r>
        <w:rPr>
          <w:rFonts w:ascii="Arial" w:cs="Arial" w:eastAsia="Arial" w:hAnsi="Arial"/>
          <w:sz w:val="22"/>
          <w:szCs w:val="22"/>
          <w:color w:val="auto"/>
        </w:rPr>
        <w:t>means June 23, 2011.</w:t>
      </w:r>
    </w:p>
    <w:p>
      <w:pPr>
        <w:spacing w:after="0" w:line="314" w:lineRule="exact"/>
        <w:rPr>
          <w:sz w:val="20"/>
          <w:szCs w:val="20"/>
          <w:color w:val="auto"/>
        </w:rPr>
      </w:pPr>
    </w:p>
    <w:p>
      <w:pPr>
        <w:jc w:val="center"/>
        <w:ind w:right="360"/>
        <w:spacing w:after="0" w:line="391"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or any successor statute.</w:t>
      </w:r>
      <w:r>
        <w:rPr>
          <w:rFonts w:ascii="Arial" w:cs="Arial" w:eastAsia="Arial" w:hAnsi="Arial"/>
          <w:sz w:val="22"/>
          <w:szCs w:val="22"/>
          <w:i w:val="1"/>
          <w:iCs w:val="1"/>
          <w:color w:val="auto"/>
        </w:rPr>
        <w:t xml:space="preserve"> </w:t>
      </w:r>
      <w:r>
        <w:rPr>
          <w:rFonts w:ascii="Arial" w:cs="Arial" w:eastAsia="Arial" w:hAnsi="Arial"/>
          <w:sz w:val="22"/>
          <w:szCs w:val="22"/>
          <w:color w:val="auto"/>
        </w:rPr>
        <w:t>-9-</w:t>
      </w:r>
    </w:p>
    <w:p>
      <w:pPr>
        <w:sectPr>
          <w:pgSz w:w="11900" w:h="16838" w:orient="portrait"/>
          <w:cols w:equalWidth="0" w:num="1">
            <w:col w:w="11240"/>
          </w:cols>
          <w:pgMar w:left="320" w:top="267" w:right="339" w:bottom="1440" w:gutter="0" w:footer="0" w:header="0"/>
        </w:sectPr>
      </w:pPr>
    </w:p>
    <w:bookmarkStart w:id="50" w:name="page51"/>
    <w:bookmarkEnd w:id="50"/>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7.01(a)</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“Collateral Administration Agreement” </w:t>
      </w:r>
      <w:r>
        <w:rPr>
          <w:rFonts w:ascii="Arial" w:cs="Arial" w:eastAsia="Arial" w:hAnsi="Arial"/>
          <w:sz w:val="22"/>
          <w:szCs w:val="22"/>
          <w:color w:val="auto"/>
        </w:rPr>
        <w:t>means that certain Collateral Administration Agreement, dated as of June 23,</w:t>
      </w:r>
      <w:r>
        <w:rPr>
          <w:rFonts w:ascii="Arial" w:cs="Arial" w:eastAsia="Arial" w:hAnsi="Arial"/>
          <w:sz w:val="22"/>
          <w:szCs w:val="22"/>
          <w:i w:val="1"/>
          <w:iCs w:val="1"/>
          <w:color w:val="auto"/>
        </w:rPr>
        <w:t xml:space="preserve"> </w:t>
      </w:r>
      <w:r>
        <w:rPr>
          <w:rFonts w:ascii="Arial" w:cs="Arial" w:eastAsia="Arial" w:hAnsi="Arial"/>
          <w:sz w:val="22"/>
          <w:szCs w:val="22"/>
          <w:color w:val="auto"/>
        </w:rPr>
        <w:t>2011 by and among U.S. Bank National Association, the Collateral Manager and the Borrower.</w:t>
      </w:r>
    </w:p>
    <w:p>
      <w:pPr>
        <w:spacing w:after="0" w:line="28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“Collateral Administrator” </w:t>
      </w:r>
      <w:r>
        <w:rPr>
          <w:rFonts w:ascii="Arial" w:cs="Arial" w:eastAsia="Arial" w:hAnsi="Arial"/>
          <w:sz w:val="22"/>
          <w:szCs w:val="22"/>
          <w:color w:val="auto"/>
        </w:rPr>
        <w:t>means U.S. Bank National Association, and any successor thereto under the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Administration Agreement.</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“Collateral Agent” </w:t>
      </w:r>
      <w:r>
        <w:rPr>
          <w:rFonts w:ascii="Arial" w:cs="Arial" w:eastAsia="Arial" w:hAnsi="Arial"/>
          <w:sz w:val="22"/>
          <w:szCs w:val="22"/>
          <w:color w:val="auto"/>
        </w:rPr>
        <w:t>has the meaning assigned to such term in the introduction to this Agreement.</w:t>
      </w:r>
    </w:p>
    <w:p>
      <w:pPr>
        <w:spacing w:after="0" w:line="314"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i w:val="1"/>
          <w:iCs w:val="1"/>
          <w:color w:val="auto"/>
        </w:rPr>
        <w:t xml:space="preserve">“Collateral Agent Fee Letter” </w:t>
      </w:r>
      <w:r>
        <w:rPr>
          <w:rFonts w:ascii="Arial" w:cs="Arial" w:eastAsia="Arial" w:hAnsi="Arial"/>
          <w:sz w:val="22"/>
          <w:szCs w:val="22"/>
          <w:color w:val="auto"/>
        </w:rPr>
        <w:t>means the amended and restated fee letter, dated as of July 6, 2012, among the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Agent, the Custodian, U.S. Bank National 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295" w:lineRule="exact"/>
        <w:rPr>
          <w:sz w:val="20"/>
          <w:szCs w:val="20"/>
          <w:color w:val="auto"/>
        </w:rPr>
      </w:pPr>
    </w:p>
    <w:p>
      <w:pPr>
        <w:jc w:val="both"/>
        <w:ind w:firstLine="786"/>
        <w:spacing w:after="0" w:line="249" w:lineRule="auto"/>
        <w:rPr>
          <w:sz w:val="20"/>
          <w:szCs w:val="20"/>
          <w:color w:val="auto"/>
        </w:rPr>
      </w:pPr>
      <w:r>
        <w:rPr>
          <w:rFonts w:ascii="Arial" w:cs="Arial" w:eastAsia="Arial" w:hAnsi="Arial"/>
          <w:sz w:val="21"/>
          <w:szCs w:val="21"/>
          <w:i w:val="1"/>
          <w:iCs w:val="1"/>
          <w:color w:val="auto"/>
        </w:rPr>
        <w:t xml:space="preserve">“Collateral Interest Amount” </w:t>
      </w:r>
      <w:r>
        <w:rPr>
          <w:rFonts w:ascii="Arial" w:cs="Arial" w:eastAsia="Arial" w:hAnsi="Arial"/>
          <w:sz w:val="21"/>
          <w:szCs w:val="21"/>
          <w:color w:val="auto"/>
        </w:rPr>
        <w:t>means, as of any date of determination, without duplication, the Dollar Equivalent of the</w:t>
      </w:r>
      <w:r>
        <w:rPr>
          <w:rFonts w:ascii="Arial" w:cs="Arial" w:eastAsia="Arial" w:hAnsi="Arial"/>
          <w:sz w:val="21"/>
          <w:szCs w:val="21"/>
          <w:i w:val="1"/>
          <w:iCs w:val="1"/>
          <w:color w:val="auto"/>
        </w:rPr>
        <w:t xml:space="preserve"> </w:t>
      </w:r>
      <w:r>
        <w:rPr>
          <w:rFonts w:ascii="Arial" w:cs="Arial" w:eastAsia="Arial" w:hAnsi="Arial"/>
          <w:sz w:val="21"/>
          <w:szCs w:val="21"/>
          <w:color w:val="auto"/>
        </w:rPr>
        <w:t>aggregate amount of Interest Proceeds that has been received or that is expected to be received (other than Interest Proceeds expected to be received from Ineligible Collateral Loans and Non-Cash Paying PIK Loans, in each case unless actually received), in each case during the Collection Period (and, if such Collection Period does not end on a Business Day, the next succeeding Business Day) in which such date of determination occurs.</w:t>
      </w:r>
    </w:p>
    <w:p>
      <w:pPr>
        <w:spacing w:after="0" w:line="286"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i w:val="1"/>
          <w:iCs w:val="1"/>
          <w:color w:val="auto"/>
        </w:rPr>
        <w:t xml:space="preserve">“Collateral Loan” </w:t>
      </w:r>
      <w:r>
        <w:rPr>
          <w:rFonts w:ascii="Arial" w:cs="Arial" w:eastAsia="Arial" w:hAnsi="Arial"/>
          <w:sz w:val="22"/>
          <w:szCs w:val="22"/>
          <w:color w:val="auto"/>
        </w:rPr>
        <w:t>means a loan, debt obligation or Participation Interest that meets each of the following criteria at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time of acquisition thereof by the Borrower (or its binding commitment to acquire the same),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for purposes of determining whether a Collateral Loan constitutes an Ineligible Collateral Loan at any time after the acquisition thereof by the Borrower (or its binding commitment to do the same), the criteria set forth in </w:t>
      </w:r>
      <w:r>
        <w:rPr>
          <w:rFonts w:ascii="Arial" w:cs="Arial" w:eastAsia="Arial" w:hAnsi="Arial"/>
          <w:sz w:val="22"/>
          <w:szCs w:val="22"/>
          <w:u w:val="single" w:color="auto"/>
          <w:color w:val="auto"/>
        </w:rPr>
        <w:t>clauses (k) and (p)</w:t>
      </w:r>
      <w:r>
        <w:rPr>
          <w:rFonts w:ascii="Arial" w:cs="Arial" w:eastAsia="Arial" w:hAnsi="Arial"/>
          <w:sz w:val="22"/>
          <w:szCs w:val="22"/>
          <w:color w:val="auto"/>
        </w:rPr>
        <w:t xml:space="preserve"> shall continue to be evaluated solely as of the date of acquisition thereof:</w:t>
      </w:r>
    </w:p>
    <w:p>
      <w:pPr>
        <w:spacing w:after="0" w:line="295" w:lineRule="exact"/>
        <w:rPr>
          <w:sz w:val="20"/>
          <w:szCs w:val="20"/>
          <w:color w:val="auto"/>
        </w:rPr>
      </w:pPr>
    </w:p>
    <w:p>
      <w:pPr>
        <w:ind w:left="800" w:firstLine="787"/>
        <w:spacing w:after="0" w:line="250" w:lineRule="auto"/>
        <w:tabs>
          <w:tab w:leader="none" w:pos="2202" w:val="left"/>
        </w:tabs>
        <w:numPr>
          <w:ilvl w:val="0"/>
          <w:numId w:val="21"/>
        </w:numPr>
        <w:rPr>
          <w:rFonts w:ascii="Arial" w:cs="Arial" w:eastAsia="Arial" w:hAnsi="Arial"/>
          <w:sz w:val="22"/>
          <w:szCs w:val="22"/>
          <w:color w:val="auto"/>
        </w:rPr>
      </w:pPr>
      <w:r>
        <w:rPr>
          <w:rFonts w:ascii="Arial" w:cs="Arial" w:eastAsia="Arial" w:hAnsi="Arial"/>
          <w:sz w:val="22"/>
          <w:szCs w:val="22"/>
          <w:color w:val="auto"/>
        </w:rPr>
        <w:t>is an Eligible First Lien Obligation, a Senior B Loan Obligation, an Eligible Second Lien Obligation or an Eligible Covenant Lite Loan;</w:t>
      </w:r>
    </w:p>
    <w:p>
      <w:pPr>
        <w:spacing w:after="0" w:line="282" w:lineRule="exact"/>
        <w:rPr>
          <w:rFonts w:ascii="Arial" w:cs="Arial" w:eastAsia="Arial" w:hAnsi="Arial"/>
          <w:sz w:val="22"/>
          <w:szCs w:val="22"/>
          <w:color w:val="auto"/>
        </w:rPr>
      </w:pPr>
    </w:p>
    <w:p>
      <w:pPr>
        <w:ind w:left="2220" w:hanging="630"/>
        <w:spacing w:after="0"/>
        <w:tabs>
          <w:tab w:leader="none" w:pos="22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permits the purchase thereof by or assignment thereof to the Borrower and the pledge to the Collateral</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296" w:lineRule="exact"/>
        <w:rPr>
          <w:rFonts w:ascii="Arial" w:cs="Arial" w:eastAsia="Arial" w:hAnsi="Arial"/>
          <w:sz w:val="19"/>
          <w:szCs w:val="19"/>
          <w:color w:val="auto"/>
        </w:rPr>
      </w:pPr>
    </w:p>
    <w:p>
      <w:pPr>
        <w:jc w:val="both"/>
        <w:ind w:left="800" w:firstLine="793"/>
        <w:spacing w:after="0" w:line="238" w:lineRule="auto"/>
        <w:tabs>
          <w:tab w:leader="none" w:pos="2248" w:val="left"/>
        </w:tabs>
        <w:numPr>
          <w:ilvl w:val="0"/>
          <w:numId w:val="21"/>
        </w:numPr>
        <w:rPr>
          <w:rFonts w:ascii="Arial" w:cs="Arial" w:eastAsia="Arial" w:hAnsi="Arial"/>
          <w:sz w:val="22"/>
          <w:szCs w:val="22"/>
          <w:color w:val="auto"/>
        </w:rPr>
      </w:pPr>
      <w:r>
        <w:rPr>
          <w:rFonts w:ascii="Arial" w:cs="Arial" w:eastAsia="Arial" w:hAnsi="Arial"/>
          <w:sz w:val="22"/>
          <w:szCs w:val="22"/>
          <w:color w:val="auto"/>
        </w:rPr>
        <w:t>is denominated and payable in (i) Dollars or (ii) Pounds Sterling, Euros, Canadian Dollars, Australian Dollars to the extent that, in the case of this clause (ii), (x) such loan, debt obligation or Participation Interest would also constitute a Floating Rate Obligation, and (y) such loan, debt obligation or Participation Interest is not a Revolving Collateral Loan or a Delayed Drawdown Collateral Loan;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267" w:right="339" w:bottom="1440" w:gutter="0" w:footer="0" w:header="0"/>
        </w:sectPr>
      </w:pPr>
    </w:p>
    <w:bookmarkStart w:id="51" w:name="page52"/>
    <w:bookmarkEnd w:id="51"/>
    <w:p>
      <w:pPr>
        <w:jc w:val="both"/>
        <w:ind w:left="-320" w:firstLine="784"/>
        <w:spacing w:after="0" w:line="279" w:lineRule="auto"/>
        <w:tabs>
          <w:tab w:leader="none" w:pos="1075" w:val="left"/>
        </w:tabs>
        <w:numPr>
          <w:ilvl w:val="0"/>
          <w:numId w:val="2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an obligation of an obligor organized or incorporated in (i) the United States (or any state, territory or possession thereof), the United Kingdom or Canada, (ii) the Netherlands Antilles, Bermuda, the Cayman Islands, the British Virgin Islands, the Channel Islands, the Isle of Man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the case of this </w:t>
      </w:r>
      <w:r>
        <w:rPr>
          <w:rFonts w:ascii="Arial" w:cs="Arial" w:eastAsia="Arial" w:hAnsi="Arial"/>
          <w:sz w:val="19"/>
          <w:szCs w:val="19"/>
          <w:u w:val="single" w:color="auto"/>
          <w:color w:val="auto"/>
        </w:rPr>
        <w:t>clause (ii)</w:t>
      </w:r>
      <w:r>
        <w:rPr>
          <w:rFonts w:ascii="Arial" w:cs="Arial" w:eastAsia="Arial" w:hAnsi="Arial"/>
          <w:sz w:val="19"/>
          <w:szCs w:val="19"/>
          <w:color w:val="auto"/>
        </w:rPr>
        <w:t>, that in the Collateral Manager’s good faith estimate, a substantial portion of the assets, revenues or operations supporting such Collateral Loan are directly or through subsidiaries located in, or are obligations of obligors organized or incorporated in, the jurisdictions referred to in clause (i) above), or (iii) or any Group I Country, Group II Country or Group III Country;</w:t>
      </w:r>
    </w:p>
    <w:p>
      <w:pPr>
        <w:spacing w:after="0" w:line="258" w:lineRule="exact"/>
        <w:rPr>
          <w:rFonts w:ascii="Arial" w:cs="Arial" w:eastAsia="Arial" w:hAnsi="Arial"/>
          <w:sz w:val="19"/>
          <w:szCs w:val="19"/>
          <w:color w:val="auto"/>
        </w:rPr>
      </w:pPr>
    </w:p>
    <w:p>
      <w:pPr>
        <w:ind w:left="-320" w:firstLine="794"/>
        <w:spacing w:after="0" w:line="250" w:lineRule="auto"/>
        <w:tabs>
          <w:tab w:leader="none" w:pos="1135" w:val="left"/>
        </w:tabs>
        <w:numPr>
          <w:ilvl w:val="0"/>
          <w:numId w:val="22"/>
        </w:numPr>
        <w:rPr>
          <w:rFonts w:ascii="Arial" w:cs="Arial" w:eastAsia="Arial" w:hAnsi="Arial"/>
          <w:sz w:val="22"/>
          <w:szCs w:val="22"/>
          <w:color w:val="auto"/>
        </w:rPr>
      </w:pPr>
      <w:r>
        <w:rPr>
          <w:rFonts w:ascii="Arial" w:cs="Arial" w:eastAsia="Arial" w:hAnsi="Arial"/>
          <w:sz w:val="22"/>
          <w:szCs w:val="22"/>
          <w:color w:val="auto"/>
        </w:rPr>
        <w:t>is not (i) a Defaulted Collateral Loan, (ii) a Non-Cash Paying PIK Loan, (iii) a Credit Risk Collateral Loan, or (iv) a Delinquent Collateral Loan;</w:t>
      </w:r>
    </w:p>
    <w:p>
      <w:pPr>
        <w:spacing w:after="0" w:line="282" w:lineRule="exact"/>
        <w:rPr>
          <w:rFonts w:ascii="Arial" w:cs="Arial" w:eastAsia="Arial" w:hAnsi="Arial"/>
          <w:sz w:val="22"/>
          <w:szCs w:val="22"/>
          <w:color w:val="auto"/>
        </w:rPr>
      </w:pPr>
    </w:p>
    <w:p>
      <w:pPr>
        <w:ind w:left="1000" w:hanging="541"/>
        <w:spacing w:after="0"/>
        <w:tabs>
          <w:tab w:leader="none" w:pos="10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is not a Zero Coupon Obligation;</w:t>
      </w:r>
    </w:p>
    <w:p>
      <w:pPr>
        <w:spacing w:after="0" w:line="314" w:lineRule="exact"/>
        <w:rPr>
          <w:rFonts w:ascii="Arial" w:cs="Arial" w:eastAsia="Arial" w:hAnsi="Arial"/>
          <w:sz w:val="22"/>
          <w:szCs w:val="22"/>
          <w:color w:val="auto"/>
        </w:rPr>
      </w:pPr>
    </w:p>
    <w:p>
      <w:pPr>
        <w:ind w:left="1040" w:hanging="581"/>
        <w:spacing w:after="0"/>
        <w:tabs>
          <w:tab w:leader="none" w:pos="1040" w:val="left"/>
        </w:tabs>
        <w:numPr>
          <w:ilvl w:val="1"/>
          <w:numId w:val="22"/>
        </w:numPr>
        <w:rPr>
          <w:rFonts w:ascii="Arial" w:cs="Arial" w:eastAsia="Arial" w:hAnsi="Arial"/>
          <w:sz w:val="22"/>
          <w:szCs w:val="22"/>
          <w:color w:val="auto"/>
        </w:rPr>
      </w:pPr>
      <w:r>
        <w:rPr>
          <w:rFonts w:ascii="Arial" w:cs="Arial" w:eastAsia="Arial" w:hAnsi="Arial"/>
          <w:sz w:val="22"/>
          <w:szCs w:val="22"/>
          <w:color w:val="auto"/>
        </w:rPr>
        <w:t>is not a Structured Finance Obligation, a finance lease or chattel paper;</w:t>
      </w:r>
    </w:p>
    <w:p>
      <w:pPr>
        <w:spacing w:after="0" w:line="314" w:lineRule="exact"/>
        <w:rPr>
          <w:rFonts w:ascii="Arial" w:cs="Arial" w:eastAsia="Arial" w:hAnsi="Arial"/>
          <w:sz w:val="22"/>
          <w:szCs w:val="22"/>
          <w:color w:val="auto"/>
        </w:rPr>
      </w:pPr>
    </w:p>
    <w:p>
      <w:pPr>
        <w:ind w:left="-320" w:firstLine="802"/>
        <w:spacing w:after="0" w:line="328" w:lineRule="auto"/>
        <w:tabs>
          <w:tab w:leader="none" w:pos="1202" w:val="left"/>
        </w:tabs>
        <w:numPr>
          <w:ilvl w:val="3"/>
          <w:numId w:val="22"/>
        </w:numPr>
        <w:rPr>
          <w:rFonts w:ascii="Arial" w:cs="Arial" w:eastAsia="Arial" w:hAnsi="Arial"/>
          <w:sz w:val="19"/>
          <w:szCs w:val="19"/>
          <w:color w:val="auto"/>
        </w:rPr>
      </w:pPr>
      <w:r>
        <w:rPr>
          <w:rFonts w:ascii="Arial" w:cs="Arial" w:eastAsia="Arial" w:hAnsi="Arial"/>
          <w:sz w:val="19"/>
          <w:szCs w:val="19"/>
          <w:color w:val="auto"/>
        </w:rPr>
        <w:t>is not subject to material non-credit related risk (such as a Collateral Loan the payment of which is expressly contingent upon the non-occurrence of a catastrophe), as determined by the Collateral Manager in good faith;</w:t>
      </w:r>
    </w:p>
    <w:p>
      <w:pPr>
        <w:spacing w:after="0" w:line="212" w:lineRule="exact"/>
        <w:rPr>
          <w:rFonts w:ascii="Arial" w:cs="Arial" w:eastAsia="Arial" w:hAnsi="Arial"/>
          <w:sz w:val="19"/>
          <w:szCs w:val="19"/>
          <w:color w:val="auto"/>
        </w:rPr>
      </w:pPr>
    </w:p>
    <w:p>
      <w:pPr>
        <w:ind w:left="-320" w:firstLine="889"/>
        <w:spacing w:after="0" w:line="250" w:lineRule="auto"/>
        <w:tabs>
          <w:tab w:leader="none" w:pos="1268" w:val="left"/>
        </w:tabs>
        <w:numPr>
          <w:ilvl w:val="5"/>
          <w:numId w:val="22"/>
        </w:numPr>
        <w:rPr>
          <w:rFonts w:ascii="Arial" w:cs="Arial" w:eastAsia="Arial" w:hAnsi="Arial"/>
          <w:sz w:val="22"/>
          <w:szCs w:val="22"/>
          <w:color w:val="auto"/>
        </w:rPr>
      </w:pPr>
      <w:r>
        <w:rPr>
          <w:rFonts w:ascii="Arial" w:cs="Arial" w:eastAsia="Arial" w:hAnsi="Arial"/>
          <w:sz w:val="22"/>
          <w:szCs w:val="22"/>
          <w:color w:val="auto"/>
        </w:rPr>
        <w:t>no portion thereof (including any conversion option, exchange option, warrant or other component thereof) is exchangeable or convertible into equity at the option of the Obligor;</w:t>
      </w:r>
    </w:p>
    <w:p>
      <w:pPr>
        <w:spacing w:after="0" w:line="282" w:lineRule="exact"/>
        <w:rPr>
          <w:rFonts w:ascii="Arial" w:cs="Arial" w:eastAsia="Arial" w:hAnsi="Arial"/>
          <w:sz w:val="22"/>
          <w:szCs w:val="22"/>
          <w:color w:val="auto"/>
        </w:rPr>
      </w:pPr>
    </w:p>
    <w:p>
      <w:pPr>
        <w:jc w:val="both"/>
        <w:ind w:left="-320" w:firstLine="837"/>
        <w:spacing w:after="0" w:line="252" w:lineRule="auto"/>
        <w:tabs>
          <w:tab w:leader="none" w:pos="1060" w:val="left"/>
        </w:tabs>
        <w:numPr>
          <w:ilvl w:val="2"/>
          <w:numId w:val="22"/>
        </w:numPr>
        <w:rPr>
          <w:rFonts w:ascii="Arial" w:cs="Arial" w:eastAsia="Arial" w:hAnsi="Arial"/>
          <w:sz w:val="21"/>
          <w:szCs w:val="21"/>
          <w:color w:val="auto"/>
        </w:rPr>
      </w:pPr>
      <w:r>
        <w:rPr>
          <w:rFonts w:ascii="Arial" w:cs="Arial" w:eastAsia="Arial" w:hAnsi="Arial"/>
          <w:sz w:val="21"/>
          <w:szCs w:val="21"/>
          <w:color w:val="auto"/>
        </w:rPr>
        <w:t xml:space="preserve">is not an Equity Security and does not provide for mandatory or optional conversion or exchange into an Equity Security;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acquisition of an instrument that otherwise qualifies as a Collateral Loan, together with a warrant or other similar instrument that may be converted or exchanged for an Equity Security (other than Margin Stock), will not cause the former instrument to lose its eligibility as a Collateral Loan;</w:t>
      </w:r>
    </w:p>
    <w:p>
      <w:pPr>
        <w:spacing w:after="0" w:line="281" w:lineRule="exact"/>
        <w:rPr>
          <w:rFonts w:ascii="Arial" w:cs="Arial" w:eastAsia="Arial" w:hAnsi="Arial"/>
          <w:sz w:val="21"/>
          <w:szCs w:val="21"/>
          <w:color w:val="auto"/>
        </w:rPr>
      </w:pPr>
    </w:p>
    <w:p>
      <w:pPr>
        <w:ind w:left="1040" w:hanging="581"/>
        <w:spacing w:after="0"/>
        <w:tabs>
          <w:tab w:leader="none" w:pos="1040" w:val="left"/>
        </w:tabs>
        <w:numPr>
          <w:ilvl w:val="2"/>
          <w:numId w:val="22"/>
        </w:numPr>
        <w:rPr>
          <w:rFonts w:ascii="Arial" w:cs="Arial" w:eastAsia="Arial" w:hAnsi="Arial"/>
          <w:sz w:val="22"/>
          <w:szCs w:val="22"/>
          <w:color w:val="auto"/>
        </w:rPr>
      </w:pPr>
      <w:r>
        <w:rPr>
          <w:rFonts w:ascii="Arial" w:cs="Arial" w:eastAsia="Arial" w:hAnsi="Arial"/>
          <w:sz w:val="22"/>
          <w:szCs w:val="22"/>
          <w:color w:val="auto"/>
        </w:rPr>
        <w:t>is not the subject of an offer and has not been called for redemption;</w:t>
      </w:r>
    </w:p>
    <w:p>
      <w:pPr>
        <w:spacing w:after="0" w:line="314" w:lineRule="exact"/>
        <w:rPr>
          <w:rFonts w:ascii="Arial" w:cs="Arial" w:eastAsia="Arial" w:hAnsi="Arial"/>
          <w:sz w:val="22"/>
          <w:szCs w:val="22"/>
          <w:color w:val="auto"/>
        </w:rPr>
      </w:pPr>
    </w:p>
    <w:p>
      <w:pPr>
        <w:jc w:val="both"/>
        <w:ind w:left="-320" w:firstLine="872"/>
        <w:spacing w:after="0"/>
        <w:tabs>
          <w:tab w:leader="none" w:pos="1201" w:val="left"/>
        </w:tabs>
        <w:numPr>
          <w:ilvl w:val="4"/>
          <w:numId w:val="22"/>
        </w:numPr>
        <w:rPr>
          <w:rFonts w:ascii="Arial" w:cs="Arial" w:eastAsia="Arial" w:hAnsi="Arial"/>
          <w:sz w:val="22"/>
          <w:szCs w:val="22"/>
          <w:color w:val="auto"/>
        </w:rPr>
      </w:pPr>
      <w:r>
        <w:rPr>
          <w:rFonts w:ascii="Arial" w:cs="Arial" w:eastAsia="Arial" w:hAnsi="Arial"/>
          <w:sz w:val="22"/>
          <w:szCs w:val="22"/>
          <w:color w:val="auto"/>
        </w:rPr>
        <w:t>does not constitute Margin Stock and no part of the proceeds of such loan or any other extension of credit made thereunder will be used to purchase or carry any Margin Stock or to extend credit to others for the purpose of purchasing or carrying any Margin Stock;</w:t>
      </w:r>
    </w:p>
    <w:p>
      <w:pPr>
        <w:spacing w:after="0" w:line="294" w:lineRule="exact"/>
        <w:rPr>
          <w:rFonts w:ascii="Arial" w:cs="Arial" w:eastAsia="Arial" w:hAnsi="Arial"/>
          <w:sz w:val="22"/>
          <w:szCs w:val="22"/>
          <w:color w:val="auto"/>
        </w:rPr>
      </w:pPr>
    </w:p>
    <w:p>
      <w:pPr>
        <w:ind w:left="-320" w:firstLine="725"/>
        <w:spacing w:after="0" w:line="250" w:lineRule="auto"/>
        <w:tabs>
          <w:tab w:leader="none" w:pos="1190" w:val="left"/>
        </w:tabs>
        <w:numPr>
          <w:ilvl w:val="2"/>
          <w:numId w:val="23"/>
        </w:numPr>
        <w:rPr>
          <w:rFonts w:ascii="Arial" w:cs="Arial" w:eastAsia="Arial" w:hAnsi="Arial"/>
          <w:sz w:val="22"/>
          <w:szCs w:val="22"/>
          <w:color w:val="auto"/>
        </w:rPr>
      </w:pPr>
      <w:r>
        <w:rPr>
          <w:rFonts w:ascii="Arial" w:cs="Arial" w:eastAsia="Arial" w:hAnsi="Arial"/>
          <w:sz w:val="22"/>
          <w:szCs w:val="22"/>
          <w:color w:val="auto"/>
        </w:rPr>
        <w:t>does not subject the Borrower to withholding tax unless the Obligor is required to make “gross-up” payments constituting 100% of such withholding tax;</w:t>
      </w:r>
    </w:p>
    <w:p>
      <w:pPr>
        <w:spacing w:after="0" w:line="282" w:lineRule="exact"/>
        <w:rPr>
          <w:rFonts w:ascii="Arial" w:cs="Arial" w:eastAsia="Arial" w:hAnsi="Arial"/>
          <w:sz w:val="22"/>
          <w:szCs w:val="22"/>
          <w:color w:val="auto"/>
        </w:rPr>
      </w:pPr>
    </w:p>
    <w:p>
      <w:pPr>
        <w:ind w:left="1040" w:hanging="581"/>
        <w:spacing w:after="0"/>
        <w:tabs>
          <w:tab w:leader="none" w:pos="1040" w:val="left"/>
        </w:tabs>
        <w:numPr>
          <w:ilvl w:val="2"/>
          <w:numId w:val="23"/>
        </w:numPr>
        <w:rPr>
          <w:rFonts w:ascii="Arial" w:cs="Arial" w:eastAsia="Arial" w:hAnsi="Arial"/>
          <w:sz w:val="22"/>
          <w:szCs w:val="22"/>
          <w:color w:val="auto"/>
        </w:rPr>
      </w:pPr>
      <w:r>
        <w:rPr>
          <w:rFonts w:ascii="Arial" w:cs="Arial" w:eastAsia="Arial" w:hAnsi="Arial"/>
          <w:sz w:val="22"/>
          <w:szCs w:val="22"/>
          <w:color w:val="auto"/>
        </w:rPr>
        <w:t>provides for the full principal balance to be payable in cash at or prior to its maturity;</w:t>
      </w:r>
    </w:p>
    <w:p>
      <w:pPr>
        <w:spacing w:after="0" w:line="314" w:lineRule="exact"/>
        <w:rPr>
          <w:rFonts w:ascii="Arial" w:cs="Arial" w:eastAsia="Arial" w:hAnsi="Arial"/>
          <w:sz w:val="22"/>
          <w:szCs w:val="22"/>
          <w:color w:val="auto"/>
        </w:rPr>
      </w:pPr>
    </w:p>
    <w:p>
      <w:pPr>
        <w:ind w:left="-320" w:right="20" w:firstLine="801"/>
        <w:spacing w:after="0" w:line="250" w:lineRule="auto"/>
        <w:tabs>
          <w:tab w:leader="none" w:pos="1191" w:val="left"/>
        </w:tabs>
        <w:numPr>
          <w:ilvl w:val="3"/>
          <w:numId w:val="23"/>
        </w:numPr>
        <w:rPr>
          <w:rFonts w:ascii="Arial" w:cs="Arial" w:eastAsia="Arial" w:hAnsi="Arial"/>
          <w:sz w:val="22"/>
          <w:szCs w:val="22"/>
          <w:color w:val="auto"/>
        </w:rPr>
      </w:pPr>
      <w:r>
        <w:rPr>
          <w:rFonts w:ascii="Arial" w:cs="Arial" w:eastAsia="Arial" w:hAnsi="Arial"/>
          <w:sz w:val="22"/>
          <w:szCs w:val="22"/>
          <w:color w:val="auto"/>
        </w:rPr>
        <w:t>if such Collateral Loan is a Participation Interest, then such Participation Interest is acquired from a Selling Institution incorporated or organized under the laws of</w:t>
      </w:r>
    </w:p>
    <w:p>
      <w:pPr>
        <w:spacing w:after="0" w:line="10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20"/>
          </w:cols>
          <w:pgMar w:left="1440" w:top="267" w:right="339" w:bottom="1440" w:gutter="0" w:footer="0" w:header="0"/>
        </w:sectPr>
      </w:pPr>
    </w:p>
    <w:bookmarkStart w:id="52" w:name="page53"/>
    <w:bookmarkEnd w:id="52"/>
    <w:p>
      <w:pPr>
        <w:ind w:left="800" w:right="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United States (or any state thereof) which has (or such Selling Institution is guaranteed by an Affiliate having) a long term rating of at least “A/A2” and a short term rating of at least “A-2/P2” by S&amp;P and Moody’s, respectively;</w:t>
      </w:r>
    </w:p>
    <w:p>
      <w:pPr>
        <w:spacing w:after="0" w:line="213" w:lineRule="exact"/>
        <w:rPr>
          <w:sz w:val="20"/>
          <w:szCs w:val="20"/>
          <w:color w:val="auto"/>
        </w:rPr>
      </w:pPr>
    </w:p>
    <w:p>
      <w:pPr>
        <w:ind w:left="2160" w:hanging="581"/>
        <w:spacing w:after="0"/>
        <w:tabs>
          <w:tab w:leader="none" w:pos="21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has an Obligor with a trailing twelve-month EBITDA of at least the Dollar Equivalent of $5,000,000;</w:t>
      </w:r>
    </w:p>
    <w:p>
      <w:pPr>
        <w:spacing w:after="0" w:line="348" w:lineRule="exact"/>
        <w:rPr>
          <w:rFonts w:ascii="Arial" w:cs="Arial" w:eastAsia="Arial" w:hAnsi="Arial"/>
          <w:sz w:val="19"/>
          <w:szCs w:val="19"/>
          <w:color w:val="auto"/>
        </w:rPr>
      </w:pPr>
    </w:p>
    <w:p>
      <w:pPr>
        <w:ind w:left="2160" w:hanging="581"/>
        <w:spacing w:after="0"/>
        <w:tabs>
          <w:tab w:leader="none" w:pos="21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has an original term to maturity of not more than seven (7) years;</w:t>
      </w:r>
    </w:p>
    <w:p>
      <w:pPr>
        <w:spacing w:after="0" w:line="314" w:lineRule="exact"/>
        <w:rPr>
          <w:rFonts w:ascii="Arial" w:cs="Arial" w:eastAsia="Arial" w:hAnsi="Arial"/>
          <w:sz w:val="22"/>
          <w:szCs w:val="22"/>
          <w:color w:val="auto"/>
        </w:rPr>
      </w:pPr>
    </w:p>
    <w:p>
      <w:pPr>
        <w:ind w:left="2120" w:hanging="541"/>
        <w:spacing w:after="0"/>
        <w:tabs>
          <w:tab w:leader="none" w:pos="21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provides for payment of interest at least semi-annually;</w:t>
      </w:r>
    </w:p>
    <w:p>
      <w:pPr>
        <w:spacing w:after="0" w:line="314" w:lineRule="exact"/>
        <w:rPr>
          <w:rFonts w:ascii="Arial" w:cs="Arial" w:eastAsia="Arial" w:hAnsi="Arial"/>
          <w:sz w:val="22"/>
          <w:szCs w:val="22"/>
          <w:color w:val="auto"/>
        </w:rPr>
      </w:pPr>
    </w:p>
    <w:p>
      <w:pPr>
        <w:ind w:left="800" w:firstLine="786"/>
        <w:spacing w:after="0" w:line="328" w:lineRule="auto"/>
        <w:tabs>
          <w:tab w:leader="none" w:pos="2186" w:val="left"/>
        </w:tabs>
        <w:numPr>
          <w:ilvl w:val="0"/>
          <w:numId w:val="24"/>
        </w:numPr>
        <w:rPr>
          <w:rFonts w:ascii="Arial" w:cs="Arial" w:eastAsia="Arial" w:hAnsi="Arial"/>
          <w:sz w:val="19"/>
          <w:szCs w:val="19"/>
          <w:color w:val="auto"/>
        </w:rPr>
      </w:pPr>
      <w:r>
        <w:rPr>
          <w:rFonts w:ascii="Arial" w:cs="Arial" w:eastAsia="Arial" w:hAnsi="Arial"/>
          <w:sz w:val="19"/>
          <w:szCs w:val="19"/>
          <w:color w:val="auto"/>
        </w:rPr>
        <w:t>has not been the subject of a Material Modification after the date of the acquisition by the Borrower (or its binding commitment to acquire the same) (unless such Collateral Loan constitutes a Restructured Loan);</w:t>
      </w:r>
    </w:p>
    <w:p>
      <w:pPr>
        <w:spacing w:after="0" w:line="212" w:lineRule="exact"/>
        <w:rPr>
          <w:rFonts w:ascii="Arial" w:cs="Arial" w:eastAsia="Arial" w:hAnsi="Arial"/>
          <w:sz w:val="19"/>
          <w:szCs w:val="19"/>
          <w:color w:val="auto"/>
        </w:rPr>
      </w:pPr>
    </w:p>
    <w:p>
      <w:pPr>
        <w:ind w:left="800" w:right="20" w:firstLine="793"/>
        <w:spacing w:after="0" w:line="328" w:lineRule="auto"/>
        <w:tabs>
          <w:tab w:leader="none" w:pos="2212" w:val="left"/>
        </w:tabs>
        <w:numPr>
          <w:ilvl w:val="1"/>
          <w:numId w:val="24"/>
        </w:numPr>
        <w:rPr>
          <w:rFonts w:ascii="Arial" w:cs="Arial" w:eastAsia="Arial" w:hAnsi="Arial"/>
          <w:sz w:val="19"/>
          <w:szCs w:val="19"/>
          <w:color w:val="auto"/>
        </w:rPr>
      </w:pPr>
      <w:r>
        <w:rPr>
          <w:rFonts w:ascii="Arial" w:cs="Arial" w:eastAsia="Arial" w:hAnsi="Arial"/>
          <w:sz w:val="19"/>
          <w:szCs w:val="19"/>
          <w:color w:val="auto"/>
        </w:rPr>
        <w:t>is not an obligation (other than a Revolving Collateral Loan or a Delayed Drawdown Collateral Loan) pursuant to which any future advances or payments to the Obligor may be required to be made by the Borrower;</w:t>
      </w:r>
    </w:p>
    <w:p>
      <w:pPr>
        <w:spacing w:after="0" w:line="213" w:lineRule="exact"/>
        <w:rPr>
          <w:sz w:val="20"/>
          <w:szCs w:val="20"/>
          <w:color w:val="auto"/>
        </w:rPr>
      </w:pPr>
    </w:p>
    <w:p>
      <w:pPr>
        <w:ind w:left="800" w:firstLine="810"/>
        <w:spacing w:after="0" w:line="250" w:lineRule="auto"/>
        <w:tabs>
          <w:tab w:leader="none" w:pos="2376" w:val="left"/>
        </w:tabs>
        <w:numPr>
          <w:ilvl w:val="1"/>
          <w:numId w:val="25"/>
        </w:numPr>
        <w:rPr>
          <w:rFonts w:ascii="Arial" w:cs="Arial" w:eastAsia="Arial" w:hAnsi="Arial"/>
          <w:sz w:val="22"/>
          <w:szCs w:val="22"/>
          <w:color w:val="auto"/>
        </w:rPr>
      </w:pPr>
      <w:r>
        <w:rPr>
          <w:rFonts w:ascii="Arial" w:cs="Arial" w:eastAsia="Arial" w:hAnsi="Arial"/>
          <w:sz w:val="22"/>
          <w:szCs w:val="22"/>
          <w:color w:val="auto"/>
        </w:rPr>
        <w:t>will not cause the Borrower or the pool of assets to be required to be registered as an investment company under the Investment Company Act;</w:t>
      </w:r>
    </w:p>
    <w:p>
      <w:pPr>
        <w:spacing w:after="0" w:line="282" w:lineRule="exact"/>
        <w:rPr>
          <w:rFonts w:ascii="Arial" w:cs="Arial" w:eastAsia="Arial" w:hAnsi="Arial"/>
          <w:sz w:val="22"/>
          <w:szCs w:val="22"/>
          <w:color w:val="auto"/>
        </w:rPr>
      </w:pPr>
    </w:p>
    <w:p>
      <w:pPr>
        <w:ind w:left="2160" w:hanging="581"/>
        <w:spacing w:after="0"/>
        <w:tabs>
          <w:tab w:leader="none" w:pos="2160" w:val="left"/>
        </w:tabs>
        <w:numPr>
          <w:ilvl w:val="0"/>
          <w:numId w:val="26"/>
        </w:numPr>
        <w:rPr>
          <w:rFonts w:ascii="Arial" w:cs="Arial" w:eastAsia="Arial" w:hAnsi="Arial"/>
          <w:sz w:val="21"/>
          <w:szCs w:val="21"/>
          <w:color w:val="auto"/>
        </w:rPr>
      </w:pPr>
      <w:r>
        <w:rPr>
          <w:rFonts w:ascii="Arial" w:cs="Arial" w:eastAsia="Arial" w:hAnsi="Arial"/>
          <w:sz w:val="21"/>
          <w:szCs w:val="21"/>
          <w:color w:val="auto"/>
        </w:rPr>
        <w:t>is not a Covenant Lite Loan unless such Covenant Lite Loan is an Eligible Covenant Lite Loan;</w:t>
      </w:r>
    </w:p>
    <w:p>
      <w:pPr>
        <w:spacing w:after="0" w:line="325" w:lineRule="exact"/>
        <w:rPr>
          <w:rFonts w:ascii="Arial" w:cs="Arial" w:eastAsia="Arial" w:hAnsi="Arial"/>
          <w:sz w:val="21"/>
          <w:szCs w:val="21"/>
          <w:color w:val="auto"/>
        </w:rPr>
      </w:pPr>
    </w:p>
    <w:p>
      <w:pPr>
        <w:ind w:left="2140" w:hanging="615"/>
        <w:spacing w:after="0"/>
        <w:tabs>
          <w:tab w:leader="none" w:pos="21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is not primarily secured by real estate; and</w:t>
      </w:r>
    </w:p>
    <w:p>
      <w:pPr>
        <w:spacing w:after="0" w:line="314" w:lineRule="exact"/>
        <w:rPr>
          <w:rFonts w:ascii="Arial" w:cs="Arial" w:eastAsia="Arial" w:hAnsi="Arial"/>
          <w:sz w:val="22"/>
          <w:szCs w:val="22"/>
          <w:color w:val="auto"/>
        </w:rPr>
      </w:pPr>
    </w:p>
    <w:p>
      <w:pPr>
        <w:jc w:val="both"/>
        <w:ind w:left="800" w:firstLine="805"/>
        <w:spacing w:after="0"/>
        <w:tabs>
          <w:tab w:leader="none" w:pos="23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if evidenced by a note or other instrument, such note or other instrument has been delivered to the Custodian in accordance with the provisions of </w:t>
      </w:r>
      <w:r>
        <w:rPr>
          <w:rFonts w:ascii="Arial" w:cs="Arial" w:eastAsia="Arial" w:hAnsi="Arial"/>
          <w:sz w:val="22"/>
          <w:szCs w:val="22"/>
          <w:u w:val="single" w:color="auto"/>
          <w:color w:val="auto"/>
        </w:rPr>
        <w:t>Article XIV</w:t>
      </w:r>
      <w:r>
        <w:rPr>
          <w:rFonts w:ascii="Arial" w:cs="Arial" w:eastAsia="Arial" w:hAnsi="Arial"/>
          <w:sz w:val="22"/>
          <w:szCs w:val="22"/>
          <w:color w:val="auto"/>
        </w:rPr>
        <w:t xml:space="preserve"> hereof (or will be delivered within ten (10) Business Days, as set forth in </w:t>
      </w:r>
      <w:r>
        <w:rPr>
          <w:rFonts w:ascii="Arial" w:cs="Arial" w:eastAsia="Arial" w:hAnsi="Arial"/>
          <w:sz w:val="22"/>
          <w:szCs w:val="22"/>
          <w:u w:val="single" w:color="auto"/>
          <w:color w:val="auto"/>
        </w:rPr>
        <w:t>Article XIV</w:t>
      </w:r>
      <w:r>
        <w:rPr>
          <w:rFonts w:ascii="Arial" w:cs="Arial" w:eastAsia="Arial" w:hAnsi="Arial"/>
          <w:sz w:val="22"/>
          <w:szCs w:val="22"/>
          <w:color w:val="auto"/>
        </w:rPr>
        <w:t xml:space="preserve"> hereof).</w:t>
      </w:r>
    </w:p>
    <w:p>
      <w:pPr>
        <w:spacing w:after="0" w:line="294" w:lineRule="exact"/>
        <w:rPr>
          <w:sz w:val="20"/>
          <w:szCs w:val="20"/>
          <w:color w:val="auto"/>
        </w:rPr>
      </w:pPr>
    </w:p>
    <w:p>
      <w:pPr>
        <w:ind w:firstLine="786"/>
        <w:spacing w:after="0" w:line="250" w:lineRule="auto"/>
        <w:rPr>
          <w:sz w:val="20"/>
          <w:szCs w:val="20"/>
          <w:color w:val="auto"/>
        </w:rPr>
      </w:pPr>
      <w:r>
        <w:rPr>
          <w:rFonts w:ascii="Arial" w:cs="Arial" w:eastAsia="Arial" w:hAnsi="Arial"/>
          <w:sz w:val="22"/>
          <w:szCs w:val="22"/>
          <w:i w:val="1"/>
          <w:iCs w:val="1"/>
          <w:color w:val="auto"/>
        </w:rPr>
        <w:t xml:space="preserve">“Collateral Management Fees” </w:t>
      </w:r>
      <w:r>
        <w:rPr>
          <w:rFonts w:ascii="Arial" w:cs="Arial" w:eastAsia="Arial" w:hAnsi="Arial"/>
          <w:sz w:val="22"/>
          <w:szCs w:val="22"/>
          <w:color w:val="auto"/>
        </w:rPr>
        <w:t>means, collectively, Senior Collateral Management Fees and Subordinated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Fees.</w:t>
      </w:r>
    </w:p>
    <w:p>
      <w:pPr>
        <w:spacing w:after="0" w:line="283" w:lineRule="exact"/>
        <w:rPr>
          <w:sz w:val="20"/>
          <w:szCs w:val="20"/>
          <w:color w:val="auto"/>
        </w:rPr>
      </w:pPr>
    </w:p>
    <w:p>
      <w:pPr>
        <w:ind w:firstLine="786"/>
        <w:spacing w:after="0" w:line="276" w:lineRule="auto"/>
        <w:rPr>
          <w:sz w:val="20"/>
          <w:szCs w:val="20"/>
          <w:color w:val="auto"/>
        </w:rPr>
      </w:pPr>
      <w:r>
        <w:rPr>
          <w:rFonts w:ascii="Arial" w:cs="Arial" w:eastAsia="Arial" w:hAnsi="Arial"/>
          <w:sz w:val="19"/>
          <w:szCs w:val="19"/>
          <w:i w:val="1"/>
          <w:iCs w:val="1"/>
          <w:color w:val="auto"/>
        </w:rPr>
        <w:t xml:space="preserve">“Collateral Management Standard” </w:t>
      </w:r>
      <w:r>
        <w:rPr>
          <w:rFonts w:ascii="Arial" w:cs="Arial" w:eastAsia="Arial" w:hAnsi="Arial"/>
          <w:sz w:val="19"/>
          <w:szCs w:val="19"/>
          <w:color w:val="auto"/>
        </w:rPr>
        <w:t>means, with respect to any Collateral Loans included in the Collateral, to service</w:t>
      </w:r>
      <w:r>
        <w:rPr>
          <w:rFonts w:ascii="Arial" w:cs="Arial" w:eastAsia="Arial" w:hAnsi="Arial"/>
          <w:sz w:val="19"/>
          <w:szCs w:val="19"/>
          <w:i w:val="1"/>
          <w:iCs w:val="1"/>
          <w:color w:val="auto"/>
        </w:rPr>
        <w:t xml:space="preserve"> </w:t>
      </w:r>
      <w:r>
        <w:rPr>
          <w:rFonts w:ascii="Arial" w:cs="Arial" w:eastAsia="Arial" w:hAnsi="Arial"/>
          <w:sz w:val="19"/>
          <w:szCs w:val="19"/>
          <w:color w:val="auto"/>
        </w:rPr>
        <w:t>and administer such Collateral Loans in accordance with the Related Documents and all customary and usual servicing practices</w:t>
      </w:r>
    </w:p>
    <w:p>
      <w:pPr>
        <w:spacing w:after="0" w:line="1" w:lineRule="exact"/>
        <w:rPr>
          <w:sz w:val="20"/>
          <w:szCs w:val="20"/>
          <w:color w:val="auto"/>
        </w:rPr>
      </w:pPr>
    </w:p>
    <w:p>
      <w:pPr>
        <w:jc w:val="both"/>
        <w:ind w:firstLine="8"/>
        <w:spacing w:after="0" w:line="266" w:lineRule="auto"/>
        <w:tabs>
          <w:tab w:leader="none" w:pos="303"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which are consistent with the higher of: (i) 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w:t>
      </w:r>
      <w:r>
        <w:rPr>
          <w:rFonts w:ascii="Arial" w:cs="Arial" w:eastAsia="Arial" w:hAnsi="Arial"/>
          <w:sz w:val="19"/>
          <w:szCs w:val="19"/>
          <w:u w:val="single" w:color="auto"/>
          <w:color w:val="auto"/>
        </w:rPr>
        <w:t>clause (a)</w:t>
      </w:r>
      <w:r>
        <w:rPr>
          <w:rFonts w:ascii="Arial" w:cs="Arial" w:eastAsia="Arial" w:hAnsi="Arial"/>
          <w:sz w:val="19"/>
          <w:szCs w:val="19"/>
          <w:color w:val="auto"/>
        </w:rPr>
        <w:t>, with a view to maximize the value of the Collateral Loans; and (c) without regard to:</w:t>
      </w:r>
    </w:p>
    <w:p>
      <w:pPr>
        <w:spacing w:after="0" w:line="3" w:lineRule="exact"/>
        <w:rPr>
          <w:rFonts w:ascii="Arial" w:cs="Arial" w:eastAsia="Arial" w:hAnsi="Arial"/>
          <w:sz w:val="19"/>
          <w:szCs w:val="19"/>
          <w:color w:val="auto"/>
        </w:rPr>
      </w:pPr>
    </w:p>
    <w:p>
      <w:pPr>
        <w:jc w:val="both"/>
        <w:ind w:firstLine="8"/>
        <w:spacing w:after="0" w:line="234" w:lineRule="auto"/>
        <w:tabs>
          <w:tab w:leader="none" w:pos="282"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relationship that the Collateral Manager or any Affiliate of the Collateral Manager may have with any Obligor or any Affiliate of any Obligor, (ii) the Collateral Manager’s obligations to incur servicing and administrative expenses with respect to a Collateral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267" w:right="339" w:bottom="1440" w:gutter="0" w:footer="0" w:header="0"/>
        </w:sectPr>
      </w:pPr>
    </w:p>
    <w:bookmarkStart w:id="53" w:name="page54"/>
    <w:bookmarkEnd w:id="53"/>
    <w:p>
      <w:pPr>
        <w:jc w:val="both"/>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“Collateral Manager” </w:t>
      </w:r>
      <w:r>
        <w:rPr>
          <w:rFonts w:ascii="Arial" w:cs="Arial" w:eastAsia="Arial" w:hAnsi="Arial"/>
          <w:sz w:val="22"/>
          <w:szCs w:val="22"/>
          <w:color w:val="auto"/>
        </w:rPr>
        <w:t>has the meaning assigned to such term in the introduction of this Agreement.</w:t>
      </w:r>
    </w:p>
    <w:p>
      <w:pPr>
        <w:spacing w:after="0" w:line="314"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“Collateral Manager Event of Default” </w:t>
      </w:r>
      <w:r>
        <w:rPr>
          <w:rFonts w:ascii="Arial" w:cs="Arial" w:eastAsia="Arial" w:hAnsi="Arial"/>
          <w:sz w:val="22"/>
          <w:szCs w:val="22"/>
          <w:color w:val="auto"/>
        </w:rPr>
        <w:t>means the occurrence of any of the events, acts or circumstances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“Collateral Manager Replacement Event” </w:t>
      </w:r>
      <w:r>
        <w:rPr>
          <w:rFonts w:ascii="Arial" w:cs="Arial" w:eastAsia="Arial" w:hAnsi="Arial"/>
          <w:sz w:val="22"/>
          <w:szCs w:val="22"/>
          <w:color w:val="auto"/>
        </w:rPr>
        <w:t>means the occurrence of any of the following events:</w:t>
      </w:r>
    </w:p>
    <w:p>
      <w:pPr>
        <w:spacing w:after="0" w:line="314" w:lineRule="exact"/>
        <w:rPr>
          <w:sz w:val="20"/>
          <w:szCs w:val="20"/>
          <w:color w:val="auto"/>
        </w:rPr>
      </w:pPr>
    </w:p>
    <w:p>
      <w:pPr>
        <w:ind w:left="2300" w:hanging="566"/>
        <w:spacing w:after="0"/>
        <w:tabs>
          <w:tab w:leader="none" w:pos="2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Default Ratio shall exceed 10.0%; or</w:t>
      </w:r>
    </w:p>
    <w:p>
      <w:pPr>
        <w:spacing w:after="0" w:line="314" w:lineRule="exact"/>
        <w:rPr>
          <w:rFonts w:ascii="Arial" w:cs="Arial" w:eastAsia="Arial" w:hAnsi="Arial"/>
          <w:sz w:val="22"/>
          <w:szCs w:val="22"/>
          <w:color w:val="auto"/>
        </w:rPr>
      </w:pPr>
    </w:p>
    <w:p>
      <w:pPr>
        <w:ind w:left="2320" w:hanging="586"/>
        <w:spacing w:after="0"/>
        <w:tabs>
          <w:tab w:leader="none" w:pos="2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Delinquency Ratio shall exceed 10.0%.</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“Collection Account” </w:t>
      </w:r>
      <w:r>
        <w:rPr>
          <w:rFonts w:ascii="Arial" w:cs="Arial" w:eastAsia="Arial" w:hAnsi="Arial"/>
          <w:sz w:val="22"/>
          <w:szCs w:val="22"/>
          <w:color w:val="auto"/>
        </w:rPr>
        <w:t>means the trust account established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8.02</w:t>
      </w:r>
      <w:r>
        <w:rPr>
          <w:rFonts w:ascii="Arial" w:cs="Arial" w:eastAsia="Arial" w:hAnsi="Arial"/>
          <w:sz w:val="22"/>
          <w:szCs w:val="22"/>
          <w:color w:val="auto"/>
        </w:rPr>
        <w:t>, which includes each Principal</w:t>
      </w:r>
      <w:r>
        <w:rPr>
          <w:rFonts w:ascii="Arial" w:cs="Arial" w:eastAsia="Arial" w:hAnsi="Arial"/>
          <w:sz w:val="22"/>
          <w:szCs w:val="22"/>
          <w:i w:val="1"/>
          <w:iCs w:val="1"/>
          <w:color w:val="auto"/>
        </w:rPr>
        <w:t xml:space="preserve"> </w:t>
      </w:r>
      <w:r>
        <w:rPr>
          <w:rFonts w:ascii="Arial" w:cs="Arial" w:eastAsia="Arial" w:hAnsi="Arial"/>
          <w:sz w:val="22"/>
          <w:szCs w:val="22"/>
          <w:color w:val="auto"/>
        </w:rPr>
        <w:t>Collection Subaccount and each Interest Collection Subaccount.</w:t>
      </w:r>
    </w:p>
    <w:p>
      <w:pPr>
        <w:spacing w:after="0" w:line="283" w:lineRule="exact"/>
        <w:rPr>
          <w:sz w:val="20"/>
          <w:szCs w:val="20"/>
          <w:color w:val="auto"/>
        </w:rPr>
      </w:pPr>
    </w:p>
    <w:p>
      <w:pPr>
        <w:jc w:val="both"/>
        <w:ind w:firstLine="786"/>
        <w:spacing w:after="0" w:line="248" w:lineRule="auto"/>
        <w:rPr>
          <w:sz w:val="20"/>
          <w:szCs w:val="20"/>
          <w:color w:val="auto"/>
        </w:rPr>
      </w:pPr>
      <w:r>
        <w:rPr>
          <w:rFonts w:ascii="Arial" w:cs="Arial" w:eastAsia="Arial" w:hAnsi="Arial"/>
          <w:sz w:val="21"/>
          <w:szCs w:val="21"/>
          <w:i w:val="1"/>
          <w:iCs w:val="1"/>
          <w:color w:val="auto"/>
        </w:rPr>
        <w:t xml:space="preserve">“Collection Period” </w:t>
      </w:r>
      <w:r>
        <w:rPr>
          <w:rFonts w:ascii="Arial" w:cs="Arial" w:eastAsia="Arial" w:hAnsi="Arial"/>
          <w:sz w:val="21"/>
          <w:szCs w:val="21"/>
          <w:color w:val="auto"/>
        </w:rPr>
        <w:t>means, with respect to any Payment Date, the period commencing immediately following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Collection Period (or on 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285" w:lineRule="exact"/>
        <w:rPr>
          <w:sz w:val="20"/>
          <w:szCs w:val="20"/>
          <w:color w:val="auto"/>
        </w:rPr>
      </w:pPr>
    </w:p>
    <w:p>
      <w:pPr>
        <w:jc w:val="both"/>
        <w:ind w:firstLine="786"/>
        <w:spacing w:after="0" w:line="252" w:lineRule="auto"/>
        <w:rPr>
          <w:sz w:val="20"/>
          <w:szCs w:val="20"/>
          <w:color w:val="auto"/>
        </w:rPr>
      </w:pPr>
      <w:r>
        <w:rPr>
          <w:rFonts w:ascii="Arial" w:cs="Arial" w:eastAsia="Arial" w:hAnsi="Arial"/>
          <w:sz w:val="21"/>
          <w:szCs w:val="21"/>
          <w:i w:val="1"/>
          <w:iCs w:val="1"/>
          <w:color w:val="auto"/>
        </w:rPr>
        <w:t xml:space="preserve">“Collections” </w:t>
      </w:r>
      <w:r>
        <w:rPr>
          <w:rFonts w:ascii="Arial" w:cs="Arial" w:eastAsia="Arial" w:hAnsi="Arial"/>
          <w:sz w:val="21"/>
          <w:szCs w:val="21"/>
          <w:color w:val="auto"/>
        </w:rPr>
        <w:t>means all cash collections, distributions, payments and other amounts received, and to be received by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from any 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282" w:lineRule="exact"/>
        <w:rPr>
          <w:sz w:val="20"/>
          <w:szCs w:val="20"/>
          <w:color w:val="auto"/>
        </w:rPr>
      </w:pPr>
    </w:p>
    <w:p>
      <w:pPr>
        <w:jc w:val="both"/>
        <w:ind w:firstLine="786"/>
        <w:spacing w:after="0" w:line="279" w:lineRule="auto"/>
        <w:rPr>
          <w:sz w:val="20"/>
          <w:szCs w:val="20"/>
          <w:color w:val="auto"/>
        </w:rPr>
      </w:pPr>
      <w:r>
        <w:rPr>
          <w:rFonts w:ascii="Arial" w:cs="Arial" w:eastAsia="Arial" w:hAnsi="Arial"/>
          <w:sz w:val="19"/>
          <w:szCs w:val="19"/>
          <w:i w:val="1"/>
          <w:iCs w:val="1"/>
          <w:color w:val="auto"/>
        </w:rPr>
        <w:t xml:space="preserve">“Commitment” </w:t>
      </w:r>
      <w:r>
        <w:rPr>
          <w:rFonts w:ascii="Arial" w:cs="Arial" w:eastAsia="Arial" w:hAnsi="Arial"/>
          <w:sz w:val="19"/>
          <w:szCs w:val="19"/>
          <w:color w:val="auto"/>
        </w:rPr>
        <w:t>means, as to each Lender, the obligation of such Lender to make, on and subject to the terms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conditions hereof, Advances to the Borrower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The aggregate Dollar Equivalent of the principal amount of Advances made by any Lender at any one time outstanding shall not exceed the amount set forth opposite the name of such Lender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or in the Assignment and Acceptance pursuant to which such Lender shall have assumed its Commitment, as applicable, as such amount may be reduced from time to time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or increased or reduced from time to time pursuant to assignments effected in accordance with </w:t>
      </w:r>
      <w:r>
        <w:rPr>
          <w:rFonts w:ascii="Arial" w:cs="Arial" w:eastAsia="Arial" w:hAnsi="Arial"/>
          <w:sz w:val="19"/>
          <w:szCs w:val="19"/>
          <w:u w:val="single" w:color="auto"/>
          <w:color w:val="auto"/>
        </w:rPr>
        <w:t>Section 15.06(a)</w:t>
      </w:r>
      <w:r>
        <w:rPr>
          <w:rFonts w:ascii="Arial" w:cs="Arial" w:eastAsia="Arial" w:hAnsi="Arial"/>
          <w:sz w:val="19"/>
          <w:szCs w:val="19"/>
          <w:color w:val="auto"/>
        </w:rPr>
        <w: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267" w:right="339" w:bottom="1440" w:gutter="0" w:footer="0" w:header="0"/>
        </w:sectPr>
      </w:pPr>
    </w:p>
    <w:bookmarkStart w:id="54" w:name="page55"/>
    <w:bookmarkEnd w:id="54"/>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“Commitment Fees” </w:t>
      </w:r>
      <w:r>
        <w:rPr>
          <w:rFonts w:ascii="Arial" w:cs="Arial" w:eastAsia="Arial" w:hAnsi="Arial"/>
          <w:sz w:val="22"/>
          <w:szCs w:val="22"/>
          <w:color w:val="auto"/>
        </w:rPr>
        <w:t>has the meaning assigned to such term in the Lender Fee Letter.</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“Commitment Termination Date” </w:t>
      </w:r>
      <w:r>
        <w:rPr>
          <w:rFonts w:ascii="Arial" w:cs="Arial" w:eastAsia="Arial" w:hAnsi="Arial"/>
          <w:sz w:val="22"/>
          <w:szCs w:val="22"/>
          <w:color w:val="auto"/>
        </w:rPr>
        <w:t>means the last day of the Reinvestment Period;</w:t>
      </w:r>
      <w:r>
        <w:rPr>
          <w:rFonts w:ascii="Arial" w:cs="Arial" w:eastAsia="Arial" w:hAnsi="Arial"/>
          <w:sz w:val="22"/>
          <w:szCs w:val="22"/>
          <w:i w:val="1"/>
          <w:iCs w:val="1"/>
          <w:color w:val="auto"/>
        </w:rPr>
        <w:t xml:space="preserve"> provided </w:t>
      </w:r>
      <w:r>
        <w:rPr>
          <w:rFonts w:ascii="Arial" w:cs="Arial" w:eastAsia="Arial" w:hAnsi="Arial"/>
          <w:sz w:val="22"/>
          <w:szCs w:val="22"/>
          <w:color w:val="auto"/>
        </w:rPr>
        <w:t>that, if the Commitment</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Termination Date would otherwise not be a Business Day, then the Commitment Termination Date shall be the immediately succeeding Business Day.</w:t>
      </w:r>
    </w:p>
    <w:p>
      <w:pPr>
        <w:spacing w:after="0" w:line="294" w:lineRule="exact"/>
        <w:rPr>
          <w:sz w:val="20"/>
          <w:szCs w:val="20"/>
          <w:color w:val="auto"/>
        </w:rPr>
      </w:pPr>
    </w:p>
    <w:p>
      <w:pPr>
        <w:jc w:val="both"/>
        <w:ind w:firstLine="786"/>
        <w:spacing w:after="0" w:line="235" w:lineRule="auto"/>
        <w:rPr>
          <w:sz w:val="20"/>
          <w:szCs w:val="20"/>
          <w:color w:val="auto"/>
        </w:rPr>
      </w:pPr>
      <w:r>
        <w:rPr>
          <w:rFonts w:ascii="Arial" w:cs="Arial" w:eastAsia="Arial" w:hAnsi="Arial"/>
          <w:sz w:val="22"/>
          <w:szCs w:val="22"/>
          <w:i w:val="1"/>
          <w:iCs w:val="1"/>
          <w:color w:val="auto"/>
        </w:rPr>
        <w:t xml:space="preserve">“Concentration Limitations” </w:t>
      </w:r>
      <w:r>
        <w:rPr>
          <w:rFonts w:ascii="Arial" w:cs="Arial" w:eastAsia="Arial" w:hAnsi="Arial"/>
          <w:sz w:val="22"/>
          <w:szCs w:val="22"/>
          <w:color w:val="auto"/>
        </w:rPr>
        <w:t>means, as of any date of determination, the following limitations applied to the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Collateral Balance of the Collateral Loans owned (or, in relation to a proposed purchase of a Collateral Loan, proposed to be owned) by the Borrower, and calculated as a percentage of (i) the Facility Amount until the date on which the Aggregate Collateral Balance of all the Collateral Loans exceeds the Facility Amount, and (ii) at all times thereafter, the Aggregate Collateral Balance of all the Collateral Loans (unless otherwise specified pursuant to </w:t>
      </w:r>
      <w:r>
        <w:rPr>
          <w:rFonts w:ascii="Arial" w:cs="Arial" w:eastAsia="Arial" w:hAnsi="Arial"/>
          <w:sz w:val="22"/>
          <w:szCs w:val="22"/>
          <w:u w:val="single" w:color="auto"/>
          <w:color w:val="auto"/>
        </w:rPr>
        <w:t>Section 1.04(m)</w:t>
      </w:r>
      <w:r>
        <w:rPr>
          <w:rFonts w:ascii="Arial" w:cs="Arial" w:eastAsia="Arial" w:hAnsi="Arial"/>
          <w:sz w:val="22"/>
          <w:szCs w:val="22"/>
          <w:color w:val="auto"/>
        </w:rPr>
        <w:t xml:space="preserve">), and in each case in accordance with the procedures set forth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96" w:lineRule="exact"/>
        <w:rPr>
          <w:sz w:val="20"/>
          <w:szCs w:val="20"/>
          <w:color w:val="auto"/>
        </w:rPr>
      </w:pPr>
    </w:p>
    <w:p>
      <w:pPr>
        <w:ind w:left="800" w:firstLine="789"/>
        <w:spacing w:after="0" w:line="328" w:lineRule="auto"/>
        <w:tabs>
          <w:tab w:leader="none" w:pos="2218"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not more than the percentage limitation specified in the “Maximum Loan Types” column of the Matrix (based on the combination of Matrix Inputs that are then applicable) consists of Eligible Second Lien Obligations;</w:t>
      </w:r>
    </w:p>
    <w:p>
      <w:pPr>
        <w:spacing w:after="0" w:line="212" w:lineRule="exact"/>
        <w:rPr>
          <w:rFonts w:ascii="Arial" w:cs="Arial" w:eastAsia="Arial" w:hAnsi="Arial"/>
          <w:sz w:val="19"/>
          <w:szCs w:val="19"/>
          <w:color w:val="auto"/>
        </w:rPr>
      </w:pPr>
    </w:p>
    <w:p>
      <w:pPr>
        <w:jc w:val="both"/>
        <w:ind w:left="800" w:firstLine="788"/>
        <w:spacing w:after="0"/>
        <w:tabs>
          <w:tab w:leader="none" w:pos="2225"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 more than the percentage limitation specified in the “Maximum Loan Types” column of the Matrix (based on the combination of Matrix Inputs that are then applicable) consists collectively of Eligible Second Lien Obligations and Senior B Loan Obligations;</w:t>
      </w:r>
    </w:p>
    <w:p>
      <w:pPr>
        <w:spacing w:after="0" w:line="294" w:lineRule="exact"/>
        <w:rPr>
          <w:rFonts w:ascii="Arial" w:cs="Arial" w:eastAsia="Arial" w:hAnsi="Arial"/>
          <w:sz w:val="22"/>
          <w:szCs w:val="22"/>
          <w:color w:val="auto"/>
        </w:rPr>
      </w:pPr>
    </w:p>
    <w:p>
      <w:pPr>
        <w:ind w:left="2140" w:hanging="561"/>
        <w:spacing w:after="0"/>
        <w:tabs>
          <w:tab w:leader="none" w:pos="2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 more than 10.00% consists of Fixed Rate Obligations;</w:t>
      </w:r>
    </w:p>
    <w:p>
      <w:pPr>
        <w:spacing w:after="0" w:line="314" w:lineRule="exact"/>
        <w:rPr>
          <w:rFonts w:ascii="Arial" w:cs="Arial" w:eastAsia="Arial" w:hAnsi="Arial"/>
          <w:sz w:val="22"/>
          <w:szCs w:val="22"/>
          <w:color w:val="auto"/>
        </w:rPr>
      </w:pPr>
    </w:p>
    <w:p>
      <w:pPr>
        <w:ind w:left="2160" w:hanging="581"/>
        <w:spacing w:after="0"/>
        <w:tabs>
          <w:tab w:leader="none" w:pos="21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 more than 5.00% consists of DIP Collateral Obligations;</w:t>
      </w:r>
    </w:p>
    <w:p>
      <w:pPr>
        <w:spacing w:after="0" w:line="314" w:lineRule="exact"/>
        <w:rPr>
          <w:rFonts w:ascii="Arial" w:cs="Arial" w:eastAsia="Arial" w:hAnsi="Arial"/>
          <w:sz w:val="22"/>
          <w:szCs w:val="22"/>
          <w:color w:val="auto"/>
        </w:rPr>
      </w:pPr>
    </w:p>
    <w:p>
      <w:pPr>
        <w:jc w:val="both"/>
        <w:ind w:left="800" w:firstLine="806"/>
        <w:spacing w:after="0" w:line="238" w:lineRule="auto"/>
        <w:tabs>
          <w:tab w:leader="none" w:pos="2333" w:val="left"/>
        </w:tabs>
        <w:numPr>
          <w:ilvl w:val="1"/>
          <w:numId w:val="30"/>
        </w:numPr>
        <w:rPr>
          <w:rFonts w:ascii="Arial" w:cs="Arial" w:eastAsia="Arial" w:hAnsi="Arial"/>
          <w:sz w:val="22"/>
          <w:szCs w:val="22"/>
          <w:color w:val="auto"/>
        </w:rPr>
      </w:pPr>
      <w:r>
        <w:rPr>
          <w:rFonts w:ascii="Arial" w:cs="Arial" w:eastAsia="Arial" w:hAnsi="Arial"/>
          <w:sz w:val="22"/>
          <w:szCs w:val="22"/>
          <w:color w:val="auto"/>
        </w:rPr>
        <w:t>not more than the percentage limitation specified in the “Maximum Obligor” column of the Matrix (based on the combination of Matrix Inputs that are then applicable) consists of obligations of the Obligor which, together with the Affiliates thereof, is the Obligor of the largest percentage of the Aggregate Collateral Balance of all the Collateral Loans;</w:t>
      </w:r>
    </w:p>
    <w:p>
      <w:pPr>
        <w:spacing w:after="0" w:line="292" w:lineRule="exact"/>
        <w:rPr>
          <w:rFonts w:ascii="Arial" w:cs="Arial" w:eastAsia="Arial" w:hAnsi="Arial"/>
          <w:sz w:val="22"/>
          <w:szCs w:val="22"/>
          <w:color w:val="auto"/>
        </w:rPr>
      </w:pPr>
    </w:p>
    <w:p>
      <w:pPr>
        <w:jc w:val="both"/>
        <w:ind w:left="800" w:firstLine="806"/>
        <w:spacing w:after="0" w:line="238" w:lineRule="auto"/>
        <w:tabs>
          <w:tab w:leader="none" w:pos="2314" w:val="left"/>
        </w:tabs>
        <w:numPr>
          <w:ilvl w:val="1"/>
          <w:numId w:val="30"/>
        </w:numPr>
        <w:rPr>
          <w:rFonts w:ascii="Arial" w:cs="Arial" w:eastAsia="Arial" w:hAnsi="Arial"/>
          <w:sz w:val="22"/>
          <w:szCs w:val="22"/>
          <w:color w:val="auto"/>
        </w:rPr>
      </w:pPr>
      <w:r>
        <w:rPr>
          <w:rFonts w:ascii="Arial" w:cs="Arial" w:eastAsia="Arial" w:hAnsi="Arial"/>
          <w:sz w:val="22"/>
          <w:szCs w:val="22"/>
          <w:color w:val="auto"/>
        </w:rPr>
        <w:t>not more than the percentage limitation specified in the “Maximum Obligor” column of the Matrix (based on the combination of Matrix Inputs that are then applicable) consists of obligations of any Obligor which, together with the Affiliates thereof, is an Obligor with the 2nd, 3rd, 4th, 5th or 6th largest percentage of the Aggregate Collateral Balance of all the Collateral Loans;</w:t>
      </w:r>
    </w:p>
    <w:p>
      <w:pPr>
        <w:spacing w:after="0" w:line="292" w:lineRule="exact"/>
        <w:rPr>
          <w:rFonts w:ascii="Arial" w:cs="Arial" w:eastAsia="Arial" w:hAnsi="Arial"/>
          <w:sz w:val="22"/>
          <w:szCs w:val="22"/>
          <w:color w:val="auto"/>
        </w:rPr>
      </w:pPr>
    </w:p>
    <w:p>
      <w:pPr>
        <w:jc w:val="both"/>
        <w:ind w:left="800" w:firstLine="805"/>
        <w:spacing w:after="0"/>
        <w:tabs>
          <w:tab w:leader="none" w:pos="2341"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not more than the percentage limitation specified in the “Maximum Obligor” column of the Matrix (based on the combination of Matrix Inputs that are then applicable) consists of obligations of any Obligor and any Affiliates thereof which is not described in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267" w:right="339" w:bottom="1440" w:gutter="0" w:footer="0" w:header="0"/>
        </w:sectPr>
      </w:pPr>
    </w:p>
    <w:bookmarkStart w:id="55" w:name="page56"/>
    <w:bookmarkEnd w:id="55"/>
    <w:p>
      <w:pPr>
        <w:ind w:right="20" w:firstLine="779"/>
        <w:spacing w:after="0" w:line="250" w:lineRule="auto"/>
        <w:tabs>
          <w:tab w:leader="none" w:pos="1361" w:val="left"/>
        </w:tabs>
        <w:numPr>
          <w:ilvl w:val="0"/>
          <w:numId w:val="31"/>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more than 15.00% consists of Collateral Loans whose Obligors are organized or incorporated outside of the United States (or any state, territory or possession thereof);</w:t>
      </w:r>
    </w:p>
    <w:p>
      <w:pPr>
        <w:spacing w:after="0" w:line="283" w:lineRule="exact"/>
        <w:rPr>
          <w:sz w:val="20"/>
          <w:szCs w:val="20"/>
          <w:color w:val="auto"/>
        </w:rPr>
      </w:pPr>
    </w:p>
    <w:p>
      <w:pPr>
        <w:ind w:left="1520" w:hanging="710"/>
        <w:spacing w:after="0"/>
        <w:tabs>
          <w:tab w:leader="none" w:pos="1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not more than 15.00% consists collectively of Revolving Collateral Loans and Delayed Drawdown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Collateral Loans;</w:t>
      </w:r>
    </w:p>
    <w:p>
      <w:pPr>
        <w:spacing w:after="0" w:line="296" w:lineRule="exact"/>
        <w:rPr>
          <w:rFonts w:ascii="Arial" w:cs="Arial" w:eastAsia="Arial" w:hAnsi="Arial"/>
          <w:sz w:val="19"/>
          <w:szCs w:val="19"/>
          <w:color w:val="auto"/>
        </w:rPr>
      </w:pPr>
    </w:p>
    <w:p>
      <w:pPr>
        <w:jc w:val="both"/>
        <w:ind w:firstLine="844"/>
        <w:spacing w:after="0" w:line="271" w:lineRule="auto"/>
        <w:tabs>
          <w:tab w:leader="none" w:pos="1763" w:val="left"/>
        </w:tabs>
        <w:numPr>
          <w:ilvl w:val="2"/>
          <w:numId w:val="32"/>
        </w:numPr>
        <w:rPr>
          <w:rFonts w:ascii="Arial" w:cs="Arial" w:eastAsia="Arial" w:hAnsi="Arial"/>
          <w:sz w:val="19"/>
          <w:szCs w:val="19"/>
          <w:color w:val="auto"/>
        </w:rPr>
      </w:pPr>
      <w:r>
        <w:rPr>
          <w:rFonts w:ascii="Arial" w:cs="Arial" w:eastAsia="Arial" w:hAnsi="Arial"/>
          <w:sz w:val="19"/>
          <w:szCs w:val="19"/>
          <w:color w:val="auto"/>
        </w:rPr>
        <w:t xml:space="preserve">not more than (1) 30.00% consists of Collateral Loans with Obligors in the “Healthcare &amp; Pharmaceuticals” Moody’s Industry Classification,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not more than 20.00% of the Collateral Loans may consist of Collateral Loans with Obligors in the “healthcare facilities” subcategory of the “Healthcare &amp; Pharmaceuticals” Moody’s Industry Classification (as determined in accordance with the Credit and Collection Policies), and (B) not more than 20.00% of the Collateral Loans may consist of Collateral Loans with Obligors in the “other healthcare” subcategory of the “Healthcare &amp; Pharmaceuticals” Moody’s Industry Classification (as determined in accordance with the Credit and Collection Policies), (2) 20.00% consists of Collateral Loans with Obligors in the largest Moody’s Industry Classification (measured as the Moody’s Industry Classification with the largest percentage of the Aggregate Collateral Balance of all the Collateral Loans and excluding the “Healthcare &amp; Pharmaceuticals” Moody’s Industry Classification),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more than 15.00% consists of Collateral Loans in either the “healthcare facilities” subcategory or the “other healthcare” subcategory of the “Healthcare &amp; Pharmaceuticals” Moody’s Industry Classification (each as determined in accordance with the Credit and Collection Policies) then this </w:t>
      </w:r>
      <w:r>
        <w:rPr>
          <w:rFonts w:ascii="Arial" w:cs="Arial" w:eastAsia="Arial" w:hAnsi="Arial"/>
          <w:sz w:val="19"/>
          <w:szCs w:val="19"/>
          <w:u w:val="single" w:color="auto"/>
          <w:color w:val="auto"/>
        </w:rPr>
        <w:t>subclause (2)</w:t>
      </w:r>
      <w:r>
        <w:rPr>
          <w:rFonts w:ascii="Arial" w:cs="Arial" w:eastAsia="Arial" w:hAnsi="Arial"/>
          <w:sz w:val="19"/>
          <w:szCs w:val="19"/>
          <w:color w:val="auto"/>
        </w:rPr>
        <w:t xml:space="preserve"> shall not apply and </w:t>
      </w:r>
      <w:r>
        <w:rPr>
          <w:rFonts w:ascii="Arial" w:cs="Arial" w:eastAsia="Arial" w:hAnsi="Arial"/>
          <w:sz w:val="19"/>
          <w:szCs w:val="19"/>
          <w:u w:val="single" w:color="auto"/>
          <w:color w:val="auto"/>
        </w:rPr>
        <w:t>subclause (3)</w:t>
      </w:r>
      <w:r>
        <w:rPr>
          <w:rFonts w:ascii="Arial" w:cs="Arial" w:eastAsia="Arial" w:hAnsi="Arial"/>
          <w:sz w:val="19"/>
          <w:szCs w:val="19"/>
          <w:color w:val="auto"/>
        </w:rPr>
        <w:t xml:space="preserve"> shall govern the largest Moody’s Industry Classification, and (3) 15.00% consists of Collateral Loans with Obligors in any other Moody’s Industry Classification;</w:t>
      </w:r>
    </w:p>
    <w:p>
      <w:pPr>
        <w:spacing w:after="0" w:line="200" w:lineRule="exact"/>
        <w:rPr>
          <w:rFonts w:ascii="Arial" w:cs="Arial" w:eastAsia="Arial" w:hAnsi="Arial"/>
          <w:sz w:val="19"/>
          <w:szCs w:val="19"/>
          <w:color w:val="auto"/>
        </w:rPr>
      </w:pPr>
    </w:p>
    <w:p>
      <w:pPr>
        <w:spacing w:after="0" w:line="318" w:lineRule="exact"/>
        <w:rPr>
          <w:rFonts w:ascii="Arial" w:cs="Arial" w:eastAsia="Arial" w:hAnsi="Arial"/>
          <w:sz w:val="19"/>
          <w:szCs w:val="19"/>
          <w:color w:val="auto"/>
        </w:rPr>
      </w:pPr>
    </w:p>
    <w:p>
      <w:pPr>
        <w:ind w:firstLine="795"/>
        <w:spacing w:after="0" w:line="250" w:lineRule="auto"/>
        <w:tabs>
          <w:tab w:leader="none" w:pos="1468" w:val="left"/>
        </w:tabs>
        <w:numPr>
          <w:ilvl w:val="2"/>
          <w:numId w:val="32"/>
        </w:numPr>
        <w:rPr>
          <w:rFonts w:ascii="Arial" w:cs="Arial" w:eastAsia="Arial" w:hAnsi="Arial"/>
          <w:sz w:val="22"/>
          <w:szCs w:val="22"/>
          <w:color w:val="auto"/>
        </w:rPr>
      </w:pPr>
      <w:r>
        <w:rPr>
          <w:rFonts w:ascii="Arial" w:cs="Arial" w:eastAsia="Arial" w:hAnsi="Arial"/>
          <w:sz w:val="22"/>
          <w:szCs w:val="22"/>
          <w:color w:val="auto"/>
        </w:rPr>
        <w:t>not more than 3.00% consists of Collateral Loans a portion of the consideration for which consists of warrants to purchase Equity Securities;</w:t>
      </w:r>
    </w:p>
    <w:p>
      <w:pPr>
        <w:spacing w:after="0" w:line="282" w:lineRule="exact"/>
        <w:rPr>
          <w:rFonts w:ascii="Arial" w:cs="Arial" w:eastAsia="Arial" w:hAnsi="Arial"/>
          <w:sz w:val="22"/>
          <w:szCs w:val="22"/>
          <w:color w:val="auto"/>
        </w:rPr>
      </w:pPr>
    </w:p>
    <w:p>
      <w:pPr>
        <w:ind w:left="1300" w:hanging="521"/>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not more than 5.00% consists of Current Pay Obligations;</w:t>
      </w:r>
    </w:p>
    <w:p>
      <w:pPr>
        <w:spacing w:after="0" w:line="314" w:lineRule="exact"/>
        <w:rPr>
          <w:sz w:val="20"/>
          <w:szCs w:val="20"/>
          <w:color w:val="auto"/>
        </w:rPr>
      </w:pPr>
    </w:p>
    <w:p>
      <w:pPr>
        <w:ind w:left="1360" w:hanging="635"/>
        <w:spacing w:after="0"/>
        <w:tabs>
          <w:tab w:leader="none" w:pos="13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not more than 15.00% consists of Collateral Loans that pay interest less frequently than quarterly;</w:t>
      </w:r>
    </w:p>
    <w:p>
      <w:pPr>
        <w:spacing w:after="0" w:line="325" w:lineRule="exact"/>
        <w:rPr>
          <w:rFonts w:ascii="Arial" w:cs="Arial" w:eastAsia="Arial" w:hAnsi="Arial"/>
          <w:sz w:val="21"/>
          <w:szCs w:val="21"/>
          <w:color w:val="auto"/>
        </w:rPr>
      </w:pPr>
    </w:p>
    <w:p>
      <w:pPr>
        <w:ind w:left="1500" w:hanging="700"/>
        <w:spacing w:after="0"/>
        <w:tabs>
          <w:tab w:leader="none" w:pos="15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not more than 25.00% consists of Single Covenant Obligations that are not also Broadly Syndicated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Loans;</w:t>
      </w:r>
    </w:p>
    <w:p>
      <w:pPr>
        <w:spacing w:after="0" w:line="296" w:lineRule="exact"/>
        <w:rPr>
          <w:sz w:val="20"/>
          <w:szCs w:val="20"/>
          <w:color w:val="auto"/>
        </w:rPr>
      </w:pPr>
    </w:p>
    <w:p>
      <w:pPr>
        <w:ind w:left="1360" w:hanging="581"/>
        <w:spacing w:after="0"/>
        <w:tabs>
          <w:tab w:leader="none" w:pos="13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not more than 5.00% consists of PIK Loans;</w:t>
      </w:r>
    </w:p>
    <w:p>
      <w:pPr>
        <w:spacing w:after="0" w:line="314" w:lineRule="exact"/>
        <w:rPr>
          <w:rFonts w:ascii="Arial" w:cs="Arial" w:eastAsia="Arial" w:hAnsi="Arial"/>
          <w:sz w:val="22"/>
          <w:szCs w:val="22"/>
          <w:color w:val="auto"/>
        </w:rPr>
      </w:pPr>
    </w:p>
    <w:p>
      <w:pPr>
        <w:ind w:left="4640" w:right="4400" w:hanging="3861"/>
        <w:spacing w:after="0" w:line="391" w:lineRule="auto"/>
        <w:tabs>
          <w:tab w:leader="none" w:pos="1351"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not more than 5.0% consists of Participation Interests; -15-</w:t>
      </w:r>
    </w:p>
    <w:p>
      <w:pPr>
        <w:sectPr>
          <w:pgSz w:w="11900" w:h="16838" w:orient="portrait"/>
          <w:cols w:equalWidth="0" w:num="1">
            <w:col w:w="10440"/>
          </w:cols>
          <w:pgMar w:left="1120" w:top="267" w:right="339" w:bottom="1440" w:gutter="0" w:footer="0" w:header="0"/>
        </w:sectPr>
      </w:pPr>
    </w:p>
    <w:bookmarkStart w:id="56" w:name="page57"/>
    <w:bookmarkEnd w:id="56"/>
    <w:p>
      <w:pPr>
        <w:jc w:val="both"/>
        <w:ind w:left="-320" w:firstLine="796"/>
        <w:spacing w:after="0"/>
        <w:tabs>
          <w:tab w:leader="none" w:pos="1158" w:val="left"/>
        </w:tabs>
        <w:numPr>
          <w:ilvl w:val="2"/>
          <w:numId w:val="36"/>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more than 15.0% consists of LBO Loans that, at the closing of such LBO Loan, have an Obligor with a Net Worth to Total Capital Ratio of less than 25.0%, calculated on a pro forma basis after giving effect to the acquisition and financing contemplated by such LBO Loan;</w:t>
      </w:r>
    </w:p>
    <w:p>
      <w:pPr>
        <w:spacing w:after="0" w:line="294" w:lineRule="exact"/>
        <w:rPr>
          <w:rFonts w:ascii="Arial" w:cs="Arial" w:eastAsia="Arial" w:hAnsi="Arial"/>
          <w:sz w:val="22"/>
          <w:szCs w:val="22"/>
          <w:color w:val="auto"/>
        </w:rPr>
      </w:pPr>
    </w:p>
    <w:p>
      <w:pPr>
        <w:jc w:val="both"/>
        <w:ind w:left="-320" w:firstLine="780"/>
        <w:spacing w:after="0" w:line="287" w:lineRule="auto"/>
        <w:tabs>
          <w:tab w:leader="none" w:pos="1013"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to the extent the addition of a Collateral Loan causes the Weighted Average Floating Spread to fall below the minimum Weighted Average Floating Spread set forth in the “Minimum Weighted Average Spread” column of the Matrix (based on the combination of Matrix Inputs that are then applicable), the portion of the Aggregate Collateral Balance attributable to all such Collateral Loans calculated pursuant to </w:t>
      </w:r>
      <w:r>
        <w:rPr>
          <w:rFonts w:ascii="Arial" w:cs="Arial" w:eastAsia="Arial" w:hAnsi="Arial"/>
          <w:sz w:val="19"/>
          <w:szCs w:val="19"/>
          <w:u w:val="single" w:color="auto"/>
          <w:color w:val="auto"/>
        </w:rPr>
        <w:t>Section 1.04(g)</w:t>
      </w:r>
      <w:r>
        <w:rPr>
          <w:rFonts w:ascii="Arial" w:cs="Arial" w:eastAsia="Arial" w:hAnsi="Arial"/>
          <w:sz w:val="19"/>
          <w:szCs w:val="19"/>
          <w:color w:val="auto"/>
        </w:rPr>
        <w:t xml:space="preserve"> hereof;</w:t>
      </w:r>
    </w:p>
    <w:p>
      <w:pPr>
        <w:spacing w:after="0" w:line="250" w:lineRule="exact"/>
        <w:rPr>
          <w:rFonts w:ascii="Arial" w:cs="Arial" w:eastAsia="Arial" w:hAnsi="Arial"/>
          <w:sz w:val="19"/>
          <w:szCs w:val="19"/>
          <w:color w:val="auto"/>
        </w:rPr>
      </w:pPr>
    </w:p>
    <w:p>
      <w:pPr>
        <w:jc w:val="both"/>
        <w:ind w:left="-320" w:firstLine="781"/>
        <w:spacing w:after="0"/>
        <w:tabs>
          <w:tab w:leader="none" w:pos="1029" w:val="left"/>
        </w:tabs>
        <w:numPr>
          <w:ilvl w:val="1"/>
          <w:numId w:val="37"/>
        </w:numPr>
        <w:rPr>
          <w:rFonts w:ascii="Arial" w:cs="Arial" w:eastAsia="Arial" w:hAnsi="Arial"/>
          <w:sz w:val="22"/>
          <w:szCs w:val="22"/>
          <w:color w:val="auto"/>
        </w:rPr>
      </w:pPr>
      <w:r>
        <w:rPr>
          <w:rFonts w:ascii="Arial" w:cs="Arial" w:eastAsia="Arial" w:hAnsi="Arial"/>
          <w:sz w:val="22"/>
          <w:szCs w:val="22"/>
          <w:color w:val="auto"/>
        </w:rPr>
        <w:t xml:space="preserve">to the extent the addition of a Collateral Loan causes the Weighted Average Coupon to fall below 8.00%, the portion of the Aggregate Collateral Balance attributable to all such Collateral Loans calculated pursuant to </w:t>
      </w:r>
      <w:r>
        <w:rPr>
          <w:rFonts w:ascii="Arial" w:cs="Arial" w:eastAsia="Arial" w:hAnsi="Arial"/>
          <w:sz w:val="22"/>
          <w:szCs w:val="22"/>
          <w:u w:val="single" w:color="auto"/>
          <w:color w:val="auto"/>
        </w:rPr>
        <w:t>Section 1.04(g)</w:t>
      </w:r>
      <w:r>
        <w:rPr>
          <w:rFonts w:ascii="Arial" w:cs="Arial" w:eastAsia="Arial" w:hAnsi="Arial"/>
          <w:sz w:val="22"/>
          <w:szCs w:val="22"/>
          <w:color w:val="auto"/>
        </w:rPr>
        <w:t xml:space="preserve"> hereof;</w:t>
      </w:r>
    </w:p>
    <w:p>
      <w:pPr>
        <w:spacing w:after="0" w:line="294" w:lineRule="exact"/>
        <w:rPr>
          <w:rFonts w:ascii="Arial" w:cs="Arial" w:eastAsia="Arial" w:hAnsi="Arial"/>
          <w:sz w:val="22"/>
          <w:szCs w:val="22"/>
          <w:color w:val="auto"/>
        </w:rPr>
      </w:pPr>
    </w:p>
    <w:p>
      <w:pPr>
        <w:jc w:val="both"/>
        <w:ind w:left="-320" w:right="20" w:firstLine="792"/>
        <w:spacing w:after="0"/>
        <w:tabs>
          <w:tab w:leader="none" w:pos="1080" w:val="left"/>
        </w:tabs>
        <w:numPr>
          <w:ilvl w:val="2"/>
          <w:numId w:val="37"/>
        </w:numPr>
        <w:rPr>
          <w:rFonts w:ascii="Arial" w:cs="Arial" w:eastAsia="Arial" w:hAnsi="Arial"/>
          <w:sz w:val="22"/>
          <w:szCs w:val="22"/>
          <w:color w:val="auto"/>
        </w:rPr>
      </w:pPr>
      <w:r>
        <w:rPr>
          <w:rFonts w:ascii="Arial" w:cs="Arial" w:eastAsia="Arial" w:hAnsi="Arial"/>
          <w:sz w:val="22"/>
          <w:szCs w:val="22"/>
          <w:color w:val="auto"/>
        </w:rPr>
        <w:t xml:space="preserve">to the extent the addition of a Collateral Loan causes the Weighted Average Life to be greater than 6.0 years, the portion of the Aggregate Collateral Balance attributable to all such Collateral Loans calculated pursuant to </w:t>
      </w:r>
      <w:r>
        <w:rPr>
          <w:rFonts w:ascii="Arial" w:cs="Arial" w:eastAsia="Arial" w:hAnsi="Arial"/>
          <w:sz w:val="22"/>
          <w:szCs w:val="22"/>
          <w:u w:val="single" w:color="auto"/>
          <w:color w:val="auto"/>
        </w:rPr>
        <w:t>Section 1.04(g)</w:t>
      </w:r>
      <w:r>
        <w:rPr>
          <w:rFonts w:ascii="Arial" w:cs="Arial" w:eastAsia="Arial" w:hAnsi="Arial"/>
          <w:sz w:val="22"/>
          <w:szCs w:val="22"/>
          <w:color w:val="auto"/>
        </w:rPr>
        <w:t xml:space="preserve"> hereof;</w:t>
      </w:r>
    </w:p>
    <w:p>
      <w:pPr>
        <w:spacing w:after="0" w:line="294" w:lineRule="exact"/>
        <w:rPr>
          <w:rFonts w:ascii="Arial" w:cs="Arial" w:eastAsia="Arial" w:hAnsi="Arial"/>
          <w:sz w:val="22"/>
          <w:szCs w:val="22"/>
          <w:color w:val="auto"/>
        </w:rPr>
      </w:pPr>
    </w:p>
    <w:p>
      <w:pPr>
        <w:ind w:left="-320" w:right="20" w:firstLine="800"/>
        <w:spacing w:after="0" w:line="250" w:lineRule="auto"/>
        <w:tabs>
          <w:tab w:leader="none" w:pos="1187" w:val="left"/>
        </w:tabs>
        <w:numPr>
          <w:ilvl w:val="2"/>
          <w:numId w:val="37"/>
        </w:numPr>
        <w:rPr>
          <w:rFonts w:ascii="Arial" w:cs="Arial" w:eastAsia="Arial" w:hAnsi="Arial"/>
          <w:sz w:val="22"/>
          <w:szCs w:val="22"/>
          <w:color w:val="auto"/>
        </w:rPr>
      </w:pPr>
      <w:r>
        <w:rPr>
          <w:rFonts w:ascii="Arial" w:cs="Arial" w:eastAsia="Arial" w:hAnsi="Arial"/>
          <w:sz w:val="22"/>
          <w:szCs w:val="22"/>
          <w:color w:val="auto"/>
        </w:rPr>
        <w:t>not more than 15.0% consists of Collateral Loans that have an Obligor with a trailing twelve-month EBITDA of less than the Dollar Equivalent of $15,000,000;</w:t>
      </w:r>
    </w:p>
    <w:p>
      <w:pPr>
        <w:spacing w:after="0" w:line="282" w:lineRule="exact"/>
        <w:rPr>
          <w:rFonts w:ascii="Arial" w:cs="Arial" w:eastAsia="Arial" w:hAnsi="Arial"/>
          <w:sz w:val="22"/>
          <w:szCs w:val="22"/>
          <w:color w:val="auto"/>
        </w:rPr>
      </w:pPr>
    </w:p>
    <w:p>
      <w:pPr>
        <w:jc w:val="both"/>
        <w:ind w:left="-320" w:firstLine="788"/>
        <w:spacing w:after="0" w:line="274" w:lineRule="auto"/>
        <w:tabs>
          <w:tab w:leader="none" w:pos="1101" w:val="left"/>
        </w:tabs>
        <w:numPr>
          <w:ilvl w:val="2"/>
          <w:numId w:val="37"/>
        </w:numPr>
        <w:rPr>
          <w:rFonts w:ascii="Arial" w:cs="Arial" w:eastAsia="Arial" w:hAnsi="Arial"/>
          <w:sz w:val="19"/>
          <w:szCs w:val="19"/>
          <w:color w:val="auto"/>
        </w:rPr>
      </w:pPr>
      <w:r>
        <w:rPr>
          <w:rFonts w:ascii="Arial" w:cs="Arial" w:eastAsia="Arial" w:hAnsi="Arial"/>
          <w:sz w:val="19"/>
          <w:szCs w:val="19"/>
          <w:color w:val="auto"/>
        </w:rPr>
        <w:t xml:space="preserve">not more than 15.0% consists of Collateral Loans (other than Uni-Tranche Loans) that have an Obligor with a trailing twelve-month senior debt to EBITDA ratio of greater than 4.25x,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with respect to any Collateral Loans (other than Uni-Tranche Loans) that have an Obligor with a trailing twelve-month EBITDA of less than the Dollar Equivalent of $20,000,000, this Concentration Limitation will be measured based on and apply as a limitation to Collateral Loans (other than Uni-Tranche Loans) with a trailing twelve-month senior debt to EBITDA ratio of greater than 3.75x,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notwithstanding the foregoing proviso, with respect to any Collateral Loans (other than Uni-Tranche Loans) that have an Obligor that is a Special Obligor, this Concentration Limitation will be measured based on and apply as a limitation to Collateral Loans (other than Uni-Tranche Loans) with a trailing twelve-month senior debt to EBITDA ratio of greater than 4.75x;</w:t>
      </w:r>
    </w:p>
    <w:p>
      <w:pPr>
        <w:spacing w:after="0" w:line="266" w:lineRule="exact"/>
        <w:rPr>
          <w:rFonts w:ascii="Arial" w:cs="Arial" w:eastAsia="Arial" w:hAnsi="Arial"/>
          <w:sz w:val="19"/>
          <w:szCs w:val="19"/>
          <w:color w:val="auto"/>
        </w:rPr>
      </w:pPr>
    </w:p>
    <w:p>
      <w:pPr>
        <w:jc w:val="both"/>
        <w:ind w:left="-320" w:firstLine="725"/>
        <w:spacing w:after="0" w:line="246" w:lineRule="auto"/>
        <w:tabs>
          <w:tab w:leader="none" w:pos="1042"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not more than 15.0% consists of Collateral Loans that have an Obligor with a trailing twelve-month total debt to EBITDA ratio of greater than 6.00x,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with respect to any Collateral Loans that have an Obligor with a trailing twelve-month EBITDA of less than the Dollar Equivalent of $20,000,000 this Concentration Limitation will be measured based on and apply as a limitation to Collateral Loans with a trailing twelve-month total debt to EBITDA ratio of greater than 5.00x,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notwithstanding the foregoing proviso, with respect to any Collateral Loans that have an Obligor that is a Special Obligor, this Concentration Limitation will be measured based on and apply as a limitation to Collateral Loans with a trailing twelve-month total debt to EBITDA ratio of greater than 6.25x;</w:t>
      </w:r>
    </w:p>
    <w:p>
      <w:pPr>
        <w:spacing w:after="0" w:line="11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20"/>
          </w:cols>
          <w:pgMar w:left="1440" w:top="267" w:right="339" w:bottom="1440" w:gutter="0" w:footer="0" w:header="0"/>
        </w:sectPr>
      </w:pPr>
    </w:p>
    <w:bookmarkStart w:id="57" w:name="page58"/>
    <w:bookmarkEnd w:id="57"/>
    <w:p>
      <w:pPr>
        <w:jc w:val="both"/>
        <w:ind w:left="800" w:firstLine="781"/>
        <w:spacing w:after="0" w:line="245" w:lineRule="auto"/>
        <w:tabs>
          <w:tab w:leader="none" w:pos="2285" w:val="left"/>
        </w:tabs>
        <w:numPr>
          <w:ilvl w:val="0"/>
          <w:numId w:val="39"/>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more than 15.0% of the Collateral Loans which constitute Uni-Tranche Loans consists of Collateral Loans that have an Obligor with a trailing twelve-month total debt to EBITDA ratio of greater than 5.25x,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with respect to any Collateral Loans that constitute Uni-Tranche Loans and that have an Obligor with a</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trailing twelve-month EBITDA of less than the Dollar Equivalent of $20,000,000 this Concentration Limitation will be measured based on and apply as a limitation to Collateral Loans which constitute Uni-Tranche Loans that have a trailing twelve-month total debt to EBITDA ratio of greater than 4.50x,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notwithstanding the foregoing proviso, with respect to any Collateral Loans that have an Obligor that is a Special Obligor, this Concentration Limitation will be measured based on and apply as a limitation to Collateral Loans with a trailing twelve-month total debt to EBITDA ratio of greater than 5.25x;</w:t>
      </w:r>
    </w:p>
    <w:p>
      <w:pPr>
        <w:spacing w:after="0" w:line="292" w:lineRule="exact"/>
        <w:rPr>
          <w:rFonts w:ascii="Arial" w:cs="Arial" w:eastAsia="Arial" w:hAnsi="Arial"/>
          <w:sz w:val="21"/>
          <w:szCs w:val="21"/>
          <w:color w:val="auto"/>
        </w:rPr>
      </w:pPr>
    </w:p>
    <w:p>
      <w:pPr>
        <w:ind w:left="2260" w:hanging="681"/>
        <w:spacing w:after="0"/>
        <w:tabs>
          <w:tab w:leader="none" w:pos="22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not more than 15.00% consists of Eligible Covenant Lite Loans;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with respect to the calculations of the ratios set forth in the foregoing</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clauses (u), (v), (w), and (x)</w:t>
      </w:r>
      <w:r>
        <w:rPr>
          <w:rFonts w:ascii="Arial" w:cs="Arial" w:eastAsia="Arial" w:hAnsi="Arial"/>
          <w:sz w:val="22"/>
          <w:szCs w:val="22"/>
          <w:color w:val="auto"/>
        </w:rPr>
        <w:t>:</w:t>
      </w:r>
    </w:p>
    <w:p>
      <w:pPr>
        <w:spacing w:after="0" w:line="314" w:lineRule="exact"/>
        <w:rPr>
          <w:sz w:val="20"/>
          <w:szCs w:val="20"/>
          <w:color w:val="auto"/>
        </w:rPr>
      </w:pPr>
    </w:p>
    <w:p>
      <w:pPr>
        <w:jc w:val="both"/>
        <w:ind w:left="1700" w:firstLine="784"/>
        <w:spacing w:after="0" w:line="236" w:lineRule="auto"/>
        <w:tabs>
          <w:tab w:leader="none" w:pos="30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the case of an Obligor that has acquired a business (whether through an asset acquisition, a merger or otherwise), the trailing twelve-month debt to EBITDA ratio(s) shall be calculated based on the trailing twelve-month EBITDA figures for the consolidated business, after giving pro forma effect to the transactions resulting in such acquisition, plus the results of any portion of such trailing twelve-month period elapsing after the date of such acquisition;</w:t>
      </w:r>
    </w:p>
    <w:p>
      <w:pPr>
        <w:spacing w:after="0" w:line="295" w:lineRule="exact"/>
        <w:rPr>
          <w:rFonts w:ascii="Arial" w:cs="Arial" w:eastAsia="Arial" w:hAnsi="Arial"/>
          <w:sz w:val="22"/>
          <w:szCs w:val="22"/>
          <w:color w:val="auto"/>
        </w:rPr>
      </w:pPr>
    </w:p>
    <w:p>
      <w:pPr>
        <w:jc w:val="both"/>
        <w:ind w:left="1700" w:firstLine="727"/>
        <w:spacing w:after="0" w:line="238" w:lineRule="auto"/>
        <w:tabs>
          <w:tab w:leader="none" w:pos="3092"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an Obligor does not have trailing twelve-month EBITDA figures due to the fact that it has not been in existence for twelve months (and clause (i) above is not applicable), then the trailing twelve-month debt to EBITDA ratio(s) shall be calculated based on any available trailing EBITDA figures and projected EBITDA for the remainder of the twelve-month period; and</w:t>
      </w:r>
    </w:p>
    <w:p>
      <w:pPr>
        <w:spacing w:after="0" w:line="292" w:lineRule="exact"/>
        <w:rPr>
          <w:rFonts w:ascii="Arial" w:cs="Arial" w:eastAsia="Arial" w:hAnsi="Arial"/>
          <w:sz w:val="22"/>
          <w:szCs w:val="22"/>
          <w:color w:val="auto"/>
        </w:rPr>
      </w:pPr>
    </w:p>
    <w:p>
      <w:pPr>
        <w:jc w:val="both"/>
        <w:ind w:left="1700" w:firstLine="661"/>
        <w:spacing w:after="0" w:line="287" w:lineRule="auto"/>
        <w:tabs>
          <w:tab w:leader="none" w:pos="3378"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for any Collateral Loan, each such ratio shall be calculated in accordance with the corresponding ratio in the underlying Related Documents for such Collateral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Collateral Loan does not have a corresponding ratio in the underlying Related Documents applicable to such Collateral Loan, such ratio shall not be calculated on a basis that takes into account any Unrestricted Cash.</w:t>
      </w:r>
    </w:p>
    <w:p>
      <w:pPr>
        <w:spacing w:after="0" w:line="251"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i w:val="1"/>
          <w:iCs w:val="1"/>
          <w:color w:val="auto"/>
        </w:rPr>
        <w:t xml:space="preserve">“Consolidated EBITDA” </w:t>
      </w:r>
      <w:r>
        <w:rPr>
          <w:rFonts w:ascii="Arial" w:cs="Arial" w:eastAsia="Arial" w:hAnsi="Arial"/>
          <w:sz w:val="22"/>
          <w:szCs w:val="22"/>
          <w:color w:val="auto"/>
        </w:rPr>
        <w:t>means, for any period, for the Collateral Manager and its subsidiaries on a consolidated basis,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 amount equal to consolidated net income for such period </w:t>
      </w:r>
      <w:r>
        <w:rPr>
          <w:rFonts w:ascii="Arial" w:cs="Arial" w:eastAsia="Arial" w:hAnsi="Arial"/>
          <w:sz w:val="22"/>
          <w:szCs w:val="22"/>
          <w:i w:val="1"/>
          <w:iCs w:val="1"/>
          <w:color w:val="auto"/>
        </w:rPr>
        <w:t>plus</w:t>
      </w:r>
      <w:r>
        <w:rPr>
          <w:rFonts w:ascii="Arial" w:cs="Arial" w:eastAsia="Arial" w:hAnsi="Arial"/>
          <w:sz w:val="22"/>
          <w:szCs w:val="22"/>
          <w:color w:val="auto"/>
        </w:rPr>
        <w:t xml:space="preserve"> (a) the following, to the extent deducted in calculating such consolidated net income: (i) consolidated interest charges for such period, (ii) the provision for federal, state, local and foreign income taxes payable by the Collateral Manager and its subsidiaries for such period, (iii) depreciation and amortization expense and (iv) other non-recurring expenses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267" w:right="339" w:bottom="1440" w:gutter="0" w:footer="0" w:header="0"/>
        </w:sectPr>
      </w:pPr>
    </w:p>
    <w:bookmarkStart w:id="58" w:name="page59"/>
    <w:bookmarkEnd w:id="58"/>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Manager and its subsidiaries reducing such consolidated net income which do not represent a cash item in such period or any future period and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following to the extent included in calculating such consolidated net income: (i) federal, state, local and foreign income tax credits of the Collateral Manager and its subsidiaries for such period and (ii) all non-cash items increasing consolidated net income for such period.</w:t>
      </w:r>
    </w:p>
    <w:p>
      <w:pPr>
        <w:spacing w:after="0" w:line="293" w:lineRule="exact"/>
        <w:rPr>
          <w:sz w:val="20"/>
          <w:szCs w:val="20"/>
          <w:color w:val="auto"/>
        </w:rPr>
      </w:pPr>
    </w:p>
    <w:p>
      <w:pPr>
        <w:jc w:val="both"/>
        <w:ind w:firstLine="786"/>
        <w:spacing w:after="0" w:line="270" w:lineRule="auto"/>
        <w:rPr>
          <w:sz w:val="20"/>
          <w:szCs w:val="20"/>
          <w:color w:val="auto"/>
        </w:rPr>
      </w:pPr>
      <w:r>
        <w:rPr>
          <w:rFonts w:ascii="Arial" w:cs="Arial" w:eastAsia="Arial" w:hAnsi="Arial"/>
          <w:sz w:val="19"/>
          <w:szCs w:val="19"/>
          <w:i w:val="1"/>
          <w:iCs w:val="1"/>
          <w:color w:val="auto"/>
        </w:rPr>
        <w:t xml:space="preserve">“Consolidated Funded Indebtedness” </w:t>
      </w:r>
      <w:r>
        <w:rPr>
          <w:rFonts w:ascii="Arial" w:cs="Arial" w:eastAsia="Arial" w:hAnsi="Arial"/>
          <w:sz w:val="19"/>
          <w:szCs w:val="19"/>
          <w:color w:val="auto"/>
        </w:rPr>
        <w:t>means, as of any date of determination, for the Collateral Manager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on a consolidated basis, the sum of (a) the outstanding principal amount of all obligations, whether current or long-term, for borrowed money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(other than trade accounts payable in the ordinary course of business),</w:t>
      </w:r>
    </w:p>
    <w:p>
      <w:pPr>
        <w:spacing w:after="0" w:line="1" w:lineRule="exact"/>
        <w:rPr>
          <w:sz w:val="20"/>
          <w:szCs w:val="20"/>
          <w:color w:val="auto"/>
        </w:rPr>
      </w:pPr>
    </w:p>
    <w:p>
      <w:pPr>
        <w:jc w:val="both"/>
        <w:ind w:firstLine="8"/>
        <w:spacing w:after="0" w:line="232" w:lineRule="auto"/>
        <w:tabs>
          <w:tab w:leader="none" w:pos="318"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attributable indebtedness in respect of capital leases and synthetic lease obligations, (f) without duplication, all guarantees with respect to outstanding indebtedness of the types specified in </w:t>
      </w:r>
      <w:r>
        <w:rPr>
          <w:rFonts w:ascii="Arial" w:cs="Arial" w:eastAsia="Arial" w:hAnsi="Arial"/>
          <w:sz w:val="22"/>
          <w:szCs w:val="22"/>
          <w:u w:val="single" w:color="auto"/>
          <w:color w:val="auto"/>
        </w:rPr>
        <w:t>clauses (a) through (e)</w:t>
      </w:r>
      <w:r>
        <w:rPr>
          <w:rFonts w:ascii="Arial" w:cs="Arial" w:eastAsia="Arial" w:hAnsi="Arial"/>
          <w:sz w:val="22"/>
          <w:szCs w:val="22"/>
          <w:color w:val="auto"/>
        </w:rPr>
        <w:t xml:space="preserve"> above of persons other than the Collateral Manager or any subsidiary, and (g) all indebtedness of the types referred to in </w:t>
      </w:r>
      <w:r>
        <w:rPr>
          <w:rFonts w:ascii="Arial" w:cs="Arial" w:eastAsia="Arial" w:hAnsi="Arial"/>
          <w:sz w:val="22"/>
          <w:szCs w:val="22"/>
          <w:u w:val="single" w:color="auto"/>
          <w:color w:val="auto"/>
        </w:rPr>
        <w:t>clauses (a) through (f)</w:t>
      </w:r>
      <w:r>
        <w:rPr>
          <w:rFonts w:ascii="Arial" w:cs="Arial" w:eastAsia="Arial" w:hAnsi="Arial"/>
          <w:sz w:val="22"/>
          <w:szCs w:val="22"/>
          <w:color w:val="auto"/>
        </w:rPr>
        <w:t xml:space="preserve"> above of any partnership or joint venture (other than a joint venture that is itself a corporation or limited liability company) in which the Collateral Manager or a subsidiary is a general partner or joint venturer, unless such indebtedness is expressly made non-recourse to the Collateral Manager or such subsidiary.</w:t>
      </w:r>
    </w:p>
    <w:p>
      <w:pPr>
        <w:spacing w:after="0" w:line="297" w:lineRule="exact"/>
        <w:rPr>
          <w:sz w:val="20"/>
          <w:szCs w:val="20"/>
          <w:color w:val="auto"/>
        </w:rPr>
      </w:pPr>
    </w:p>
    <w:p>
      <w:pPr>
        <w:jc w:val="both"/>
        <w:ind w:firstLine="786"/>
        <w:spacing w:after="0" w:line="274" w:lineRule="auto"/>
        <w:rPr>
          <w:sz w:val="20"/>
          <w:szCs w:val="20"/>
          <w:color w:val="auto"/>
        </w:rPr>
      </w:pPr>
      <w:r>
        <w:rPr>
          <w:rFonts w:ascii="Arial" w:cs="Arial" w:eastAsia="Arial" w:hAnsi="Arial"/>
          <w:sz w:val="21"/>
          <w:szCs w:val="21"/>
          <w:i w:val="1"/>
          <w:iCs w:val="1"/>
          <w:color w:val="auto"/>
        </w:rPr>
        <w:t xml:space="preserve">“Consolidated Leverage Ratio” </w:t>
      </w:r>
      <w:r>
        <w:rPr>
          <w:rFonts w:ascii="Arial" w:cs="Arial" w:eastAsia="Arial" w:hAnsi="Arial"/>
          <w:sz w:val="21"/>
          <w:szCs w:val="21"/>
          <w:color w:val="auto"/>
        </w:rPr>
        <w:t>means, as of any date of determination, the ratio of (a) Consolidated Funded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Indebtedness as of such date </w:t>
      </w:r>
      <w:r>
        <w:rPr>
          <w:rFonts w:ascii="Arial" w:cs="Arial" w:eastAsia="Arial" w:hAnsi="Arial"/>
          <w:sz w:val="21"/>
          <w:szCs w:val="21"/>
          <w:i w:val="1"/>
          <w:iCs w:val="1"/>
          <w:color w:val="auto"/>
        </w:rPr>
        <w:t>to</w:t>
      </w:r>
      <w:r>
        <w:rPr>
          <w:rFonts w:ascii="Arial" w:cs="Arial" w:eastAsia="Arial" w:hAnsi="Arial"/>
          <w:sz w:val="21"/>
          <w:szCs w:val="21"/>
          <w:color w:val="auto"/>
        </w:rPr>
        <w:t xml:space="preserve"> (b) Consolidated EBITDA for the period of the four fiscal quarters most recently ended.</w:t>
      </w:r>
    </w:p>
    <w:p>
      <w:pPr>
        <w:spacing w:after="0" w:line="259" w:lineRule="exact"/>
        <w:rPr>
          <w:sz w:val="20"/>
          <w:szCs w:val="20"/>
          <w:color w:val="auto"/>
        </w:rPr>
      </w:pPr>
    </w:p>
    <w:p>
      <w:pPr>
        <w:jc w:val="both"/>
        <w:ind w:firstLine="786"/>
        <w:spacing w:after="0" w:line="248" w:lineRule="auto"/>
        <w:rPr>
          <w:sz w:val="20"/>
          <w:szCs w:val="20"/>
          <w:color w:val="auto"/>
        </w:rPr>
      </w:pPr>
      <w:r>
        <w:rPr>
          <w:rFonts w:ascii="Arial" w:cs="Arial" w:eastAsia="Arial" w:hAnsi="Arial"/>
          <w:sz w:val="21"/>
          <w:szCs w:val="21"/>
          <w:i w:val="1"/>
          <w:iCs w:val="1"/>
          <w:color w:val="auto"/>
        </w:rPr>
        <w:t xml:space="preserve">“Constituent Documents” </w:t>
      </w:r>
      <w:r>
        <w:rPr>
          <w:rFonts w:ascii="Arial" w:cs="Arial" w:eastAsia="Arial" w:hAnsi="Arial"/>
          <w:sz w:val="21"/>
          <w:szCs w:val="21"/>
          <w:color w:val="auto"/>
        </w:rPr>
        <w:t>means in respect of any Person, the certificate or articles of formation or organization, the</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liability company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285"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“Control” </w:t>
      </w:r>
      <w:r>
        <w:rPr>
          <w:rFonts w:ascii="Arial" w:cs="Arial" w:eastAsia="Arial" w:hAnsi="Arial"/>
          <w:sz w:val="22"/>
          <w:szCs w:val="22"/>
          <w:color w:val="auto"/>
        </w:rPr>
        <w:t>means the direct or indirect possession of the power to direct or cause the direction of the management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policies of a Person, whether through ownership, by contract, arrangement or understanding, or otherwise. </w:t>
      </w:r>
      <w:r>
        <w:rPr>
          <w:rFonts w:ascii="Arial" w:cs="Arial" w:eastAsia="Arial" w:hAnsi="Arial"/>
          <w:sz w:val="22"/>
          <w:szCs w:val="22"/>
          <w:i w:val="1"/>
          <w:iCs w:val="1"/>
          <w:color w:val="auto"/>
        </w:rPr>
        <w:t>“Controlled”</w:t>
      </w:r>
      <w:r>
        <w:rPr>
          <w:rFonts w:ascii="Arial" w:cs="Arial" w:eastAsia="Arial" w:hAnsi="Arial"/>
          <w:sz w:val="22"/>
          <w:szCs w:val="22"/>
          <w:color w:val="auto"/>
        </w:rPr>
        <w:t xml:space="preserve"> and </w:t>
      </w:r>
      <w:r>
        <w:rPr>
          <w:rFonts w:ascii="Arial" w:cs="Arial" w:eastAsia="Arial" w:hAnsi="Arial"/>
          <w:sz w:val="22"/>
          <w:szCs w:val="22"/>
          <w:i w:val="1"/>
          <w:iCs w:val="1"/>
          <w:color w:val="auto"/>
        </w:rPr>
        <w:t xml:space="preserve">“Controlling” </w:t>
      </w:r>
      <w:r>
        <w:rPr>
          <w:rFonts w:ascii="Arial" w:cs="Arial" w:eastAsia="Arial" w:hAnsi="Arial"/>
          <w:sz w:val="22"/>
          <w:szCs w:val="22"/>
          <w:color w:val="auto"/>
        </w:rPr>
        <w:t>have the meaning correlative thereto.</w:t>
      </w:r>
    </w:p>
    <w:p>
      <w:pPr>
        <w:spacing w:after="0" w:line="294"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i w:val="1"/>
          <w:iCs w:val="1"/>
          <w:color w:val="auto"/>
        </w:rPr>
        <w:t xml:space="preserve">“Corporate Trust Office” </w:t>
      </w:r>
      <w:r>
        <w:rPr>
          <w:rFonts w:ascii="Arial" w:cs="Arial" w:eastAsia="Arial" w:hAnsi="Arial"/>
          <w:sz w:val="21"/>
          <w:szCs w:val="21"/>
          <w:color w:val="auto"/>
        </w:rPr>
        <w:t>means the applicable designated corporate trust office of the Collateral Agent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Collateral Administrator specified on Schedule 6 hereto or such other address within the United States as the Collateral Agent and the Collateral Administrator may designate from time to time by notice to the Administrative Agent.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267" w:right="339" w:bottom="1440" w:gutter="0" w:footer="0" w:header="0"/>
        </w:sectPr>
      </w:pPr>
    </w:p>
    <w:bookmarkStart w:id="59" w:name="page60"/>
    <w:bookmarkEnd w:id="59"/>
    <w:p>
      <w:pPr>
        <w:jc w:val="both"/>
        <w:ind w:firstLine="786"/>
        <w:spacing w:after="0" w:line="245" w:lineRule="auto"/>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“Covenant Lite Loan” </w:t>
      </w:r>
      <w:r>
        <w:rPr>
          <w:rFonts w:ascii="Arial" w:cs="Arial" w:eastAsia="Arial" w:hAnsi="Arial"/>
          <w:sz w:val="21"/>
          <w:szCs w:val="21"/>
          <w:color w:val="auto"/>
        </w:rPr>
        <w:t>means a Collateral Loan that (i) does not require the Obligor to comply with at least one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or (ii) (A) 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 (B) is not a Single Covenant Obligation.</w:t>
      </w:r>
    </w:p>
    <w:p>
      <w:pPr>
        <w:spacing w:after="0" w:line="289"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“Coverage Test” </w:t>
      </w:r>
      <w:r>
        <w:rPr>
          <w:rFonts w:ascii="Arial" w:cs="Arial" w:eastAsia="Arial" w:hAnsi="Arial"/>
          <w:sz w:val="22"/>
          <w:szCs w:val="22"/>
          <w:color w:val="auto"/>
        </w:rPr>
        <w:t>means each of (i) the Maximum Advance Rate Test, (ii) each Currency Borrowing Base Test, and</w:t>
      </w:r>
      <w:r>
        <w:rPr>
          <w:rFonts w:ascii="Arial" w:cs="Arial" w:eastAsia="Arial" w:hAnsi="Arial"/>
          <w:sz w:val="22"/>
          <w:szCs w:val="22"/>
          <w:i w:val="1"/>
          <w:iCs w:val="1"/>
          <w:color w:val="auto"/>
        </w:rPr>
        <w:t xml:space="preserve"> </w:t>
      </w:r>
      <w:r>
        <w:rPr>
          <w:rFonts w:ascii="Arial" w:cs="Arial" w:eastAsia="Arial" w:hAnsi="Arial"/>
          <w:sz w:val="22"/>
          <w:szCs w:val="22"/>
          <w:color w:val="auto"/>
        </w:rPr>
        <w:t>(iii) the Interest Coverage Ratio Test.</w:t>
      </w:r>
    </w:p>
    <w:p>
      <w:pPr>
        <w:spacing w:after="0" w:line="283" w:lineRule="exact"/>
        <w:rPr>
          <w:sz w:val="20"/>
          <w:szCs w:val="20"/>
          <w:color w:val="auto"/>
        </w:rPr>
      </w:pPr>
    </w:p>
    <w:p>
      <w:pPr>
        <w:jc w:val="both"/>
        <w:ind w:right="20" w:firstLine="786"/>
        <w:spacing w:after="0" w:line="328" w:lineRule="auto"/>
        <w:rPr>
          <w:sz w:val="20"/>
          <w:szCs w:val="20"/>
          <w:color w:val="auto"/>
        </w:rPr>
      </w:pPr>
      <w:r>
        <w:rPr>
          <w:rFonts w:ascii="Arial" w:cs="Arial" w:eastAsia="Arial" w:hAnsi="Arial"/>
          <w:sz w:val="19"/>
          <w:szCs w:val="19"/>
          <w:i w:val="1"/>
          <w:iCs w:val="1"/>
          <w:color w:val="auto"/>
        </w:rPr>
        <w:t xml:space="preserve">“Covered Account” </w:t>
      </w:r>
      <w:r>
        <w:rPr>
          <w:rFonts w:ascii="Arial" w:cs="Arial" w:eastAsia="Arial" w:hAnsi="Arial"/>
          <w:sz w:val="19"/>
          <w:szCs w:val="19"/>
          <w:color w:val="auto"/>
        </w:rPr>
        <w:t>means each of the Collection Account (including each Interest Collection Subaccount and Principal</w:t>
      </w:r>
      <w:r>
        <w:rPr>
          <w:rFonts w:ascii="Arial" w:cs="Arial" w:eastAsia="Arial" w:hAnsi="Arial"/>
          <w:sz w:val="19"/>
          <w:szCs w:val="19"/>
          <w:i w:val="1"/>
          <w:iCs w:val="1"/>
          <w:color w:val="auto"/>
        </w:rPr>
        <w:t xml:space="preserve"> </w:t>
      </w:r>
      <w:r>
        <w:rPr>
          <w:rFonts w:ascii="Arial" w:cs="Arial" w:eastAsia="Arial" w:hAnsi="Arial"/>
          <w:sz w:val="19"/>
          <w:szCs w:val="19"/>
          <w:color w:val="auto"/>
        </w:rPr>
        <w:t>Collection Subaccount therein), each Payment Account, the Revolving Reserve Account and the Custodial Account.</w:t>
      </w:r>
    </w:p>
    <w:p>
      <w:pPr>
        <w:spacing w:after="0" w:line="21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“CP Conduit” </w:t>
      </w:r>
      <w:r>
        <w:rPr>
          <w:rFonts w:ascii="Arial" w:cs="Arial" w:eastAsia="Arial" w:hAnsi="Arial"/>
          <w:sz w:val="22"/>
          <w:szCs w:val="22"/>
          <w:color w:val="auto"/>
        </w:rPr>
        <w:t>means any multi-seller asset-backed commercial paper conduit established to use the direct or indirect</w:t>
      </w:r>
      <w:r>
        <w:rPr>
          <w:rFonts w:ascii="Arial" w:cs="Arial" w:eastAsia="Arial" w:hAnsi="Arial"/>
          <w:sz w:val="22"/>
          <w:szCs w:val="22"/>
          <w:i w:val="1"/>
          <w:iCs w:val="1"/>
          <w:color w:val="auto"/>
        </w:rPr>
        <w:t xml:space="preserve"> </w:t>
      </w:r>
      <w:r>
        <w:rPr>
          <w:rFonts w:ascii="Arial" w:cs="Arial" w:eastAsia="Arial" w:hAnsi="Arial"/>
          <w:sz w:val="22"/>
          <w:szCs w:val="22"/>
          <w:color w:val="auto"/>
        </w:rPr>
        <w:t>proceeds of the issuance of commercial paper notes to finance financial assets and that is a Lender.</w:t>
      </w:r>
    </w:p>
    <w:p>
      <w:pPr>
        <w:spacing w:after="0" w:line="283" w:lineRule="exact"/>
        <w:rPr>
          <w:sz w:val="20"/>
          <w:szCs w:val="20"/>
          <w:color w:val="auto"/>
        </w:rPr>
      </w:pPr>
    </w:p>
    <w:p>
      <w:pPr>
        <w:jc w:val="both"/>
        <w:ind w:firstLine="786"/>
        <w:spacing w:after="0" w:line="270" w:lineRule="auto"/>
        <w:rPr>
          <w:sz w:val="20"/>
          <w:szCs w:val="20"/>
          <w:color w:val="auto"/>
        </w:rPr>
      </w:pPr>
      <w:r>
        <w:rPr>
          <w:rFonts w:ascii="Arial" w:cs="Arial" w:eastAsia="Arial" w:hAnsi="Arial"/>
          <w:sz w:val="19"/>
          <w:szCs w:val="19"/>
          <w:i w:val="1"/>
          <w:iCs w:val="1"/>
          <w:color w:val="auto"/>
        </w:rPr>
        <w:t xml:space="preserve">“CP Rate” </w:t>
      </w:r>
      <w:r>
        <w:rPr>
          <w:rFonts w:ascii="Arial" w:cs="Arial" w:eastAsia="Arial" w:hAnsi="Arial"/>
          <w:sz w:val="19"/>
          <w:szCs w:val="19"/>
          <w:color w:val="auto"/>
        </w:rPr>
        <w:t>means, with respect to any CP Conduit for any day during any Interest Accrual Period, the per annum rate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equivalent to (a) the rate (expressed as a percentage and an interest yield equivalent and calculated on the basis of a 360-day year) or, if more than one rate, the weighted average thereof, paid or payable by such CP Conduit from time to time as interest on or otherwise in respect of the commercial paper notes issued by such CP Conduit that are allocated, in whole or in part, by such CP Conduit’s agent to fund the purchase or maintenance of the Advances outstanding made by such CP Conduit (and which may also, in the case of a pool-funded conduit CP Conduit, be allocated in part to the funding of other assets of such CP Conduit and which commercial paper notes need not mature on the last day of any Interest Accrual Period) during such Interest Accrual Period as determined by such CP Conduit’s agent, which rates shall reflect and give effect to (i) certain documentation and transaction costs (including, without limitation, dealer and placement agent commissions, and incremental carrying costs incurred with respect to commercial paper notes maturing on dates other than those on which corresponding funds are received by such CP Conduit) associated with the issuance of the CP Conduit’s commercial paper notes, and (ii) other borrowings by such CP Conduit, including borrowings to fund small or odd dollar amounts that are not easily accommodated in the commercial paper market, to the extent such amounts are allocated, in whole or in part, by the CP Conduit’s agent to fund such CP Conduit’s purchase or maintenance of the Advances outstanding made by such CP Conduit during such Interest Accrual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component of such rate is a discount rate, in calculating the applicable “CP Rate” for such day, such CP Conduit’s agent shall for such component use the rate resulting from converting such discount rate to an interest bearing equivalent rate </w:t>
      </w:r>
      <w:r>
        <w:rPr>
          <w:rFonts w:ascii="Arial" w:cs="Arial" w:eastAsia="Arial" w:hAnsi="Arial"/>
          <w:sz w:val="19"/>
          <w:szCs w:val="19"/>
          <w:i w:val="1"/>
          <w:iCs w:val="1"/>
          <w:color w:val="auto"/>
        </w:rPr>
        <w:t>per</w:t>
      </w:r>
      <w:r>
        <w:rPr>
          <w:rFonts w:ascii="Arial" w:cs="Arial" w:eastAsia="Arial" w:hAnsi="Arial"/>
          <w:sz w:val="19"/>
          <w:szCs w:val="19"/>
          <w:color w:val="auto"/>
        </w:rPr>
        <w:t xml:space="preserve"> </w:t>
      </w:r>
      <w:r>
        <w:rPr>
          <w:rFonts w:ascii="Arial" w:cs="Arial" w:eastAsia="Arial" w:hAnsi="Arial"/>
          <w:sz w:val="19"/>
          <w:szCs w:val="19"/>
          <w:i w:val="1"/>
          <w:iCs w:val="1"/>
          <w:color w:val="auto"/>
        </w:rPr>
        <w:t>annum</w:t>
      </w:r>
      <w:r>
        <w:rPr>
          <w:rFonts w:ascii="Arial" w:cs="Arial" w:eastAsia="Arial" w:hAnsi="Arial"/>
          <w:sz w:val="19"/>
          <w:szCs w:val="19"/>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267" w:right="339" w:bottom="1440" w:gutter="0" w:footer="0" w:header="0"/>
        </w:sectPr>
      </w:pPr>
    </w:p>
    <w:bookmarkStart w:id="60" w:name="page61"/>
    <w:bookmarkEnd w:id="60"/>
    <w:p>
      <w:pPr>
        <w:jc w:val="both"/>
        <w:ind w:right="20"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“Credit and Collection Policies” </w:t>
      </w:r>
      <w:r>
        <w:rPr>
          <w:rFonts w:ascii="Arial" w:cs="Arial" w:eastAsia="Arial" w:hAnsi="Arial"/>
          <w:sz w:val="22"/>
          <w:szCs w:val="22"/>
          <w:color w:val="auto"/>
        </w:rPr>
        <w:t>means the PennantPark Floating Rate Ltd Policies and Procedures dated as of May 9,</w:t>
      </w:r>
      <w:r>
        <w:rPr>
          <w:rFonts w:ascii="Arial" w:cs="Arial" w:eastAsia="Arial" w:hAnsi="Arial"/>
          <w:sz w:val="22"/>
          <w:szCs w:val="22"/>
          <w:i w:val="1"/>
          <w:iCs w:val="1"/>
          <w:color w:val="auto"/>
        </w:rPr>
        <w:t xml:space="preserve"> </w:t>
      </w:r>
      <w:r>
        <w:rPr>
          <w:rFonts w:ascii="Arial" w:cs="Arial" w:eastAsia="Arial" w:hAnsi="Arial"/>
          <w:sz w:val="22"/>
          <w:szCs w:val="22"/>
          <w:color w:val="auto"/>
        </w:rPr>
        <w:t>2011, as amended subject to the terms hereof.</w:t>
      </w:r>
    </w:p>
    <w:p>
      <w:pPr>
        <w:spacing w:after="0" w:line="283"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Credit Risk Collateral Loan</w:t>
      </w:r>
      <w:r>
        <w:rPr>
          <w:rFonts w:ascii="Arial" w:cs="Arial" w:eastAsia="Arial" w:hAnsi="Arial"/>
          <w:sz w:val="22"/>
          <w:szCs w:val="22"/>
          <w:color w:val="auto"/>
        </w:rPr>
        <w:t>” means any Collateral Loan that in the Collateral Manager’s commercially reasonable business judgment (i) 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29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“Currency” </w:t>
      </w:r>
      <w:r>
        <w:rPr>
          <w:rFonts w:ascii="Arial" w:cs="Arial" w:eastAsia="Arial" w:hAnsi="Arial"/>
          <w:sz w:val="22"/>
          <w:szCs w:val="22"/>
          <w:color w:val="auto"/>
        </w:rPr>
        <w:t>means Dollars or any Agreed Foreign Currency.</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“Currency Borrowing Base” </w:t>
      </w:r>
      <w:r>
        <w:rPr>
          <w:rFonts w:ascii="Arial" w:cs="Arial" w:eastAsia="Arial" w:hAnsi="Arial"/>
          <w:sz w:val="22"/>
          <w:szCs w:val="22"/>
          <w:color w:val="auto"/>
        </w:rPr>
        <w:t>means each of (i) the Pounds Sterling Borrowing Base, (ii) the Australian Dollars</w:t>
      </w:r>
      <w:r>
        <w:rPr>
          <w:rFonts w:ascii="Arial" w:cs="Arial" w:eastAsia="Arial" w:hAnsi="Arial"/>
          <w:sz w:val="22"/>
          <w:szCs w:val="22"/>
          <w:i w:val="1"/>
          <w:iCs w:val="1"/>
          <w:color w:val="auto"/>
        </w:rPr>
        <w:t xml:space="preserve"> </w:t>
      </w:r>
      <w:r>
        <w:rPr>
          <w:rFonts w:ascii="Arial" w:cs="Arial" w:eastAsia="Arial" w:hAnsi="Arial"/>
          <w:sz w:val="22"/>
          <w:szCs w:val="22"/>
          <w:color w:val="auto"/>
        </w:rPr>
        <w:t>Borrowing Base, (iii) the Euro Borrowing Base, and (iv) the Canadian Dollars Borrowing Base.</w:t>
      </w:r>
    </w:p>
    <w:p>
      <w:pPr>
        <w:spacing w:after="0" w:line="283"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“Currency Borrowing Base Test” </w:t>
      </w:r>
      <w:r>
        <w:rPr>
          <w:rFonts w:ascii="Arial" w:cs="Arial" w:eastAsia="Arial" w:hAnsi="Arial"/>
          <w:sz w:val="22"/>
          <w:szCs w:val="22"/>
          <w:color w:val="auto"/>
        </w:rPr>
        <w:t>means each of (i) the Pounds Sterling Borrowing Base Test, (ii) the Australian Dollars</w:t>
      </w:r>
      <w:r>
        <w:rPr>
          <w:rFonts w:ascii="Arial" w:cs="Arial" w:eastAsia="Arial" w:hAnsi="Arial"/>
          <w:sz w:val="22"/>
          <w:szCs w:val="22"/>
          <w:i w:val="1"/>
          <w:iCs w:val="1"/>
          <w:color w:val="auto"/>
        </w:rPr>
        <w:t xml:space="preserve"> </w:t>
      </w:r>
      <w:r>
        <w:rPr>
          <w:rFonts w:ascii="Arial" w:cs="Arial" w:eastAsia="Arial" w:hAnsi="Arial"/>
          <w:sz w:val="22"/>
          <w:szCs w:val="22"/>
          <w:color w:val="auto"/>
        </w:rPr>
        <w:t>Borrowing Base Test, (iii) the Euro Borrowing Base Test, (iv) the Canadian Dollars Borrowing Base Test, (v) the Dollar Advance Test and (vi) the Foreign Currency Advance Test.</w:t>
      </w:r>
    </w:p>
    <w:p>
      <w:pPr>
        <w:spacing w:after="0" w:line="294" w:lineRule="exact"/>
        <w:rPr>
          <w:sz w:val="20"/>
          <w:szCs w:val="20"/>
          <w:color w:val="auto"/>
        </w:rPr>
      </w:pPr>
    </w:p>
    <w:p>
      <w:pPr>
        <w:jc w:val="both"/>
        <w:ind w:firstLine="786"/>
        <w:spacing w:after="0" w:line="244" w:lineRule="auto"/>
        <w:rPr>
          <w:sz w:val="20"/>
          <w:szCs w:val="20"/>
          <w:color w:val="auto"/>
        </w:rPr>
      </w:pPr>
      <w:r>
        <w:rPr>
          <w:rFonts w:ascii="Arial" w:cs="Arial" w:eastAsia="Arial" w:hAnsi="Arial"/>
          <w:sz w:val="21"/>
          <w:szCs w:val="21"/>
          <w:i w:val="1"/>
          <w:iCs w:val="1"/>
          <w:color w:val="auto"/>
        </w:rPr>
        <w:t xml:space="preserve">“Currency Valuation Trigger Event” </w:t>
      </w:r>
      <w:r>
        <w:rPr>
          <w:rFonts w:ascii="Arial" w:cs="Arial" w:eastAsia="Arial" w:hAnsi="Arial"/>
          <w:sz w:val="21"/>
          <w:szCs w:val="21"/>
          <w:color w:val="auto"/>
        </w:rPr>
        <w:t>means, an event that occurs if, as of any date of determination (i) with respect to</w:t>
      </w:r>
      <w:r>
        <w:rPr>
          <w:rFonts w:ascii="Arial" w:cs="Arial" w:eastAsia="Arial" w:hAnsi="Arial"/>
          <w:sz w:val="21"/>
          <w:szCs w:val="21"/>
          <w:i w:val="1"/>
          <w:iCs w:val="1"/>
          <w:color w:val="auto"/>
        </w:rPr>
        <w:t xml:space="preserve"> </w:t>
      </w:r>
      <w:r>
        <w:rPr>
          <w:rFonts w:ascii="Arial" w:cs="Arial" w:eastAsia="Arial" w:hAnsi="Arial"/>
          <w:sz w:val="21"/>
          <w:szCs w:val="21"/>
          <w:color w:val="auto"/>
        </w:rPr>
        <w:t>any Agreed Foreign Currency that either (x) is the applicable Agreed Foreign Currency that any Collateral Loan that is part of the Collateral is denominated in, or (y) is the Agreed Foreign Currency that any outstanding Advances are denominated in, such Agreed Foreign Currency, the spot selling rate at which such Agreed Foreign Currency is sold for Dollars in the London foreign exchange market at approximately 4:00 p.m. (New York time) on such date of determination for delivery two (2) Business Days later fluctuates by a factor greater than 10.0% from (ii) the spot selling rate at which such Agreed Foreign Currency was sold for Dollars in the London foreign exchange market at approximately 4:00 p.m. (New York time) for delivery two (2) Business Days later as of the date two (2) Business Days prior to the date on which the Borrowing Base was calculated in the most recent Monthly Report or Borrowing Base Calculation Statement that was delivered to the Administrative Agent. None of the Administrative Agent, the Collateral Administrator or the Collateral Agent, shall have any responsibility for any calculation of a Currency Valuation Trigger Event made by the Collateral Manager. For avoidance of doubt, neither the Collateral Administrator nor the Collateral Agent shall have any responsibility to calculate a Currency Valuation Trigger Event pursuant to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267" w:right="339" w:bottom="1440" w:gutter="0" w:footer="0" w:header="0"/>
        </w:sectPr>
      </w:pPr>
    </w:p>
    <w:bookmarkStart w:id="61" w:name="page62"/>
    <w:bookmarkEnd w:id="61"/>
    <w:p>
      <w:pPr>
        <w:ind w:left="800"/>
        <w:spacing w:after="0"/>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“Currency Variability Factor” </w:t>
      </w:r>
      <w:r>
        <w:rPr>
          <w:rFonts w:ascii="Arial" w:cs="Arial" w:eastAsia="Arial" w:hAnsi="Arial"/>
          <w:sz w:val="19"/>
          <w:szCs w:val="19"/>
          <w:color w:val="auto"/>
        </w:rPr>
        <w:t>means, with respect to each Agreed Foreign Currency, the percentage opposite such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Agreed Foreign Currency set forth in the table below:</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5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Applicable Currency</w:t>
            </w:r>
          </w:p>
        </w:tc>
        <w:tc>
          <w:tcPr>
            <w:tcW w:w="55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Percentage Factor</w:t>
            </w:r>
          </w:p>
        </w:tc>
      </w:tr>
      <w:tr>
        <w:trPr>
          <w:trHeight w:val="493"/>
        </w:trPr>
        <w:tc>
          <w:tcPr>
            <w:tcW w:w="57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22"/>
                <w:szCs w:val="22"/>
                <w:color w:val="auto"/>
              </w:rPr>
              <w:t>Euros</w:t>
            </w:r>
          </w:p>
        </w:tc>
        <w:tc>
          <w:tcPr>
            <w:tcW w:w="550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22"/>
                <w:szCs w:val="22"/>
                <w:color w:val="auto"/>
              </w:rPr>
              <w:t>33%</w:t>
            </w:r>
          </w:p>
        </w:tc>
      </w:tr>
      <w:tr>
        <w:trPr>
          <w:trHeight w:val="493"/>
        </w:trPr>
        <w:tc>
          <w:tcPr>
            <w:tcW w:w="5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Canadian Dollars</w:t>
            </w:r>
          </w:p>
        </w:tc>
        <w:tc>
          <w:tcPr>
            <w:tcW w:w="5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38%</w:t>
            </w:r>
          </w:p>
        </w:tc>
      </w:tr>
      <w:tr>
        <w:trPr>
          <w:trHeight w:val="493"/>
        </w:trPr>
        <w:tc>
          <w:tcPr>
            <w:tcW w:w="57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22"/>
                <w:szCs w:val="22"/>
                <w:color w:val="auto"/>
              </w:rPr>
              <w:t>Pounds Sterling</w:t>
            </w:r>
          </w:p>
        </w:tc>
        <w:tc>
          <w:tcPr>
            <w:tcW w:w="550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22"/>
                <w:szCs w:val="22"/>
                <w:color w:val="auto"/>
              </w:rPr>
              <w:t>51%</w:t>
            </w:r>
          </w:p>
        </w:tc>
      </w:tr>
      <w:tr>
        <w:trPr>
          <w:trHeight w:val="493"/>
        </w:trPr>
        <w:tc>
          <w:tcPr>
            <w:tcW w:w="5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22"/>
                <w:szCs w:val="22"/>
                <w:color w:val="auto"/>
              </w:rPr>
              <w:t>Australian Dollars</w:t>
            </w:r>
          </w:p>
        </w:tc>
        <w:tc>
          <w:tcPr>
            <w:tcW w:w="5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61%</w:t>
            </w:r>
          </w:p>
        </w:tc>
      </w:tr>
    </w:tbl>
    <w:p>
      <w:pPr>
        <w:spacing w:after="0" w:line="235"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“Current Pay Obligation” </w:t>
      </w:r>
      <w:r>
        <w:rPr>
          <w:rFonts w:ascii="Arial" w:cs="Arial" w:eastAsia="Arial" w:hAnsi="Arial"/>
          <w:sz w:val="19"/>
          <w:szCs w:val="19"/>
          <w:color w:val="auto"/>
        </w:rPr>
        <w:t>means any Collateral Loan that would otherwise be a Defaulted Collateral Loan but as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which:</w:t>
      </w:r>
    </w:p>
    <w:p>
      <w:pPr>
        <w:spacing w:after="0" w:line="296" w:lineRule="exact"/>
        <w:rPr>
          <w:sz w:val="20"/>
          <w:szCs w:val="20"/>
          <w:color w:val="auto"/>
        </w:rPr>
      </w:pPr>
    </w:p>
    <w:p>
      <w:pPr>
        <w:jc w:val="both"/>
        <w:ind w:left="800" w:right="20" w:firstLine="934"/>
        <w:spacing w:after="0" w:line="287" w:lineRule="auto"/>
        <w:tabs>
          <w:tab w:leader="none" w:pos="2374"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default has occurred and is continuing with respect to the payment of interest and any contractual principal (if any) and the most recent interest and contractual principal payment due (if any) was paid in cash, and the Collateral Manager reasonably expects that the next interest payment due will be paid in cash on the scheduled payment date (which judgment shall not be called into question as a result of subsequent events); and</w:t>
      </w:r>
    </w:p>
    <w:p>
      <w:pPr>
        <w:spacing w:after="0" w:line="250" w:lineRule="exact"/>
        <w:rPr>
          <w:rFonts w:ascii="Arial" w:cs="Arial" w:eastAsia="Arial" w:hAnsi="Arial"/>
          <w:sz w:val="19"/>
          <w:szCs w:val="19"/>
          <w:color w:val="auto"/>
        </w:rPr>
      </w:pPr>
    </w:p>
    <w:p>
      <w:pPr>
        <w:jc w:val="both"/>
        <w:ind w:left="800" w:right="20" w:firstLine="934"/>
        <w:spacing w:after="0" w:line="238" w:lineRule="auto"/>
        <w:tabs>
          <w:tab w:leader="none" w:pos="2555"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the Obligor of such Collateral Loan is subject to a bankruptcy proceeding and if the related bankruptcy court has authorized any payments due and payable on such Collateral Loan, all interest payments and scheduled distributions of principal authorized by such bankruptcy court have been paid by such Obligor of such Collateral Loan.</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“Custodial Account” </w:t>
      </w:r>
      <w:r>
        <w:rPr>
          <w:rFonts w:ascii="Arial" w:cs="Arial" w:eastAsia="Arial" w:hAnsi="Arial"/>
          <w:sz w:val="22"/>
          <w:szCs w:val="22"/>
          <w:color w:val="auto"/>
        </w:rPr>
        <w:t>means the custodial account established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8.03(b)</w:t>
      </w:r>
      <w:r>
        <w:rPr>
          <w:rFonts w:ascii="Arial" w:cs="Arial" w:eastAsia="Arial" w:hAnsi="Arial"/>
          <w:sz w:val="22"/>
          <w:szCs w:val="22"/>
          <w:color w:val="auto"/>
        </w:rPr>
        <w:t>.</w:t>
      </w:r>
    </w:p>
    <w:p>
      <w:pPr>
        <w:spacing w:after="0" w:line="314" w:lineRule="exact"/>
        <w:rPr>
          <w:sz w:val="20"/>
          <w:szCs w:val="20"/>
          <w:color w:val="auto"/>
        </w:rPr>
      </w:pPr>
    </w:p>
    <w:p>
      <w:pPr>
        <w:ind w:right="20" w:firstLine="786"/>
        <w:spacing w:after="0" w:line="250" w:lineRule="auto"/>
        <w:rPr>
          <w:sz w:val="20"/>
          <w:szCs w:val="20"/>
          <w:color w:val="auto"/>
        </w:rPr>
      </w:pPr>
      <w:r>
        <w:rPr>
          <w:rFonts w:ascii="Arial" w:cs="Arial" w:eastAsia="Arial" w:hAnsi="Arial"/>
          <w:sz w:val="22"/>
          <w:szCs w:val="22"/>
          <w:i w:val="1"/>
          <w:iCs w:val="1"/>
          <w:color w:val="auto"/>
        </w:rPr>
        <w:t xml:space="preserve">“Custodian” </w:t>
      </w:r>
      <w:r>
        <w:rPr>
          <w:rFonts w:ascii="Arial" w:cs="Arial" w:eastAsia="Arial" w:hAnsi="Arial"/>
          <w:sz w:val="22"/>
          <w:szCs w:val="22"/>
          <w:color w:val="auto"/>
        </w:rPr>
        <w:t>means U.S. Bank National Association, a national banking association, and any successor thereto</w:t>
      </w:r>
      <w:r>
        <w:rPr>
          <w:rFonts w:ascii="Arial" w:cs="Arial" w:eastAsia="Arial" w:hAnsi="Arial"/>
          <w:sz w:val="22"/>
          <w:szCs w:val="22"/>
          <w:i w:val="1"/>
          <w:iCs w:val="1"/>
          <w:color w:val="auto"/>
        </w:rPr>
        <w:t xml:space="preserve"> </w:t>
      </w:r>
      <w:r>
        <w:rPr>
          <w:rFonts w:ascii="Arial" w:cs="Arial" w:eastAsia="Arial" w:hAnsi="Arial"/>
          <w:sz w:val="22"/>
          <w:szCs w:val="22"/>
          <w:color w:val="auto"/>
        </w:rPr>
        <w:t>appointed under this Agreement.</w:t>
      </w:r>
    </w:p>
    <w:p>
      <w:pPr>
        <w:spacing w:after="0" w:line="283" w:lineRule="exact"/>
        <w:rPr>
          <w:sz w:val="20"/>
          <w:szCs w:val="20"/>
          <w:color w:val="auto"/>
        </w:rPr>
      </w:pPr>
    </w:p>
    <w:p>
      <w:pPr>
        <w:ind w:right="20" w:firstLine="786"/>
        <w:spacing w:after="0" w:line="274" w:lineRule="auto"/>
        <w:rPr>
          <w:sz w:val="20"/>
          <w:szCs w:val="20"/>
          <w:color w:val="auto"/>
        </w:rPr>
      </w:pPr>
      <w:r>
        <w:rPr>
          <w:rFonts w:ascii="Arial" w:cs="Arial" w:eastAsia="Arial" w:hAnsi="Arial"/>
          <w:sz w:val="21"/>
          <w:szCs w:val="21"/>
          <w:i w:val="1"/>
          <w:iCs w:val="1"/>
          <w:color w:val="auto"/>
        </w:rPr>
        <w:t xml:space="preserve">“Custodian Fee Letter” </w:t>
      </w:r>
      <w:r>
        <w:rPr>
          <w:rFonts w:ascii="Arial" w:cs="Arial" w:eastAsia="Arial" w:hAnsi="Arial"/>
          <w:sz w:val="21"/>
          <w:szCs w:val="21"/>
          <w:color w:val="auto"/>
        </w:rPr>
        <w:t>means the Collateral Agent Fee Letter setting forth the fees payable by the Borrower to, among</w:t>
      </w:r>
      <w:r>
        <w:rPr>
          <w:rFonts w:ascii="Arial" w:cs="Arial" w:eastAsia="Arial" w:hAnsi="Arial"/>
          <w:sz w:val="21"/>
          <w:szCs w:val="21"/>
          <w:i w:val="1"/>
          <w:iCs w:val="1"/>
          <w:color w:val="auto"/>
        </w:rPr>
        <w:t xml:space="preserve"> </w:t>
      </w:r>
      <w:r>
        <w:rPr>
          <w:rFonts w:ascii="Arial" w:cs="Arial" w:eastAsia="Arial" w:hAnsi="Arial"/>
          <w:sz w:val="21"/>
          <w:szCs w:val="21"/>
          <w:color w:val="auto"/>
        </w:rPr>
        <w:t>other parties, the Custodian in connection with the transactions contemplated by this Agreement.</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“Custodian Termination Notice”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14.05</w:t>
      </w:r>
      <w:r>
        <w:rPr>
          <w:rFonts w:ascii="Arial" w:cs="Arial" w:eastAsia="Arial" w:hAnsi="Arial"/>
          <w:sz w:val="22"/>
          <w:szCs w:val="22"/>
          <w:i w:val="1"/>
          <w:iCs w:val="1"/>
          <w:color w:val="auto"/>
        </w:rPr>
        <w:t xml:space="preserve"> </w:t>
      </w:r>
      <w:r>
        <w:rPr>
          <w:rFonts w:ascii="Arial" w:cs="Arial" w:eastAsia="Arial" w:hAnsi="Arial"/>
          <w:sz w:val="22"/>
          <w:szCs w:val="22"/>
          <w:color w:val="auto"/>
        </w:rPr>
        <w:t>hereof.</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“Data File</w:t>
      </w:r>
      <w:r>
        <w:rPr>
          <w:rFonts w:ascii="Arial" w:cs="Arial" w:eastAsia="Arial" w:hAnsi="Arial"/>
          <w:sz w:val="22"/>
          <w:szCs w:val="22"/>
          <w:color w:val="auto"/>
        </w:rPr>
        <w:t>” 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8.06(a)</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“Default” </w:t>
      </w:r>
      <w:r>
        <w:rPr>
          <w:rFonts w:ascii="Arial" w:cs="Arial" w:eastAsia="Arial" w:hAnsi="Arial"/>
          <w:sz w:val="19"/>
          <w:szCs w:val="19"/>
          <w:color w:val="auto"/>
        </w:rPr>
        <w:t>means any event which, with the passage of time, the giving of notice, or both, would constitute an Event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Default.</w:t>
      </w:r>
    </w:p>
    <w:p>
      <w:pPr>
        <w:spacing w:after="0" w:line="296" w:lineRule="exact"/>
        <w:rPr>
          <w:sz w:val="20"/>
          <w:szCs w:val="20"/>
          <w:color w:val="auto"/>
        </w:rPr>
      </w:pPr>
    </w:p>
    <w:p>
      <w:pPr>
        <w:ind w:right="20" w:firstLine="786"/>
        <w:spacing w:after="0" w:line="250" w:lineRule="auto"/>
        <w:rPr>
          <w:sz w:val="20"/>
          <w:szCs w:val="20"/>
          <w:color w:val="auto"/>
        </w:rPr>
      </w:pPr>
      <w:r>
        <w:rPr>
          <w:rFonts w:ascii="Arial" w:cs="Arial" w:eastAsia="Arial" w:hAnsi="Arial"/>
          <w:sz w:val="22"/>
          <w:szCs w:val="22"/>
          <w:i w:val="1"/>
          <w:iCs w:val="1"/>
          <w:color w:val="auto"/>
        </w:rPr>
        <w:t xml:space="preserve">“Default Ratio” </w:t>
      </w:r>
      <w:r>
        <w:rPr>
          <w:rFonts w:ascii="Arial" w:cs="Arial" w:eastAsia="Arial" w:hAnsi="Arial"/>
          <w:sz w:val="22"/>
          <w:szCs w:val="22"/>
          <w:color w:val="auto"/>
        </w:rPr>
        <w:t>means, on any date of determination, the annualized ratio (expressed as a percentage) equal to (a) the</w:t>
      </w:r>
      <w:r>
        <w:rPr>
          <w:rFonts w:ascii="Arial" w:cs="Arial" w:eastAsia="Arial" w:hAnsi="Arial"/>
          <w:sz w:val="22"/>
          <w:szCs w:val="22"/>
          <w:i w:val="1"/>
          <w:iCs w:val="1"/>
          <w:color w:val="auto"/>
        </w:rPr>
        <w:t xml:space="preserve"> </w:t>
      </w:r>
      <w:r>
        <w:rPr>
          <w:rFonts w:ascii="Arial" w:cs="Arial" w:eastAsia="Arial" w:hAnsi="Arial"/>
          <w:sz w:val="22"/>
          <w:szCs w:val="22"/>
          <w:color w:val="auto"/>
        </w:rPr>
        <w:t>product of (i) the sum of the Defaulted Balances of all Collateral</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60"/>
          </w:cols>
          <w:pgMar w:left="320" w:top="267" w:right="319" w:bottom="1440" w:gutter="0" w:footer="0" w:header="0"/>
        </w:sectPr>
      </w:pPr>
    </w:p>
    <w:bookmarkStart w:id="62" w:name="page63"/>
    <w:bookmarkEnd w:id="62"/>
    <w:p>
      <w:pPr>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Loans that became Defaulted Collateral Loans during the previous twelve (12) calendar months,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(b) the weighted average Aggregate Principal Balance of all Collateral Loans during the previous twelve (12) calendar months.</w:t>
      </w:r>
    </w:p>
    <w:p>
      <w:pPr>
        <w:spacing w:after="0" w:line="259" w:lineRule="exact"/>
        <w:rPr>
          <w:sz w:val="20"/>
          <w:szCs w:val="20"/>
          <w:color w:val="auto"/>
        </w:rPr>
      </w:pPr>
    </w:p>
    <w:p>
      <w:pPr>
        <w:ind w:firstLine="786"/>
        <w:spacing w:after="0" w:line="274" w:lineRule="auto"/>
        <w:rPr>
          <w:sz w:val="20"/>
          <w:szCs w:val="20"/>
          <w:color w:val="auto"/>
        </w:rPr>
      </w:pPr>
      <w:r>
        <w:rPr>
          <w:rFonts w:ascii="Arial" w:cs="Arial" w:eastAsia="Arial" w:hAnsi="Arial"/>
          <w:sz w:val="21"/>
          <w:szCs w:val="21"/>
          <w:i w:val="1"/>
          <w:iCs w:val="1"/>
          <w:color w:val="auto"/>
        </w:rPr>
        <w:t xml:space="preserve">“Defaulted Balance” </w:t>
      </w:r>
      <w:r>
        <w:rPr>
          <w:rFonts w:ascii="Arial" w:cs="Arial" w:eastAsia="Arial" w:hAnsi="Arial"/>
          <w:sz w:val="21"/>
          <w:szCs w:val="21"/>
          <w:color w:val="auto"/>
        </w:rPr>
        <w:t>means, with respect to any Defaulted Collateral Loan, (i) the Principal Balance of such Defaulted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Collateral Loan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(ii) 1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applicable Recovery Rate for such Defaulted Collateral Loan.</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“Defaulted Collateral Loan” </w:t>
      </w:r>
      <w:r>
        <w:rPr>
          <w:rFonts w:ascii="Arial" w:cs="Arial" w:eastAsia="Arial" w:hAnsi="Arial"/>
          <w:sz w:val="22"/>
          <w:szCs w:val="22"/>
          <w:color w:val="auto"/>
        </w:rPr>
        <w:t>means any Collateral Loan as to which any of the following occurs:</w:t>
      </w:r>
    </w:p>
    <w:p>
      <w:pPr>
        <w:spacing w:after="0" w:line="314" w:lineRule="exact"/>
        <w:rPr>
          <w:sz w:val="20"/>
          <w:szCs w:val="20"/>
          <w:color w:val="auto"/>
        </w:rPr>
      </w:pPr>
    </w:p>
    <w:p>
      <w:pPr>
        <w:ind w:left="800" w:firstLine="934"/>
        <w:spacing w:after="0" w:line="328" w:lineRule="auto"/>
        <w:tabs>
          <w:tab w:leader="none" w:pos="2219"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default as to all or any portion of one or more payments of principal and/or interest has occurred with respect to such Collateral Loan for a period of thirty (30) Business Days or more past the applicable due date;</w:t>
      </w:r>
    </w:p>
    <w:p>
      <w:pPr>
        <w:spacing w:after="0" w:line="212" w:lineRule="exact"/>
        <w:rPr>
          <w:rFonts w:ascii="Arial" w:cs="Arial" w:eastAsia="Arial" w:hAnsi="Arial"/>
          <w:sz w:val="19"/>
          <w:szCs w:val="19"/>
          <w:color w:val="auto"/>
        </w:rPr>
      </w:pPr>
    </w:p>
    <w:p>
      <w:pPr>
        <w:jc w:val="both"/>
        <w:ind w:left="800" w:firstLine="934"/>
        <w:spacing w:after="0" w:line="238" w:lineRule="auto"/>
        <w:tabs>
          <w:tab w:leader="none" w:pos="2266"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default as to all or any portion of one or more payments of principal and/or interest has occurred in relation to any other obligation for borrowed money of the related Obligor in excess of the applicable cross-default threshold in the applicable Related Documents (giving effect to any grace period applicable thereto but in no event exceeding ten (10) Business Days past the applicable due date);</w:t>
      </w:r>
    </w:p>
    <w:p>
      <w:pPr>
        <w:spacing w:after="0" w:line="292" w:lineRule="exact"/>
        <w:rPr>
          <w:rFonts w:ascii="Arial" w:cs="Arial" w:eastAsia="Arial" w:hAnsi="Arial"/>
          <w:sz w:val="22"/>
          <w:szCs w:val="22"/>
          <w:color w:val="auto"/>
        </w:rPr>
      </w:pPr>
    </w:p>
    <w:p>
      <w:pPr>
        <w:jc w:val="both"/>
        <w:ind w:left="800" w:firstLine="934"/>
        <w:spacing w:after="0" w:line="238" w:lineRule="auto"/>
        <w:tabs>
          <w:tab w:leader="none" w:pos="2247" w:val="left"/>
        </w:tabs>
        <w:numPr>
          <w:ilvl w:val="0"/>
          <w:numId w:val="43"/>
        </w:numPr>
        <w:rPr>
          <w:rFonts w:ascii="Arial" w:cs="Arial" w:eastAsia="Arial" w:hAnsi="Arial"/>
          <w:sz w:val="22"/>
          <w:szCs w:val="22"/>
          <w:color w:val="auto"/>
        </w:rPr>
      </w:pPr>
      <w:r>
        <w:rPr>
          <w:rFonts w:ascii="Arial" w:cs="Arial" w:eastAsia="Arial" w:hAnsi="Arial"/>
          <w:sz w:val="22"/>
          <w:szCs w:val="22"/>
          <w:color w:val="auto"/>
        </w:rPr>
        <w:t>except in the case of a DIP Collateral Loan, the related Obligor of such Collateral Loan has, or others have, instituted proceedings to have such Obligor adjudicated as bankrupt or insolvent or placed into receivership and such proceedings have not been stayed or dismissed, or such Obligor has filed for protection under Chapter 11 of the Bankruptcy Code;</w:t>
      </w:r>
    </w:p>
    <w:p>
      <w:pPr>
        <w:spacing w:after="0" w:line="292" w:lineRule="exact"/>
        <w:rPr>
          <w:rFonts w:ascii="Arial" w:cs="Arial" w:eastAsia="Arial" w:hAnsi="Arial"/>
          <w:sz w:val="22"/>
          <w:szCs w:val="22"/>
          <w:color w:val="auto"/>
        </w:rPr>
      </w:pPr>
    </w:p>
    <w:p>
      <w:pPr>
        <w:ind w:left="2200" w:hanging="466"/>
        <w:spacing w:after="0"/>
        <w:tabs>
          <w:tab w:leader="none" w:pos="22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occurrence of a Material Modification with respect to such Collateral Loan;</w:t>
      </w:r>
    </w:p>
    <w:p>
      <w:pPr>
        <w:spacing w:after="0" w:line="314" w:lineRule="exact"/>
        <w:rPr>
          <w:rFonts w:ascii="Arial" w:cs="Arial" w:eastAsia="Arial" w:hAnsi="Arial"/>
          <w:sz w:val="22"/>
          <w:szCs w:val="22"/>
          <w:color w:val="auto"/>
        </w:rPr>
      </w:pPr>
    </w:p>
    <w:p>
      <w:pPr>
        <w:jc w:val="both"/>
        <w:ind w:left="800" w:firstLine="934"/>
        <w:spacing w:after="0" w:line="234" w:lineRule="auto"/>
        <w:tabs>
          <w:tab w:leader="none" w:pos="2261"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the Related Documents with respect to such Collateral Loan are amended, modified or waived due to the Obligor’s inability to pay principal or interest or otherwise in response to any credit deterioration of such Obligor (as determined by the Collateral Manager in its reasonable discretion), or the BDC or any Affiliate thereof has made or acquired a debt obligation of the related Obligor for the purpose of enabling such Obligor to pay principal and interest on such Collateral Loan and to avoid a payment default thereunder;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loan made to refinance one or more Collateral Loans in the ordinary course of business shall not constitute a loan made to avoid a payment default under this </w:t>
      </w:r>
      <w:r>
        <w:rPr>
          <w:rFonts w:ascii="Arial" w:cs="Arial" w:eastAsia="Arial" w:hAnsi="Arial"/>
          <w:sz w:val="22"/>
          <w:szCs w:val="22"/>
          <w:u w:val="single" w:color="auto"/>
          <w:color w:val="auto"/>
        </w:rPr>
        <w:t>clause (e)</w:t>
      </w:r>
      <w:r>
        <w:rPr>
          <w:rFonts w:ascii="Arial" w:cs="Arial" w:eastAsia="Arial" w:hAnsi="Arial"/>
          <w:sz w:val="22"/>
          <w:szCs w:val="22"/>
          <w:color w:val="auto"/>
        </w:rPr>
        <w:t>; or</w:t>
      </w:r>
    </w:p>
    <w:p>
      <w:pPr>
        <w:spacing w:after="0" w:line="298" w:lineRule="exact"/>
        <w:rPr>
          <w:rFonts w:ascii="Arial" w:cs="Arial" w:eastAsia="Arial" w:hAnsi="Arial"/>
          <w:sz w:val="22"/>
          <w:szCs w:val="22"/>
          <w:color w:val="auto"/>
        </w:rPr>
      </w:pPr>
    </w:p>
    <w:p>
      <w:pPr>
        <w:jc w:val="both"/>
        <w:ind w:left="800" w:right="20" w:firstLine="934"/>
        <w:spacing w:after="0" w:line="257" w:lineRule="auto"/>
        <w:tabs>
          <w:tab w:leader="none" w:pos="2241"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Collateral Manager has determined in accordance with the Collateral Management Standard and the Credit and Collection Policies that such Collateral Loan shall be placed on “non-accrual” status or “not collectible”, or any or all of the principal amount due under such Collateral Loan is reduced or forgiven;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267" w:right="339" w:bottom="1440" w:gutter="0" w:footer="0" w:header="0"/>
        </w:sectPr>
      </w:pPr>
    </w:p>
    <w:bookmarkStart w:id="63" w:name="page64"/>
    <w:bookmarkEnd w:id="63"/>
    <w:p>
      <w:pPr>
        <w:jc w:val="both"/>
        <w:ind w:right="20"/>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provided </w:t>
      </w:r>
      <w:r>
        <w:rPr>
          <w:rFonts w:ascii="Arial" w:cs="Arial" w:eastAsia="Arial" w:hAnsi="Arial"/>
          <w:sz w:val="22"/>
          <w:szCs w:val="22"/>
          <w:color w:val="auto"/>
        </w:rPr>
        <w:t>that any Defaulted Collateral Loan that subsequently becomes a Restructured Loan shall no longer constitute a</w:t>
      </w:r>
      <w:r>
        <w:rPr>
          <w:rFonts w:ascii="Arial" w:cs="Arial" w:eastAsia="Arial" w:hAnsi="Arial"/>
          <w:sz w:val="22"/>
          <w:szCs w:val="22"/>
          <w:i w:val="1"/>
          <w:iCs w:val="1"/>
          <w:color w:val="auto"/>
        </w:rPr>
        <w:t xml:space="preserve"> </w:t>
      </w:r>
      <w:r>
        <w:rPr>
          <w:rFonts w:ascii="Arial" w:cs="Arial" w:eastAsia="Arial" w:hAnsi="Arial"/>
          <w:sz w:val="22"/>
          <w:szCs w:val="22"/>
          <w:color w:val="auto"/>
        </w:rPr>
        <w:t>Defaulted Collateral Loan hereunder.</w:t>
      </w:r>
    </w:p>
    <w:p>
      <w:pPr>
        <w:spacing w:after="0" w:line="283" w:lineRule="exact"/>
        <w:rPr>
          <w:sz w:val="20"/>
          <w:szCs w:val="20"/>
          <w:color w:val="auto"/>
        </w:rPr>
      </w:pPr>
    </w:p>
    <w:p>
      <w:pPr>
        <w:jc w:val="both"/>
        <w:ind w:firstLine="786"/>
        <w:spacing w:after="0" w:line="248" w:lineRule="auto"/>
        <w:rPr>
          <w:sz w:val="20"/>
          <w:szCs w:val="20"/>
          <w:color w:val="auto"/>
        </w:rPr>
      </w:pPr>
      <w:r>
        <w:rPr>
          <w:rFonts w:ascii="Arial" w:cs="Arial" w:eastAsia="Arial" w:hAnsi="Arial"/>
          <w:sz w:val="21"/>
          <w:szCs w:val="21"/>
          <w:i w:val="1"/>
          <w:iCs w:val="1"/>
          <w:color w:val="auto"/>
        </w:rPr>
        <w:t xml:space="preserve">“Delayed Drawdown Collateral Loan” </w:t>
      </w:r>
      <w:r>
        <w:rPr>
          <w:rFonts w:ascii="Arial" w:cs="Arial" w:eastAsia="Arial" w:hAnsi="Arial"/>
          <w:sz w:val="21"/>
          <w:szCs w:val="21"/>
          <w:color w:val="auto"/>
        </w:rPr>
        <w:t>means a Collateral Loan that (a) requires the Borrower to make one or more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future advances to the Obligor under the Related Documents, (b) specifies a maximum amount that can be borrowed on one or more fixed borrowing dates, and (c) does not permit the re-borrowing of any amount previously repaid by the Obligor thereunder;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any such Collateral Loan will be a Delayed Drawdown Collateral Loan only to the extent of undrawn commitments</w:t>
      </w:r>
      <w:r>
        <w:rPr>
          <w:rFonts w:ascii="Arial" w:cs="Arial" w:eastAsia="Arial" w:hAnsi="Arial"/>
          <w:sz w:val="21"/>
          <w:szCs w:val="21"/>
          <w:i w:val="1"/>
          <w:iCs w:val="1"/>
          <w:color w:val="auto"/>
        </w:rPr>
        <w:t xml:space="preserve"> </w:t>
      </w:r>
      <w:r>
        <w:rPr>
          <w:rFonts w:ascii="Arial" w:cs="Arial" w:eastAsia="Arial" w:hAnsi="Arial"/>
          <w:sz w:val="21"/>
          <w:szCs w:val="21"/>
          <w:color w:val="auto"/>
        </w:rPr>
        <w:t>and solely until all commitments by the Borrower to make advances on such Collateral Loan to the borrower under the Related Documents expire or are terminated or are reduced to zero.</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“Delinquency Ratio” </w:t>
      </w:r>
      <w:r>
        <w:rPr>
          <w:rFonts w:ascii="Arial" w:cs="Arial" w:eastAsia="Arial" w:hAnsi="Arial"/>
          <w:sz w:val="19"/>
          <w:szCs w:val="19"/>
          <w:color w:val="auto"/>
        </w:rPr>
        <w:t>means, on any date of determination, the annualized ratio (expressed as a percentage) equal to</w:t>
      </w:r>
    </w:p>
    <w:p>
      <w:pPr>
        <w:spacing w:after="0" w:line="43" w:lineRule="exact"/>
        <w:rPr>
          <w:sz w:val="20"/>
          <w:szCs w:val="20"/>
          <w:color w:val="auto"/>
        </w:rPr>
      </w:pPr>
    </w:p>
    <w:p>
      <w:pPr>
        <w:ind w:firstLine="8"/>
        <w:spacing w:after="0" w:line="236" w:lineRule="auto"/>
        <w:tabs>
          <w:tab w:leader="none" w:pos="31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Aggregate Principal Balance of all Collateral Loans that are Delinquent Collateral Loans,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(b) the Aggregate Principal Balance of all Collateral Loans as of such date.</w:t>
      </w:r>
    </w:p>
    <w:p>
      <w:pPr>
        <w:spacing w:after="0" w:line="295"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“Delinquent Collateral Loan” </w:t>
      </w:r>
      <w:r>
        <w:rPr>
          <w:rFonts w:ascii="Arial" w:cs="Arial" w:eastAsia="Arial" w:hAnsi="Arial"/>
          <w:sz w:val="22"/>
          <w:szCs w:val="22"/>
          <w:color w:val="auto"/>
        </w:rPr>
        <w:t>means any Collateral Loan (other than a Defaulted Collateral Loan) as to which all or</w:t>
      </w:r>
      <w:r>
        <w:rPr>
          <w:rFonts w:ascii="Arial" w:cs="Arial" w:eastAsia="Arial" w:hAnsi="Arial"/>
          <w:sz w:val="22"/>
          <w:szCs w:val="22"/>
          <w:i w:val="1"/>
          <w:iCs w:val="1"/>
          <w:color w:val="auto"/>
        </w:rPr>
        <w:t xml:space="preserve"> </w:t>
      </w:r>
      <w:r>
        <w:rPr>
          <w:rFonts w:ascii="Arial" w:cs="Arial" w:eastAsia="Arial" w:hAnsi="Arial"/>
          <w:sz w:val="22"/>
          <w:szCs w:val="22"/>
          <w:color w:val="auto"/>
        </w:rPr>
        <w:t>any portion of one or more payments of principal and/or interest are past due with respect to such Collateral Loan for a period of five (5) Business Days or more past the applicable due date.</w:t>
      </w:r>
    </w:p>
    <w:p>
      <w:pPr>
        <w:spacing w:after="0" w:line="29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“Deliver” </w:t>
      </w:r>
      <w:r>
        <w:rPr>
          <w:rFonts w:ascii="Arial" w:cs="Arial" w:eastAsia="Arial" w:hAnsi="Arial"/>
          <w:sz w:val="22"/>
          <w:szCs w:val="22"/>
          <w:color w:val="auto"/>
        </w:rPr>
        <w:t>or</w:t>
      </w:r>
      <w:r>
        <w:rPr>
          <w:rFonts w:ascii="Arial" w:cs="Arial" w:eastAsia="Arial" w:hAnsi="Arial"/>
          <w:sz w:val="22"/>
          <w:szCs w:val="22"/>
          <w:i w:val="1"/>
          <w:iCs w:val="1"/>
          <w:color w:val="auto"/>
        </w:rPr>
        <w:t xml:space="preserve"> “Delivered” </w:t>
      </w:r>
      <w:r>
        <w:rPr>
          <w:rFonts w:ascii="Arial" w:cs="Arial" w:eastAsia="Arial" w:hAnsi="Arial"/>
          <w:sz w:val="22"/>
          <w:szCs w:val="22"/>
          <w:color w:val="auto"/>
        </w:rPr>
        <w:t>or</w:t>
      </w:r>
      <w:r>
        <w:rPr>
          <w:rFonts w:ascii="Arial" w:cs="Arial" w:eastAsia="Arial" w:hAnsi="Arial"/>
          <w:sz w:val="22"/>
          <w:szCs w:val="22"/>
          <w:i w:val="1"/>
          <w:iCs w:val="1"/>
          <w:color w:val="auto"/>
        </w:rPr>
        <w:t xml:space="preserve"> “Delivery” </w:t>
      </w:r>
      <w:r>
        <w:rPr>
          <w:rFonts w:ascii="Arial" w:cs="Arial" w:eastAsia="Arial" w:hAnsi="Arial"/>
          <w:sz w:val="22"/>
          <w:szCs w:val="22"/>
          <w:color w:val="auto"/>
        </w:rPr>
        <w:t>means the taking of the following steps:</w:t>
      </w:r>
    </w:p>
    <w:p>
      <w:pPr>
        <w:spacing w:after="0" w:line="314" w:lineRule="exact"/>
        <w:rPr>
          <w:sz w:val="20"/>
          <w:szCs w:val="20"/>
          <w:color w:val="auto"/>
        </w:rPr>
      </w:pPr>
    </w:p>
    <w:p>
      <w:pPr>
        <w:ind w:left="800" w:firstLine="934"/>
        <w:spacing w:after="0" w:line="328" w:lineRule="auto"/>
        <w:tabs>
          <w:tab w:leader="none" w:pos="2672"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 the case of each Certificated Security (other than a Clearing Corporation Security), Instrument and Participation Interest in which the Participation Interest or the underlying loan is represented by an Instrument:</w:t>
      </w:r>
    </w:p>
    <w:p>
      <w:pPr>
        <w:spacing w:after="0" w:line="212" w:lineRule="exact"/>
        <w:rPr>
          <w:rFonts w:ascii="Arial" w:cs="Arial" w:eastAsia="Arial" w:hAnsi="Arial"/>
          <w:sz w:val="19"/>
          <w:szCs w:val="19"/>
          <w:color w:val="auto"/>
        </w:rPr>
      </w:pPr>
    </w:p>
    <w:p>
      <w:pPr>
        <w:jc w:val="both"/>
        <w:ind w:left="1700" w:firstLine="971"/>
        <w:spacing w:after="0" w:line="257" w:lineRule="auto"/>
        <w:tabs>
          <w:tab w:leader="none" w:pos="3241" w:val="left"/>
        </w:tabs>
        <w:numPr>
          <w:ilvl w:val="1"/>
          <w:numId w:val="45"/>
        </w:numPr>
        <w:rPr>
          <w:rFonts w:ascii="Arial" w:cs="Arial" w:eastAsia="Arial" w:hAnsi="Arial"/>
          <w:sz w:val="21"/>
          <w:szCs w:val="21"/>
          <w:color w:val="auto"/>
        </w:rPr>
      </w:pPr>
      <w:r>
        <w:rPr>
          <w:rFonts w:ascii="Arial" w:cs="Arial" w:eastAsia="Arial" w:hAnsi="Arial"/>
          <w:sz w:val="21"/>
          <w:szCs w:val="21"/>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277" w:lineRule="exact"/>
        <w:rPr>
          <w:sz w:val="20"/>
          <w:szCs w:val="20"/>
          <w:color w:val="auto"/>
        </w:rPr>
      </w:pPr>
    </w:p>
    <w:p>
      <w:pPr>
        <w:ind w:left="1700" w:firstLine="960"/>
        <w:spacing w:after="0" w:line="250" w:lineRule="auto"/>
        <w:tabs>
          <w:tab w:leader="none" w:pos="3579" w:val="left"/>
        </w:tabs>
        <w:numPr>
          <w:ilvl w:val="2"/>
          <w:numId w:val="46"/>
        </w:numPr>
        <w:rPr>
          <w:rFonts w:ascii="Arial" w:cs="Arial" w:eastAsia="Arial" w:hAnsi="Arial"/>
          <w:sz w:val="22"/>
          <w:szCs w:val="22"/>
          <w:color w:val="auto"/>
        </w:rPr>
      </w:pPr>
      <w:r>
        <w:rPr>
          <w:rFonts w:ascii="Arial" w:cs="Arial" w:eastAsia="Arial" w:hAnsi="Arial"/>
          <w:sz w:val="22"/>
          <w:szCs w:val="22"/>
          <w:color w:val="auto"/>
        </w:rPr>
        <w:t>causing the Custodian to indicate continuously on its books and records that such Certificated Security or Instrument is credited to the applicable Covered Account; and</w:t>
      </w:r>
    </w:p>
    <w:p>
      <w:pPr>
        <w:spacing w:after="0" w:line="282" w:lineRule="exact"/>
        <w:rPr>
          <w:rFonts w:ascii="Arial" w:cs="Arial" w:eastAsia="Arial" w:hAnsi="Arial"/>
          <w:sz w:val="22"/>
          <w:szCs w:val="22"/>
          <w:color w:val="auto"/>
        </w:rPr>
      </w:pPr>
    </w:p>
    <w:p>
      <w:pPr>
        <w:ind w:left="3320" w:hanging="768"/>
        <w:spacing w:after="0"/>
        <w:tabs>
          <w:tab w:leader="none" w:pos="33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causing the Custodian to maintain continuous possession of such Certificated Security or</w:t>
      </w:r>
    </w:p>
    <w:p>
      <w:pPr>
        <w:spacing w:after="0" w:line="42" w:lineRule="exact"/>
        <w:rPr>
          <w:rFonts w:ascii="Arial" w:cs="Arial" w:eastAsia="Arial" w:hAnsi="Arial"/>
          <w:sz w:val="19"/>
          <w:szCs w:val="19"/>
          <w:color w:val="auto"/>
        </w:rPr>
      </w:pPr>
    </w:p>
    <w:p>
      <w:pPr>
        <w:ind w:left="1700"/>
        <w:spacing w:after="0"/>
        <w:rPr>
          <w:rFonts w:ascii="Arial" w:cs="Arial" w:eastAsia="Arial" w:hAnsi="Arial"/>
          <w:sz w:val="19"/>
          <w:szCs w:val="19"/>
          <w:color w:val="auto"/>
        </w:rPr>
      </w:pPr>
      <w:r>
        <w:rPr>
          <w:rFonts w:ascii="Arial" w:cs="Arial" w:eastAsia="Arial" w:hAnsi="Arial"/>
          <w:sz w:val="22"/>
          <w:szCs w:val="22"/>
          <w:color w:val="auto"/>
        </w:rPr>
        <w:t>Instrument;</w:t>
      </w:r>
    </w:p>
    <w:p>
      <w:pPr>
        <w:spacing w:after="0" w:line="296" w:lineRule="exact"/>
        <w:rPr>
          <w:rFonts w:ascii="Arial" w:cs="Arial" w:eastAsia="Arial" w:hAnsi="Arial"/>
          <w:sz w:val="19"/>
          <w:szCs w:val="19"/>
          <w:color w:val="auto"/>
        </w:rPr>
      </w:pPr>
    </w:p>
    <w:p>
      <w:pPr>
        <w:ind w:left="800" w:firstLine="934"/>
        <w:spacing w:after="0" w:line="250" w:lineRule="auto"/>
        <w:tabs>
          <w:tab w:leader="none" w:pos="2755"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in the case of each Uncertificated Security (other than a Clearing Corporation Security), unless covered by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below:</w:t>
      </w:r>
    </w:p>
    <w:p>
      <w:pPr>
        <w:spacing w:after="0" w:line="282" w:lineRule="exact"/>
        <w:rPr>
          <w:rFonts w:ascii="Arial" w:cs="Arial" w:eastAsia="Arial" w:hAnsi="Arial"/>
          <w:sz w:val="22"/>
          <w:szCs w:val="22"/>
          <w:color w:val="auto"/>
        </w:rPr>
      </w:pPr>
    </w:p>
    <w:p>
      <w:pPr>
        <w:ind w:left="1700" w:firstLine="965"/>
        <w:spacing w:after="0" w:line="250" w:lineRule="auto"/>
        <w:tabs>
          <w:tab w:leader="none" w:pos="3216" w:val="left"/>
        </w:tabs>
        <w:numPr>
          <w:ilvl w:val="1"/>
          <w:numId w:val="48"/>
        </w:numPr>
        <w:rPr>
          <w:rFonts w:ascii="Arial" w:cs="Arial" w:eastAsia="Arial" w:hAnsi="Arial"/>
          <w:sz w:val="22"/>
          <w:szCs w:val="22"/>
          <w:color w:val="auto"/>
        </w:rPr>
      </w:pPr>
      <w:r>
        <w:rPr>
          <w:rFonts w:ascii="Arial" w:cs="Arial" w:eastAsia="Arial" w:hAnsi="Arial"/>
          <w:sz w:val="22"/>
          <w:szCs w:val="22"/>
          <w:color w:val="auto"/>
        </w:rPr>
        <w:t>causing such Uncertificated Security to be continuously registered on the books of the issuer thereof to the Custodian; and</w:t>
      </w:r>
    </w:p>
    <w:p>
      <w:pPr>
        <w:spacing w:after="0" w:line="282" w:lineRule="exact"/>
        <w:rPr>
          <w:rFonts w:ascii="Arial" w:cs="Arial" w:eastAsia="Arial" w:hAnsi="Arial"/>
          <w:sz w:val="22"/>
          <w:szCs w:val="22"/>
          <w:color w:val="auto"/>
        </w:rPr>
      </w:pPr>
    </w:p>
    <w:p>
      <w:pPr>
        <w:ind w:left="1700" w:firstLine="960"/>
        <w:spacing w:after="0" w:line="250" w:lineRule="auto"/>
        <w:tabs>
          <w:tab w:leader="none" w:pos="3579" w:val="left"/>
        </w:tabs>
        <w:numPr>
          <w:ilvl w:val="2"/>
          <w:numId w:val="48"/>
        </w:numPr>
        <w:rPr>
          <w:rFonts w:ascii="Arial" w:cs="Arial" w:eastAsia="Arial" w:hAnsi="Arial"/>
          <w:sz w:val="22"/>
          <w:szCs w:val="22"/>
          <w:color w:val="auto"/>
        </w:rPr>
      </w:pPr>
      <w:r>
        <w:rPr>
          <w:rFonts w:ascii="Arial" w:cs="Arial" w:eastAsia="Arial" w:hAnsi="Arial"/>
          <w:sz w:val="22"/>
          <w:szCs w:val="22"/>
          <w:color w:val="auto"/>
        </w:rPr>
        <w:t>causing the Custodian to indicate continuously on its books and records that such Uncertificated Security is credited to the applicable Covered Account;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267" w:right="339" w:bottom="1440" w:gutter="0" w:footer="0" w:header="0"/>
        </w:sectPr>
      </w:pPr>
    </w:p>
    <w:bookmarkStart w:id="64" w:name="page65"/>
    <w:bookmarkEnd w:id="64"/>
    <w:p>
      <w:pPr>
        <w:ind w:left="1400" w:hanging="786"/>
        <w:spacing w:after="0"/>
        <w:tabs>
          <w:tab w:leader="none" w:pos="1400" w:val="left"/>
        </w:tabs>
        <w:numPr>
          <w:ilvl w:val="0"/>
          <w:numId w:val="49"/>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each Clearing Corporation Security:</w:t>
      </w:r>
    </w:p>
    <w:p>
      <w:pPr>
        <w:spacing w:after="0" w:line="314" w:lineRule="exact"/>
        <w:rPr>
          <w:rFonts w:ascii="Arial" w:cs="Arial" w:eastAsia="Arial" w:hAnsi="Arial"/>
          <w:sz w:val="22"/>
          <w:szCs w:val="22"/>
          <w:color w:val="auto"/>
        </w:rPr>
      </w:pPr>
    </w:p>
    <w:p>
      <w:pPr>
        <w:ind w:left="580" w:firstLine="1052"/>
        <w:spacing w:after="0" w:line="250" w:lineRule="auto"/>
        <w:tabs>
          <w:tab w:leader="none" w:pos="2244" w:val="left"/>
        </w:tabs>
        <w:numPr>
          <w:ilvl w:val="2"/>
          <w:numId w:val="49"/>
        </w:numPr>
        <w:rPr>
          <w:rFonts w:ascii="Arial" w:cs="Arial" w:eastAsia="Arial" w:hAnsi="Arial"/>
          <w:sz w:val="22"/>
          <w:szCs w:val="22"/>
          <w:color w:val="auto"/>
        </w:rPr>
      </w:pPr>
      <w:r>
        <w:rPr>
          <w:rFonts w:ascii="Arial" w:cs="Arial" w:eastAsia="Arial" w:hAnsi="Arial"/>
          <w:sz w:val="22"/>
          <w:szCs w:val="22"/>
          <w:color w:val="auto"/>
        </w:rPr>
        <w:t>causing the relevant Clearing Corporation to credit such Clearing Corporation Security to the securities account of the Custodian, and</w:t>
      </w:r>
    </w:p>
    <w:p>
      <w:pPr>
        <w:spacing w:after="0" w:line="282" w:lineRule="exact"/>
        <w:rPr>
          <w:rFonts w:ascii="Arial" w:cs="Arial" w:eastAsia="Arial" w:hAnsi="Arial"/>
          <w:sz w:val="22"/>
          <w:szCs w:val="22"/>
          <w:color w:val="auto"/>
        </w:rPr>
      </w:pPr>
    </w:p>
    <w:p>
      <w:pPr>
        <w:ind w:left="580" w:firstLine="977"/>
        <w:spacing w:after="0" w:line="250" w:lineRule="auto"/>
        <w:tabs>
          <w:tab w:leader="none" w:pos="2202" w:val="left"/>
        </w:tabs>
        <w:numPr>
          <w:ilvl w:val="1"/>
          <w:numId w:val="49"/>
        </w:numPr>
        <w:rPr>
          <w:rFonts w:ascii="Arial" w:cs="Arial" w:eastAsia="Arial" w:hAnsi="Arial"/>
          <w:sz w:val="22"/>
          <w:szCs w:val="22"/>
          <w:color w:val="auto"/>
        </w:rPr>
      </w:pPr>
      <w:r>
        <w:rPr>
          <w:rFonts w:ascii="Arial" w:cs="Arial" w:eastAsia="Arial" w:hAnsi="Arial"/>
          <w:sz w:val="22"/>
          <w:szCs w:val="22"/>
          <w:color w:val="auto"/>
        </w:rPr>
        <w:t>causing the Custodian to indicate continuously on its books and records that such Clearing Corporation Security is credited to the applicable Covered Account;</w:t>
      </w:r>
    </w:p>
    <w:p>
      <w:pPr>
        <w:spacing w:after="0" w:line="282" w:lineRule="exact"/>
        <w:rPr>
          <w:rFonts w:ascii="Arial" w:cs="Arial" w:eastAsia="Arial" w:hAnsi="Arial"/>
          <w:sz w:val="22"/>
          <w:szCs w:val="22"/>
          <w:color w:val="auto"/>
        </w:rPr>
      </w:pPr>
    </w:p>
    <w:p>
      <w:pPr>
        <w:jc w:val="both"/>
        <w:ind w:left="-320" w:firstLine="934"/>
        <w:spacing w:after="0"/>
        <w:tabs>
          <w:tab w:leader="none" w:pos="1627"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the case of each security issued or guaranteed by the United States of America or agency or instrumentality thereof and that is maintained in book-entry records of a Federal Reserve Bank (</w:t>
      </w:r>
      <w:r>
        <w:rPr>
          <w:rFonts w:ascii="Arial" w:cs="Arial" w:eastAsia="Arial" w:hAnsi="Arial"/>
          <w:sz w:val="22"/>
          <w:szCs w:val="22"/>
          <w:i w:val="1"/>
          <w:iCs w:val="1"/>
          <w:color w:val="auto"/>
        </w:rPr>
        <w:t>“FRB”</w:t>
      </w:r>
      <w:r>
        <w:rPr>
          <w:rFonts w:ascii="Arial" w:cs="Arial" w:eastAsia="Arial" w:hAnsi="Arial"/>
          <w:sz w:val="22"/>
          <w:szCs w:val="22"/>
          <w:color w:val="auto"/>
        </w:rPr>
        <w:t xml:space="preserve">) (each such security, a </w:t>
      </w:r>
      <w:r>
        <w:rPr>
          <w:rFonts w:ascii="Arial" w:cs="Arial" w:eastAsia="Arial" w:hAnsi="Arial"/>
          <w:sz w:val="22"/>
          <w:szCs w:val="22"/>
          <w:i w:val="1"/>
          <w:iCs w:val="1"/>
          <w:color w:val="auto"/>
        </w:rPr>
        <w:t>“Government Security”</w:t>
      </w:r>
      <w:r>
        <w:rPr>
          <w:rFonts w:ascii="Arial" w:cs="Arial" w:eastAsia="Arial" w:hAnsi="Arial"/>
          <w:sz w:val="22"/>
          <w:szCs w:val="22"/>
          <w:color w:val="auto"/>
        </w:rPr>
        <w:t>):</w:t>
      </w:r>
    </w:p>
    <w:p>
      <w:pPr>
        <w:spacing w:after="0" w:line="294" w:lineRule="exact"/>
        <w:rPr>
          <w:sz w:val="20"/>
          <w:szCs w:val="20"/>
          <w:color w:val="auto"/>
        </w:rPr>
      </w:pPr>
    </w:p>
    <w:p>
      <w:pPr>
        <w:ind w:left="580" w:right="20" w:firstLine="1026"/>
        <w:spacing w:after="0" w:line="274" w:lineRule="auto"/>
        <w:tabs>
          <w:tab w:leader="none" w:pos="2166" w:val="left"/>
        </w:tabs>
        <w:numPr>
          <w:ilvl w:val="3"/>
          <w:numId w:val="50"/>
        </w:numPr>
        <w:rPr>
          <w:rFonts w:ascii="Arial" w:cs="Arial" w:eastAsia="Arial" w:hAnsi="Arial"/>
          <w:sz w:val="21"/>
          <w:szCs w:val="21"/>
          <w:color w:val="auto"/>
        </w:rPr>
      </w:pPr>
      <w:r>
        <w:rPr>
          <w:rFonts w:ascii="Arial" w:cs="Arial" w:eastAsia="Arial" w:hAnsi="Arial"/>
          <w:sz w:val="21"/>
          <w:szCs w:val="21"/>
          <w:color w:val="auto"/>
        </w:rPr>
        <w:t>causing the creation of a Security Entitlement to such Government Security by the credit of such Government Security to the securities account of the Custodian at such FRB, and</w:t>
      </w:r>
    </w:p>
    <w:p>
      <w:pPr>
        <w:spacing w:after="0" w:line="258" w:lineRule="exact"/>
        <w:rPr>
          <w:rFonts w:ascii="Arial" w:cs="Arial" w:eastAsia="Arial" w:hAnsi="Arial"/>
          <w:sz w:val="21"/>
          <w:szCs w:val="21"/>
          <w:color w:val="auto"/>
        </w:rPr>
      </w:pPr>
    </w:p>
    <w:p>
      <w:pPr>
        <w:ind w:left="580" w:firstLine="1057"/>
        <w:spacing w:after="0" w:line="250" w:lineRule="auto"/>
        <w:tabs>
          <w:tab w:leader="none" w:pos="2524" w:val="left"/>
        </w:tabs>
        <w:numPr>
          <w:ilvl w:val="4"/>
          <w:numId w:val="50"/>
        </w:numPr>
        <w:rPr>
          <w:rFonts w:ascii="Arial" w:cs="Arial" w:eastAsia="Arial" w:hAnsi="Arial"/>
          <w:sz w:val="22"/>
          <w:szCs w:val="22"/>
          <w:color w:val="auto"/>
        </w:rPr>
      </w:pPr>
      <w:r>
        <w:rPr>
          <w:rFonts w:ascii="Arial" w:cs="Arial" w:eastAsia="Arial" w:hAnsi="Arial"/>
          <w:sz w:val="22"/>
          <w:szCs w:val="22"/>
          <w:color w:val="auto"/>
        </w:rPr>
        <w:t>causing the Custodian to indicate continuously on its books and records that such Government Security is credited to the applicable Covered Account;</w:t>
      </w:r>
    </w:p>
    <w:p>
      <w:pPr>
        <w:spacing w:after="0" w:line="282" w:lineRule="exact"/>
        <w:rPr>
          <w:rFonts w:ascii="Arial" w:cs="Arial" w:eastAsia="Arial" w:hAnsi="Arial"/>
          <w:sz w:val="22"/>
          <w:szCs w:val="22"/>
          <w:color w:val="auto"/>
        </w:rPr>
      </w:pPr>
    </w:p>
    <w:p>
      <w:pPr>
        <w:ind w:left="1400" w:hanging="786"/>
        <w:spacing w:after="0"/>
        <w:tabs>
          <w:tab w:leader="none" w:pos="14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in the case of each Security Entitlement not governed by </w:t>
      </w:r>
      <w:r>
        <w:rPr>
          <w:rFonts w:ascii="Arial" w:cs="Arial" w:eastAsia="Arial" w:hAnsi="Arial"/>
          <w:sz w:val="22"/>
          <w:szCs w:val="22"/>
          <w:u w:val="single" w:color="auto"/>
          <w:color w:val="auto"/>
        </w:rPr>
        <w:t>clauses (a) through (d)</w:t>
      </w:r>
      <w:r>
        <w:rPr>
          <w:rFonts w:ascii="Arial" w:cs="Arial" w:eastAsia="Arial" w:hAnsi="Arial"/>
          <w:sz w:val="22"/>
          <w:szCs w:val="22"/>
          <w:color w:val="auto"/>
        </w:rPr>
        <w:t xml:space="preserve"> above:</w:t>
      </w:r>
    </w:p>
    <w:p>
      <w:pPr>
        <w:spacing w:after="0" w:line="314" w:lineRule="exact"/>
        <w:rPr>
          <w:rFonts w:ascii="Arial" w:cs="Arial" w:eastAsia="Arial" w:hAnsi="Arial"/>
          <w:sz w:val="22"/>
          <w:szCs w:val="22"/>
          <w:color w:val="auto"/>
        </w:rPr>
      </w:pPr>
    </w:p>
    <w:p>
      <w:pPr>
        <w:jc w:val="both"/>
        <w:ind w:left="580" w:firstLine="1184"/>
        <w:spacing w:after="0"/>
        <w:tabs>
          <w:tab w:leader="none" w:pos="2639" w:val="left"/>
        </w:tabs>
        <w:numPr>
          <w:ilvl w:val="5"/>
          <w:numId w:val="51"/>
        </w:numPr>
        <w:rPr>
          <w:rFonts w:ascii="Arial" w:cs="Arial" w:eastAsia="Arial" w:hAnsi="Arial"/>
          <w:sz w:val="22"/>
          <w:szCs w:val="22"/>
          <w:color w:val="auto"/>
        </w:rPr>
      </w:pPr>
      <w:r>
        <w:rPr>
          <w:rFonts w:ascii="Arial" w:cs="Arial" w:eastAsia="Arial" w:hAnsi="Arial"/>
          <w:sz w:val="22"/>
          <w:szCs w:val="22"/>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294" w:lineRule="exact"/>
        <w:rPr>
          <w:rFonts w:ascii="Arial" w:cs="Arial" w:eastAsia="Arial" w:hAnsi="Arial"/>
          <w:sz w:val="22"/>
          <w:szCs w:val="22"/>
          <w:color w:val="auto"/>
        </w:rPr>
      </w:pPr>
    </w:p>
    <w:p>
      <w:pPr>
        <w:jc w:val="both"/>
        <w:ind w:left="580" w:firstLine="971"/>
        <w:spacing w:after="0" w:line="297" w:lineRule="auto"/>
        <w:tabs>
          <w:tab w:leader="none" w:pos="2178" w:val="left"/>
        </w:tabs>
        <w:numPr>
          <w:ilvl w:val="3"/>
          <w:numId w:val="51"/>
        </w:numPr>
        <w:rPr>
          <w:rFonts w:ascii="Arial" w:cs="Arial" w:eastAsia="Arial" w:hAnsi="Arial"/>
          <w:sz w:val="19"/>
          <w:szCs w:val="19"/>
          <w:color w:val="auto"/>
        </w:rPr>
      </w:pPr>
      <w:r>
        <w:rPr>
          <w:rFonts w:ascii="Arial" w:cs="Arial" w:eastAsia="Arial" w:hAnsi="Arial"/>
          <w:sz w:val="19"/>
          <w:szCs w:val="19"/>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241" w:lineRule="exact"/>
        <w:rPr>
          <w:rFonts w:ascii="Arial" w:cs="Arial" w:eastAsia="Arial" w:hAnsi="Arial"/>
          <w:sz w:val="19"/>
          <w:szCs w:val="19"/>
          <w:color w:val="auto"/>
        </w:rPr>
      </w:pPr>
    </w:p>
    <w:p>
      <w:pPr>
        <w:jc w:val="both"/>
        <w:ind w:left="580" w:firstLine="852"/>
        <w:spacing w:after="0"/>
        <w:tabs>
          <w:tab w:leader="none" w:pos="2164" w:val="left"/>
        </w:tabs>
        <w:numPr>
          <w:ilvl w:val="1"/>
          <w:numId w:val="51"/>
        </w:numPr>
        <w:rPr>
          <w:rFonts w:ascii="Arial" w:cs="Arial" w:eastAsia="Arial" w:hAnsi="Arial"/>
          <w:sz w:val="22"/>
          <w:szCs w:val="22"/>
          <w:color w:val="auto"/>
        </w:rPr>
      </w:pPr>
      <w:r>
        <w:rPr>
          <w:rFonts w:ascii="Arial" w:cs="Arial" w:eastAsia="Arial" w:hAnsi="Arial"/>
          <w:sz w:val="22"/>
          <w:szCs w:val="22"/>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294" w:lineRule="exact"/>
        <w:rPr>
          <w:rFonts w:ascii="Arial" w:cs="Arial" w:eastAsia="Arial" w:hAnsi="Arial"/>
          <w:sz w:val="22"/>
          <w:szCs w:val="22"/>
          <w:color w:val="auto"/>
        </w:rPr>
      </w:pPr>
    </w:p>
    <w:p>
      <w:pPr>
        <w:ind w:left="1360" w:hanging="746"/>
        <w:spacing w:after="0"/>
        <w:tabs>
          <w:tab w:leader="none" w:pos="1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the case of Cash or Money:</w:t>
      </w:r>
    </w:p>
    <w:p>
      <w:pPr>
        <w:spacing w:after="0" w:line="314" w:lineRule="exact"/>
        <w:rPr>
          <w:rFonts w:ascii="Arial" w:cs="Arial" w:eastAsia="Arial" w:hAnsi="Arial"/>
          <w:sz w:val="22"/>
          <w:szCs w:val="22"/>
          <w:color w:val="auto"/>
        </w:rPr>
      </w:pPr>
    </w:p>
    <w:p>
      <w:pPr>
        <w:ind w:left="2120" w:hanging="526"/>
        <w:spacing w:after="0"/>
        <w:tabs>
          <w:tab w:leader="none" w:pos="2120" w:val="left"/>
        </w:tabs>
        <w:numPr>
          <w:ilvl w:val="2"/>
          <w:numId w:val="51"/>
        </w:numPr>
        <w:rPr>
          <w:rFonts w:ascii="Arial" w:cs="Arial" w:eastAsia="Arial" w:hAnsi="Arial"/>
          <w:sz w:val="22"/>
          <w:szCs w:val="22"/>
          <w:color w:val="auto"/>
        </w:rPr>
      </w:pPr>
      <w:r>
        <w:rPr>
          <w:rFonts w:ascii="Arial" w:cs="Arial" w:eastAsia="Arial" w:hAnsi="Arial"/>
          <w:sz w:val="22"/>
          <w:szCs w:val="22"/>
          <w:color w:val="auto"/>
        </w:rPr>
        <w:t>causing the delivery of such Cash or Money to the Custodian,</w:t>
      </w:r>
    </w:p>
    <w:p>
      <w:pPr>
        <w:spacing w:after="0" w:line="13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120"/>
          </w:cols>
          <w:pgMar w:left="1440" w:top="267" w:right="339" w:bottom="1440" w:gutter="0" w:footer="0" w:header="0"/>
        </w:sectPr>
      </w:pPr>
    </w:p>
    <w:bookmarkStart w:id="65" w:name="page66"/>
    <w:bookmarkEnd w:id="65"/>
    <w:p>
      <w:pPr>
        <w:ind w:left="1700" w:right="20" w:firstLine="922"/>
        <w:spacing w:after="0" w:line="250" w:lineRule="auto"/>
        <w:tabs>
          <w:tab w:leader="none" w:pos="3313" w:val="left"/>
        </w:tabs>
        <w:numPr>
          <w:ilvl w:val="1"/>
          <w:numId w:val="52"/>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causing the Custodian to credit such Cash or Money to a deposit account maintained as a sub-account of the applicable Covered Account, and</w:t>
      </w:r>
    </w:p>
    <w:p>
      <w:pPr>
        <w:spacing w:after="0" w:line="282" w:lineRule="exact"/>
        <w:rPr>
          <w:rFonts w:ascii="Arial" w:cs="Arial" w:eastAsia="Arial" w:hAnsi="Arial"/>
          <w:sz w:val="22"/>
          <w:szCs w:val="22"/>
          <w:color w:val="auto"/>
        </w:rPr>
      </w:pPr>
    </w:p>
    <w:p>
      <w:pPr>
        <w:ind w:left="1700" w:firstLine="852"/>
        <w:spacing w:after="0" w:line="250" w:lineRule="auto"/>
        <w:tabs>
          <w:tab w:leader="none" w:pos="3296" w:val="left"/>
        </w:tabs>
        <w:numPr>
          <w:ilvl w:val="1"/>
          <w:numId w:val="52"/>
        </w:numPr>
        <w:rPr>
          <w:rFonts w:ascii="Arial" w:cs="Arial" w:eastAsia="Arial" w:hAnsi="Arial"/>
          <w:sz w:val="22"/>
          <w:szCs w:val="22"/>
          <w:color w:val="auto"/>
        </w:rPr>
      </w:pPr>
      <w:r>
        <w:rPr>
          <w:rFonts w:ascii="Arial" w:cs="Arial" w:eastAsia="Arial" w:hAnsi="Arial"/>
          <w:sz w:val="22"/>
          <w:szCs w:val="22"/>
          <w:color w:val="auto"/>
        </w:rPr>
        <w:t>causing the Custodian to indicate continuously on its books and records that such Cash or Money is credited to the applicable Covered Account; and</w:t>
      </w:r>
    </w:p>
    <w:p>
      <w:pPr>
        <w:spacing w:after="0" w:line="282" w:lineRule="exact"/>
        <w:rPr>
          <w:rFonts w:ascii="Arial" w:cs="Arial" w:eastAsia="Arial" w:hAnsi="Arial"/>
          <w:sz w:val="22"/>
          <w:szCs w:val="22"/>
          <w:color w:val="auto"/>
        </w:rPr>
      </w:pPr>
    </w:p>
    <w:p>
      <w:pPr>
        <w:jc w:val="both"/>
        <w:ind w:left="800" w:firstLine="934"/>
        <w:spacing w:after="0"/>
        <w:tabs>
          <w:tab w:leader="none" w:pos="257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294"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9"/>
          <w:szCs w:val="19"/>
          <w:color w:val="auto"/>
        </w:rPr>
        <w:t xml:space="preserve">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w:t>
      </w:r>
      <w:r>
        <w:rPr>
          <w:rFonts w:ascii="Arial" w:cs="Arial" w:eastAsia="Arial" w:hAnsi="Arial"/>
          <w:sz w:val="19"/>
          <w:szCs w:val="19"/>
          <w:u w:val="single" w:color="auto"/>
          <w:color w:val="auto"/>
        </w:rPr>
        <w:t>Section 9-406</w:t>
      </w:r>
      <w:r>
        <w:rPr>
          <w:rFonts w:ascii="Arial" w:cs="Arial" w:eastAsia="Arial" w:hAnsi="Arial"/>
          <w:sz w:val="19"/>
          <w:szCs w:val="19"/>
          <w:color w:val="auto"/>
        </w:rPr>
        <w:t xml:space="preserve"> of the UCC).</w:t>
      </w:r>
    </w:p>
    <w:p>
      <w:pPr>
        <w:spacing w:after="0" w:line="242"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“Determination Date” </w:t>
      </w:r>
      <w:r>
        <w:rPr>
          <w:rFonts w:ascii="Arial" w:cs="Arial" w:eastAsia="Arial" w:hAnsi="Arial"/>
          <w:sz w:val="22"/>
          <w:szCs w:val="22"/>
          <w:color w:val="auto"/>
        </w:rPr>
        <w:t>means the last day of each Collection Period.</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“DIP Collateral Obligation” </w:t>
      </w:r>
      <w:r>
        <w:rPr>
          <w:rFonts w:ascii="Arial" w:cs="Arial" w:eastAsia="Arial" w:hAnsi="Arial"/>
          <w:sz w:val="22"/>
          <w:szCs w:val="22"/>
          <w:color w:val="auto"/>
        </w:rPr>
        <w:t>means an obligation:</w:t>
      </w:r>
    </w:p>
    <w:p>
      <w:pPr>
        <w:spacing w:after="0" w:line="314" w:lineRule="exact"/>
        <w:rPr>
          <w:sz w:val="20"/>
          <w:szCs w:val="20"/>
          <w:color w:val="auto"/>
        </w:rPr>
      </w:pPr>
    </w:p>
    <w:p>
      <w:pPr>
        <w:ind w:left="2620" w:hanging="886"/>
        <w:spacing w:after="0"/>
        <w:tabs>
          <w:tab w:leader="none" w:pos="2620" w:val="left"/>
        </w:tabs>
        <w:numPr>
          <w:ilvl w:val="1"/>
          <w:numId w:val="54"/>
        </w:numPr>
        <w:rPr>
          <w:rFonts w:ascii="Arial" w:cs="Arial" w:eastAsia="Arial" w:hAnsi="Arial"/>
          <w:sz w:val="19"/>
          <w:szCs w:val="19"/>
          <w:color w:val="auto"/>
        </w:rPr>
      </w:pPr>
      <w:r>
        <w:rPr>
          <w:rFonts w:ascii="Arial" w:cs="Arial" w:eastAsia="Arial" w:hAnsi="Arial"/>
          <w:sz w:val="19"/>
          <w:szCs w:val="19"/>
          <w:color w:val="auto"/>
        </w:rPr>
        <w:t>obtained or incurred after the entry of an order of relief in a case pending under Chapter 11 of the</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Bankruptcy Code,</w:t>
      </w:r>
    </w:p>
    <w:p>
      <w:pPr>
        <w:spacing w:after="0" w:line="296" w:lineRule="exact"/>
        <w:rPr>
          <w:rFonts w:ascii="Arial" w:cs="Arial" w:eastAsia="Arial" w:hAnsi="Arial"/>
          <w:sz w:val="19"/>
          <w:szCs w:val="19"/>
          <w:color w:val="auto"/>
        </w:rPr>
      </w:pPr>
    </w:p>
    <w:p>
      <w:pPr>
        <w:ind w:left="800" w:firstLine="934"/>
        <w:spacing w:after="0" w:line="274" w:lineRule="auto"/>
        <w:tabs>
          <w:tab w:leader="none" w:pos="2847" w:val="left"/>
        </w:tabs>
        <w:numPr>
          <w:ilvl w:val="1"/>
          <w:numId w:val="54"/>
        </w:numPr>
        <w:rPr>
          <w:rFonts w:ascii="Arial" w:cs="Arial" w:eastAsia="Arial" w:hAnsi="Arial"/>
          <w:sz w:val="21"/>
          <w:szCs w:val="21"/>
          <w:color w:val="auto"/>
        </w:rPr>
      </w:pPr>
      <w:r>
        <w:rPr>
          <w:rFonts w:ascii="Arial" w:cs="Arial" w:eastAsia="Arial" w:hAnsi="Arial"/>
          <w:sz w:val="21"/>
          <w:szCs w:val="21"/>
          <w:color w:val="auto"/>
        </w:rPr>
        <w:t xml:space="preserve">to a debtor in possession as described in Chapter 11 of the Bankruptcy Code or a trustee (if appointment of such trustee has been ordered pursuant to </w:t>
      </w:r>
      <w:r>
        <w:rPr>
          <w:rFonts w:ascii="Arial" w:cs="Arial" w:eastAsia="Arial" w:hAnsi="Arial"/>
          <w:sz w:val="21"/>
          <w:szCs w:val="21"/>
          <w:u w:val="single" w:color="auto"/>
          <w:color w:val="auto"/>
        </w:rPr>
        <w:t>Section 1104</w:t>
      </w:r>
      <w:r>
        <w:rPr>
          <w:rFonts w:ascii="Arial" w:cs="Arial" w:eastAsia="Arial" w:hAnsi="Arial"/>
          <w:sz w:val="21"/>
          <w:szCs w:val="21"/>
          <w:color w:val="auto"/>
        </w:rPr>
        <w:t xml:space="preserve"> of the Bankruptcy Code),</w:t>
      </w:r>
    </w:p>
    <w:p>
      <w:pPr>
        <w:spacing w:after="0" w:line="258" w:lineRule="exact"/>
        <w:rPr>
          <w:rFonts w:ascii="Arial" w:cs="Arial" w:eastAsia="Arial" w:hAnsi="Arial"/>
          <w:sz w:val="21"/>
          <w:szCs w:val="21"/>
          <w:color w:val="auto"/>
        </w:rPr>
      </w:pPr>
    </w:p>
    <w:p>
      <w:pPr>
        <w:ind w:left="2520" w:hanging="786"/>
        <w:spacing w:after="0"/>
        <w:tabs>
          <w:tab w:leader="none" w:pos="2520" w:val="left"/>
        </w:tabs>
        <w:numPr>
          <w:ilvl w:val="1"/>
          <w:numId w:val="54"/>
        </w:numPr>
        <w:rPr>
          <w:rFonts w:ascii="Arial" w:cs="Arial" w:eastAsia="Arial" w:hAnsi="Arial"/>
          <w:sz w:val="21"/>
          <w:szCs w:val="21"/>
          <w:color w:val="auto"/>
        </w:rPr>
      </w:pPr>
      <w:r>
        <w:rPr>
          <w:rFonts w:ascii="Arial" w:cs="Arial" w:eastAsia="Arial" w:hAnsi="Arial"/>
          <w:sz w:val="21"/>
          <w:szCs w:val="21"/>
          <w:color w:val="auto"/>
        </w:rPr>
        <w:t>on which the related Obligor is required to pay interest and/or principal on a current basis, and</w:t>
      </w:r>
    </w:p>
    <w:p>
      <w:pPr>
        <w:spacing w:after="0" w:line="325" w:lineRule="exact"/>
        <w:rPr>
          <w:rFonts w:ascii="Arial" w:cs="Arial" w:eastAsia="Arial" w:hAnsi="Arial"/>
          <w:sz w:val="21"/>
          <w:szCs w:val="21"/>
          <w:color w:val="auto"/>
        </w:rPr>
      </w:pPr>
    </w:p>
    <w:p>
      <w:pPr>
        <w:ind w:left="2660" w:hanging="926"/>
        <w:spacing w:after="0"/>
        <w:tabs>
          <w:tab w:leader="none" w:pos="2660" w:val="left"/>
        </w:tabs>
        <w:numPr>
          <w:ilvl w:val="1"/>
          <w:numId w:val="54"/>
        </w:numPr>
        <w:rPr>
          <w:rFonts w:ascii="Arial" w:cs="Arial" w:eastAsia="Arial" w:hAnsi="Arial"/>
          <w:sz w:val="19"/>
          <w:szCs w:val="19"/>
          <w:color w:val="auto"/>
        </w:rPr>
      </w:pPr>
      <w:r>
        <w:rPr>
          <w:rFonts w:ascii="Arial" w:cs="Arial" w:eastAsia="Arial" w:hAnsi="Arial"/>
          <w:sz w:val="19"/>
          <w:szCs w:val="19"/>
          <w:color w:val="auto"/>
        </w:rPr>
        <w:t>approved by a Final Order or Interim Order of the bankruptcy court so long as such obligation is</w:t>
      </w:r>
    </w:p>
    <w:p>
      <w:pPr>
        <w:spacing w:after="0" w:line="42" w:lineRule="exact"/>
        <w:rPr>
          <w:rFonts w:ascii="Arial" w:cs="Arial" w:eastAsia="Arial" w:hAnsi="Arial"/>
          <w:sz w:val="19"/>
          <w:szCs w:val="19"/>
          <w:color w:val="auto"/>
        </w:rPr>
      </w:pPr>
    </w:p>
    <w:p>
      <w:pPr>
        <w:jc w:val="both"/>
        <w:ind w:left="800" w:hanging="6"/>
        <w:spacing w:after="0" w:line="233" w:lineRule="auto"/>
        <w:tabs>
          <w:tab w:leader="none" w:pos="1207"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fully secured by a lien on the debtor’s otherwise unencumbered assets pursuant to </w:t>
      </w:r>
      <w:r>
        <w:rPr>
          <w:rFonts w:ascii="Arial" w:cs="Arial" w:eastAsia="Arial" w:hAnsi="Arial"/>
          <w:sz w:val="22"/>
          <w:szCs w:val="22"/>
          <w:u w:val="single" w:color="auto"/>
          <w:color w:val="auto"/>
        </w:rPr>
        <w:t>Section 364(c)(2)</w:t>
      </w:r>
      <w:r>
        <w:rPr>
          <w:rFonts w:ascii="Arial" w:cs="Arial" w:eastAsia="Arial" w:hAnsi="Arial"/>
          <w:sz w:val="22"/>
          <w:szCs w:val="22"/>
          <w:color w:val="auto"/>
        </w:rPr>
        <w:t xml:space="preserve"> of the Bankruptcy Code, (B) fully secured by a lien of equal or senior priority on property of the debtor estate that is otherwise subject to a lien pursuant to </w:t>
      </w:r>
      <w:r>
        <w:rPr>
          <w:rFonts w:ascii="Arial" w:cs="Arial" w:eastAsia="Arial" w:hAnsi="Arial"/>
          <w:sz w:val="22"/>
          <w:szCs w:val="22"/>
          <w:u w:val="single" w:color="auto"/>
          <w:color w:val="auto"/>
        </w:rPr>
        <w:t>Section 364(d)</w:t>
      </w:r>
      <w:r>
        <w:rPr>
          <w:rFonts w:ascii="Arial" w:cs="Arial" w:eastAsia="Arial" w:hAnsi="Arial"/>
          <w:sz w:val="22"/>
          <w:szCs w:val="22"/>
          <w:color w:val="auto"/>
        </w:rPr>
        <w:t xml:space="preserve"> of the Bankruptcy Code or (C) is secured by a junior lien on the debtor’s encumbered assets (so long as such loan is fully secured based on the most recent current valuation or appraisal report, if any, of the debtor).</w:t>
      </w:r>
    </w:p>
    <w:p>
      <w:pPr>
        <w:spacing w:after="0" w:line="293" w:lineRule="exact"/>
        <w:rPr>
          <w:sz w:val="20"/>
          <w:szCs w:val="20"/>
          <w:color w:val="auto"/>
        </w:rPr>
      </w:pPr>
    </w:p>
    <w:p>
      <w:pPr>
        <w:ind w:right="20" w:firstLine="786"/>
        <w:spacing w:after="0" w:line="250" w:lineRule="auto"/>
        <w:rPr>
          <w:sz w:val="20"/>
          <w:szCs w:val="20"/>
          <w:color w:val="auto"/>
        </w:rPr>
      </w:pPr>
      <w:r>
        <w:rPr>
          <w:rFonts w:ascii="Arial" w:cs="Arial" w:eastAsia="Arial" w:hAnsi="Arial"/>
          <w:sz w:val="22"/>
          <w:szCs w:val="22"/>
          <w:i w:val="1"/>
          <w:iCs w:val="1"/>
          <w:color w:val="auto"/>
        </w:rPr>
        <w:t xml:space="preserve">“Diversity Score” </w:t>
      </w:r>
      <w:r>
        <w:rPr>
          <w:rFonts w:ascii="Arial" w:cs="Arial" w:eastAsia="Arial" w:hAnsi="Arial"/>
          <w:sz w:val="22"/>
          <w:szCs w:val="22"/>
          <w:color w:val="auto"/>
        </w:rPr>
        <w:t>means a single number that indicates collateral concentration in terms of both Obligor and industry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concentration, calculated as set forth in </w:t>
      </w:r>
      <w:r>
        <w:rPr>
          <w:rFonts w:ascii="Arial" w:cs="Arial" w:eastAsia="Arial" w:hAnsi="Arial"/>
          <w:sz w:val="22"/>
          <w:szCs w:val="22"/>
          <w:u w:val="single" w:color="auto"/>
          <w:color w:val="auto"/>
        </w:rPr>
        <w:t>Schedule 8</w:t>
      </w:r>
      <w:r>
        <w:rPr>
          <w:rFonts w:ascii="Arial" w:cs="Arial" w:eastAsia="Arial" w:hAnsi="Arial"/>
          <w:sz w:val="22"/>
          <w:szCs w:val="22"/>
          <w:color w:val="auto"/>
        </w:rPr>
        <w:t xml:space="preserve"> hereto.</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Document Custodian</w:t>
      </w:r>
      <w:r>
        <w:rPr>
          <w:rFonts w:ascii="Arial" w:cs="Arial" w:eastAsia="Arial" w:hAnsi="Arial"/>
          <w:sz w:val="19"/>
          <w:szCs w:val="19"/>
          <w:color w:val="auto"/>
        </w:rPr>
        <w:t>” means the Custodian when acting in the role of a custodian of the Related Documents hereunder.</w:t>
      </w:r>
    </w:p>
    <w:p>
      <w:pPr>
        <w:spacing w:after="0" w:line="173"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267" w:right="339" w:bottom="1440" w:gutter="0" w:footer="0" w:header="0"/>
        </w:sectPr>
      </w:pPr>
    </w:p>
    <w:bookmarkStart w:id="66" w:name="page67"/>
    <w:bookmarkEnd w:id="66"/>
    <w:p>
      <w:pPr>
        <w:ind w:left="8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22"/>
          <w:szCs w:val="22"/>
          <w:i w:val="1"/>
          <w:iCs w:val="1"/>
          <w:color w:val="auto"/>
        </w:rPr>
        <w:t>Document Custodian Facilities</w:t>
      </w:r>
      <w:r>
        <w:rPr>
          <w:rFonts w:ascii="Arial" w:cs="Arial" w:eastAsia="Arial" w:hAnsi="Arial"/>
          <w:sz w:val="22"/>
          <w:szCs w:val="22"/>
          <w:color w:val="auto"/>
        </w:rPr>
        <w:t xml:space="preserve">” means the office of the Document Custodian specified on </w:t>
      </w:r>
      <w:r>
        <w:rPr>
          <w:rFonts w:ascii="Arial" w:cs="Arial" w:eastAsia="Arial" w:hAnsi="Arial"/>
          <w:sz w:val="22"/>
          <w:szCs w:val="22"/>
          <w:u w:val="single" w:color="auto"/>
          <w:color w:val="auto"/>
        </w:rPr>
        <w:t>Schedule 6</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“Dollar Advance” </w:t>
      </w:r>
      <w:r>
        <w:rPr>
          <w:rFonts w:ascii="Arial" w:cs="Arial" w:eastAsia="Arial" w:hAnsi="Arial"/>
          <w:sz w:val="22"/>
          <w:szCs w:val="22"/>
          <w:color w:val="auto"/>
        </w:rPr>
        <w:t>means an Advance denominated in Dollars.</w:t>
      </w:r>
    </w:p>
    <w:p>
      <w:pPr>
        <w:spacing w:after="0" w:line="314" w:lineRule="exact"/>
        <w:rPr>
          <w:sz w:val="20"/>
          <w:szCs w:val="20"/>
          <w:color w:val="auto"/>
        </w:rPr>
      </w:pPr>
    </w:p>
    <w:p>
      <w:pPr>
        <w:ind w:firstLine="786"/>
        <w:spacing w:after="0" w:line="250" w:lineRule="auto"/>
        <w:rPr>
          <w:sz w:val="20"/>
          <w:szCs w:val="20"/>
          <w:color w:val="auto"/>
        </w:rPr>
      </w:pPr>
      <w:r>
        <w:rPr>
          <w:rFonts w:ascii="Arial" w:cs="Arial" w:eastAsia="Arial" w:hAnsi="Arial"/>
          <w:sz w:val="22"/>
          <w:szCs w:val="22"/>
          <w:i w:val="1"/>
          <w:iCs w:val="1"/>
          <w:color w:val="auto"/>
        </w:rPr>
        <w:t xml:space="preserve">“Dollar Advance Test” </w:t>
      </w:r>
      <w:r>
        <w:rPr>
          <w:rFonts w:ascii="Arial" w:cs="Arial" w:eastAsia="Arial" w:hAnsi="Arial"/>
          <w:sz w:val="22"/>
          <w:szCs w:val="22"/>
          <w:color w:val="auto"/>
        </w:rPr>
        <w:t>means a test that will be satisfied at any time that (i) the aggregate outstanding principal balance</w:t>
      </w:r>
      <w:r>
        <w:rPr>
          <w:rFonts w:ascii="Arial" w:cs="Arial" w:eastAsia="Arial" w:hAnsi="Arial"/>
          <w:sz w:val="22"/>
          <w:szCs w:val="22"/>
          <w:i w:val="1"/>
          <w:iCs w:val="1"/>
          <w:color w:val="auto"/>
        </w:rPr>
        <w:t xml:space="preserve"> </w:t>
      </w:r>
      <w:r>
        <w:rPr>
          <w:rFonts w:ascii="Arial" w:cs="Arial" w:eastAsia="Arial" w:hAnsi="Arial"/>
          <w:sz w:val="22"/>
          <w:szCs w:val="22"/>
          <w:color w:val="auto"/>
        </w:rPr>
        <w:t>of Advances denominated in Dollars is less than (ii) the Dollar Availability.</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“Dollar Availability” </w:t>
      </w:r>
      <w:r>
        <w:rPr>
          <w:rFonts w:ascii="Arial" w:cs="Arial" w:eastAsia="Arial" w:hAnsi="Arial"/>
          <w:sz w:val="22"/>
          <w:szCs w:val="22"/>
          <w:color w:val="auto"/>
        </w:rPr>
        <w:t>means an amount equal to:</w:t>
      </w:r>
    </w:p>
    <w:p>
      <w:pPr>
        <w:spacing w:after="0" w:line="314" w:lineRule="exact"/>
        <w:rPr>
          <w:sz w:val="20"/>
          <w:szCs w:val="20"/>
          <w:color w:val="auto"/>
        </w:rPr>
      </w:pPr>
    </w:p>
    <w:p>
      <w:pPr>
        <w:ind w:left="2520" w:hanging="786"/>
        <w:spacing w:after="0"/>
        <w:tabs>
          <w:tab w:leader="none" w:pos="25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314" w:lineRule="exact"/>
        <w:rPr>
          <w:rFonts w:ascii="Arial" w:cs="Arial" w:eastAsia="Arial" w:hAnsi="Arial"/>
          <w:sz w:val="22"/>
          <w:szCs w:val="22"/>
          <w:color w:val="auto"/>
        </w:rPr>
      </w:pPr>
    </w:p>
    <w:p>
      <w:pPr>
        <w:jc w:val="both"/>
        <w:ind w:left="1700" w:firstLine="852"/>
        <w:spacing w:after="0" w:line="236" w:lineRule="auto"/>
        <w:tabs>
          <w:tab w:leader="none" w:pos="3142" w:val="left"/>
        </w:tabs>
        <w:numPr>
          <w:ilvl w:val="1"/>
          <w:numId w:val="56"/>
        </w:numPr>
        <w:rPr>
          <w:rFonts w:ascii="Arial" w:cs="Arial" w:eastAsia="Arial" w:hAnsi="Arial"/>
          <w:sz w:val="22"/>
          <w:szCs w:val="22"/>
          <w:color w:val="auto"/>
        </w:rPr>
      </w:pPr>
      <w:r>
        <w:rPr>
          <w:rFonts w:ascii="Arial" w:cs="Arial" w:eastAsia="Arial" w:hAnsi="Arial"/>
          <w:sz w:val="22"/>
          <w:szCs w:val="22"/>
          <w:color w:val="auto"/>
        </w:rPr>
        <w:t xml:space="preserve">(i) the Dollar Borrowing Base </w:t>
      </w:r>
      <w:r>
        <w:rPr>
          <w:rFonts w:ascii="Arial" w:cs="Arial" w:eastAsia="Arial" w:hAnsi="Arial"/>
          <w:sz w:val="22"/>
          <w:szCs w:val="22"/>
          <w:i w:val="1"/>
          <w:iCs w:val="1"/>
          <w:color w:val="auto"/>
        </w:rPr>
        <w:t>plus</w:t>
      </w:r>
      <w:r>
        <w:rPr>
          <w:rFonts w:ascii="Arial" w:cs="Arial" w:eastAsia="Arial" w:hAnsi="Arial"/>
          <w:sz w:val="22"/>
          <w:szCs w:val="22"/>
          <w:color w:val="auto"/>
        </w:rPr>
        <w:t xml:space="preserve"> (ii) the aggregate amount of Dollars then on deposit in the Principal Collection Subaccounts,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(iii) the product of (a) the Aggregate Foreign Currency Borrowing Base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Dollar Equivalent of the aggregate amount of cash in an Agreed Foreign Currency deposited in the Principal Collection Subaccounts and (b) a percentage equal to 1 minus the Maximum Advance Rate, and,</w:t>
      </w:r>
    </w:p>
    <w:p>
      <w:pPr>
        <w:spacing w:after="0" w:line="295" w:lineRule="exact"/>
        <w:rPr>
          <w:rFonts w:ascii="Arial" w:cs="Arial" w:eastAsia="Arial" w:hAnsi="Arial"/>
          <w:sz w:val="22"/>
          <w:szCs w:val="22"/>
          <w:color w:val="auto"/>
        </w:rPr>
      </w:pPr>
    </w:p>
    <w:p>
      <w:pPr>
        <w:ind w:left="3120" w:hanging="568"/>
        <w:spacing w:after="0"/>
        <w:tabs>
          <w:tab w:leader="none" w:pos="3120"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(i) the Facility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Aggregate Foreign Currency Borrowing Base, </w:t>
      </w:r>
      <w:r>
        <w:rPr>
          <w:rFonts w:ascii="Arial" w:cs="Arial" w:eastAsia="Arial" w:hAnsi="Arial"/>
          <w:sz w:val="19"/>
          <w:szCs w:val="19"/>
          <w:i w:val="1"/>
          <w:iCs w:val="1"/>
          <w:color w:val="auto"/>
        </w:rPr>
        <w:t>minus</w:t>
      </w:r>
    </w:p>
    <w:p>
      <w:pPr>
        <w:spacing w:after="0" w:line="348" w:lineRule="exact"/>
        <w:rPr>
          <w:rFonts w:ascii="Arial" w:cs="Arial" w:eastAsia="Arial" w:hAnsi="Arial"/>
          <w:sz w:val="19"/>
          <w:szCs w:val="19"/>
          <w:color w:val="auto"/>
        </w:rPr>
      </w:pPr>
    </w:p>
    <w:p>
      <w:pPr>
        <w:ind w:left="2500" w:hanging="766"/>
        <w:spacing w:after="0"/>
        <w:tabs>
          <w:tab w:leader="none" w:pos="2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Foreign Currency Variability Reserve.</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“Dollar Borrowing Base” </w:t>
      </w:r>
      <w:r>
        <w:rPr>
          <w:rFonts w:ascii="Arial" w:cs="Arial" w:eastAsia="Arial" w:hAnsi="Arial"/>
          <w:sz w:val="22"/>
          <w:szCs w:val="22"/>
          <w:color w:val="auto"/>
        </w:rPr>
        <w:t>means an amount, calculated in Dollars, equal to (i) the portion of the Borrowing Base that 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allocable to Collateral Loans that are denominated in Dollars </w:t>
      </w:r>
      <w:r>
        <w:rPr>
          <w:rFonts w:ascii="Arial" w:cs="Arial" w:eastAsia="Arial" w:hAnsi="Arial"/>
          <w:sz w:val="22"/>
          <w:szCs w:val="22"/>
          <w:i w:val="1"/>
          <w:iCs w:val="1"/>
          <w:color w:val="auto"/>
        </w:rPr>
        <w:t>times</w:t>
      </w:r>
      <w:r>
        <w:rPr>
          <w:rFonts w:ascii="Arial" w:cs="Arial" w:eastAsia="Arial" w:hAnsi="Arial"/>
          <w:sz w:val="22"/>
          <w:szCs w:val="22"/>
          <w:color w:val="auto"/>
        </w:rPr>
        <w:t xml:space="preserve"> (ii) the Maximum Advance Rate.</w:t>
      </w:r>
    </w:p>
    <w:p>
      <w:pPr>
        <w:spacing w:after="0" w:line="283" w:lineRule="exact"/>
        <w:rPr>
          <w:sz w:val="20"/>
          <w:szCs w:val="20"/>
          <w:color w:val="auto"/>
        </w:rPr>
      </w:pPr>
    </w:p>
    <w:p>
      <w:pPr>
        <w:jc w:val="both"/>
        <w:ind w:firstLine="786"/>
        <w:spacing w:after="0" w:line="277" w:lineRule="auto"/>
        <w:rPr>
          <w:sz w:val="20"/>
          <w:szCs w:val="20"/>
          <w:color w:val="auto"/>
        </w:rPr>
      </w:pPr>
      <w:r>
        <w:rPr>
          <w:rFonts w:ascii="Arial" w:cs="Arial" w:eastAsia="Arial" w:hAnsi="Arial"/>
          <w:sz w:val="19"/>
          <w:szCs w:val="19"/>
          <w:i w:val="1"/>
          <w:iCs w:val="1"/>
          <w:color w:val="auto"/>
        </w:rPr>
        <w:t xml:space="preserve">“Dollar Equivalent” </w:t>
      </w:r>
      <w:r>
        <w:rPr>
          <w:rFonts w:ascii="Arial" w:cs="Arial" w:eastAsia="Arial" w:hAnsi="Arial"/>
          <w:sz w:val="19"/>
          <w:szCs w:val="19"/>
          <w:color w:val="auto"/>
        </w:rPr>
        <w:t>means, on any date of determination, with respect to an amount denominated in any Agreed</w:t>
      </w:r>
      <w:r>
        <w:rPr>
          <w:rFonts w:ascii="Arial" w:cs="Arial" w:eastAsia="Arial" w:hAnsi="Arial"/>
          <w:sz w:val="19"/>
          <w:szCs w:val="19"/>
          <w:i w:val="1"/>
          <w:iCs w:val="1"/>
          <w:color w:val="auto"/>
        </w:rPr>
        <w:t xml:space="preserve"> </w:t>
      </w:r>
      <w:r>
        <w:rPr>
          <w:rFonts w:ascii="Arial" w:cs="Arial" w:eastAsia="Arial" w:hAnsi="Arial"/>
          <w:sz w:val="19"/>
          <w:szCs w:val="19"/>
          <w:color w:val="auto"/>
        </w:rPr>
        <w:t>Foreign Currency, the amount of Dollars that would be required to purchase such amount of such Agreed Foreign Currency based upon the spot selling rate at which such Foreign Currency may be exchanged for Dollars on the FXC GO screen of the Bloomberg Financial Markets System at approximately 4:00 p.m. (New York Time) on such date. None of the Administrative Agent, the Collateral Administrator or the Collateral Agent, shall have any responsibility for any calculation of a Dollar Equivalent made by the Collateral Manager. For avoidance of doubt, neither the Collateral Administrator nor the Collateral Agent shall have any responsibility to calculate any Dollar Equivalent pursuant to this Agreement.</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“Dollars” </w:t>
      </w:r>
      <w:r>
        <w:rPr>
          <w:rFonts w:ascii="Arial" w:cs="Arial" w:eastAsia="Arial" w:hAnsi="Arial"/>
          <w:sz w:val="22"/>
          <w:szCs w:val="22"/>
          <w:color w:val="auto"/>
        </w:rPr>
        <w:t>and</w:t>
      </w:r>
      <w:r>
        <w:rPr>
          <w:rFonts w:ascii="Arial" w:cs="Arial" w:eastAsia="Arial" w:hAnsi="Arial"/>
          <w:sz w:val="22"/>
          <w:szCs w:val="22"/>
          <w:i w:val="1"/>
          <w:iCs w:val="1"/>
          <w:color w:val="auto"/>
        </w:rPr>
        <w:t xml:space="preserve"> “$” </w:t>
      </w:r>
      <w:r>
        <w:rPr>
          <w:rFonts w:ascii="Arial" w:cs="Arial" w:eastAsia="Arial" w:hAnsi="Arial"/>
          <w:sz w:val="22"/>
          <w:szCs w:val="22"/>
          <w:color w:val="auto"/>
        </w:rPr>
        <w:t>mean lawful money of the United States of America.</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 xml:space="preserve">“Due Date” </w:t>
      </w:r>
      <w:r>
        <w:rPr>
          <w:rFonts w:ascii="Arial" w:cs="Arial" w:eastAsia="Arial" w:hAnsi="Arial"/>
          <w:sz w:val="21"/>
          <w:szCs w:val="21"/>
          <w:color w:val="auto"/>
        </w:rPr>
        <w:t>means each date on which any payment is due on a Collateral Loan in accordance with its terms.</w:t>
      </w:r>
    </w:p>
    <w:p>
      <w:pPr>
        <w:spacing w:after="0" w:line="326"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“EBITDA” </w:t>
      </w:r>
      <w:r>
        <w:rPr>
          <w:rFonts w:ascii="Arial" w:cs="Arial" w:eastAsia="Arial" w:hAnsi="Arial"/>
          <w:sz w:val="22"/>
          <w:szCs w:val="22"/>
          <w:color w:val="auto"/>
        </w:rPr>
        <w:t>means earnings before interest, taxes, depreciation and amortization (determined, for any Collateral Loan, in</w:t>
      </w:r>
      <w:r>
        <w:rPr>
          <w:rFonts w:ascii="Arial" w:cs="Arial" w:eastAsia="Arial" w:hAnsi="Arial"/>
          <w:sz w:val="22"/>
          <w:szCs w:val="22"/>
          <w:i w:val="1"/>
          <w:iCs w:val="1"/>
          <w:color w:val="auto"/>
        </w:rPr>
        <w:t xml:space="preserve"> </w:t>
      </w:r>
      <w:r>
        <w:rPr>
          <w:rFonts w:ascii="Arial" w:cs="Arial" w:eastAsia="Arial" w:hAnsi="Arial"/>
          <w:sz w:val="22"/>
          <w:szCs w:val="22"/>
          <w:color w:val="auto"/>
        </w:rPr>
        <w:t>the manner provided in the Related Documents).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267" w:right="339" w:bottom="1440" w:gutter="0" w:footer="0" w:header="0"/>
        </w:sectPr>
      </w:pPr>
    </w:p>
    <w:bookmarkStart w:id="67" w:name="page68"/>
    <w:bookmarkEnd w:id="67"/>
    <w:p>
      <w:pPr>
        <w:jc w:val="both"/>
        <w:ind w:firstLine="786"/>
        <w:spacing w:after="0" w:line="279"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“Eligible Covenant Lite Loan” </w:t>
      </w:r>
      <w:r>
        <w:rPr>
          <w:rFonts w:ascii="Arial" w:cs="Arial" w:eastAsia="Arial" w:hAnsi="Arial"/>
          <w:sz w:val="19"/>
          <w:szCs w:val="19"/>
          <w:color w:val="auto"/>
        </w:rPr>
        <w:t>means a Covenant Lite Loan that (i) is not subordinate in right or payment to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 for borrowed money of the obligor of such loan and is secured by a valid first priority perfected security interest or lien in, to or on specified collateral, (ii) has an original principal balance of (and unfunded commitments in respect of) the Dollar Equivalent of $250,000,000 or more and (iii) such loan is rated by either or both of S&amp;P and Moody’s and (x) if rated only by S&amp;P, such loan has a rating of B- or better, (y) if rated only by Moody’s, such loan has a rating of B3 or better and (z) if rated by both S&amp;P and Moody’s, such loan has a rating of B- or better by S&amp;P and B3 or better by Moody’s.</w:t>
      </w:r>
    </w:p>
    <w:p>
      <w:pPr>
        <w:spacing w:after="0" w:line="258"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“Eligible First Lien Obligation” </w:t>
      </w:r>
      <w:r>
        <w:rPr>
          <w:rFonts w:ascii="Arial" w:cs="Arial" w:eastAsia="Arial" w:hAnsi="Arial"/>
          <w:sz w:val="22"/>
          <w:szCs w:val="22"/>
          <w:color w:val="auto"/>
        </w:rPr>
        <w:t>means any loan, debt obligation or Participation Interest (for purposes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definition, a “</w:t>
      </w:r>
      <w:r>
        <w:rPr>
          <w:rFonts w:ascii="Arial" w:cs="Arial" w:eastAsia="Arial" w:hAnsi="Arial"/>
          <w:sz w:val="22"/>
          <w:szCs w:val="22"/>
          <w:i w:val="1"/>
          <w:iCs w:val="1"/>
          <w:color w:val="auto"/>
        </w:rPr>
        <w:t>loan</w:t>
      </w:r>
      <w:r>
        <w:rPr>
          <w:rFonts w:ascii="Arial" w:cs="Arial" w:eastAsia="Arial" w:hAnsi="Arial"/>
          <w:sz w:val="22"/>
          <w:szCs w:val="22"/>
          <w:color w:val="auto"/>
        </w:rPr>
        <w:t>”) that:</w:t>
      </w:r>
    </w:p>
    <w:p>
      <w:pPr>
        <w:spacing w:after="0" w:line="283" w:lineRule="exact"/>
        <w:rPr>
          <w:sz w:val="20"/>
          <w:szCs w:val="20"/>
          <w:color w:val="auto"/>
        </w:rPr>
      </w:pPr>
    </w:p>
    <w:p>
      <w:pPr>
        <w:ind w:left="800" w:hanging="6"/>
        <w:spacing w:after="0" w:line="250" w:lineRule="auto"/>
        <w:tabs>
          <w:tab w:leader="none" w:pos="1116"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if such loan is a Senior B Loan Obligation, such loan satisfies each of the criteria in such definition and satisfies </w:t>
      </w:r>
      <w:r>
        <w:rPr>
          <w:rFonts w:ascii="Arial" w:cs="Arial" w:eastAsia="Arial" w:hAnsi="Arial"/>
          <w:sz w:val="22"/>
          <w:szCs w:val="22"/>
          <w:u w:val="single" w:color="auto"/>
          <w:color w:val="auto"/>
        </w:rPr>
        <w:t>clauses (b)(ii)-(iv)</w:t>
      </w:r>
      <w:r>
        <w:rPr>
          <w:rFonts w:ascii="Arial" w:cs="Arial" w:eastAsia="Arial" w:hAnsi="Arial"/>
          <w:sz w:val="22"/>
          <w:szCs w:val="22"/>
          <w:color w:val="auto"/>
        </w:rPr>
        <w:t xml:space="preserve"> below;</w:t>
      </w:r>
    </w:p>
    <w:p>
      <w:pPr>
        <w:spacing w:after="0" w:line="282" w:lineRule="exact"/>
        <w:rPr>
          <w:rFonts w:ascii="Arial" w:cs="Arial" w:eastAsia="Arial" w:hAnsi="Arial"/>
          <w:sz w:val="22"/>
          <w:szCs w:val="22"/>
          <w:color w:val="auto"/>
        </w:rPr>
      </w:pPr>
    </w:p>
    <w:p>
      <w:pPr>
        <w:ind w:left="1100" w:hanging="306"/>
        <w:spacing w:after="0"/>
        <w:tabs>
          <w:tab w:leader="none" w:pos="11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with respect to any loan which does not constitute a Senior B Loan Obligation, such loan:</w:t>
      </w:r>
    </w:p>
    <w:p>
      <w:pPr>
        <w:spacing w:after="0" w:line="314" w:lineRule="exact"/>
        <w:rPr>
          <w:rFonts w:ascii="Arial" w:cs="Arial" w:eastAsia="Arial" w:hAnsi="Arial"/>
          <w:sz w:val="22"/>
          <w:szCs w:val="22"/>
          <w:color w:val="auto"/>
        </w:rPr>
      </w:pPr>
    </w:p>
    <w:p>
      <w:pPr>
        <w:ind w:left="800" w:firstLine="1060"/>
        <w:spacing w:after="0" w:line="250" w:lineRule="auto"/>
        <w:tabs>
          <w:tab w:leader="none" w:pos="2446" w:val="left"/>
        </w:tabs>
        <w:numPr>
          <w:ilvl w:val="2"/>
          <w:numId w:val="57"/>
        </w:numPr>
        <w:rPr>
          <w:rFonts w:ascii="Arial" w:cs="Arial" w:eastAsia="Arial" w:hAnsi="Arial"/>
          <w:sz w:val="22"/>
          <w:szCs w:val="22"/>
          <w:color w:val="auto"/>
        </w:rPr>
      </w:pPr>
      <w:r>
        <w:rPr>
          <w:rFonts w:ascii="Arial" w:cs="Arial" w:eastAsia="Arial" w:hAnsi="Arial"/>
          <w:sz w:val="22"/>
          <w:szCs w:val="22"/>
          <w:color w:val="auto"/>
        </w:rPr>
        <w:t>is not (and is not expressly permitted by its terms to become) subordinate in right of payment to any other obligation for borrowed money of the obligor of such loan;</w:t>
      </w:r>
    </w:p>
    <w:p>
      <w:pPr>
        <w:spacing w:after="0" w:line="282" w:lineRule="exact"/>
        <w:rPr>
          <w:rFonts w:ascii="Arial" w:cs="Arial" w:eastAsia="Arial" w:hAnsi="Arial"/>
          <w:sz w:val="22"/>
          <w:szCs w:val="22"/>
          <w:color w:val="auto"/>
        </w:rPr>
      </w:pPr>
    </w:p>
    <w:p>
      <w:pPr>
        <w:jc w:val="both"/>
        <w:ind w:left="800" w:firstLine="1005"/>
        <w:spacing w:after="0" w:line="236" w:lineRule="auto"/>
        <w:tabs>
          <w:tab w:leader="none" w:pos="2500" w:val="left"/>
        </w:tabs>
        <w:numPr>
          <w:ilvl w:val="2"/>
          <w:numId w:val="57"/>
        </w:numPr>
        <w:rPr>
          <w:rFonts w:ascii="Arial" w:cs="Arial" w:eastAsia="Arial" w:hAnsi="Arial"/>
          <w:sz w:val="22"/>
          <w:szCs w:val="22"/>
          <w:color w:val="auto"/>
        </w:rPr>
      </w:pPr>
      <w:r>
        <w:rPr>
          <w:rFonts w:ascii="Arial" w:cs="Arial" w:eastAsia="Arial" w:hAnsi="Arial"/>
          <w:sz w:val="22"/>
          <w:szCs w:val="22"/>
          <w:color w:val="auto"/>
        </w:rPr>
        <w:t>is secured by a valid first priority perfected security interest or lien in, to or on specified collateral securing the obligor’s obligations under such loan subject to Purchase Money Liens and customary Liens for taxes or regulatory charges not then due and payable and other permitted Liens customary in credit agreements, which Liens do not directly secure indebtedness for borrowed money (whether or not such loan is also secured by any lower priority security interest or lien on other collateral);</w:t>
      </w:r>
    </w:p>
    <w:p>
      <w:pPr>
        <w:spacing w:after="0" w:line="295" w:lineRule="exact"/>
        <w:rPr>
          <w:rFonts w:ascii="Arial" w:cs="Arial" w:eastAsia="Arial" w:hAnsi="Arial"/>
          <w:sz w:val="22"/>
          <w:szCs w:val="22"/>
          <w:color w:val="auto"/>
        </w:rPr>
      </w:pPr>
    </w:p>
    <w:p>
      <w:pPr>
        <w:jc w:val="both"/>
        <w:ind w:left="800" w:firstLine="934"/>
        <w:spacing w:after="0" w:line="238" w:lineRule="auto"/>
        <w:tabs>
          <w:tab w:leader="none" w:pos="2395" w:val="left"/>
        </w:tabs>
        <w:numPr>
          <w:ilvl w:val="2"/>
          <w:numId w:val="57"/>
        </w:numPr>
        <w:rPr>
          <w:rFonts w:ascii="Arial" w:cs="Arial" w:eastAsia="Arial" w:hAnsi="Arial"/>
          <w:sz w:val="22"/>
          <w:szCs w:val="22"/>
          <w:color w:val="auto"/>
        </w:rPr>
      </w:pPr>
      <w:r>
        <w:rPr>
          <w:rFonts w:ascii="Arial" w:cs="Arial" w:eastAsia="Arial" w:hAnsi="Arial"/>
          <w:sz w:val="22"/>
          <w:szCs w:val="22"/>
          <w:color w:val="auto"/>
        </w:rPr>
        <w:t>is secured pursuant to such first priority perfected security interest or lien, by collateral having a value (determined as set forth below) not less than the outstanding principal balance of such loan plus the aggregate outstanding principal balances of all other loans of equal seniority secured by a first lien or security interest in the same collateral; and</w:t>
      </w:r>
    </w:p>
    <w:p>
      <w:pPr>
        <w:spacing w:after="0" w:line="292" w:lineRule="exact"/>
        <w:rPr>
          <w:rFonts w:ascii="Arial" w:cs="Arial" w:eastAsia="Arial" w:hAnsi="Arial"/>
          <w:sz w:val="22"/>
          <w:szCs w:val="22"/>
          <w:color w:val="auto"/>
        </w:rPr>
      </w:pPr>
    </w:p>
    <w:p>
      <w:pPr>
        <w:ind w:left="2480" w:hanging="746"/>
        <w:spacing w:after="0"/>
        <w:tabs>
          <w:tab w:leader="none" w:pos="24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is not a loan which is secured solely or primarily by the common stock of its obligor or any of its</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Affiliates;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that a First Lien/Last Out Obligation shall not constitute an Eligible First Lien Obligation.</w:t>
      </w:r>
    </w:p>
    <w:p>
      <w:pPr>
        <w:spacing w:after="0" w:line="314" w:lineRule="exact"/>
        <w:rPr>
          <w:sz w:val="20"/>
          <w:szCs w:val="20"/>
          <w:color w:val="auto"/>
        </w:rPr>
      </w:pPr>
    </w:p>
    <w:p>
      <w:pPr>
        <w:jc w:val="both"/>
        <w:ind w:right="20" w:firstLine="786"/>
        <w:spacing w:after="0" w:line="252" w:lineRule="auto"/>
        <w:rPr>
          <w:sz w:val="20"/>
          <w:szCs w:val="20"/>
          <w:color w:val="auto"/>
        </w:rPr>
      </w:pPr>
      <w:r>
        <w:rPr>
          <w:rFonts w:ascii="Arial" w:cs="Arial" w:eastAsia="Arial" w:hAnsi="Arial"/>
          <w:sz w:val="21"/>
          <w:szCs w:val="21"/>
          <w:color w:val="auto"/>
        </w:rPr>
        <w:t xml:space="preserve">The determination as to whether </w:t>
      </w:r>
      <w:r>
        <w:rPr>
          <w:rFonts w:ascii="Arial" w:cs="Arial" w:eastAsia="Arial" w:hAnsi="Arial"/>
          <w:sz w:val="21"/>
          <w:szCs w:val="21"/>
          <w:u w:val="single" w:color="auto"/>
          <w:color w:val="auto"/>
        </w:rPr>
        <w:t>clause (b)(iii)</w:t>
      </w:r>
      <w:r>
        <w:rPr>
          <w:rFonts w:ascii="Arial" w:cs="Arial" w:eastAsia="Arial" w:hAnsi="Arial"/>
          <w:sz w:val="21"/>
          <w:szCs w:val="21"/>
          <w:color w:val="auto"/>
        </w:rPr>
        <w:t xml:space="preserve"> of this definition is satisfied shall be based on both (x) an Appraisal or other valuation (including an internal valuation performed by the Collateral Manager and including enterprise value) performed on or about the date of acquisition by the Borrower or of the most recent restructuring of such loan, and (y) the Collateral Manager’s judgment at the time the loan is acquired by the Borrower. The limitation set forth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267" w:right="339" w:bottom="1440" w:gutter="0" w:footer="0" w:header="0"/>
        </w:sectPr>
      </w:pPr>
    </w:p>
    <w:bookmarkStart w:id="68" w:name="page69"/>
    <w:bookmarkEnd w:id="68"/>
    <w:p>
      <w:pPr>
        <w:jc w:val="both"/>
        <w:spacing w:after="0" w:line="271" w:lineRule="auto"/>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clause (b)(iv)</w:t>
      </w:r>
      <w:r>
        <w:rPr>
          <w:rFonts w:ascii="Arial" w:cs="Arial" w:eastAsia="Arial" w:hAnsi="Arial"/>
          <w:sz w:val="19"/>
          <w:szCs w:val="19"/>
          <w:color w:val="auto"/>
        </w:rPr>
        <w:t xml:space="preserve"> above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w:t>
      </w:r>
    </w:p>
    <w:p>
      <w:pPr>
        <w:spacing w:after="0" w:line="3" w:lineRule="exact"/>
        <w:rPr>
          <w:sz w:val="20"/>
          <w:szCs w:val="20"/>
          <w:color w:val="auto"/>
        </w:rPr>
      </w:pPr>
    </w:p>
    <w:p>
      <w:pPr>
        <w:jc w:val="both"/>
        <w:ind w:firstLine="8"/>
        <w:spacing w:after="0" w:line="277" w:lineRule="auto"/>
        <w:tabs>
          <w:tab w:leader="none" w:pos="313"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and (y) the aggregate amount of all such indebtedness is not material relative to the aggregate value of the assets of such subsidiary. For purposes of this Agreement, a DIP Collateral Obligation shall constitute an </w:t>
      </w:r>
      <w:r>
        <w:rPr>
          <w:rFonts w:ascii="Arial" w:cs="Arial" w:eastAsia="Arial" w:hAnsi="Arial"/>
          <w:sz w:val="19"/>
          <w:szCs w:val="19"/>
          <w:i w:val="1"/>
          <w:iCs w:val="1"/>
          <w:color w:val="auto"/>
        </w:rPr>
        <w:t>“Eligible First Lien Obligation”</w:t>
      </w:r>
      <w:r>
        <w:rPr>
          <w:rFonts w:ascii="Arial" w:cs="Arial" w:eastAsia="Arial" w:hAnsi="Arial"/>
          <w:sz w:val="19"/>
          <w:szCs w:val="19"/>
          <w:color w:val="auto"/>
        </w:rPr>
        <w:t>.</w:t>
      </w:r>
    </w:p>
    <w:p>
      <w:pPr>
        <w:spacing w:after="0" w:line="260" w:lineRule="exact"/>
        <w:rPr>
          <w:sz w:val="20"/>
          <w:szCs w:val="20"/>
          <w:color w:val="auto"/>
        </w:rPr>
      </w:pPr>
    </w:p>
    <w:p>
      <w:pPr>
        <w:jc w:val="both"/>
        <w:ind w:firstLine="786"/>
        <w:spacing w:after="0" w:line="246" w:lineRule="auto"/>
        <w:rPr>
          <w:sz w:val="20"/>
          <w:szCs w:val="20"/>
          <w:color w:val="auto"/>
        </w:rPr>
      </w:pPr>
      <w:r>
        <w:rPr>
          <w:rFonts w:ascii="Arial" w:cs="Arial" w:eastAsia="Arial" w:hAnsi="Arial"/>
          <w:sz w:val="21"/>
          <w:szCs w:val="21"/>
          <w:i w:val="1"/>
          <w:iCs w:val="1"/>
          <w:color w:val="auto"/>
        </w:rPr>
        <w:t xml:space="preserve">“Eligible Investment Required Ratings” </w:t>
      </w:r>
      <w:r>
        <w:rPr>
          <w:rFonts w:ascii="Arial" w:cs="Arial" w:eastAsia="Arial" w:hAnsi="Arial"/>
          <w:sz w:val="21"/>
          <w:szCs w:val="21"/>
          <w:color w:val="auto"/>
        </w:rPr>
        <w:t>means, with respect to any obligation or security, that such obligation or</w:t>
      </w:r>
      <w:r>
        <w:rPr>
          <w:rFonts w:ascii="Arial" w:cs="Arial" w:eastAsia="Arial" w:hAnsi="Arial"/>
          <w:sz w:val="21"/>
          <w:szCs w:val="21"/>
          <w:i w:val="1"/>
          <w:iCs w:val="1"/>
          <w:color w:val="auto"/>
        </w:rPr>
        <w:t xml:space="preserve"> </w:t>
      </w:r>
      <w:r>
        <w:rPr>
          <w:rFonts w:ascii="Arial" w:cs="Arial" w:eastAsia="Arial" w:hAnsi="Arial"/>
          <w:sz w:val="21"/>
          <w:szCs w:val="21"/>
          <w:color w:val="auto"/>
        </w:rPr>
        <w:t>security (a) (i) if such obligation or security has both a long-term and a short-term credit rating from Moody’s, such ratings are “Aa3” or better (not on credit watch for possible downgrade) and “P-1” (not on credit watch for possible downgrade), respectively, (ii) if such obligation or security only has a long-term credit rating from Moody’s, such rating is “Aaa” (not on credit watch for possible downgrade) and (iii) if such obligation or security only has a short-term credit rating from Moody’s, such rating is “P-1” (not on credit watch for possible downgrade) and (b) has a rating of “A-1” or better (or, in the absence of a short-term credit rating, a long-term credit rating of “A+” or better) from S&amp;P.</w:t>
      </w:r>
    </w:p>
    <w:p>
      <w:pPr>
        <w:spacing w:after="0" w:line="292"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“Eligible Investments” </w:t>
      </w:r>
      <w:r>
        <w:rPr>
          <w:rFonts w:ascii="Arial" w:cs="Arial" w:eastAsia="Arial" w:hAnsi="Arial"/>
          <w:sz w:val="22"/>
          <w:szCs w:val="22"/>
          <w:color w:val="auto"/>
        </w:rPr>
        <w:t>means any Dollar investment that, at the time it is Delivered (directly or through an intermediary</w:t>
      </w:r>
      <w:r>
        <w:rPr>
          <w:rFonts w:ascii="Arial" w:cs="Arial" w:eastAsia="Arial" w:hAnsi="Arial"/>
          <w:sz w:val="22"/>
          <w:szCs w:val="22"/>
          <w:i w:val="1"/>
          <w:iCs w:val="1"/>
          <w:color w:val="auto"/>
        </w:rPr>
        <w:t xml:space="preserve"> </w:t>
      </w:r>
      <w:r>
        <w:rPr>
          <w:rFonts w:ascii="Arial" w:cs="Arial" w:eastAsia="Arial" w:hAnsi="Arial"/>
          <w:sz w:val="22"/>
          <w:szCs w:val="22"/>
          <w:color w:val="auto"/>
        </w:rPr>
        <w:t>or bailee), is one or more of the following obligations or securities:</w:t>
      </w:r>
    </w:p>
    <w:p>
      <w:pPr>
        <w:spacing w:after="0" w:line="283" w:lineRule="exact"/>
        <w:rPr>
          <w:sz w:val="20"/>
          <w:szCs w:val="20"/>
          <w:color w:val="auto"/>
        </w:rPr>
      </w:pPr>
    </w:p>
    <w:p>
      <w:pPr>
        <w:jc w:val="both"/>
        <w:ind w:left="800" w:firstLine="954"/>
        <w:spacing w:after="0" w:line="297" w:lineRule="auto"/>
        <w:tabs>
          <w:tab w:leader="none" w:pos="2306" w:val="left"/>
        </w:tabs>
        <w:numPr>
          <w:ilvl w:val="0"/>
          <w:numId w:val="59"/>
        </w:numPr>
        <w:rPr>
          <w:rFonts w:ascii="Arial" w:cs="Arial" w:eastAsia="Arial" w:hAnsi="Arial"/>
          <w:sz w:val="19"/>
          <w:szCs w:val="19"/>
          <w:color w:val="auto"/>
        </w:rPr>
      </w:pPr>
      <w:r>
        <w:rPr>
          <w:rFonts w:ascii="Arial" w:cs="Arial" w:eastAsia="Arial" w:hAnsi="Arial"/>
          <w:sz w:val="19"/>
          <w:szCs w:val="19"/>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241" w:lineRule="exact"/>
        <w:rPr>
          <w:rFonts w:ascii="Arial" w:cs="Arial" w:eastAsia="Arial" w:hAnsi="Arial"/>
          <w:sz w:val="19"/>
          <w:szCs w:val="19"/>
          <w:color w:val="auto"/>
        </w:rPr>
      </w:pPr>
    </w:p>
    <w:p>
      <w:pPr>
        <w:jc w:val="both"/>
        <w:ind w:left="800" w:firstLine="970"/>
        <w:spacing w:after="0" w:line="277" w:lineRule="auto"/>
        <w:tabs>
          <w:tab w:leader="none" w:pos="2529" w:val="left"/>
        </w:tabs>
        <w:numPr>
          <w:ilvl w:val="1"/>
          <w:numId w:val="59"/>
        </w:numPr>
        <w:rPr>
          <w:rFonts w:ascii="Arial" w:cs="Arial" w:eastAsia="Arial" w:hAnsi="Arial"/>
          <w:sz w:val="19"/>
          <w:szCs w:val="19"/>
          <w:color w:val="auto"/>
        </w:rPr>
      </w:pPr>
      <w:r>
        <w:rPr>
          <w:rFonts w:ascii="Arial" w:cs="Arial" w:eastAsia="Arial" w:hAnsi="Arial"/>
          <w:sz w:val="19"/>
          <w:szCs w:val="19"/>
          <w:color w:val="auto"/>
        </w:rPr>
        <w:t>demand and time deposits in, certificates of deposit of, trust accounts with, bankers’ acceptances payable within 183 days of issuance by, or federal funds sold by any depository institution or trust company incorporated under the laws of the United States of 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260" w:lineRule="exact"/>
        <w:rPr>
          <w:sz w:val="20"/>
          <w:szCs w:val="20"/>
          <w:color w:val="auto"/>
        </w:rPr>
      </w:pPr>
    </w:p>
    <w:p>
      <w:pPr>
        <w:ind w:left="2420" w:hanging="750"/>
        <w:spacing w:after="0"/>
        <w:tabs>
          <w:tab w:leader="none" w:pos="24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unleveraged repurchase obligations with respect to (a) any security described in clause (i) above or</w:t>
      </w:r>
    </w:p>
    <w:p>
      <w:pPr>
        <w:spacing w:after="0" w:line="42" w:lineRule="exact"/>
        <w:rPr>
          <w:rFonts w:ascii="Arial" w:cs="Arial" w:eastAsia="Arial" w:hAnsi="Arial"/>
          <w:sz w:val="19"/>
          <w:szCs w:val="19"/>
          <w:color w:val="auto"/>
        </w:rPr>
      </w:pPr>
    </w:p>
    <w:p>
      <w:pPr>
        <w:ind w:left="1100" w:hanging="306"/>
        <w:spacing w:after="0"/>
        <w:tabs>
          <w:tab w:leader="none" w:pos="11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other security issued or guaranteed by an agency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267" w:right="339" w:bottom="1440" w:gutter="0" w:footer="0" w:header="0"/>
        </w:sectPr>
      </w:pPr>
    </w:p>
    <w:bookmarkStart w:id="69" w:name="page70"/>
    <w:bookmarkEnd w:id="69"/>
    <w:p>
      <w:pPr>
        <w:jc w:val="both"/>
        <w:ind w:left="80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instrumentality of the United States of America, in either case entered into with a depository institution or trust company (acting as principal) described in clause (ii) above or entered into with an entity (acting as principal) which has, or whose parent company has (in addition to a guarantee agreement with such entity), the Eligible Investment Required Ratings;</w:t>
      </w:r>
    </w:p>
    <w:p>
      <w:pPr>
        <w:spacing w:after="0" w:line="293" w:lineRule="exact"/>
        <w:rPr>
          <w:sz w:val="20"/>
          <w:szCs w:val="20"/>
          <w:color w:val="auto"/>
        </w:rPr>
      </w:pPr>
    </w:p>
    <w:p>
      <w:pPr>
        <w:jc w:val="both"/>
        <w:ind w:left="800" w:firstLine="833"/>
        <w:spacing w:after="0"/>
        <w:tabs>
          <w:tab w:leader="none" w:pos="2275"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294" w:lineRule="exact"/>
        <w:rPr>
          <w:rFonts w:ascii="Arial" w:cs="Arial" w:eastAsia="Arial" w:hAnsi="Arial"/>
          <w:sz w:val="22"/>
          <w:szCs w:val="22"/>
          <w:color w:val="auto"/>
        </w:rPr>
      </w:pPr>
    </w:p>
    <w:p>
      <w:pPr>
        <w:jc w:val="both"/>
        <w:ind w:left="800" w:firstLine="1017"/>
        <w:spacing w:after="0"/>
        <w:tabs>
          <w:tab w:leader="none" w:pos="2659" w:val="left"/>
        </w:tabs>
        <w:numPr>
          <w:ilvl w:val="1"/>
          <w:numId w:val="62"/>
        </w:numPr>
        <w:rPr>
          <w:rFonts w:ascii="Arial" w:cs="Arial" w:eastAsia="Arial" w:hAnsi="Arial"/>
          <w:sz w:val="22"/>
          <w:szCs w:val="22"/>
          <w:color w:val="auto"/>
        </w:rPr>
      </w:pPr>
      <w:r>
        <w:rPr>
          <w:rFonts w:ascii="Arial" w:cs="Arial" w:eastAsia="Arial" w:hAnsi="Arial"/>
          <w:sz w:val="22"/>
          <w:szCs w:val="22"/>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294" w:lineRule="exact"/>
        <w:rPr>
          <w:sz w:val="20"/>
          <w:szCs w:val="20"/>
          <w:color w:val="auto"/>
        </w:rPr>
      </w:pPr>
    </w:p>
    <w:p>
      <w:pPr>
        <w:jc w:val="both"/>
        <w:ind w:left="800" w:firstLine="833"/>
        <w:spacing w:after="0" w:line="273" w:lineRule="auto"/>
        <w:tabs>
          <w:tab w:leader="none" w:pos="2275"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Administrative Agent and the Required Lenders have consented thereto or</w:t>
      </w:r>
    </w:p>
    <w:p>
      <w:pPr>
        <w:spacing w:after="0" w:line="1" w:lineRule="exact"/>
        <w:rPr>
          <w:rFonts w:ascii="Arial" w:cs="Arial" w:eastAsia="Arial" w:hAnsi="Arial"/>
          <w:sz w:val="19"/>
          <w:szCs w:val="19"/>
          <w:color w:val="auto"/>
        </w:rPr>
      </w:pPr>
    </w:p>
    <w:p>
      <w:pPr>
        <w:ind w:left="1100" w:hanging="306"/>
        <w:spacing w:after="0"/>
        <w:tabs>
          <w:tab w:leader="none" w:pos="11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such Reinvestment Agreement may be unwound at the option of the Borrower without penalty;</w:t>
      </w:r>
    </w:p>
    <w:p>
      <w:pPr>
        <w:spacing w:after="0" w:line="296" w:lineRule="exact"/>
        <w:rPr>
          <w:sz w:val="20"/>
          <w:szCs w:val="20"/>
          <w:color w:val="auto"/>
        </w:rPr>
      </w:pPr>
    </w:p>
    <w:p>
      <w:pPr>
        <w:ind w:left="800" w:firstLine="805"/>
        <w:spacing w:after="0" w:line="250" w:lineRule="auto"/>
        <w:tabs>
          <w:tab w:leader="none" w:pos="2458" w:val="left"/>
        </w:tabs>
        <w:numPr>
          <w:ilvl w:val="1"/>
          <w:numId w:val="65"/>
        </w:numPr>
        <w:rPr>
          <w:rFonts w:ascii="Arial" w:cs="Arial" w:eastAsia="Arial" w:hAnsi="Arial"/>
          <w:sz w:val="22"/>
          <w:szCs w:val="22"/>
          <w:color w:val="auto"/>
        </w:rPr>
      </w:pPr>
      <w:r>
        <w:rPr>
          <w:rFonts w:ascii="Arial" w:cs="Arial" w:eastAsia="Arial" w:hAnsi="Arial"/>
          <w:sz w:val="22"/>
          <w:szCs w:val="22"/>
          <w:color w:val="auto"/>
        </w:rPr>
        <w:t>money market funds that have, at all times, credit ratings of “Aaa” and “MR1+” by Moody’s and “AAAm” or “AAAm-G” by S&amp;P, respectively; and</w:t>
      </w:r>
    </w:p>
    <w:p>
      <w:pPr>
        <w:spacing w:after="0" w:line="282" w:lineRule="exact"/>
        <w:rPr>
          <w:rFonts w:ascii="Arial" w:cs="Arial" w:eastAsia="Arial" w:hAnsi="Arial"/>
          <w:sz w:val="22"/>
          <w:szCs w:val="22"/>
          <w:color w:val="auto"/>
        </w:rPr>
      </w:pPr>
    </w:p>
    <w:p>
      <w:pPr>
        <w:ind w:left="2280" w:hanging="755"/>
        <w:spacing w:after="0"/>
        <w:tabs>
          <w:tab w:leader="none" w:pos="22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Cash;</w:t>
      </w:r>
    </w:p>
    <w:p>
      <w:pPr>
        <w:spacing w:after="0" w:line="314" w:lineRule="exact"/>
        <w:rPr>
          <w:sz w:val="20"/>
          <w:szCs w:val="20"/>
          <w:color w:val="auto"/>
        </w:rPr>
      </w:pPr>
    </w:p>
    <w:p>
      <w:pPr>
        <w:spacing w:after="0" w:line="276"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(1) Eligible Investments purchased with funds in the Collection Account shall be held until maturity except as</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specifically provided herein and shall include only such obligations or securities, other than those referred to in clause</w:t>
      </w:r>
    </w:p>
    <w:p>
      <w:pPr>
        <w:spacing w:after="0" w:line="1" w:lineRule="exact"/>
        <w:rPr>
          <w:sz w:val="20"/>
          <w:szCs w:val="20"/>
          <w:color w:val="auto"/>
        </w:rPr>
      </w:pPr>
    </w:p>
    <w:p>
      <w:pPr>
        <w:jc w:val="both"/>
        <w:ind w:firstLine="8"/>
        <w:spacing w:after="0" w:line="266" w:lineRule="auto"/>
        <w:tabs>
          <w:tab w:leader="none" w:pos="438" w:val="left"/>
        </w:tabs>
        <w:numPr>
          <w:ilvl w:val="0"/>
          <w:numId w:val="67"/>
        </w:numPr>
        <w:rPr>
          <w:rFonts w:ascii="Arial" w:cs="Arial" w:eastAsia="Arial" w:hAnsi="Arial"/>
          <w:sz w:val="19"/>
          <w:szCs w:val="19"/>
          <w:color w:val="auto"/>
        </w:rPr>
      </w:pPr>
      <w:r>
        <w:rPr>
          <w:rFonts w:ascii="Arial" w:cs="Arial" w:eastAsia="Arial" w:hAnsi="Arial"/>
          <w:sz w:val="19"/>
          <w:szCs w:val="19"/>
          <w:color w:val="auto"/>
        </w:rPr>
        <w:t>above, as mature (or are putable at par to the issuer thereof) no later than the earlier of (x) sixty (60) days after the date of acquisition thereof or (y) the Business Day prior to the next Payment Date; and (2) 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w:t>
      </w:r>
    </w:p>
    <w:p>
      <w:pPr>
        <w:spacing w:after="0" w:line="3"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(c) such obligation or security is subject to U.S. withholding or foreign withholding tax unless the issuer of the security is required to make “gross-up” payments for the full amount of such withholding tax, (d) such obligation or security is secured by real property, (e) such obligation or security is purchased at a price greater than 100% of the principal or face amount thereof,</w:t>
      </w:r>
    </w:p>
    <w:p>
      <w:pPr>
        <w:spacing w:after="0" w:line="2"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1"/>
          <w:szCs w:val="21"/>
          <w:color w:val="auto"/>
        </w:rPr>
        <w:t>(f) such obligation or security is subject of a tender offer, voluntary redemption, exchange offer, conversion or other similar action or (g) in the Collateral Manager’s judgment, such obligation or security is subject to material non-credit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267" w:right="339" w:bottom="1440" w:gutter="0" w:footer="0" w:header="0"/>
        </w:sectPr>
      </w:pPr>
    </w:p>
    <w:bookmarkStart w:id="70" w:name="page71"/>
    <w:bookmarkEnd w:id="70"/>
    <w:p>
      <w:pPr>
        <w:ind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“Eligible Second Lien Obligation” </w:t>
      </w:r>
      <w:r>
        <w:rPr>
          <w:rFonts w:ascii="Arial" w:cs="Arial" w:eastAsia="Arial" w:hAnsi="Arial"/>
          <w:sz w:val="22"/>
          <w:szCs w:val="22"/>
          <w:color w:val="auto"/>
        </w:rPr>
        <w:t>means a loan, debt obligation or Participation Interest (for purposes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definition, a </w:t>
      </w:r>
      <w:r>
        <w:rPr>
          <w:rFonts w:ascii="Arial" w:cs="Arial" w:eastAsia="Arial" w:hAnsi="Arial"/>
          <w:sz w:val="22"/>
          <w:szCs w:val="22"/>
          <w:i w:val="1"/>
          <w:iCs w:val="1"/>
          <w:color w:val="auto"/>
        </w:rPr>
        <w:t>“loan”</w:t>
      </w:r>
      <w:r>
        <w:rPr>
          <w:rFonts w:ascii="Arial" w:cs="Arial" w:eastAsia="Arial" w:hAnsi="Arial"/>
          <w:sz w:val="22"/>
          <w:szCs w:val="22"/>
          <w:color w:val="auto"/>
        </w:rPr>
        <w:t>) that:</w:t>
      </w:r>
    </w:p>
    <w:p>
      <w:pPr>
        <w:spacing w:after="0" w:line="283" w:lineRule="exact"/>
        <w:rPr>
          <w:sz w:val="20"/>
          <w:szCs w:val="20"/>
          <w:color w:val="auto"/>
        </w:rPr>
      </w:pPr>
    </w:p>
    <w:p>
      <w:pPr>
        <w:ind w:left="2520" w:hanging="786"/>
        <w:spacing w:after="0"/>
        <w:tabs>
          <w:tab w:leader="none" w:pos="25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is a First Lien/Last Out Obligation; or</w:t>
      </w:r>
    </w:p>
    <w:p>
      <w:pPr>
        <w:spacing w:after="0" w:line="314" w:lineRule="exact"/>
        <w:rPr>
          <w:rFonts w:ascii="Arial" w:cs="Arial" w:eastAsia="Arial" w:hAnsi="Arial"/>
          <w:sz w:val="22"/>
          <w:szCs w:val="22"/>
          <w:color w:val="auto"/>
        </w:rPr>
      </w:pPr>
    </w:p>
    <w:p>
      <w:pPr>
        <w:ind w:left="2520" w:hanging="786"/>
        <w:spacing w:after="0"/>
        <w:tabs>
          <w:tab w:leader="none" w:pos="25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meets the following criteria:</w:t>
      </w:r>
    </w:p>
    <w:p>
      <w:pPr>
        <w:spacing w:after="0" w:line="314" w:lineRule="exact"/>
        <w:rPr>
          <w:rFonts w:ascii="Arial" w:cs="Arial" w:eastAsia="Arial" w:hAnsi="Arial"/>
          <w:sz w:val="22"/>
          <w:szCs w:val="22"/>
          <w:color w:val="auto"/>
        </w:rPr>
      </w:pPr>
    </w:p>
    <w:p>
      <w:pPr>
        <w:jc w:val="both"/>
        <w:ind w:left="1700" w:firstLine="960"/>
        <w:spacing w:after="0" w:line="249" w:lineRule="auto"/>
        <w:tabs>
          <w:tab w:leader="none" w:pos="3195" w:val="left"/>
        </w:tabs>
        <w:numPr>
          <w:ilvl w:val="1"/>
          <w:numId w:val="68"/>
        </w:numPr>
        <w:rPr>
          <w:rFonts w:ascii="Arial" w:cs="Arial" w:eastAsia="Arial" w:hAnsi="Arial"/>
          <w:sz w:val="21"/>
          <w:szCs w:val="21"/>
          <w:color w:val="auto"/>
        </w:rPr>
      </w:pPr>
      <w:r>
        <w:rPr>
          <w:rFonts w:ascii="Arial" w:cs="Arial" w:eastAsia="Arial" w:hAnsi="Arial"/>
          <w:sz w:val="21"/>
          <w:szCs w:val="21"/>
          <w:color w:val="auto"/>
        </w:rPr>
        <w:t>is not (and is not expressly permitted by its terms to become) subordinate in right of payment to any other obligation for borrowed money of the obligor of such loan (excluding customary terms applicable to a second lien lender under customary intercreditor provisions, such as subordination in right to payment to a first lien lender following an event of default under the related first lien credit agreement with respect to the liquidation of the obligor or of specified collateral);</w:t>
      </w:r>
    </w:p>
    <w:p>
      <w:pPr>
        <w:spacing w:after="0" w:line="286" w:lineRule="exact"/>
        <w:rPr>
          <w:sz w:val="20"/>
          <w:szCs w:val="20"/>
          <w:color w:val="auto"/>
        </w:rPr>
      </w:pPr>
    </w:p>
    <w:p>
      <w:pPr>
        <w:jc w:val="both"/>
        <w:ind w:left="1700" w:firstLine="914"/>
        <w:spacing w:after="0"/>
        <w:tabs>
          <w:tab w:leader="none" w:pos="3259" w:val="left"/>
        </w:tabs>
        <w:numPr>
          <w:ilvl w:val="2"/>
          <w:numId w:val="69"/>
        </w:numPr>
        <w:rPr>
          <w:rFonts w:ascii="Arial" w:cs="Arial" w:eastAsia="Arial" w:hAnsi="Arial"/>
          <w:sz w:val="22"/>
          <w:szCs w:val="22"/>
          <w:color w:val="auto"/>
        </w:rPr>
      </w:pPr>
      <w:r>
        <w:rPr>
          <w:rFonts w:ascii="Arial" w:cs="Arial" w:eastAsia="Arial" w:hAnsi="Arial"/>
          <w:sz w:val="22"/>
          <w:szCs w:val="22"/>
          <w:color w:val="auto"/>
        </w:rPr>
        <w:t>is secured by a valid second priority perfected security interest or lien in, to or on specified collateral securing the obligor’s obligations under such loan (whether or not such loan is also secured by any higher or lower priority security interest or lien on other collateral);</w:t>
      </w:r>
    </w:p>
    <w:p>
      <w:pPr>
        <w:spacing w:after="0" w:line="294" w:lineRule="exact"/>
        <w:rPr>
          <w:rFonts w:ascii="Arial" w:cs="Arial" w:eastAsia="Arial" w:hAnsi="Arial"/>
          <w:sz w:val="22"/>
          <w:szCs w:val="22"/>
          <w:color w:val="auto"/>
        </w:rPr>
      </w:pPr>
    </w:p>
    <w:p>
      <w:pPr>
        <w:jc w:val="both"/>
        <w:ind w:left="1700" w:firstLine="852"/>
        <w:spacing w:after="0" w:line="238" w:lineRule="auto"/>
        <w:tabs>
          <w:tab w:leader="none" w:pos="3275" w:val="left"/>
        </w:tabs>
        <w:numPr>
          <w:ilvl w:val="2"/>
          <w:numId w:val="69"/>
        </w:numPr>
        <w:rPr>
          <w:rFonts w:ascii="Arial" w:cs="Arial" w:eastAsia="Arial" w:hAnsi="Arial"/>
          <w:sz w:val="22"/>
          <w:szCs w:val="22"/>
          <w:color w:val="auto"/>
        </w:rPr>
      </w:pPr>
      <w:r>
        <w:rPr>
          <w:rFonts w:ascii="Arial" w:cs="Arial" w:eastAsia="Arial" w:hAnsi="Arial"/>
          <w:sz w:val="22"/>
          <w:szCs w:val="22"/>
          <w:color w:val="auto"/>
        </w:rPr>
        <w:t>is secured, pursuant to such second priority perfected security interest or lien, by collateral having a value (determined as set forth below) not less than the outstanding principal balance of such loan plus the aggregate outstanding principal balances of all other loans of equal or higher seniority secured by a first or second lien or security interest in the same collateral; and</w:t>
      </w:r>
    </w:p>
    <w:p>
      <w:pPr>
        <w:spacing w:after="0" w:line="292" w:lineRule="exact"/>
        <w:rPr>
          <w:rFonts w:ascii="Arial" w:cs="Arial" w:eastAsia="Arial" w:hAnsi="Arial"/>
          <w:sz w:val="22"/>
          <w:szCs w:val="22"/>
          <w:color w:val="auto"/>
        </w:rPr>
      </w:pPr>
    </w:p>
    <w:p>
      <w:pPr>
        <w:ind w:left="3220" w:hanging="668"/>
        <w:spacing w:after="0"/>
        <w:tabs>
          <w:tab w:leader="none" w:pos="32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is not a loan which is secured solely or primarily by the common stock of its obligor or any</w:t>
      </w:r>
    </w:p>
    <w:p>
      <w:pPr>
        <w:spacing w:after="0" w:line="42" w:lineRule="exact"/>
        <w:rPr>
          <w:rFonts w:ascii="Arial" w:cs="Arial" w:eastAsia="Arial" w:hAnsi="Arial"/>
          <w:sz w:val="19"/>
          <w:szCs w:val="19"/>
          <w:color w:val="auto"/>
        </w:rPr>
      </w:pPr>
    </w:p>
    <w:p>
      <w:pPr>
        <w:ind w:left="1700"/>
        <w:spacing w:after="0"/>
        <w:rPr>
          <w:rFonts w:ascii="Arial" w:cs="Arial" w:eastAsia="Arial" w:hAnsi="Arial"/>
          <w:sz w:val="19"/>
          <w:szCs w:val="19"/>
          <w:color w:val="auto"/>
        </w:rPr>
      </w:pPr>
      <w:r>
        <w:rPr>
          <w:rFonts w:ascii="Arial" w:cs="Arial" w:eastAsia="Arial" w:hAnsi="Arial"/>
          <w:sz w:val="22"/>
          <w:szCs w:val="22"/>
          <w:color w:val="auto"/>
        </w:rPr>
        <w:t>of its Affiliates.</w:t>
      </w:r>
    </w:p>
    <w:p>
      <w:pPr>
        <w:spacing w:after="0" w:line="296" w:lineRule="exact"/>
        <w:rPr>
          <w:rFonts w:ascii="Arial" w:cs="Arial" w:eastAsia="Arial" w:hAnsi="Arial"/>
          <w:sz w:val="19"/>
          <w:szCs w:val="19"/>
          <w:color w:val="auto"/>
        </w:rPr>
      </w:pPr>
    </w:p>
    <w:p>
      <w:pPr>
        <w:ind w:left="2520" w:hanging="786"/>
        <w:spacing w:after="0"/>
        <w:tabs>
          <w:tab w:leader="none" w:pos="25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is not a Senior B Loan Obligation.</w:t>
      </w:r>
    </w:p>
    <w:p>
      <w:pPr>
        <w:spacing w:after="0" w:line="314" w:lineRule="exact"/>
        <w:rPr>
          <w:sz w:val="20"/>
          <w:szCs w:val="20"/>
          <w:color w:val="auto"/>
        </w:rPr>
      </w:pPr>
    </w:p>
    <w:p>
      <w:pPr>
        <w:jc w:val="both"/>
        <w:ind w:firstLine="786"/>
        <w:spacing w:after="0" w:line="271" w:lineRule="auto"/>
        <w:rPr>
          <w:sz w:val="20"/>
          <w:szCs w:val="20"/>
          <w:color w:val="auto"/>
        </w:rPr>
      </w:pPr>
      <w:r>
        <w:rPr>
          <w:rFonts w:ascii="Arial" w:cs="Arial" w:eastAsia="Arial" w:hAnsi="Arial"/>
          <w:sz w:val="19"/>
          <w:szCs w:val="19"/>
          <w:color w:val="auto"/>
        </w:rPr>
        <w:t>The determination as to whether clause (iii) of clause (b) of this definition is satisfied shall be based on both (x) an Appraisal or other valuation (including an internal valuation performed by the Collateral Manager and including enterprise value) performed on or about the date of acquisition by the Borrower or of the most recent restructuring of such loan, and (y) the Collateral Manager’s judgment at the time the loan is acquired by the Borrower. The limitation set forth in clause (iv) of clause</w:t>
      </w:r>
    </w:p>
    <w:p>
      <w:pPr>
        <w:spacing w:after="0" w:line="3" w:lineRule="exact"/>
        <w:rPr>
          <w:sz w:val="20"/>
          <w:szCs w:val="20"/>
          <w:color w:val="auto"/>
        </w:rPr>
      </w:pPr>
    </w:p>
    <w:p>
      <w:pPr>
        <w:jc w:val="both"/>
        <w:ind w:firstLine="8"/>
        <w:spacing w:after="0" w:line="266" w:lineRule="auto"/>
        <w:tabs>
          <w:tab w:leader="none" w:pos="314" w:val="left"/>
        </w:tabs>
        <w:numPr>
          <w:ilvl w:val="0"/>
          <w:numId w:val="72"/>
        </w:numPr>
        <w:rPr>
          <w:rFonts w:ascii="Arial" w:cs="Arial" w:eastAsia="Arial" w:hAnsi="Arial"/>
          <w:sz w:val="19"/>
          <w:szCs w:val="19"/>
          <w:color w:val="auto"/>
        </w:rPr>
      </w:pPr>
      <w:r>
        <w:rPr>
          <w:rFonts w:ascii="Arial" w:cs="Arial" w:eastAsia="Arial" w:hAnsi="Arial"/>
          <w:sz w:val="19"/>
          <w:szCs w:val="19"/>
          <w:color w:val="auto"/>
        </w:rPr>
        <w:t>above shall not apply with respect to a loan made to a parent entity that is secured solely or substantially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w:t>
      </w:r>
    </w:p>
    <w:p>
      <w:pPr>
        <w:spacing w:after="0" w:line="3"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(2) violate law or regulations applicable to such subsidiary (whether the obligation secured is such loan or any other similar type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267" w:right="339" w:bottom="1440" w:gutter="0" w:footer="0" w:header="0"/>
        </w:sectPr>
      </w:pPr>
    </w:p>
    <w:bookmarkStart w:id="71" w:name="page72"/>
    <w:bookmarkEnd w:id="71"/>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indebtedness owing to third parties) or (3) cause such subsidiary to suffer adverse economic consequences under capital adequacy or other similar rules, in each case, so long as (x) the Related Documents limit the incurrence of indebtedness by such subsidiary and (y) the aggregate amount of all such indebtedness is not greater than 60% of the aggregate value of the assets of such subsidiary.</w:t>
      </w:r>
    </w:p>
    <w:p>
      <w:pPr>
        <w:spacing w:after="0" w:line="293" w:lineRule="exact"/>
        <w:rPr>
          <w:sz w:val="20"/>
          <w:szCs w:val="20"/>
          <w:color w:val="auto"/>
        </w:rPr>
      </w:pPr>
    </w:p>
    <w:p>
      <w:pPr>
        <w:jc w:val="both"/>
        <w:ind w:firstLine="78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Equity Security</w:t>
      </w:r>
      <w:r>
        <w:rPr>
          <w:rFonts w:ascii="Arial" w:cs="Arial" w:eastAsia="Arial" w:hAnsi="Arial"/>
          <w:sz w:val="21"/>
          <w:szCs w:val="21"/>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286"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means the Employee Retirement Income Security Act of 1974, as amended from time to time,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promulgated and rulings issued thereunder.</w:t>
      </w:r>
    </w:p>
    <w:p>
      <w:pPr>
        <w:spacing w:after="0" w:line="283" w:lineRule="exact"/>
        <w:rPr>
          <w:sz w:val="20"/>
          <w:szCs w:val="20"/>
          <w:color w:val="auto"/>
        </w:rPr>
      </w:pPr>
    </w:p>
    <w:p>
      <w:pPr>
        <w:jc w:val="both"/>
        <w:ind w:firstLine="786"/>
        <w:spacing w:after="0" w:line="243" w:lineRule="auto"/>
        <w:rPr>
          <w:sz w:val="20"/>
          <w:szCs w:val="20"/>
          <w:color w:val="auto"/>
        </w:rPr>
      </w:pPr>
      <w:r>
        <w:rPr>
          <w:rFonts w:ascii="Arial" w:cs="Arial" w:eastAsia="Arial" w:hAnsi="Arial"/>
          <w:sz w:val="21"/>
          <w:szCs w:val="21"/>
          <w:i w:val="1"/>
          <w:iCs w:val="1"/>
          <w:color w:val="auto"/>
        </w:rPr>
        <w:t xml:space="preserve">“ERISA Event” </w:t>
      </w:r>
      <w:r>
        <w:rPr>
          <w:rFonts w:ascii="Arial" w:cs="Arial" w:eastAsia="Arial" w:hAnsi="Arial"/>
          <w:sz w:val="21"/>
          <w:szCs w:val="21"/>
          <w:color w:val="auto"/>
        </w:rPr>
        <w:t>means (a) any “reportable event,” as defined in Section 4043 of ERISA or the regulations issued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thereunder with respect to 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w:t>
      </w:r>
      <w:r>
        <w:rPr>
          <w:rFonts w:ascii="Arial" w:cs="Arial" w:eastAsia="Arial" w:hAnsi="Arial"/>
          <w:sz w:val="21"/>
          <w:szCs w:val="21"/>
          <w:u w:val="single" w:color="auto"/>
          <w:color w:val="auto"/>
        </w:rPr>
        <w:t>Section 430</w:t>
      </w:r>
      <w:r>
        <w:rPr>
          <w:rFonts w:ascii="Arial" w:cs="Arial" w:eastAsia="Arial" w:hAnsi="Arial"/>
          <w:sz w:val="21"/>
          <w:szCs w:val="21"/>
          <w:color w:val="auto"/>
        </w:rPr>
        <w:t xml:space="preserve">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298" w:lineRule="exact"/>
        <w:rPr>
          <w:sz w:val="20"/>
          <w:szCs w:val="20"/>
          <w:color w:val="auto"/>
        </w:rPr>
      </w:pPr>
    </w:p>
    <w:p>
      <w:pPr>
        <w:jc w:val="both"/>
        <w:ind w:firstLine="786"/>
        <w:spacing w:after="0" w:line="328" w:lineRule="auto"/>
        <w:rPr>
          <w:sz w:val="20"/>
          <w:szCs w:val="20"/>
          <w:color w:val="auto"/>
        </w:rPr>
      </w:pPr>
      <w:r>
        <w:rPr>
          <w:rFonts w:ascii="Arial" w:cs="Arial" w:eastAsia="Arial" w:hAnsi="Arial"/>
          <w:sz w:val="19"/>
          <w:szCs w:val="19"/>
          <w:i w:val="1"/>
          <w:iCs w:val="1"/>
          <w:color w:val="auto"/>
        </w:rPr>
        <w:t xml:space="preserve">“ERISA Group” </w:t>
      </w:r>
      <w:r>
        <w:rPr>
          <w:rFonts w:ascii="Arial" w:cs="Arial" w:eastAsia="Arial" w:hAnsi="Arial"/>
          <w:sz w:val="19"/>
          <w:szCs w:val="19"/>
          <w:color w:val="auto"/>
        </w:rPr>
        <w:t>means each controlled group of corporations or trades or businesses (whether or not incorporated)</w:t>
      </w:r>
      <w:r>
        <w:rPr>
          <w:rFonts w:ascii="Arial" w:cs="Arial" w:eastAsia="Arial" w:hAnsi="Arial"/>
          <w:sz w:val="19"/>
          <w:szCs w:val="19"/>
          <w:i w:val="1"/>
          <w:iCs w:val="1"/>
          <w:color w:val="auto"/>
        </w:rPr>
        <w:t xml:space="preserve"> </w:t>
      </w:r>
      <w:r>
        <w:rPr>
          <w:rFonts w:ascii="Arial" w:cs="Arial" w:eastAsia="Arial" w:hAnsi="Arial"/>
          <w:sz w:val="19"/>
          <w:szCs w:val="19"/>
          <w:color w:val="auto"/>
        </w:rPr>
        <w:t>under common control that is treated as a single employer under Section 414(b), (c), (m) or (o) of the Code with the Borrower.</w:t>
      </w:r>
    </w:p>
    <w:p>
      <w:pPr>
        <w:spacing w:after="0" w:line="213"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“Euro Borrowing Base” </w:t>
      </w:r>
      <w:r>
        <w:rPr>
          <w:rFonts w:ascii="Arial" w:cs="Arial" w:eastAsia="Arial" w:hAnsi="Arial"/>
          <w:sz w:val="22"/>
          <w:szCs w:val="22"/>
          <w:color w:val="auto"/>
        </w:rPr>
        <w:t>means an amount, calculated in Euros, equal to (a) the portion of the Borrowing Base that 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allocable to Collateral Loans that are denominated in Euros,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aggregate amount of Euros then on deposit in the applicable Principal Collection Subaccount.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267" w:right="339" w:bottom="1440" w:gutter="0" w:footer="0" w:header="0"/>
        </w:sectPr>
      </w:pPr>
    </w:p>
    <w:bookmarkStart w:id="72" w:name="page73"/>
    <w:bookmarkEnd w:id="72"/>
    <w:p>
      <w:pPr>
        <w:jc w:val="both"/>
        <w:ind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“Euro Borrowing Base Test” </w:t>
      </w:r>
      <w:r>
        <w:rPr>
          <w:rFonts w:ascii="Arial" w:cs="Arial" w:eastAsia="Arial" w:hAnsi="Arial"/>
          <w:sz w:val="22"/>
          <w:szCs w:val="22"/>
          <w:color w:val="auto"/>
        </w:rPr>
        <w:t>means a test that will be satisfied at any time that (i) the aggregate outstanding principal</w:t>
      </w:r>
      <w:r>
        <w:rPr>
          <w:rFonts w:ascii="Arial" w:cs="Arial" w:eastAsia="Arial" w:hAnsi="Arial"/>
          <w:sz w:val="22"/>
          <w:szCs w:val="22"/>
          <w:i w:val="1"/>
          <w:iCs w:val="1"/>
          <w:color w:val="auto"/>
        </w:rPr>
        <w:t xml:space="preserve"> </w:t>
      </w:r>
      <w:r>
        <w:rPr>
          <w:rFonts w:ascii="Arial" w:cs="Arial" w:eastAsia="Arial" w:hAnsi="Arial"/>
          <w:sz w:val="22"/>
          <w:szCs w:val="22"/>
          <w:color w:val="auto"/>
        </w:rPr>
        <w:t>balance of Advances denominated in Euros is less than or equal to (ii) the Euro Borrowing Base.</w:t>
      </w:r>
    </w:p>
    <w:p>
      <w:pPr>
        <w:spacing w:after="0" w:line="283" w:lineRule="exact"/>
        <w:rPr>
          <w:sz w:val="20"/>
          <w:szCs w:val="20"/>
          <w:color w:val="auto"/>
        </w:rPr>
      </w:pPr>
    </w:p>
    <w:p>
      <w:pPr>
        <w:jc w:val="both"/>
        <w:ind w:firstLine="786"/>
        <w:spacing w:after="0" w:line="252" w:lineRule="auto"/>
        <w:rPr>
          <w:sz w:val="20"/>
          <w:szCs w:val="20"/>
          <w:color w:val="auto"/>
        </w:rPr>
      </w:pPr>
      <w:r>
        <w:rPr>
          <w:rFonts w:ascii="Arial" w:cs="Arial" w:eastAsia="Arial" w:hAnsi="Arial"/>
          <w:sz w:val="21"/>
          <w:szCs w:val="21"/>
          <w:i w:val="1"/>
          <w:iCs w:val="1"/>
          <w:color w:val="auto"/>
        </w:rPr>
        <w:t xml:space="preserve">“Euro Variability Reserve” </w:t>
      </w:r>
      <w:r>
        <w:rPr>
          <w:rFonts w:ascii="Arial" w:cs="Arial" w:eastAsia="Arial" w:hAnsi="Arial"/>
          <w:sz w:val="21"/>
          <w:szCs w:val="21"/>
          <w:color w:val="auto"/>
        </w:rPr>
        <w:t>means, the sum, for each Collateral Loan in the Euro Borrowing Base, of an amount equal to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following: (i) the Dollar Equivalent of the Principal Balance of such Collateral Loan as of such date, </w:t>
      </w:r>
      <w:r>
        <w:rPr>
          <w:rFonts w:ascii="Arial" w:cs="Arial" w:eastAsia="Arial" w:hAnsi="Arial"/>
          <w:sz w:val="21"/>
          <w:szCs w:val="21"/>
          <w:i w:val="1"/>
          <w:iCs w:val="1"/>
          <w:color w:val="auto"/>
        </w:rPr>
        <w:t>times</w:t>
      </w:r>
      <w:r>
        <w:rPr>
          <w:rFonts w:ascii="Arial" w:cs="Arial" w:eastAsia="Arial" w:hAnsi="Arial"/>
          <w:sz w:val="21"/>
          <w:szCs w:val="21"/>
          <w:color w:val="auto"/>
        </w:rPr>
        <w:t xml:space="preserve"> (ii) (a percentage equal to 100.00%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Maximum Advance Rate) </w:t>
      </w:r>
      <w:r>
        <w:rPr>
          <w:rFonts w:ascii="Arial" w:cs="Arial" w:eastAsia="Arial" w:hAnsi="Arial"/>
          <w:sz w:val="21"/>
          <w:szCs w:val="21"/>
          <w:i w:val="1"/>
          <w:iCs w:val="1"/>
          <w:color w:val="auto"/>
        </w:rPr>
        <w:t>times</w:t>
      </w:r>
      <w:r>
        <w:rPr>
          <w:rFonts w:ascii="Arial" w:cs="Arial" w:eastAsia="Arial" w:hAnsi="Arial"/>
          <w:sz w:val="21"/>
          <w:szCs w:val="21"/>
          <w:color w:val="auto"/>
        </w:rPr>
        <w:t xml:space="preserve"> (iii) the applicable Currency Variability Factor </w:t>
      </w:r>
      <w:r>
        <w:rPr>
          <w:rFonts w:ascii="Arial" w:cs="Arial" w:eastAsia="Arial" w:hAnsi="Arial"/>
          <w:sz w:val="21"/>
          <w:szCs w:val="21"/>
          <w:i w:val="1"/>
          <w:iCs w:val="1"/>
          <w:color w:val="auto"/>
        </w:rPr>
        <w:t>times</w:t>
      </w:r>
      <w:r>
        <w:rPr>
          <w:rFonts w:ascii="Arial" w:cs="Arial" w:eastAsia="Arial" w:hAnsi="Arial"/>
          <w:sz w:val="21"/>
          <w:szCs w:val="21"/>
          <w:color w:val="auto"/>
        </w:rPr>
        <w:t xml:space="preserve"> (iv) the applicable Foreign Currency Collateral Loan Percentage for such Collateral Loan.</w:t>
      </w:r>
    </w:p>
    <w:p>
      <w:pPr>
        <w:spacing w:after="0" w:line="282" w:lineRule="exact"/>
        <w:rPr>
          <w:sz w:val="20"/>
          <w:szCs w:val="20"/>
          <w:color w:val="auto"/>
        </w:rPr>
      </w:pPr>
    </w:p>
    <w:p>
      <w:pPr>
        <w:jc w:val="both"/>
        <w:ind w:right="20" w:firstLine="786"/>
        <w:spacing w:after="0" w:line="328" w:lineRule="auto"/>
        <w:rPr>
          <w:sz w:val="20"/>
          <w:szCs w:val="20"/>
          <w:color w:val="auto"/>
        </w:rPr>
      </w:pPr>
      <w:r>
        <w:rPr>
          <w:rFonts w:ascii="Arial" w:cs="Arial" w:eastAsia="Arial" w:hAnsi="Arial"/>
          <w:sz w:val="19"/>
          <w:szCs w:val="19"/>
          <w:i w:val="1"/>
          <w:iCs w:val="1"/>
          <w:color w:val="auto"/>
        </w:rPr>
        <w:t>“Eurocurrency”</w:t>
      </w:r>
      <w:r>
        <w:rPr>
          <w:rFonts w:ascii="Arial" w:cs="Arial" w:eastAsia="Arial" w:hAnsi="Arial"/>
          <w:sz w:val="19"/>
          <w:szCs w:val="19"/>
          <w:color w:val="auto"/>
        </w:rPr>
        <w:t>, when used in reference to any Advance or Borrowing, refers to whether such Advance, or the</w:t>
      </w:r>
      <w:r>
        <w:rPr>
          <w:rFonts w:ascii="Arial" w:cs="Arial" w:eastAsia="Arial" w:hAnsi="Arial"/>
          <w:sz w:val="19"/>
          <w:szCs w:val="19"/>
          <w:i w:val="1"/>
          <w:iCs w:val="1"/>
          <w:color w:val="auto"/>
        </w:rPr>
        <w:t xml:space="preserve"> </w:t>
      </w:r>
      <w:r>
        <w:rPr>
          <w:rFonts w:ascii="Arial" w:cs="Arial" w:eastAsia="Arial" w:hAnsi="Arial"/>
          <w:sz w:val="19"/>
          <w:szCs w:val="19"/>
          <w:color w:val="auto"/>
        </w:rPr>
        <w:t>Advances constituting such Borrowing, are bearing interest at a rate determined by reference to the Adjusted LIBOR Rate.</w:t>
      </w:r>
    </w:p>
    <w:p>
      <w:pPr>
        <w:spacing w:after="0" w:line="21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“Eurocurrency Liabilities” </w:t>
      </w:r>
      <w:r>
        <w:rPr>
          <w:rFonts w:ascii="Arial" w:cs="Arial" w:eastAsia="Arial" w:hAnsi="Arial"/>
          <w:sz w:val="22"/>
          <w:szCs w:val="22"/>
          <w:color w:val="auto"/>
        </w:rPr>
        <w:t>is defined in Regulation D of the Board of Governors of the Federal Reserve System, as in</w:t>
      </w:r>
      <w:r>
        <w:rPr>
          <w:rFonts w:ascii="Arial" w:cs="Arial" w:eastAsia="Arial" w:hAnsi="Arial"/>
          <w:sz w:val="22"/>
          <w:szCs w:val="22"/>
          <w:i w:val="1"/>
          <w:iCs w:val="1"/>
          <w:color w:val="auto"/>
        </w:rPr>
        <w:t xml:space="preserve"> </w:t>
      </w:r>
      <w:r>
        <w:rPr>
          <w:rFonts w:ascii="Arial" w:cs="Arial" w:eastAsia="Arial" w:hAnsi="Arial"/>
          <w:sz w:val="22"/>
          <w:szCs w:val="22"/>
          <w:color w:val="auto"/>
        </w:rPr>
        <w:t>effect from time to time.</w:t>
      </w:r>
    </w:p>
    <w:p>
      <w:pPr>
        <w:spacing w:after="0" w:line="283" w:lineRule="exact"/>
        <w:rPr>
          <w:sz w:val="20"/>
          <w:szCs w:val="20"/>
          <w:color w:val="auto"/>
        </w:rPr>
      </w:pPr>
    </w:p>
    <w:p>
      <w:pPr>
        <w:jc w:val="both"/>
        <w:ind w:firstLine="786"/>
        <w:spacing w:after="0" w:line="271" w:lineRule="auto"/>
        <w:rPr>
          <w:sz w:val="20"/>
          <w:szCs w:val="20"/>
          <w:color w:val="auto"/>
        </w:rPr>
      </w:pPr>
      <w:r>
        <w:rPr>
          <w:rFonts w:ascii="Arial" w:cs="Arial" w:eastAsia="Arial" w:hAnsi="Arial"/>
          <w:sz w:val="19"/>
          <w:szCs w:val="19"/>
          <w:i w:val="1"/>
          <w:iCs w:val="1"/>
          <w:color w:val="auto"/>
        </w:rPr>
        <w:t xml:space="preserve">“Eurodollar Disruption Event” </w:t>
      </w:r>
      <w:r>
        <w:rPr>
          <w:rFonts w:ascii="Arial" w:cs="Arial" w:eastAsia="Arial" w:hAnsi="Arial"/>
          <w:sz w:val="19"/>
          <w:szCs w:val="19"/>
          <w:color w:val="auto"/>
        </w:rPr>
        <w:t>means the occurrence of any of the following with respect to a Eurocurrency Borrowing</w:t>
      </w:r>
      <w:r>
        <w:rPr>
          <w:rFonts w:ascii="Arial" w:cs="Arial" w:eastAsia="Arial" w:hAnsi="Arial"/>
          <w:sz w:val="19"/>
          <w:szCs w:val="19"/>
          <w:i w:val="1"/>
          <w:iCs w:val="1"/>
          <w:color w:val="auto"/>
        </w:rPr>
        <w:t xml:space="preserve"> </w:t>
      </w:r>
      <w:r>
        <w:rPr>
          <w:rFonts w:ascii="Arial" w:cs="Arial" w:eastAsia="Arial" w:hAnsi="Arial"/>
          <w:sz w:val="19"/>
          <w:szCs w:val="19"/>
          <w:color w:val="auto"/>
        </w:rPr>
        <w:t>of a Class (the Currency of such Borrowing herein called the “</w:t>
      </w:r>
      <w:r>
        <w:rPr>
          <w:rFonts w:ascii="Arial" w:cs="Arial" w:eastAsia="Arial" w:hAnsi="Arial"/>
          <w:sz w:val="19"/>
          <w:szCs w:val="19"/>
          <w:i w:val="1"/>
          <w:iCs w:val="1"/>
          <w:color w:val="auto"/>
        </w:rPr>
        <w:t>Affected Currency</w:t>
      </w:r>
      <w:r>
        <w:rPr>
          <w:rFonts w:ascii="Arial" w:cs="Arial" w:eastAsia="Arial" w:hAnsi="Arial"/>
          <w:sz w:val="19"/>
          <w:szCs w:val="19"/>
          <w:color w:val="auto"/>
        </w:rPr>
        <w:t>”): (a) any Lender or Liquidity Bank shall have notified the Administrative Agent of a determination by such Lender or Liquidity Bank or any of its assignees or participants that it would be contrary to law or to the directive of any central bank or other governmental authority (whether or not having the force of law) to obtain such Affected Currency in the London interbank market to fund any Advance, (b) any Lender or Liquidity Bank shall have notified the Administrative Agent of the inability, for any reason, of such Lender or Liquidity Bank or any of its assignees or participants to determine the Adjusted LIBOR Rate with respect to such Affected Currency for such Interest Accrual Period, (c) any Lender or Liquidity Bank shall have notified the Administrative Agent of a determination by such Lender or Liquidity Bank or any of its assignees or participants that the rate at which deposits of such Affected Currency are being offered to such Lender or Liquidity Bank or any of its assignees or participants in the London interbank market does not accurately reflect the cost to such Lender or Liquidity Bank, such assignee or such participant of making, funding or maintaining any Advance in such Affected Currency for such Interest Accrual Period, or (d) any Lender or Liquidity Bank shall have notified the Administrative Agent of the inability of such Lender or Liquidity Bank or any of its assignees or participants to obtain such Affected Currency in the London interbank market to make, fund or maintain any Advance in such Affected Currency for such Interest Accrual Period.</w:t>
      </w:r>
    </w:p>
    <w:p>
      <w:pPr>
        <w:spacing w:after="0" w:line="200" w:lineRule="exact"/>
        <w:rPr>
          <w:sz w:val="20"/>
          <w:szCs w:val="20"/>
          <w:color w:val="auto"/>
        </w:rPr>
      </w:pPr>
    </w:p>
    <w:p>
      <w:pPr>
        <w:spacing w:after="0" w:line="31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“Euros” </w:t>
      </w:r>
      <w:r>
        <w:rPr>
          <w:rFonts w:ascii="Arial" w:cs="Arial" w:eastAsia="Arial" w:hAnsi="Arial"/>
          <w:sz w:val="22"/>
          <w:szCs w:val="22"/>
          <w:color w:val="auto"/>
        </w:rPr>
        <w:t>or</w:t>
      </w:r>
      <w:r>
        <w:rPr>
          <w:rFonts w:ascii="Arial" w:cs="Arial" w:eastAsia="Arial" w:hAnsi="Arial"/>
          <w:sz w:val="22"/>
          <w:szCs w:val="22"/>
          <w:i w:val="1"/>
          <w:iCs w:val="1"/>
          <w:color w:val="auto"/>
        </w:rPr>
        <w:t xml:space="preserve"> “€” </w:t>
      </w:r>
      <w:r>
        <w:rPr>
          <w:rFonts w:ascii="Arial" w:cs="Arial" w:eastAsia="Arial" w:hAnsi="Arial"/>
          <w:sz w:val="22"/>
          <w:szCs w:val="22"/>
          <w:color w:val="auto"/>
        </w:rPr>
        <w:t>means the unit of single currency of the Participating Member States.</w:t>
      </w:r>
    </w:p>
    <w:p>
      <w:pPr>
        <w:spacing w:after="0" w:line="314" w:lineRule="exact"/>
        <w:rPr>
          <w:sz w:val="20"/>
          <w:szCs w:val="20"/>
          <w:color w:val="auto"/>
        </w:rPr>
      </w:pPr>
    </w:p>
    <w:p>
      <w:pPr>
        <w:jc w:val="center"/>
        <w:ind w:right="180"/>
        <w:spacing w:after="0" w:line="391" w:lineRule="auto"/>
        <w:rPr>
          <w:sz w:val="20"/>
          <w:szCs w:val="20"/>
          <w:color w:val="auto"/>
        </w:rPr>
      </w:pPr>
      <w:r>
        <w:rPr>
          <w:rFonts w:ascii="Arial" w:cs="Arial" w:eastAsia="Arial" w:hAnsi="Arial"/>
          <w:sz w:val="22"/>
          <w:szCs w:val="22"/>
          <w:i w:val="1"/>
          <w:iCs w:val="1"/>
          <w:color w:val="auto"/>
        </w:rPr>
        <w:t xml:space="preserve">“Event of Default” </w:t>
      </w:r>
      <w:r>
        <w:rPr>
          <w:rFonts w:ascii="Arial" w:cs="Arial" w:eastAsia="Arial" w:hAnsi="Arial"/>
          <w:sz w:val="22"/>
          <w:szCs w:val="22"/>
          <w:color w:val="auto"/>
        </w:rPr>
        <w:t>means the occurrence of any of the events, acts or circumstances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6.01</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-32-</w:t>
      </w:r>
    </w:p>
    <w:p>
      <w:pPr>
        <w:sectPr>
          <w:pgSz w:w="11900" w:h="16838" w:orient="portrait"/>
          <w:cols w:equalWidth="0" w:num="1">
            <w:col w:w="11240"/>
          </w:cols>
          <w:pgMar w:left="320" w:top="267" w:right="339" w:bottom="1440" w:gutter="0" w:footer="0" w:header="0"/>
        </w:sectPr>
      </w:pPr>
    </w:p>
    <w:bookmarkStart w:id="73" w:name="page74"/>
    <w:bookmarkEnd w:id="73"/>
    <w:p>
      <w:pPr>
        <w:jc w:val="both"/>
        <w:ind w:firstLine="786"/>
        <w:spacing w:after="0" w:line="279"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“Excess Concentration Amount” </w:t>
      </w:r>
      <w:r>
        <w:rPr>
          <w:rFonts w:ascii="Arial" w:cs="Arial" w:eastAsia="Arial" w:hAnsi="Arial"/>
          <w:sz w:val="19"/>
          <w:szCs w:val="19"/>
          <w:color w:val="auto"/>
        </w:rPr>
        <w:t>means, at any time the sum of (i) Foreign Currency Collateral Loan Excess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Concentration Amount, (ii) Group I Country Excess Concentration Amount, (iii) Group II and III Country Excess Concentration Amount, and (iv) at any time in respect of which any one or more of the Concentration Limitations are exceeded, the Dollar Equivalent of the portions (calculated by the Collateral Manager without duplication) of each Collateral Loan that cause such Concentration Limitations to be exceeded,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total Excess Concentration Amount shall be reduced by an amount equal to the Senior B Excess Concentration Advance Amount (if any).</w:t>
      </w:r>
    </w:p>
    <w:p>
      <w:pPr>
        <w:spacing w:after="0" w:line="258" w:lineRule="exact"/>
        <w:rPr>
          <w:sz w:val="20"/>
          <w:szCs w:val="20"/>
          <w:color w:val="auto"/>
        </w:rPr>
      </w:pPr>
    </w:p>
    <w:p>
      <w:pPr>
        <w:jc w:val="both"/>
        <w:ind w:firstLine="786"/>
        <w:spacing w:after="0" w:line="245" w:lineRule="auto"/>
        <w:rPr>
          <w:sz w:val="20"/>
          <w:szCs w:val="20"/>
          <w:color w:val="auto"/>
        </w:rPr>
      </w:pPr>
      <w:r>
        <w:rPr>
          <w:rFonts w:ascii="Arial" w:cs="Arial" w:eastAsia="Arial" w:hAnsi="Arial"/>
          <w:sz w:val="21"/>
          <w:szCs w:val="21"/>
          <w:i w:val="1"/>
          <w:iCs w:val="1"/>
          <w:color w:val="auto"/>
        </w:rPr>
        <w:t xml:space="preserve">“Excess Interest Proceeds Amount” </w:t>
      </w:r>
      <w:r>
        <w:rPr>
          <w:rFonts w:ascii="Arial" w:cs="Arial" w:eastAsia="Arial" w:hAnsi="Arial"/>
          <w:sz w:val="21"/>
          <w:szCs w:val="21"/>
          <w:color w:val="auto"/>
        </w:rPr>
        <w:t>means, at any time, the excess, if any, of (i) the Dollar Equivalent of the aggregate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amount in and available from the Interest Collection Subaccounts over (ii) 150% of the Dollar Equivalent of the aggregate amount necessary on the following Payment Date, in the good faith estimate of the Collateral Manager, to make the required payments pursuant to </w:t>
      </w:r>
      <w:r>
        <w:rPr>
          <w:rFonts w:ascii="Arial" w:cs="Arial" w:eastAsia="Arial" w:hAnsi="Arial"/>
          <w:sz w:val="21"/>
          <w:szCs w:val="21"/>
          <w:u w:val="single" w:color="auto"/>
          <w:color w:val="auto"/>
        </w:rPr>
        <w:t>Section 9.01(a)(i)(A)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(E)</w:t>
      </w:r>
      <w:r>
        <w:rPr>
          <w:rFonts w:ascii="Arial" w:cs="Arial" w:eastAsia="Arial" w:hAnsi="Arial"/>
          <w:sz w:val="21"/>
          <w:szCs w:val="21"/>
          <w:color w:val="auto"/>
        </w:rPr>
        <w:t xml:space="preserve"> of the Priority of Payments (after giving effect to any prepayments pursuant to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w:t>
      </w:r>
      <w:r>
        <w:rPr>
          <w:rFonts w:ascii="Arial" w:cs="Arial" w:eastAsia="Arial" w:hAnsi="Arial"/>
          <w:sz w:val="21"/>
          <w:szCs w:val="21"/>
          <w:u w:val="single" w:color="auto"/>
          <w:color w:val="auto"/>
        </w:rPr>
        <w:t>Section 9.01(a)(i)(A)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(E)</w:t>
      </w:r>
      <w:r>
        <w:rPr>
          <w:rFonts w:ascii="Arial" w:cs="Arial" w:eastAsia="Arial" w:hAnsi="Arial"/>
          <w:sz w:val="21"/>
          <w:szCs w:val="21"/>
          <w:color w:val="auto"/>
        </w:rPr>
        <w:t xml:space="preserve"> of the Priority of Payments) in good faith based on the outstanding Advances immediately after giving effect to the contemplated prepayment being made with the Excess Interest Proceeds Amount or such higher amount as deemed appropriate to make such required payments in the Collateral Manager’s estimation.</w:t>
      </w:r>
    </w:p>
    <w:p>
      <w:pPr>
        <w:spacing w:after="0" w:line="289"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“Excess Interest Proceeds Estimate” </w:t>
      </w:r>
      <w:r>
        <w:rPr>
          <w:rFonts w:ascii="Arial" w:cs="Arial" w:eastAsia="Arial" w:hAnsi="Arial"/>
          <w:sz w:val="22"/>
          <w:szCs w:val="22"/>
          <w:color w:val="auto"/>
        </w:rPr>
        <w:t>means a good faith estimate of the Excess Interest Proceeds Amount as calculated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by the Collateral Manager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83"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 and the rules and regulations promulgated</w:t>
      </w:r>
      <w:r>
        <w:rPr>
          <w:rFonts w:ascii="Arial" w:cs="Arial" w:eastAsia="Arial" w:hAnsi="Arial"/>
          <w:sz w:val="19"/>
          <w:szCs w:val="19"/>
          <w:i w:val="1"/>
          <w:iCs w:val="1"/>
          <w:color w:val="auto"/>
        </w:rPr>
        <w:t xml:space="preserve"> </w:t>
      </w:r>
      <w:r>
        <w:rPr>
          <w:rFonts w:ascii="Arial" w:cs="Arial" w:eastAsia="Arial" w:hAnsi="Arial"/>
          <w:sz w:val="19"/>
          <w:szCs w:val="19"/>
          <w:color w:val="auto"/>
        </w:rPr>
        <w:t>thereunder, all as from time to time in effect, or any successor law, rules or regulations, and any reference to any statutory or regulatory provision shall be deemed to be a reference to any successor statutory or regulatory provision.</w:t>
      </w:r>
    </w:p>
    <w:p>
      <w:pPr>
        <w:spacing w:after="0" w:line="242"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i w:val="1"/>
          <w:iCs w:val="1"/>
          <w:color w:val="auto"/>
        </w:rPr>
        <w:t xml:space="preserve">“Facility Amount” </w:t>
      </w:r>
      <w:r>
        <w:rPr>
          <w:rFonts w:ascii="Arial" w:cs="Arial" w:eastAsia="Arial" w:hAnsi="Arial"/>
          <w:sz w:val="22"/>
          <w:szCs w:val="22"/>
          <w:color w:val="auto"/>
        </w:rPr>
        <w:t>means the Dollar Equivalent of (a) on or prior to the Commitment Termination Date, the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principal amount at any one time outstanding up to but not exceeding the amount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(as such amount may be reduced from time to time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and (b) following the Commitment Termination Date, the outstanding principal balance of all the Advances;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Facility Amount may be increased by the Borrower from time to time in accordance with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hereof.</w:t>
      </w:r>
    </w:p>
    <w:p>
      <w:pPr>
        <w:spacing w:after="0" w:line="29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“Facility Amount Increase” </w:t>
      </w:r>
      <w:r>
        <w:rPr>
          <w:rFonts w:ascii="Arial" w:cs="Arial" w:eastAsia="Arial" w:hAnsi="Arial"/>
          <w:sz w:val="22"/>
          <w:szCs w:val="22"/>
          <w:color w:val="auto"/>
        </w:rPr>
        <w:t>means an increase in the Facility Amount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2.15</w:t>
      </w:r>
      <w:r>
        <w:rPr>
          <w:rFonts w:ascii="Arial" w:cs="Arial" w:eastAsia="Arial" w:hAnsi="Arial"/>
          <w:sz w:val="22"/>
          <w:szCs w:val="22"/>
          <w:i w:val="1"/>
          <w:iCs w:val="1"/>
          <w:color w:val="auto"/>
        </w:rPr>
        <w:t xml:space="preserve"> </w:t>
      </w:r>
      <w:r>
        <w:rPr>
          <w:rFonts w:ascii="Arial" w:cs="Arial" w:eastAsia="Arial" w:hAnsi="Arial"/>
          <w:sz w:val="22"/>
          <w:szCs w:val="22"/>
          <w:color w:val="auto"/>
        </w:rPr>
        <w:t>hereof.</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“Facility Amount Increase Request” </w:t>
      </w:r>
      <w:r>
        <w:rPr>
          <w:rFonts w:ascii="Arial" w:cs="Arial" w:eastAsia="Arial" w:hAnsi="Arial"/>
          <w:sz w:val="22"/>
          <w:szCs w:val="22"/>
          <w:color w:val="auto"/>
        </w:rPr>
        <w:t>is defined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2.15</w:t>
      </w:r>
      <w:r>
        <w:rPr>
          <w:rFonts w:ascii="Arial" w:cs="Arial" w:eastAsia="Arial" w:hAnsi="Arial"/>
          <w:sz w:val="22"/>
          <w:szCs w:val="22"/>
          <w:i w:val="1"/>
          <w:iCs w:val="1"/>
          <w:color w:val="auto"/>
        </w:rPr>
        <w:t xml:space="preserve"> </w:t>
      </w:r>
      <w:r>
        <w:rPr>
          <w:rFonts w:ascii="Arial" w:cs="Arial" w:eastAsia="Arial" w:hAnsi="Arial"/>
          <w:sz w:val="22"/>
          <w:szCs w:val="22"/>
          <w:color w:val="auto"/>
        </w:rPr>
        <w:t>hereof.</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“Facility Documents” </w:t>
      </w:r>
      <w:r>
        <w:rPr>
          <w:rFonts w:ascii="Arial" w:cs="Arial" w:eastAsia="Arial" w:hAnsi="Arial"/>
          <w:sz w:val="22"/>
          <w:szCs w:val="22"/>
          <w:color w:val="auto"/>
        </w:rPr>
        <w:t>means this Agreement, the Purchase and Contribution Agreement, the Account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the Collateral Agent Fee Letter, the Custodian Fee Letter,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267" w:right="339" w:bottom="1440" w:gutter="0" w:footer="0" w:header="0"/>
        </w:sectPr>
      </w:pPr>
    </w:p>
    <w:bookmarkStart w:id="74" w:name="page75"/>
    <w:bookmarkEnd w:id="74"/>
    <w:p>
      <w:pPr>
        <w:jc w:val="both"/>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Backup Collateral Manager Fee Letter, the Administrative Agent Fee Letter, the Lender Fee Letter, the Collateral Administration Agreement and any other security agreements and other instruments entered into or delivered by or on behalf of the Borrower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to create, perfect or otherwise evidence the Collateral Agent’s security interest.</w:t>
      </w:r>
    </w:p>
    <w:p>
      <w:pPr>
        <w:spacing w:after="0" w:line="242" w:lineRule="exact"/>
        <w:rPr>
          <w:sz w:val="20"/>
          <w:szCs w:val="20"/>
          <w:color w:val="auto"/>
        </w:rPr>
      </w:pPr>
    </w:p>
    <w:p>
      <w:pPr>
        <w:jc w:val="both"/>
        <w:ind w:right="20" w:firstLine="786"/>
        <w:spacing w:after="0"/>
        <w:rPr>
          <w:sz w:val="20"/>
          <w:szCs w:val="20"/>
          <w:color w:val="auto"/>
        </w:rPr>
      </w:pPr>
      <w:r>
        <w:rPr>
          <w:rFonts w:ascii="Arial" w:cs="Arial" w:eastAsia="Arial" w:hAnsi="Arial"/>
          <w:sz w:val="22"/>
          <w:szCs w:val="22"/>
          <w:i w:val="1"/>
          <w:iCs w:val="1"/>
          <w:color w:val="auto"/>
        </w:rPr>
        <w:t>“FATCA</w:t>
      </w:r>
      <w:r>
        <w:rPr>
          <w:rFonts w:ascii="Arial" w:cs="Arial" w:eastAsia="Arial" w:hAnsi="Arial"/>
          <w:sz w:val="22"/>
          <w:szCs w:val="22"/>
          <w:color w:val="auto"/>
        </w:rPr>
        <w:t>” means Code</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Sections 1471</w:t>
      </w:r>
      <w:r>
        <w:rPr>
          <w:rFonts w:ascii="Arial" w:cs="Arial" w:eastAsia="Arial" w:hAnsi="Arial"/>
          <w:sz w:val="22"/>
          <w:szCs w:val="22"/>
          <w:i w:val="1"/>
          <w:iCs w:val="1"/>
          <w:color w:val="auto"/>
        </w:rPr>
        <w:t xml:space="preserve"> </w:t>
      </w:r>
      <w:r>
        <w:rPr>
          <w:rFonts w:ascii="Arial" w:cs="Arial" w:eastAsia="Arial" w:hAnsi="Arial"/>
          <w:sz w:val="22"/>
          <w:szCs w:val="22"/>
          <w:color w:val="auto"/>
        </w:rPr>
        <w:t>through</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1474</w:t>
      </w:r>
      <w:r>
        <w:rPr>
          <w:rFonts w:ascii="Arial" w:cs="Arial" w:eastAsia="Arial" w:hAnsi="Arial"/>
          <w:sz w:val="22"/>
          <w:szCs w:val="22"/>
          <w:i w:val="1"/>
          <w:iCs w:val="1"/>
          <w:color w:val="auto"/>
        </w:rPr>
        <w:t xml:space="preserve"> </w:t>
      </w:r>
      <w:r>
        <w:rPr>
          <w:rFonts w:ascii="Arial" w:cs="Arial" w:eastAsia="Arial" w:hAnsi="Arial"/>
          <w:sz w:val="22"/>
          <w:szCs w:val="22"/>
          <w:color w:val="auto"/>
        </w:rPr>
        <w:t>and any regulations or official interpretations thereof (including any</w:t>
      </w:r>
      <w:r>
        <w:rPr>
          <w:rFonts w:ascii="Arial" w:cs="Arial" w:eastAsia="Arial" w:hAnsi="Arial"/>
          <w:sz w:val="22"/>
          <w:szCs w:val="22"/>
          <w:i w:val="1"/>
          <w:iCs w:val="1"/>
          <w:color w:val="auto"/>
        </w:rPr>
        <w:t xml:space="preserve"> </w:t>
      </w:r>
      <w:r>
        <w:rPr>
          <w:rFonts w:ascii="Arial" w:cs="Arial" w:eastAsia="Arial" w:hAnsi="Arial"/>
          <w:sz w:val="22"/>
          <w:szCs w:val="22"/>
          <w:color w:val="auto"/>
        </w:rPr>
        <w:t>Revenue Ruling, Revenue Procedure, Notice or similar guidance issued by the U.S. Internal Revenue Service thereunder as a precondition to relief or exemption from taxes under such provisions).</w:t>
      </w:r>
    </w:p>
    <w:p>
      <w:pPr>
        <w:spacing w:after="0" w:line="294"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i w:val="1"/>
          <w:iCs w:val="1"/>
          <w:color w:val="auto"/>
        </w:rPr>
        <w:t xml:space="preserve">“Federal Funds Rate” </w:t>
      </w:r>
      <w:r>
        <w:rPr>
          <w:rFonts w:ascii="Arial" w:cs="Arial" w:eastAsia="Arial" w:hAnsi="Arial"/>
          <w:sz w:val="19"/>
          <w:szCs w:val="19"/>
          <w:color w:val="auto"/>
        </w:rPr>
        <w:t>means, for any period, a fluctuating interest rate per annum equal for each day during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269"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“Final Maturity Date” </w:t>
      </w:r>
      <w:r>
        <w:rPr>
          <w:rFonts w:ascii="Arial" w:cs="Arial" w:eastAsia="Arial" w:hAnsi="Arial"/>
          <w:sz w:val="22"/>
          <w:szCs w:val="22"/>
          <w:color w:val="auto"/>
        </w:rPr>
        <w:t>means the second anniversary of the last day of the Reinvestment Period.</w:t>
      </w:r>
    </w:p>
    <w:p>
      <w:pPr>
        <w:spacing w:after="0" w:line="314"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“Final Order” </w:t>
      </w:r>
      <w:r>
        <w:rPr>
          <w:rFonts w:ascii="Arial" w:cs="Arial" w:eastAsia="Arial" w:hAnsi="Arial"/>
          <w:sz w:val="22"/>
          <w:szCs w:val="22"/>
          <w:color w:val="auto"/>
        </w:rPr>
        <w:t>means an order, judgment, decree or ruling the operation or effect of which has not been stayed, reversed</w:t>
      </w:r>
      <w:r>
        <w:rPr>
          <w:rFonts w:ascii="Arial" w:cs="Arial" w:eastAsia="Arial" w:hAnsi="Arial"/>
          <w:sz w:val="22"/>
          <w:szCs w:val="22"/>
          <w:i w:val="1"/>
          <w:iCs w:val="1"/>
          <w:color w:val="auto"/>
        </w:rPr>
        <w:t xml:space="preserve"> </w:t>
      </w:r>
      <w:r>
        <w:rPr>
          <w:rFonts w:ascii="Arial" w:cs="Arial" w:eastAsia="Arial" w:hAnsi="Arial"/>
          <w:sz w:val="22"/>
          <w:szCs w:val="22"/>
          <w:color w:val="auto"/>
        </w:rPr>
        <w:t>or amended and as 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“Financial Asset”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8-102(a)(9)</w:t>
      </w:r>
      <w:r>
        <w:rPr>
          <w:rFonts w:ascii="Arial" w:cs="Arial" w:eastAsia="Arial" w:hAnsi="Arial"/>
          <w:sz w:val="22"/>
          <w:szCs w:val="22"/>
          <w:i w:val="1"/>
          <w:iCs w:val="1"/>
          <w:color w:val="auto"/>
        </w:rPr>
        <w:t xml:space="preserve"> </w:t>
      </w:r>
      <w:r>
        <w:rPr>
          <w:rFonts w:ascii="Arial" w:cs="Arial" w:eastAsia="Arial" w:hAnsi="Arial"/>
          <w:sz w:val="22"/>
          <w:szCs w:val="22"/>
          <w:color w:val="auto"/>
        </w:rPr>
        <w:t>of the UCC.</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Financing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14.02(b)</w:t>
      </w:r>
      <w:r>
        <w:rPr>
          <w:rFonts w:ascii="Arial" w:cs="Arial" w:eastAsia="Arial" w:hAnsi="Arial"/>
          <w:sz w:val="22"/>
          <w:szCs w:val="22"/>
          <w:color w:val="auto"/>
        </w:rPr>
        <w:t xml:space="preserve"> hereof.</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“Financing Statements”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9-102(a)(39)</w:t>
      </w:r>
      <w:r>
        <w:rPr>
          <w:rFonts w:ascii="Arial" w:cs="Arial" w:eastAsia="Arial" w:hAnsi="Arial"/>
          <w:sz w:val="22"/>
          <w:szCs w:val="22"/>
          <w:i w:val="1"/>
          <w:iCs w:val="1"/>
          <w:color w:val="auto"/>
        </w:rPr>
        <w:t xml:space="preserve"> </w:t>
      </w:r>
      <w:r>
        <w:rPr>
          <w:rFonts w:ascii="Arial" w:cs="Arial" w:eastAsia="Arial" w:hAnsi="Arial"/>
          <w:sz w:val="22"/>
          <w:szCs w:val="22"/>
          <w:color w:val="auto"/>
        </w:rPr>
        <w:t>of the UCC.</w:t>
      </w:r>
    </w:p>
    <w:p>
      <w:pPr>
        <w:spacing w:after="0" w:line="314"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“First Lien/Last Out Obligation” </w:t>
      </w:r>
      <w:r>
        <w:rPr>
          <w:rFonts w:ascii="Arial" w:cs="Arial" w:eastAsia="Arial" w:hAnsi="Arial"/>
          <w:sz w:val="22"/>
          <w:szCs w:val="22"/>
          <w:color w:val="auto"/>
        </w:rPr>
        <w:t>means a Collateral Loan that would constitute an Eligible First Lien Obligation (other</w:t>
      </w:r>
      <w:r>
        <w:rPr>
          <w:rFonts w:ascii="Arial" w:cs="Arial" w:eastAsia="Arial" w:hAnsi="Arial"/>
          <w:sz w:val="22"/>
          <w:szCs w:val="22"/>
          <w:i w:val="1"/>
          <w:iCs w:val="1"/>
          <w:color w:val="auto"/>
        </w:rPr>
        <w:t xml:space="preserve"> </w:t>
      </w:r>
      <w:r>
        <w:rPr>
          <w:rFonts w:ascii="Arial" w:cs="Arial" w:eastAsia="Arial" w:hAnsi="Arial"/>
          <w:sz w:val="22"/>
          <w:szCs w:val="22"/>
          <w:color w:val="auto"/>
        </w:rPr>
        <w:t>than by operation of the proviso in the 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“Fitch” </w:t>
      </w:r>
      <w:r>
        <w:rPr>
          <w:rFonts w:ascii="Arial" w:cs="Arial" w:eastAsia="Arial" w:hAnsi="Arial"/>
          <w:sz w:val="22"/>
          <w:szCs w:val="22"/>
          <w:color w:val="auto"/>
        </w:rPr>
        <w:t>means Fitch, Inc., together with its successors.</w:t>
      </w:r>
    </w:p>
    <w:p>
      <w:pPr>
        <w:spacing w:after="0" w:line="13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267" w:right="339" w:bottom="1440" w:gutter="0" w:footer="0" w:header="0"/>
        </w:sectPr>
      </w:pPr>
    </w:p>
    <w:bookmarkStart w:id="75" w:name="page76"/>
    <w:bookmarkEnd w:id="75"/>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“Fixed Rate Obligation” </w:t>
      </w:r>
      <w:r>
        <w:rPr>
          <w:rFonts w:ascii="Arial" w:cs="Arial" w:eastAsia="Arial" w:hAnsi="Arial"/>
          <w:sz w:val="22"/>
          <w:szCs w:val="22"/>
          <w:color w:val="auto"/>
        </w:rPr>
        <w:t>means any Collateral Loan that bears a fixed rate of interest.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“Floating Rate Obligation” </w:t>
      </w:r>
      <w:r>
        <w:rPr>
          <w:rFonts w:ascii="Arial" w:cs="Arial" w:eastAsia="Arial" w:hAnsi="Arial"/>
          <w:sz w:val="22"/>
          <w:szCs w:val="22"/>
          <w:color w:val="auto"/>
        </w:rPr>
        <w:t>means any Collateral Loan that bears a floating rate of interest.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“Floor Obligation” </w:t>
      </w:r>
      <w:r>
        <w:rPr>
          <w:rFonts w:ascii="Arial" w:cs="Arial" w:eastAsia="Arial" w:hAnsi="Arial"/>
          <w:sz w:val="22"/>
          <w:szCs w:val="22"/>
          <w:color w:val="auto"/>
        </w:rPr>
        <w:t>means, as of any date:</w:t>
      </w:r>
    </w:p>
    <w:p>
      <w:pPr>
        <w:spacing w:after="0" w:line="314" w:lineRule="exact"/>
        <w:rPr>
          <w:sz w:val="20"/>
          <w:szCs w:val="20"/>
          <w:color w:val="auto"/>
        </w:rPr>
      </w:pPr>
    </w:p>
    <w:p>
      <w:pPr>
        <w:jc w:val="both"/>
        <w:ind w:left="800" w:firstLine="934"/>
        <w:spacing w:after="0" w:line="236" w:lineRule="auto"/>
        <w:tabs>
          <w:tab w:leader="none" w:pos="237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Floating Rate Obligation (1) for which the Related Documents provides for a Libor rate option and that such Libor rate is calculated as the greater of a specified “floor” rate per annum and the London interbank offered rate for the applicable interest period and (2) that, as of such date, bears interest based on such Libor rate option, but only if as of such date the London interbank offered rate for the applicable interest period is less than such floor rate; and</w:t>
      </w:r>
    </w:p>
    <w:p>
      <w:pPr>
        <w:spacing w:after="0" w:line="295" w:lineRule="exact"/>
        <w:rPr>
          <w:rFonts w:ascii="Arial" w:cs="Arial" w:eastAsia="Arial" w:hAnsi="Arial"/>
          <w:sz w:val="22"/>
          <w:szCs w:val="22"/>
          <w:color w:val="auto"/>
        </w:rPr>
      </w:pPr>
    </w:p>
    <w:p>
      <w:pPr>
        <w:jc w:val="both"/>
        <w:ind w:left="800" w:firstLine="934"/>
        <w:spacing w:after="0" w:line="287" w:lineRule="auto"/>
        <w:tabs>
          <w:tab w:leader="none" w:pos="2452"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 (2) that, as of such date, bears interest based on such base or prime rate option, but only if as of such date the base or prime rate for the applicable interest period is less than such floor rate.</w:t>
      </w:r>
    </w:p>
    <w:p>
      <w:pPr>
        <w:spacing w:after="0" w:line="251" w:lineRule="exact"/>
        <w:rPr>
          <w:sz w:val="20"/>
          <w:szCs w:val="20"/>
          <w:color w:val="auto"/>
        </w:rPr>
      </w:pPr>
    </w:p>
    <w:p>
      <w:pPr>
        <w:jc w:val="both"/>
        <w:ind w:firstLine="786"/>
        <w:spacing w:after="0" w:line="274" w:lineRule="auto"/>
        <w:rPr>
          <w:sz w:val="20"/>
          <w:szCs w:val="20"/>
          <w:color w:val="auto"/>
        </w:rPr>
      </w:pPr>
      <w:r>
        <w:rPr>
          <w:rFonts w:ascii="Arial" w:cs="Arial" w:eastAsia="Arial" w:hAnsi="Arial"/>
          <w:sz w:val="21"/>
          <w:szCs w:val="21"/>
          <w:i w:val="1"/>
          <w:iCs w:val="1"/>
          <w:color w:val="auto"/>
        </w:rPr>
        <w:t xml:space="preserve">“Foreign Currency Advance Test” </w:t>
      </w:r>
      <w:r>
        <w:rPr>
          <w:rFonts w:ascii="Arial" w:cs="Arial" w:eastAsia="Arial" w:hAnsi="Arial"/>
          <w:sz w:val="21"/>
          <w:szCs w:val="21"/>
          <w:color w:val="auto"/>
        </w:rPr>
        <w:t>means a test that will be satisfied at any time that the Dollar Equivalent of all</w:t>
      </w:r>
      <w:r>
        <w:rPr>
          <w:rFonts w:ascii="Arial" w:cs="Arial" w:eastAsia="Arial" w:hAnsi="Arial"/>
          <w:sz w:val="21"/>
          <w:szCs w:val="21"/>
          <w:i w:val="1"/>
          <w:iCs w:val="1"/>
          <w:color w:val="auto"/>
        </w:rPr>
        <w:t xml:space="preserve"> </w:t>
      </w:r>
      <w:r>
        <w:rPr>
          <w:rFonts w:ascii="Arial" w:cs="Arial" w:eastAsia="Arial" w:hAnsi="Arial"/>
          <w:sz w:val="21"/>
          <w:szCs w:val="21"/>
          <w:color w:val="auto"/>
        </w:rPr>
        <w:t>Advances denominated in Agreed Foreign Currencies does not exceed 15.00% of the Maximum Available Amount.</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“Foreign Currency Collateral Loan” </w:t>
      </w:r>
      <w:r>
        <w:rPr>
          <w:rFonts w:ascii="Arial" w:cs="Arial" w:eastAsia="Arial" w:hAnsi="Arial"/>
          <w:sz w:val="22"/>
          <w:szCs w:val="22"/>
          <w:color w:val="auto"/>
        </w:rPr>
        <w:t>a Collateral Loan that is denominated in an Agreed Foreign Currency.</w:t>
      </w:r>
    </w:p>
    <w:p>
      <w:pPr>
        <w:spacing w:after="0" w:line="314" w:lineRule="exact"/>
        <w:rPr>
          <w:sz w:val="20"/>
          <w:szCs w:val="20"/>
          <w:color w:val="auto"/>
        </w:rPr>
      </w:pPr>
    </w:p>
    <w:p>
      <w:pPr>
        <w:jc w:val="both"/>
        <w:ind w:firstLine="786"/>
        <w:spacing w:after="0" w:line="279" w:lineRule="auto"/>
        <w:rPr>
          <w:sz w:val="20"/>
          <w:szCs w:val="20"/>
          <w:color w:val="auto"/>
        </w:rPr>
      </w:pPr>
      <w:r>
        <w:rPr>
          <w:rFonts w:ascii="Arial" w:cs="Arial" w:eastAsia="Arial" w:hAnsi="Arial"/>
          <w:sz w:val="19"/>
          <w:szCs w:val="19"/>
          <w:i w:val="1"/>
          <w:iCs w:val="1"/>
          <w:color w:val="auto"/>
        </w:rPr>
        <w:t xml:space="preserve">“Foreign Currency Collateral Loan Assigned Value” </w:t>
      </w:r>
      <w:r>
        <w:rPr>
          <w:rFonts w:ascii="Arial" w:cs="Arial" w:eastAsia="Arial" w:hAnsi="Arial"/>
          <w:sz w:val="19"/>
          <w:szCs w:val="19"/>
          <w:color w:val="auto"/>
        </w:rPr>
        <w:t>shall mean, for any Foreign Currency Collateral Loan as of any</w:t>
      </w:r>
      <w:r>
        <w:rPr>
          <w:rFonts w:ascii="Arial" w:cs="Arial" w:eastAsia="Arial" w:hAnsi="Arial"/>
          <w:sz w:val="19"/>
          <w:szCs w:val="19"/>
          <w:i w:val="1"/>
          <w:iCs w:val="1"/>
          <w:color w:val="auto"/>
        </w:rPr>
        <w:t xml:space="preserve"> </w:t>
      </w:r>
      <w:r>
        <w:rPr>
          <w:rFonts w:ascii="Arial" w:cs="Arial" w:eastAsia="Arial" w:hAnsi="Arial"/>
          <w:sz w:val="19"/>
          <w:szCs w:val="19"/>
          <w:color w:val="auto"/>
        </w:rPr>
        <w:t>date of determination, the lesser of (i) the Dollar Equivalent of the value of the Collateral Loan as reflected on the books and records of the Collateral Manager on such date of determination, and (ii) the Dollar Equivalent of the value of the Collateral Loan as reflected on the books and records of the BDC on such date of determination, in each case subject to a maximum Foreign Currency Collateral Loan Assigned Value of 100% of the Dollar Equivalent of such Collateral Loan’s Principal Balance and in each case as reported by the Collateral Manager to the Administrative Agent and the Collateral Administrator.</w:t>
      </w:r>
    </w:p>
    <w:p>
      <w:pPr>
        <w:spacing w:after="0" w:line="258" w:lineRule="exact"/>
        <w:rPr>
          <w:sz w:val="20"/>
          <w:szCs w:val="20"/>
          <w:color w:val="auto"/>
        </w:rPr>
      </w:pPr>
    </w:p>
    <w:p>
      <w:pPr>
        <w:jc w:val="both"/>
        <w:ind w:firstLine="786"/>
        <w:spacing w:after="0" w:line="252" w:lineRule="auto"/>
        <w:rPr>
          <w:sz w:val="20"/>
          <w:szCs w:val="20"/>
          <w:color w:val="auto"/>
        </w:rPr>
      </w:pPr>
      <w:r>
        <w:rPr>
          <w:rFonts w:ascii="Arial" w:cs="Arial" w:eastAsia="Arial" w:hAnsi="Arial"/>
          <w:sz w:val="21"/>
          <w:szCs w:val="21"/>
          <w:i w:val="1"/>
          <w:iCs w:val="1"/>
          <w:color w:val="auto"/>
        </w:rPr>
        <w:t xml:space="preserve">“Foreign Currency Collateral Loan Excess Concentration Amount” </w:t>
      </w:r>
      <w:r>
        <w:rPr>
          <w:rFonts w:ascii="Arial" w:cs="Arial" w:eastAsia="Arial" w:hAnsi="Arial"/>
          <w:sz w:val="21"/>
          <w:szCs w:val="21"/>
          <w:color w:val="auto"/>
        </w:rPr>
        <w:t>means the amount by which (A) the portion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Aggregate Collateral Balance of Collateral Loans that are denominated in an Agreed Foreign Currency exceeds (B) an amount equal to (x) the lesser of (i) the product of (a) the Aggregate Collateral Balance of all the Collateral Loans </w:t>
      </w:r>
      <w:r>
        <w:rPr>
          <w:rFonts w:ascii="Arial" w:cs="Arial" w:eastAsia="Arial" w:hAnsi="Arial"/>
          <w:sz w:val="21"/>
          <w:szCs w:val="21"/>
          <w:i w:val="1"/>
          <w:iCs w:val="1"/>
          <w:color w:val="auto"/>
        </w:rPr>
        <w:t>times</w:t>
      </w:r>
      <w:r>
        <w:rPr>
          <w:rFonts w:ascii="Arial" w:cs="Arial" w:eastAsia="Arial" w:hAnsi="Arial"/>
          <w:sz w:val="21"/>
          <w:szCs w:val="21"/>
          <w:color w:val="auto"/>
        </w:rPr>
        <w:t xml:space="preserve"> (b) the Maximum Advance Rate in effect at such time, and (ii) the Facility Amount, </w:t>
      </w:r>
      <w:r>
        <w:rPr>
          <w:rFonts w:ascii="Arial" w:cs="Arial" w:eastAsia="Arial" w:hAnsi="Arial"/>
          <w:sz w:val="21"/>
          <w:szCs w:val="21"/>
          <w:i w:val="1"/>
          <w:iCs w:val="1"/>
          <w:color w:val="auto"/>
        </w:rPr>
        <w:t>times</w:t>
      </w:r>
      <w:r>
        <w:rPr>
          <w:rFonts w:ascii="Arial" w:cs="Arial" w:eastAsia="Arial" w:hAnsi="Arial"/>
          <w:sz w:val="21"/>
          <w:szCs w:val="21"/>
          <w:color w:val="auto"/>
        </w:rPr>
        <w:t xml:space="preserve"> (y) 15.00%.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267" w:right="339" w:bottom="1440" w:gutter="0" w:footer="0" w:header="0"/>
        </w:sectPr>
      </w:pPr>
    </w:p>
    <w:bookmarkStart w:id="76" w:name="page77"/>
    <w:bookmarkEnd w:id="76"/>
    <w:p>
      <w:pPr>
        <w:ind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“Foreign Currency Collateral Loan Par Value” </w:t>
      </w:r>
      <w:r>
        <w:rPr>
          <w:rFonts w:ascii="Arial" w:cs="Arial" w:eastAsia="Arial" w:hAnsi="Arial"/>
          <w:sz w:val="22"/>
          <w:szCs w:val="22"/>
          <w:color w:val="auto"/>
        </w:rPr>
        <w:t>means, as of any date, for any Foreign Currency Collateral Loan, an</w:t>
      </w:r>
      <w:r>
        <w:rPr>
          <w:rFonts w:ascii="Arial" w:cs="Arial" w:eastAsia="Arial" w:hAnsi="Arial"/>
          <w:sz w:val="22"/>
          <w:szCs w:val="22"/>
          <w:i w:val="1"/>
          <w:iCs w:val="1"/>
          <w:color w:val="auto"/>
        </w:rPr>
        <w:t xml:space="preserve"> </w:t>
      </w:r>
      <w:r>
        <w:rPr>
          <w:rFonts w:ascii="Arial" w:cs="Arial" w:eastAsia="Arial" w:hAnsi="Arial"/>
          <w:sz w:val="22"/>
          <w:szCs w:val="22"/>
          <w:color w:val="auto"/>
        </w:rPr>
        <w:t>amount equal to the number, expressed as a percentage, obtained by dividing:</w:t>
      </w:r>
    </w:p>
    <w:p>
      <w:pPr>
        <w:spacing w:after="0" w:line="283" w:lineRule="exact"/>
        <w:rPr>
          <w:sz w:val="20"/>
          <w:szCs w:val="20"/>
          <w:color w:val="auto"/>
        </w:rPr>
      </w:pPr>
    </w:p>
    <w:p>
      <w:pPr>
        <w:ind w:left="1140" w:hanging="292"/>
        <w:spacing w:after="0"/>
        <w:tabs>
          <w:tab w:leader="none" w:pos="114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Foreign Currency Collateral Loan Assigned Value of such Foreign Currency Collateral Loan; by</w:t>
      </w:r>
    </w:p>
    <w:p>
      <w:pPr>
        <w:spacing w:after="0" w:line="314" w:lineRule="exact"/>
        <w:rPr>
          <w:rFonts w:ascii="Arial" w:cs="Arial" w:eastAsia="Arial" w:hAnsi="Arial"/>
          <w:sz w:val="22"/>
          <w:szCs w:val="22"/>
          <w:color w:val="auto"/>
        </w:rPr>
      </w:pPr>
    </w:p>
    <w:p>
      <w:pPr>
        <w:ind w:left="1100" w:hanging="306"/>
        <w:spacing w:after="0"/>
        <w:tabs>
          <w:tab w:leader="none" w:pos="1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Principal Balance of such Foreign Currency Collateral Loan as of such date.</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“Foreign Currency Collateral Loan Percentage” </w:t>
      </w:r>
      <w:r>
        <w:rPr>
          <w:rFonts w:ascii="Arial" w:cs="Arial" w:eastAsia="Arial" w:hAnsi="Arial"/>
          <w:sz w:val="22"/>
          <w:szCs w:val="22"/>
          <w:color w:val="auto"/>
        </w:rPr>
        <w:t>means, for any Foreign Currency Collateral Loan, if the Foreign</w:t>
      </w:r>
      <w:r>
        <w:rPr>
          <w:rFonts w:ascii="Arial" w:cs="Arial" w:eastAsia="Arial" w:hAnsi="Arial"/>
          <w:sz w:val="22"/>
          <w:szCs w:val="22"/>
          <w:i w:val="1"/>
          <w:iCs w:val="1"/>
          <w:color w:val="auto"/>
        </w:rPr>
        <w:t xml:space="preserve"> </w:t>
      </w:r>
      <w:r>
        <w:rPr>
          <w:rFonts w:ascii="Arial" w:cs="Arial" w:eastAsia="Arial" w:hAnsi="Arial"/>
          <w:sz w:val="22"/>
          <w:szCs w:val="22"/>
          <w:color w:val="auto"/>
        </w:rPr>
        <w:t>Currency Collateral Loan Par Value for such Foreign Currency Collateral Loan is greater than or equal to 80% then 50%, otherwise 100%.</w:t>
      </w:r>
    </w:p>
    <w:p>
      <w:pPr>
        <w:spacing w:after="0" w:line="294"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“Foreign Currency Equivalent” </w:t>
      </w:r>
      <w:r>
        <w:rPr>
          <w:rFonts w:ascii="Arial" w:cs="Arial" w:eastAsia="Arial" w:hAnsi="Arial"/>
          <w:sz w:val="22"/>
          <w:szCs w:val="22"/>
          <w:color w:val="auto"/>
        </w:rPr>
        <w:t>means, with respect to any amount in Dollars, the amount of any Agreed Foreign</w:t>
      </w:r>
      <w:r>
        <w:rPr>
          <w:rFonts w:ascii="Arial" w:cs="Arial" w:eastAsia="Arial" w:hAnsi="Arial"/>
          <w:sz w:val="22"/>
          <w:szCs w:val="22"/>
          <w:i w:val="1"/>
          <w:iCs w:val="1"/>
          <w:color w:val="auto"/>
        </w:rPr>
        <w:t xml:space="preserve"> </w:t>
      </w:r>
      <w:r>
        <w:rPr>
          <w:rFonts w:ascii="Arial" w:cs="Arial" w:eastAsia="Arial" w:hAnsi="Arial"/>
          <w:sz w:val="22"/>
          <w:szCs w:val="22"/>
          <w:color w:val="auto"/>
        </w:rPr>
        <w:t>Currency that could be purchased with such amount of Dollars using the reciprocal of the foreign exchange rate(s) specified in the definition of the term “Dollar Equivalent”, as determined by the Collateral Manager and reported to the Administrative Agent and the Collateral Administrator.</w:t>
      </w:r>
    </w:p>
    <w:p>
      <w:pPr>
        <w:spacing w:after="0" w:line="293" w:lineRule="exact"/>
        <w:rPr>
          <w:sz w:val="20"/>
          <w:szCs w:val="20"/>
          <w:color w:val="auto"/>
        </w:rPr>
      </w:pPr>
    </w:p>
    <w:p>
      <w:pPr>
        <w:jc w:val="both"/>
        <w:ind w:firstLine="786"/>
        <w:spacing w:after="0" w:line="274" w:lineRule="auto"/>
        <w:rPr>
          <w:sz w:val="20"/>
          <w:szCs w:val="20"/>
          <w:color w:val="auto"/>
        </w:rPr>
      </w:pPr>
      <w:r>
        <w:rPr>
          <w:rFonts w:ascii="Arial" w:cs="Arial" w:eastAsia="Arial" w:hAnsi="Arial"/>
          <w:sz w:val="21"/>
          <w:szCs w:val="21"/>
          <w:i w:val="1"/>
          <w:iCs w:val="1"/>
          <w:color w:val="auto"/>
        </w:rPr>
        <w:t xml:space="preserve">“Foreign Currency Variability Reserve” </w:t>
      </w:r>
      <w:r>
        <w:rPr>
          <w:rFonts w:ascii="Arial" w:cs="Arial" w:eastAsia="Arial" w:hAnsi="Arial"/>
          <w:sz w:val="21"/>
          <w:szCs w:val="21"/>
          <w:color w:val="auto"/>
        </w:rPr>
        <w:t>means, the sum of (i) the Australian Dollar Variability Reserve, (ii) the</w:t>
      </w:r>
      <w:r>
        <w:rPr>
          <w:rFonts w:ascii="Arial" w:cs="Arial" w:eastAsia="Arial" w:hAnsi="Arial"/>
          <w:sz w:val="21"/>
          <w:szCs w:val="21"/>
          <w:i w:val="1"/>
          <w:iCs w:val="1"/>
          <w:color w:val="auto"/>
        </w:rPr>
        <w:t xml:space="preserve"> </w:t>
      </w:r>
      <w:r>
        <w:rPr>
          <w:rFonts w:ascii="Arial" w:cs="Arial" w:eastAsia="Arial" w:hAnsi="Arial"/>
          <w:sz w:val="21"/>
          <w:szCs w:val="21"/>
          <w:color w:val="auto"/>
        </w:rPr>
        <w:t>Canadian Dollar Variability Reserve, (iii) the Euro Variability Reserve, and (iv) the Pounds Sterling Variability Reserve.</w:t>
      </w:r>
    </w:p>
    <w:p>
      <w:pPr>
        <w:spacing w:after="0" w:line="259" w:lineRule="exact"/>
        <w:rPr>
          <w:sz w:val="20"/>
          <w:szCs w:val="20"/>
          <w:color w:val="auto"/>
        </w:rPr>
      </w:pPr>
    </w:p>
    <w:p>
      <w:pPr>
        <w:jc w:val="both"/>
        <w:ind w:firstLine="786"/>
        <w:spacing w:after="0" w:line="271" w:lineRule="auto"/>
        <w:rPr>
          <w:sz w:val="20"/>
          <w:szCs w:val="20"/>
          <w:color w:val="auto"/>
        </w:rPr>
      </w:pPr>
      <w:r>
        <w:rPr>
          <w:rFonts w:ascii="Arial" w:cs="Arial" w:eastAsia="Arial" w:hAnsi="Arial"/>
          <w:sz w:val="19"/>
          <w:szCs w:val="19"/>
          <w:i w:val="1"/>
          <w:iCs w:val="1"/>
          <w:color w:val="auto"/>
        </w:rPr>
        <w:t xml:space="preserve">“Fundamental Amendment” </w:t>
      </w:r>
      <w:r>
        <w:rPr>
          <w:rFonts w:ascii="Arial" w:cs="Arial" w:eastAsia="Arial" w:hAnsi="Arial"/>
          <w:sz w:val="19"/>
          <w:szCs w:val="19"/>
          <w:color w:val="auto"/>
        </w:rPr>
        <w:t>means any amendment, modification, waiver or supplement of or to this Agreement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would (a) increase or extend 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w:t>
      </w:r>
    </w:p>
    <w:p>
      <w:pPr>
        <w:spacing w:after="0" w:line="3" w:lineRule="exact"/>
        <w:rPr>
          <w:sz w:val="20"/>
          <w:szCs w:val="20"/>
          <w:color w:val="auto"/>
        </w:rPr>
      </w:pPr>
    </w:p>
    <w:p>
      <w:pPr>
        <w:jc w:val="both"/>
        <w:ind w:firstLine="8"/>
        <w:spacing w:after="0" w:line="266" w:lineRule="auto"/>
        <w:tabs>
          <w:tab w:leader="none" w:pos="317" w:val="left"/>
        </w:tabs>
        <w:numPr>
          <w:ilvl w:val="0"/>
          <w:numId w:val="76"/>
        </w:numPr>
        <w:rPr>
          <w:rFonts w:ascii="Arial" w:cs="Arial" w:eastAsia="Arial" w:hAnsi="Arial"/>
          <w:sz w:val="19"/>
          <w:szCs w:val="19"/>
          <w:color w:val="auto"/>
        </w:rPr>
      </w:pPr>
      <w:r>
        <w:rPr>
          <w:rFonts w:ascii="Arial" w:cs="Arial" w:eastAsia="Arial" w:hAnsi="Arial"/>
          <w:sz w:val="19"/>
          <w:szCs w:val="19"/>
          <w:color w:val="auto"/>
        </w:rPr>
        <w:t>reduce the amount of any such payment of principal, (d) reduce the rate at which interest is payable thereon or any fee is payable hereunder, (e) release any material portion of the Collateral, except in connection with dispositions permitted hereunder,</w:t>
      </w:r>
    </w:p>
    <w:p>
      <w:pPr>
        <w:spacing w:after="0" w:line="1" w:lineRule="exact"/>
        <w:rPr>
          <w:rFonts w:ascii="Arial" w:cs="Arial" w:eastAsia="Arial" w:hAnsi="Arial"/>
          <w:sz w:val="19"/>
          <w:szCs w:val="19"/>
          <w:color w:val="auto"/>
        </w:rPr>
      </w:pPr>
    </w:p>
    <w:p>
      <w:pPr>
        <w:jc w:val="both"/>
        <w:ind w:firstLine="8"/>
        <w:spacing w:after="0" w:line="244" w:lineRule="auto"/>
        <w:tabs>
          <w:tab w:leader="none" w:pos="278"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alter the terms of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15.01(b)</w:t>
      </w:r>
      <w:r>
        <w:rPr>
          <w:rFonts w:ascii="Arial" w:cs="Arial" w:eastAsia="Arial" w:hAnsi="Arial"/>
          <w:sz w:val="21"/>
          <w:szCs w:val="21"/>
          <w:color w:val="auto"/>
        </w:rPr>
        <w:t xml:space="preserve"> or any defined terms used therein, (g) modify the definition of the terms “Agreed Foreign Currency,” “Currency Valuation Trigger Event,” “Dollar Equivalent,” “Majority Lenders,” “Required Lenders,” “Maximum Available Amount,” “Borrowing Base,” “Maximum Advance Rate Test”, “Fundamental Amendment”, “Interest Coverage Ratio Test”, “Minimum Equity Amount”, “Collateral Loan” or any defined terms used therein, or modify in any other manner the number or percentage of the Lenders required to make any determinations or waive any rights hereunder or to modify any provision hereof, or (h) extend the Reinvestment Period.</w:t>
      </w:r>
    </w:p>
    <w:p>
      <w:pPr>
        <w:spacing w:after="0" w:line="291"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“Funding Effective Date” </w:t>
      </w:r>
      <w:r>
        <w:rPr>
          <w:rFonts w:ascii="Arial" w:cs="Arial" w:eastAsia="Arial" w:hAnsi="Arial"/>
          <w:sz w:val="22"/>
          <w:szCs w:val="22"/>
          <w:color w:val="auto"/>
        </w:rPr>
        <w:t>means the later of the Closing Date and the date on which the conditions precedent set forth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are satisfied.</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“GAAP” </w:t>
      </w:r>
      <w:r>
        <w:rPr>
          <w:rFonts w:ascii="Arial" w:cs="Arial" w:eastAsia="Arial" w:hAnsi="Arial"/>
          <w:sz w:val="22"/>
          <w:szCs w:val="22"/>
          <w:color w:val="auto"/>
        </w:rPr>
        <w:t>means generally accepted accounting principles in effect from time to time in the United States.</w:t>
      </w:r>
    </w:p>
    <w:p>
      <w:pPr>
        <w:spacing w:after="0" w:line="314"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i w:val="1"/>
          <w:iCs w:val="1"/>
          <w:color w:val="auto"/>
        </w:rPr>
        <w:t xml:space="preserve">“Governmental Authority” </w:t>
      </w:r>
      <w:r>
        <w:rPr>
          <w:rFonts w:ascii="Arial" w:cs="Arial" w:eastAsia="Arial" w:hAnsi="Arial"/>
          <w:sz w:val="21"/>
          <w:szCs w:val="21"/>
          <w:color w:val="auto"/>
        </w:rPr>
        <w:t>means any nation or government, any state or other political subdivision thereof, any agency,</w:t>
      </w:r>
      <w:r>
        <w:rPr>
          <w:rFonts w:ascii="Arial" w:cs="Arial" w:eastAsia="Arial" w:hAnsi="Arial"/>
          <w:sz w:val="21"/>
          <w:szCs w:val="21"/>
          <w:i w:val="1"/>
          <w:iCs w:val="1"/>
          <w:color w:val="auto"/>
        </w:rPr>
        <w:t xml:space="preserve"> </w:t>
      </w:r>
      <w:r>
        <w:rPr>
          <w:rFonts w:ascii="Arial" w:cs="Arial" w:eastAsia="Arial" w:hAnsi="Arial"/>
          <w:sz w:val="21"/>
          <w:szCs w:val="21"/>
          <w:color w:val="auto"/>
        </w:rPr>
        <w:t>authority, instrumentality, regulatory body, quasi-regulatory authority, administrative tribunal, central bank, public office, court, arbitration or mediation panel, or other entity exercising executive, legislative, judicial, taxing, regulatory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267" w:right="339" w:bottom="1440" w:gutter="0" w:footer="0" w:header="0"/>
        </w:sectPr>
      </w:pPr>
    </w:p>
    <w:bookmarkStart w:id="77" w:name="page78"/>
    <w:bookmarkEnd w:id="77"/>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(including any supra-national body exercising such powers or functions, such as the European Union or the European Central Bank).</w:t>
      </w:r>
    </w:p>
    <w:p>
      <w:pPr>
        <w:spacing w:after="0" w:line="295"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“Governmental Authorizations” </w:t>
      </w:r>
      <w:r>
        <w:rPr>
          <w:rFonts w:ascii="Arial" w:cs="Arial" w:eastAsia="Arial" w:hAnsi="Arial"/>
          <w:sz w:val="22"/>
          <w:szCs w:val="22"/>
          <w:color w:val="auto"/>
        </w:rPr>
        <w:t>means all franchises, permits, licenses, approvals, consents and other authorizations of</w:t>
      </w:r>
      <w:r>
        <w:rPr>
          <w:rFonts w:ascii="Arial" w:cs="Arial" w:eastAsia="Arial" w:hAnsi="Arial"/>
          <w:sz w:val="22"/>
          <w:szCs w:val="22"/>
          <w:i w:val="1"/>
          <w:iCs w:val="1"/>
          <w:color w:val="auto"/>
        </w:rPr>
        <w:t xml:space="preserve"> </w:t>
      </w:r>
      <w:r>
        <w:rPr>
          <w:rFonts w:ascii="Arial" w:cs="Arial" w:eastAsia="Arial" w:hAnsi="Arial"/>
          <w:sz w:val="22"/>
          <w:szCs w:val="22"/>
          <w:color w:val="auto"/>
        </w:rPr>
        <w:t>all Governmental Authorities.</w:t>
      </w:r>
    </w:p>
    <w:p>
      <w:pPr>
        <w:spacing w:after="0" w:line="28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“Governmental Filings” </w:t>
      </w:r>
      <w:r>
        <w:rPr>
          <w:rFonts w:ascii="Arial" w:cs="Arial" w:eastAsia="Arial" w:hAnsi="Arial"/>
          <w:sz w:val="22"/>
          <w:szCs w:val="22"/>
          <w:color w:val="auto"/>
        </w:rPr>
        <w:t>means all filings, including franchise and similar tax filings, and the payment of all fees,</w:t>
      </w:r>
      <w:r>
        <w:rPr>
          <w:rFonts w:ascii="Arial" w:cs="Arial" w:eastAsia="Arial" w:hAnsi="Arial"/>
          <w:sz w:val="22"/>
          <w:szCs w:val="22"/>
          <w:i w:val="1"/>
          <w:iCs w:val="1"/>
          <w:color w:val="auto"/>
        </w:rPr>
        <w:t xml:space="preserve"> </w:t>
      </w:r>
      <w:r>
        <w:rPr>
          <w:rFonts w:ascii="Arial" w:cs="Arial" w:eastAsia="Arial" w:hAnsi="Arial"/>
          <w:sz w:val="22"/>
          <w:szCs w:val="22"/>
          <w:color w:val="auto"/>
        </w:rPr>
        <w:t>assessments, interests and penalties associated with such filings with all Authorities.</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“Group I Country” </w:t>
      </w:r>
      <w:r>
        <w:rPr>
          <w:rFonts w:ascii="Arial" w:cs="Arial" w:eastAsia="Arial" w:hAnsi="Arial"/>
          <w:sz w:val="22"/>
          <w:szCs w:val="22"/>
          <w:color w:val="auto"/>
        </w:rPr>
        <w:t>means Australia and the Netherlands.</w:t>
      </w:r>
    </w:p>
    <w:p>
      <w:pPr>
        <w:spacing w:after="0" w:line="314" w:lineRule="exact"/>
        <w:rPr>
          <w:sz w:val="20"/>
          <w:szCs w:val="20"/>
          <w:color w:val="auto"/>
        </w:rPr>
      </w:pPr>
    </w:p>
    <w:p>
      <w:pPr>
        <w:jc w:val="both"/>
        <w:ind w:firstLine="786"/>
        <w:spacing w:after="0" w:line="252" w:lineRule="auto"/>
        <w:rPr>
          <w:sz w:val="20"/>
          <w:szCs w:val="20"/>
          <w:color w:val="auto"/>
        </w:rPr>
      </w:pPr>
      <w:r>
        <w:rPr>
          <w:rFonts w:ascii="Arial" w:cs="Arial" w:eastAsia="Arial" w:hAnsi="Arial"/>
          <w:sz w:val="21"/>
          <w:szCs w:val="21"/>
          <w:i w:val="1"/>
          <w:iCs w:val="1"/>
          <w:color w:val="auto"/>
        </w:rPr>
        <w:t xml:space="preserve">“Group I Country Excess Concentration Amount” </w:t>
      </w:r>
      <w:r>
        <w:rPr>
          <w:rFonts w:ascii="Arial" w:cs="Arial" w:eastAsia="Arial" w:hAnsi="Arial"/>
          <w:sz w:val="21"/>
          <w:szCs w:val="21"/>
          <w:color w:val="auto"/>
        </w:rPr>
        <w:t>means the amount by which (A) the portion of the Aggregate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Collateral Balance of Collateral Loans whose Obligors are organized or incorporated in a Group I Country exceeds (B) an amount equal to (x) the lesser of (i) the product of (a) the Aggregate Collateral Balance of all the Collateral Loans </w:t>
      </w:r>
      <w:r>
        <w:rPr>
          <w:rFonts w:ascii="Arial" w:cs="Arial" w:eastAsia="Arial" w:hAnsi="Arial"/>
          <w:sz w:val="21"/>
          <w:szCs w:val="21"/>
          <w:i w:val="1"/>
          <w:iCs w:val="1"/>
          <w:color w:val="auto"/>
        </w:rPr>
        <w:t>times</w:t>
      </w:r>
      <w:r>
        <w:rPr>
          <w:rFonts w:ascii="Arial" w:cs="Arial" w:eastAsia="Arial" w:hAnsi="Arial"/>
          <w:sz w:val="21"/>
          <w:szCs w:val="21"/>
          <w:color w:val="auto"/>
        </w:rPr>
        <w:t xml:space="preserve"> (b) the Maximum Advance Rate in effect at such time, and (ii) the Facility Amount, </w:t>
      </w:r>
      <w:r>
        <w:rPr>
          <w:rFonts w:ascii="Arial" w:cs="Arial" w:eastAsia="Arial" w:hAnsi="Arial"/>
          <w:sz w:val="21"/>
          <w:szCs w:val="21"/>
          <w:i w:val="1"/>
          <w:iCs w:val="1"/>
          <w:color w:val="auto"/>
        </w:rPr>
        <w:t>times</w:t>
      </w:r>
      <w:r>
        <w:rPr>
          <w:rFonts w:ascii="Arial" w:cs="Arial" w:eastAsia="Arial" w:hAnsi="Arial"/>
          <w:sz w:val="21"/>
          <w:szCs w:val="21"/>
          <w:color w:val="auto"/>
        </w:rPr>
        <w:t xml:space="preserve"> (y) 10.00%.</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“Group II Country” </w:t>
      </w:r>
      <w:r>
        <w:rPr>
          <w:rFonts w:ascii="Arial" w:cs="Arial" w:eastAsia="Arial" w:hAnsi="Arial"/>
          <w:sz w:val="22"/>
          <w:szCs w:val="22"/>
          <w:color w:val="auto"/>
        </w:rPr>
        <w:t>means Germany, Sweden and Switzerland.</w:t>
      </w:r>
    </w:p>
    <w:p>
      <w:pPr>
        <w:spacing w:after="0" w:line="314" w:lineRule="exact"/>
        <w:rPr>
          <w:sz w:val="20"/>
          <w:szCs w:val="20"/>
          <w:color w:val="auto"/>
        </w:rPr>
      </w:pPr>
    </w:p>
    <w:p>
      <w:pPr>
        <w:jc w:val="both"/>
        <w:ind w:firstLine="786"/>
        <w:spacing w:after="0" w:line="287" w:lineRule="auto"/>
        <w:rPr>
          <w:sz w:val="20"/>
          <w:szCs w:val="20"/>
          <w:color w:val="auto"/>
        </w:rPr>
      </w:pPr>
      <w:r>
        <w:rPr>
          <w:rFonts w:ascii="Arial" w:cs="Arial" w:eastAsia="Arial" w:hAnsi="Arial"/>
          <w:sz w:val="19"/>
          <w:szCs w:val="19"/>
          <w:i w:val="1"/>
          <w:iCs w:val="1"/>
          <w:color w:val="auto"/>
        </w:rPr>
        <w:t xml:space="preserve">“Group II and III Country Excess Concentration Amount” </w:t>
      </w:r>
      <w:r>
        <w:rPr>
          <w:rFonts w:ascii="Arial" w:cs="Arial" w:eastAsia="Arial" w:hAnsi="Arial"/>
          <w:sz w:val="19"/>
          <w:szCs w:val="19"/>
          <w:color w:val="auto"/>
        </w:rPr>
        <w:t>means the amount by which (A) the portion of the Aggregate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Collateral Balance of Collateral Loans whose Obligors are organized or incorporated in a Group II Country or Group III Country, collectively exceeds (B) an amount equal to (x) the lesser of (i) the product of (a) the Aggregate Collateral Balance of all the Collateral Loans </w:t>
      </w:r>
      <w:r>
        <w:rPr>
          <w:rFonts w:ascii="Arial" w:cs="Arial" w:eastAsia="Arial" w:hAnsi="Arial"/>
          <w:sz w:val="19"/>
          <w:szCs w:val="19"/>
          <w:i w:val="1"/>
          <w:iCs w:val="1"/>
          <w:color w:val="auto"/>
        </w:rPr>
        <w:t>times</w:t>
      </w:r>
      <w:r>
        <w:rPr>
          <w:rFonts w:ascii="Arial" w:cs="Arial" w:eastAsia="Arial" w:hAnsi="Arial"/>
          <w:sz w:val="19"/>
          <w:szCs w:val="19"/>
          <w:color w:val="auto"/>
        </w:rPr>
        <w:t xml:space="preserve"> (b) the Maximum Advance Rate in effect at such time, and (ii) the Facility Amount, </w:t>
      </w:r>
      <w:r>
        <w:rPr>
          <w:rFonts w:ascii="Arial" w:cs="Arial" w:eastAsia="Arial" w:hAnsi="Arial"/>
          <w:sz w:val="19"/>
          <w:szCs w:val="19"/>
          <w:i w:val="1"/>
          <w:iCs w:val="1"/>
          <w:color w:val="auto"/>
        </w:rPr>
        <w:t>times</w:t>
      </w:r>
      <w:r>
        <w:rPr>
          <w:rFonts w:ascii="Arial" w:cs="Arial" w:eastAsia="Arial" w:hAnsi="Arial"/>
          <w:sz w:val="19"/>
          <w:szCs w:val="19"/>
          <w:color w:val="auto"/>
        </w:rPr>
        <w:t xml:space="preserve"> (y) 7.50%.</w:t>
      </w:r>
    </w:p>
    <w:p>
      <w:pPr>
        <w:spacing w:after="0" w:line="25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 xml:space="preserve">“Group III Country” </w:t>
      </w:r>
      <w:r>
        <w:rPr>
          <w:rFonts w:ascii="Arial" w:cs="Arial" w:eastAsia="Arial" w:hAnsi="Arial"/>
          <w:sz w:val="21"/>
          <w:szCs w:val="21"/>
          <w:color w:val="auto"/>
        </w:rPr>
        <w:t>means Austria, Belgium, Denmark, Finland, Iceland, Lichtenstein, Luxembourg and Norway.</w:t>
      </w:r>
    </w:p>
    <w:p>
      <w:pPr>
        <w:spacing w:after="0" w:line="326" w:lineRule="exact"/>
        <w:rPr>
          <w:sz w:val="20"/>
          <w:szCs w:val="20"/>
          <w:color w:val="auto"/>
        </w:rPr>
      </w:pPr>
    </w:p>
    <w:p>
      <w:pPr>
        <w:jc w:val="both"/>
        <w:ind w:firstLine="786"/>
        <w:spacing w:after="0" w:line="277" w:lineRule="auto"/>
        <w:rPr>
          <w:sz w:val="20"/>
          <w:szCs w:val="20"/>
          <w:color w:val="auto"/>
        </w:rPr>
      </w:pPr>
      <w:r>
        <w:rPr>
          <w:rFonts w:ascii="Arial" w:cs="Arial" w:eastAsia="Arial" w:hAnsi="Arial"/>
          <w:sz w:val="19"/>
          <w:szCs w:val="19"/>
          <w:i w:val="1"/>
          <w:iCs w:val="1"/>
          <w:color w:val="auto"/>
        </w:rPr>
        <w:t xml:space="preserve">“Hedge Counterparty” </w:t>
      </w:r>
      <w:r>
        <w:rPr>
          <w:rFonts w:ascii="Arial" w:cs="Arial" w:eastAsia="Arial" w:hAnsi="Arial"/>
          <w:sz w:val="19"/>
          <w:szCs w:val="19"/>
          <w:color w:val="auto"/>
        </w:rPr>
        <w:t>means (1) SunTrust Bank or (2) any other entity that (a) on the date of entering into any hedge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transaction with the Borrower (i) is an interest rate swap dealer that has been approved in writing by the Administrative Agent and (ii) has a short-term unsecured debt rating of not less than “A-1” by S&amp;P and not less than “P-1” by Moody’s, and (b) in a hedging agreement (i) consents to the assignment of the Borrower’s rights under the hedging agreement to the Collateral Agent and (ii) agrees that in the event that Moody’s or S&amp;P reduces its short-term unsecured debt rating below the ratings set forth above, it shall, at its own expense, transfer its rights and obligations under each hedging transaction to another entity that meets the requirements of </w:t>
      </w:r>
      <w:r>
        <w:rPr>
          <w:rFonts w:ascii="Arial" w:cs="Arial" w:eastAsia="Arial" w:hAnsi="Arial"/>
          <w:sz w:val="19"/>
          <w:szCs w:val="19"/>
          <w:u w:val="single" w:color="auto"/>
          <w:color w:val="auto"/>
        </w:rPr>
        <w:t>clauses (a) and (b)</w:t>
      </w:r>
      <w:r>
        <w:rPr>
          <w:rFonts w:ascii="Arial" w:cs="Arial" w:eastAsia="Arial" w:hAnsi="Arial"/>
          <w:sz w:val="19"/>
          <w:szCs w:val="19"/>
          <w:color w:val="auto"/>
        </w:rPr>
        <w:t xml:space="preserve"> hereof or collateralize its exposure under each hedging transaction.</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“Indemnified Party”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12.04(b)</w:t>
      </w:r>
      <w:r>
        <w:rPr>
          <w:rFonts w:ascii="Arial" w:cs="Arial" w:eastAsia="Arial" w:hAnsi="Arial"/>
          <w:sz w:val="22"/>
          <w:szCs w:val="22"/>
          <w:color w:val="auto"/>
        </w:rPr>
        <w:t>.</w:t>
      </w:r>
    </w:p>
    <w:p>
      <w:pPr>
        <w:spacing w:after="0" w:line="13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267" w:right="339" w:bottom="1440" w:gutter="0" w:footer="0" w:header="0"/>
        </w:sectPr>
      </w:pPr>
    </w:p>
    <w:bookmarkStart w:id="78" w:name="page79"/>
    <w:bookmarkEnd w:id="78"/>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“Independent Accountants”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8.08</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“Ineligible Collateral Loan” </w:t>
      </w:r>
      <w:r>
        <w:rPr>
          <w:rFonts w:ascii="Arial" w:cs="Arial" w:eastAsia="Arial" w:hAnsi="Arial"/>
          <w:sz w:val="22"/>
          <w:szCs w:val="22"/>
          <w:color w:val="auto"/>
        </w:rPr>
        <w:t>means, at any time, a loan, debt obligation, Participation Interest or other obligation, or</w:t>
      </w:r>
      <w:r>
        <w:rPr>
          <w:rFonts w:ascii="Arial" w:cs="Arial" w:eastAsia="Arial" w:hAnsi="Arial"/>
          <w:sz w:val="22"/>
          <w:szCs w:val="22"/>
          <w:i w:val="1"/>
          <w:iCs w:val="1"/>
          <w:color w:val="auto"/>
        </w:rPr>
        <w:t xml:space="preserve"> </w:t>
      </w:r>
      <w:r>
        <w:rPr>
          <w:rFonts w:ascii="Arial" w:cs="Arial" w:eastAsia="Arial" w:hAnsi="Arial"/>
          <w:sz w:val="22"/>
          <w:szCs w:val="22"/>
          <w:color w:val="auto"/>
        </w:rPr>
        <w:t>any portion thereof, that fails to satisfy any criteria of the definition of “Collateral Loan” after the date of acquisition thereof by the Borrower (i.e., determined as of such date and not giving effect to the introductory language to the definition of “Collateral Loan”).</w:t>
      </w:r>
    </w:p>
    <w:p>
      <w:pPr>
        <w:spacing w:after="0" w:line="293"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i w:val="1"/>
          <w:iCs w:val="1"/>
          <w:color w:val="auto"/>
        </w:rPr>
        <w:t xml:space="preserve">“Insolvency Event” </w:t>
      </w:r>
      <w:r>
        <w:rPr>
          <w:rFonts w:ascii="Arial" w:cs="Arial" w:eastAsia="Arial" w:hAnsi="Arial"/>
          <w:sz w:val="19"/>
          <w:szCs w:val="19"/>
          <w:color w:val="auto"/>
        </w:rPr>
        <w:t>means with respect to a specified Person, (a) the filing of a decree or order for relief by a court</w:t>
      </w:r>
      <w:r>
        <w:rPr>
          <w:rFonts w:ascii="Arial" w:cs="Arial" w:eastAsia="Arial" w:hAnsi="Arial"/>
          <w:sz w:val="19"/>
          <w:szCs w:val="19"/>
          <w:i w:val="1"/>
          <w:iCs w:val="1"/>
          <w:color w:val="auto"/>
        </w:rPr>
        <w:t xml:space="preserve"> </w:t>
      </w:r>
      <w:r>
        <w:rPr>
          <w:rFonts w:ascii="Arial" w:cs="Arial" w:eastAsia="Arial" w:hAnsi="Arial"/>
          <w:sz w:val="19"/>
          <w:szCs w:val="19"/>
          <w:color w:val="auto"/>
        </w:rPr>
        <w:t>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26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“Instrument”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9-102(a)(47)</w:t>
      </w:r>
      <w:r>
        <w:rPr>
          <w:rFonts w:ascii="Arial" w:cs="Arial" w:eastAsia="Arial" w:hAnsi="Arial"/>
          <w:sz w:val="22"/>
          <w:szCs w:val="22"/>
          <w:i w:val="1"/>
          <w:iCs w:val="1"/>
          <w:color w:val="auto"/>
        </w:rPr>
        <w:t xml:space="preserve"> </w:t>
      </w:r>
      <w:r>
        <w:rPr>
          <w:rFonts w:ascii="Arial" w:cs="Arial" w:eastAsia="Arial" w:hAnsi="Arial"/>
          <w:sz w:val="22"/>
          <w:szCs w:val="22"/>
          <w:color w:val="auto"/>
        </w:rPr>
        <w:t>of the UCC.</w:t>
      </w:r>
    </w:p>
    <w:p>
      <w:pPr>
        <w:spacing w:after="0" w:line="314"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“Interest” </w:t>
      </w:r>
      <w:r>
        <w:rPr>
          <w:rFonts w:ascii="Arial" w:cs="Arial" w:eastAsia="Arial" w:hAnsi="Arial"/>
          <w:sz w:val="22"/>
          <w:szCs w:val="22"/>
          <w:color w:val="auto"/>
        </w:rPr>
        <w:t>means, for each day during an Interest Accrual Period and each Advance outstanding by a Lender on such</w:t>
      </w:r>
      <w:r>
        <w:rPr>
          <w:rFonts w:ascii="Arial" w:cs="Arial" w:eastAsia="Arial" w:hAnsi="Arial"/>
          <w:sz w:val="22"/>
          <w:szCs w:val="22"/>
          <w:i w:val="1"/>
          <w:iCs w:val="1"/>
          <w:color w:val="auto"/>
        </w:rPr>
        <w:t xml:space="preserve"> </w:t>
      </w:r>
      <w:r>
        <w:rPr>
          <w:rFonts w:ascii="Arial" w:cs="Arial" w:eastAsia="Arial" w:hAnsi="Arial"/>
          <w:sz w:val="22"/>
          <w:szCs w:val="22"/>
          <w:color w:val="auto"/>
        </w:rPr>
        <w:t>day, the sum of the products (for each day during such Interest Accrual Period) of:</w:t>
      </w:r>
    </w:p>
    <w:p>
      <w:pPr>
        <w:spacing w:after="0" w:line="305" w:lineRule="exact"/>
        <w:rPr>
          <w:sz w:val="20"/>
          <w:szCs w:val="20"/>
          <w:color w:val="auto"/>
        </w:rPr>
      </w:pPr>
    </w:p>
    <w:p>
      <w:pPr>
        <w:ind w:left="4120"/>
        <w:spacing w:after="0"/>
        <w:rPr>
          <w:sz w:val="20"/>
          <w:szCs w:val="20"/>
          <w:color w:val="auto"/>
        </w:rPr>
      </w:pPr>
      <w:r>
        <w:rPr>
          <w:rFonts w:ascii="Arial" w:cs="Arial" w:eastAsia="Arial" w:hAnsi="Arial"/>
          <w:sz w:val="22"/>
          <w:szCs w:val="22"/>
          <w:i w:val="1"/>
          <w:iCs w:val="1"/>
          <w:color w:val="auto"/>
        </w:rPr>
        <w:t xml:space="preserve">IR </w:t>
      </w:r>
      <w:r>
        <w:rPr>
          <w:rFonts w:ascii="Arial" w:cs="Arial" w:eastAsia="Arial" w:hAnsi="Arial"/>
          <w:sz w:val="17"/>
          <w:szCs w:val="17"/>
          <w:color w:val="auto"/>
        </w:rPr>
        <w:t>x</w:t>
      </w:r>
      <w:r>
        <w:rPr>
          <w:rFonts w:ascii="Arial" w:cs="Arial" w:eastAsia="Arial" w:hAnsi="Arial"/>
          <w:sz w:val="22"/>
          <w:szCs w:val="22"/>
          <w:i w:val="1"/>
          <w:iCs w:val="1"/>
          <w:color w:val="auto"/>
        </w:rPr>
        <w:t xml:space="preserve"> P </w:t>
      </w:r>
      <w:r>
        <w:rPr>
          <w:rFonts w:ascii="Arial" w:cs="Arial" w:eastAsia="Arial" w:hAnsi="Arial"/>
          <w:sz w:val="17"/>
          <w:szCs w:val="17"/>
          <w:color w:val="auto"/>
        </w:rPr>
        <w:t>x</w:t>
      </w:r>
      <w:r>
        <w:rPr>
          <w:rFonts w:ascii="Arial" w:cs="Arial" w:eastAsia="Arial" w:hAnsi="Arial"/>
          <w:sz w:val="22"/>
          <w:szCs w:val="22"/>
          <w:i w:val="1"/>
          <w:iCs w:val="1"/>
          <w:color w:val="auto"/>
        </w:rPr>
        <w:t xml:space="preserve">  </w:t>
      </w:r>
      <w:r>
        <w:rPr>
          <w:rFonts w:ascii="Arial" w:cs="Arial" w:eastAsia="Arial" w:hAnsi="Arial"/>
          <w:sz w:val="43"/>
          <w:szCs w:val="43"/>
          <w:color w:val="auto"/>
          <w:vertAlign w:val="superscript"/>
        </w:rPr>
        <w:t>1</w:t>
      </w:r>
      <w:r>
        <w:rPr>
          <w:rFonts w:ascii="Arial" w:cs="Arial" w:eastAsia="Arial" w:hAnsi="Arial"/>
          <w:sz w:val="43"/>
          <w:szCs w:val="43"/>
          <w:i w:val="1"/>
          <w:iCs w:val="1"/>
          <w:color w:val="auto"/>
          <w:vertAlign w:val="sub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-133350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where:</w:t>
      </w:r>
    </w:p>
    <w:p>
      <w:pPr>
        <w:spacing w:after="0" w:line="355" w:lineRule="exact"/>
        <w:rPr>
          <w:sz w:val="20"/>
          <w:szCs w:val="20"/>
          <w:color w:val="auto"/>
        </w:rPr>
      </w:pPr>
    </w:p>
    <w:p>
      <w:pPr>
        <w:ind w:left="1580"/>
        <w:spacing w:after="0"/>
        <w:tabs>
          <w:tab w:leader="none" w:pos="2160" w:val="left"/>
          <w:tab w:leader="none" w:pos="2560" w:val="left"/>
        </w:tabs>
        <w:rPr>
          <w:sz w:val="20"/>
          <w:szCs w:val="20"/>
          <w:color w:val="auto"/>
        </w:rPr>
      </w:pPr>
      <w:r>
        <w:rPr>
          <w:rFonts w:ascii="Arial" w:cs="Arial" w:eastAsia="Arial" w:hAnsi="Arial"/>
          <w:sz w:val="22"/>
          <w:szCs w:val="22"/>
          <w:color w:val="auto"/>
        </w:rPr>
        <w:t>IR</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Interest Rate for such Advance on such day;</w:t>
      </w:r>
    </w:p>
    <w:p>
      <w:pPr>
        <w:spacing w:after="0" w:line="314" w:lineRule="exact"/>
        <w:rPr>
          <w:sz w:val="20"/>
          <w:szCs w:val="20"/>
          <w:color w:val="auto"/>
        </w:rPr>
      </w:pPr>
    </w:p>
    <w:p>
      <w:pPr>
        <w:ind w:left="2180" w:hanging="593"/>
        <w:spacing w:after="0"/>
        <w:tabs>
          <w:tab w:leader="none" w:pos="21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the principal amount of such Advance on such day; and</w:t>
      </w:r>
    </w:p>
    <w:p>
      <w:pPr>
        <w:spacing w:after="0" w:line="314" w:lineRule="exact"/>
        <w:rPr>
          <w:sz w:val="20"/>
          <w:szCs w:val="20"/>
          <w:color w:val="auto"/>
        </w:rPr>
      </w:pPr>
    </w:p>
    <w:p>
      <w:pPr>
        <w:ind w:left="2580" w:hanging="993"/>
        <w:spacing w:after="0" w:line="274" w:lineRule="auto"/>
        <w:tabs>
          <w:tab w:leader="none" w:pos="2188" w:val="left"/>
        </w:tabs>
        <w:numPr>
          <w:ilvl w:val="0"/>
          <w:numId w:val="79"/>
        </w:numPr>
        <w:rPr>
          <w:rFonts w:ascii="Arial" w:cs="Arial" w:eastAsia="Arial" w:hAnsi="Arial"/>
          <w:sz w:val="21"/>
          <w:szCs w:val="21"/>
          <w:color w:val="auto"/>
        </w:rPr>
      </w:pPr>
      <w:r>
        <w:rPr>
          <w:rFonts w:ascii="Arial" w:cs="Arial" w:eastAsia="Arial" w:hAnsi="Arial"/>
          <w:sz w:val="21"/>
          <w:szCs w:val="21"/>
          <w:color w:val="auto"/>
        </w:rPr>
        <w:t>= 360 or, to the extent the Interest Rate is based on the Prime Rate or Multicurrency Advances denominated in Canadian Dollars or Pounds Sterling, 365 or 366 days, as applicable.</w:t>
      </w:r>
    </w:p>
    <w:p>
      <w:pPr>
        <w:spacing w:after="0" w:line="259"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“Interest Accrual Period” </w:t>
      </w:r>
      <w:r>
        <w:rPr>
          <w:rFonts w:ascii="Arial" w:cs="Arial" w:eastAsia="Arial" w:hAnsi="Arial"/>
          <w:sz w:val="22"/>
          <w:szCs w:val="22"/>
          <w:color w:val="auto"/>
        </w:rPr>
        <w:t>means, with respect to each Advance (or portion thereof) (a) with respect to the first Payment</w:t>
      </w:r>
      <w:r>
        <w:rPr>
          <w:rFonts w:ascii="Arial" w:cs="Arial" w:eastAsia="Arial" w:hAnsi="Arial"/>
          <w:sz w:val="22"/>
          <w:szCs w:val="22"/>
          <w:i w:val="1"/>
          <w:iCs w:val="1"/>
          <w:color w:val="auto"/>
        </w:rPr>
        <w:t xml:space="preserve"> </w:t>
      </w:r>
      <w:r>
        <w:rPr>
          <w:rFonts w:ascii="Arial" w:cs="Arial" w:eastAsia="Arial" w:hAnsi="Arial"/>
          <w:sz w:val="22"/>
          <w:szCs w:val="22"/>
          <w:color w:val="auto"/>
        </w:rPr>
        <w:t>Date for such Advance (or portion thereof), the period from and including the Closing Date to and including the last day of the calendar month preceding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267" w:right="339" w:bottom="1440" w:gutter="0" w:footer="0" w:header="0"/>
        </w:sectPr>
      </w:pPr>
    </w:p>
    <w:bookmarkStart w:id="79" w:name="page80"/>
    <w:bookmarkEnd w:id="79"/>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Arial" w:cs="Arial" w:eastAsia="Arial" w:hAnsi="Arial"/>
          <w:sz w:val="22"/>
          <w:szCs w:val="22"/>
          <w:i w:val="1"/>
          <w:iCs w:val="1"/>
          <w:color w:val="auto"/>
        </w:rPr>
        <w:t>provided</w:t>
      </w:r>
      <w:r>
        <w:rPr>
          <w:rFonts w:ascii="Arial" w:cs="Arial" w:eastAsia="Arial" w:hAnsi="Arial"/>
          <w:sz w:val="22"/>
          <w:szCs w:val="22"/>
          <w:color w:val="auto"/>
        </w:rPr>
        <w:t>, that the final Interest Accrual Period for all outstanding Advances hereunder shall end on and include the day prior to the payment in full of the Advances hereunder.</w:t>
      </w:r>
    </w:p>
    <w:p>
      <w:pPr>
        <w:spacing w:after="0" w:line="29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“Interest Collection Subaccount”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8.02(a)</w:t>
      </w:r>
      <w:r>
        <w:rPr>
          <w:rFonts w:ascii="Arial" w:cs="Arial" w:eastAsia="Arial" w:hAnsi="Arial"/>
          <w:sz w:val="22"/>
          <w:szCs w:val="22"/>
          <w:color w:val="auto"/>
        </w:rPr>
        <w:t>.</w:t>
      </w:r>
    </w:p>
    <w:p>
      <w:pPr>
        <w:spacing w:after="0" w:line="314"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“Interest Coverage Ratio” </w:t>
      </w:r>
      <w:r>
        <w:rPr>
          <w:rFonts w:ascii="Arial" w:cs="Arial" w:eastAsia="Arial" w:hAnsi="Arial"/>
          <w:sz w:val="22"/>
          <w:szCs w:val="22"/>
          <w:color w:val="auto"/>
        </w:rPr>
        <w:t>means, on any Determination Date as of the end of the most recent Collection Period, the</w:t>
      </w:r>
      <w:r>
        <w:rPr>
          <w:rFonts w:ascii="Arial" w:cs="Arial" w:eastAsia="Arial" w:hAnsi="Arial"/>
          <w:sz w:val="22"/>
          <w:szCs w:val="22"/>
          <w:i w:val="1"/>
          <w:iCs w:val="1"/>
          <w:color w:val="auto"/>
        </w:rPr>
        <w:t xml:space="preserve"> </w:t>
      </w:r>
      <w:r>
        <w:rPr>
          <w:rFonts w:ascii="Arial" w:cs="Arial" w:eastAsia="Arial" w:hAnsi="Arial"/>
          <w:sz w:val="22"/>
          <w:szCs w:val="22"/>
          <w:color w:val="auto"/>
        </w:rPr>
        <w:t>percentage equal to:</w:t>
      </w:r>
    </w:p>
    <w:p>
      <w:pPr>
        <w:spacing w:after="0" w:line="283" w:lineRule="exact"/>
        <w:rPr>
          <w:sz w:val="20"/>
          <w:szCs w:val="20"/>
          <w:color w:val="auto"/>
        </w:rPr>
      </w:pPr>
    </w:p>
    <w:p>
      <w:pPr>
        <w:ind w:left="800" w:right="20" w:firstLine="934"/>
        <w:spacing w:after="0" w:line="250" w:lineRule="auto"/>
        <w:tabs>
          <w:tab w:leader="none" w:pos="2348"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the Dollar Equivalent of the aggregate Collateral Interest Amount for the three most recent Collection Periods then ended; </w:t>
      </w:r>
      <w:r>
        <w:rPr>
          <w:rFonts w:ascii="Arial" w:cs="Arial" w:eastAsia="Arial" w:hAnsi="Arial"/>
          <w:sz w:val="22"/>
          <w:szCs w:val="22"/>
          <w:i w:val="1"/>
          <w:iCs w:val="1"/>
          <w:color w:val="auto"/>
        </w:rPr>
        <w:t>divided by</w:t>
      </w:r>
    </w:p>
    <w:p>
      <w:pPr>
        <w:spacing w:after="0" w:line="282" w:lineRule="exact"/>
        <w:rPr>
          <w:rFonts w:ascii="Arial" w:cs="Arial" w:eastAsia="Arial" w:hAnsi="Arial"/>
          <w:sz w:val="22"/>
          <w:szCs w:val="22"/>
          <w:color w:val="auto"/>
        </w:rPr>
      </w:pPr>
    </w:p>
    <w:p>
      <w:pPr>
        <w:ind w:left="800" w:firstLine="934"/>
        <w:spacing w:after="0" w:line="250" w:lineRule="auto"/>
        <w:tabs>
          <w:tab w:leader="none" w:pos="2321"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the Dollar Equivalent of the sum of all amounts payable under </w:t>
      </w:r>
      <w:r>
        <w:rPr>
          <w:rFonts w:ascii="Arial" w:cs="Arial" w:eastAsia="Arial" w:hAnsi="Arial"/>
          <w:sz w:val="22"/>
          <w:szCs w:val="22"/>
          <w:u w:val="single" w:color="auto"/>
          <w:color w:val="auto"/>
        </w:rPr>
        <w:t>Section 9.01(a)(i)(A) through (E)</w:t>
      </w:r>
      <w:r>
        <w:rPr>
          <w:rFonts w:ascii="Arial" w:cs="Arial" w:eastAsia="Arial" w:hAnsi="Arial"/>
          <w:sz w:val="22"/>
          <w:szCs w:val="22"/>
          <w:color w:val="auto"/>
        </w:rPr>
        <w:t xml:space="preserve"> on the related Payment Date for each of the three most recent Collection Periods then ended.</w:t>
      </w:r>
    </w:p>
    <w:p>
      <w:pPr>
        <w:spacing w:after="0" w:line="283" w:lineRule="exact"/>
        <w:rPr>
          <w:sz w:val="20"/>
          <w:szCs w:val="20"/>
          <w:color w:val="auto"/>
        </w:rPr>
      </w:pPr>
    </w:p>
    <w:p>
      <w:pPr>
        <w:jc w:val="both"/>
        <w:ind w:firstLine="78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 Coverage Ratio Test</w:t>
      </w:r>
      <w:r>
        <w:rPr>
          <w:rFonts w:ascii="Arial" w:cs="Arial" w:eastAsia="Arial" w:hAnsi="Arial"/>
          <w:sz w:val="22"/>
          <w:szCs w:val="22"/>
          <w:color w:val="auto"/>
        </w:rPr>
        <w:t>” means a test applicable hereunder on and after the Determination Date on September 30, 2011 and that is satisfied at any such time if the Interest Coverage Ratio as calculated on the most recent Determination Date as of the end of the most recent Collection Period was greater than or equal to 125%.</w:t>
      </w:r>
    </w:p>
    <w:p>
      <w:pPr>
        <w:spacing w:after="0" w:line="29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“Interest Proceeds” </w:t>
      </w:r>
      <w:r>
        <w:rPr>
          <w:rFonts w:ascii="Arial" w:cs="Arial" w:eastAsia="Arial" w:hAnsi="Arial"/>
          <w:sz w:val="22"/>
          <w:szCs w:val="22"/>
          <w:color w:val="auto"/>
        </w:rPr>
        <w:t>means, with respect to any Collection Period or the related Determination Date,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duplication, the sum of:</w:t>
      </w:r>
    </w:p>
    <w:p>
      <w:pPr>
        <w:spacing w:after="0" w:line="283" w:lineRule="exact"/>
        <w:rPr>
          <w:sz w:val="20"/>
          <w:szCs w:val="20"/>
          <w:color w:val="auto"/>
        </w:rPr>
      </w:pPr>
    </w:p>
    <w:p>
      <w:pPr>
        <w:jc w:val="both"/>
        <w:ind w:left="800" w:firstLine="934"/>
        <w:spacing w:after="0"/>
        <w:tabs>
          <w:tab w:leader="none" w:pos="2361"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294" w:lineRule="exact"/>
        <w:rPr>
          <w:rFonts w:ascii="Arial" w:cs="Arial" w:eastAsia="Arial" w:hAnsi="Arial"/>
          <w:sz w:val="22"/>
          <w:szCs w:val="22"/>
          <w:color w:val="auto"/>
        </w:rPr>
      </w:pPr>
    </w:p>
    <w:p>
      <w:pPr>
        <w:jc w:val="both"/>
        <w:ind w:left="800" w:firstLine="934"/>
        <w:spacing w:after="0" w:line="297" w:lineRule="auto"/>
        <w:tabs>
          <w:tab w:leader="none" w:pos="2328" w:val="left"/>
        </w:tabs>
        <w:numPr>
          <w:ilvl w:val="0"/>
          <w:numId w:val="81"/>
        </w:numPr>
        <w:rPr>
          <w:rFonts w:ascii="Arial" w:cs="Arial" w:eastAsia="Arial" w:hAnsi="Arial"/>
          <w:sz w:val="19"/>
          <w:szCs w:val="19"/>
          <w:color w:val="auto"/>
        </w:rPr>
      </w:pPr>
      <w:r>
        <w:rPr>
          <w:rFonts w:ascii="Arial" w:cs="Arial" w:eastAsia="Arial" w:hAnsi="Arial"/>
          <w:sz w:val="19"/>
          <w:szCs w:val="19"/>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241" w:lineRule="exact"/>
        <w:rPr>
          <w:rFonts w:ascii="Arial" w:cs="Arial" w:eastAsia="Arial" w:hAnsi="Arial"/>
          <w:sz w:val="19"/>
          <w:szCs w:val="19"/>
          <w:color w:val="auto"/>
        </w:rPr>
      </w:pPr>
    </w:p>
    <w:p>
      <w:pPr>
        <w:jc w:val="both"/>
        <w:ind w:left="800" w:firstLine="934"/>
        <w:spacing w:after="0" w:line="287" w:lineRule="auto"/>
        <w:tabs>
          <w:tab w:leader="none" w:pos="2376" w:val="left"/>
        </w:tabs>
        <w:numPr>
          <w:ilvl w:val="0"/>
          <w:numId w:val="81"/>
        </w:numPr>
        <w:rPr>
          <w:rFonts w:ascii="Arial" w:cs="Arial" w:eastAsia="Arial" w:hAnsi="Arial"/>
          <w:sz w:val="19"/>
          <w:szCs w:val="19"/>
          <w:color w:val="auto"/>
        </w:rPr>
      </w:pPr>
      <w:r>
        <w:rPr>
          <w:rFonts w:ascii="Arial" w:cs="Arial" w:eastAsia="Arial" w:hAnsi="Arial"/>
          <w:sz w:val="19"/>
          <w:szCs w:val="19"/>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250" w:lineRule="exact"/>
        <w:rPr>
          <w:rFonts w:ascii="Arial" w:cs="Arial" w:eastAsia="Arial" w:hAnsi="Arial"/>
          <w:sz w:val="19"/>
          <w:szCs w:val="19"/>
          <w:color w:val="auto"/>
        </w:rPr>
      </w:pPr>
    </w:p>
    <w:p>
      <w:pPr>
        <w:ind w:left="800" w:firstLine="934"/>
        <w:spacing w:after="0" w:line="250" w:lineRule="auto"/>
        <w:tabs>
          <w:tab w:leader="none" w:pos="2433"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commitment fees, facility fees, anniversary fees, ticking fees and other similar fees received by the Borrower during such Collection Period unless the Collateral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267" w:right="339" w:bottom="1440" w:gutter="0" w:footer="0" w:header="0"/>
        </w:sectPr>
      </w:pPr>
    </w:p>
    <w:bookmarkStart w:id="80" w:name="page81"/>
    <w:bookmarkEnd w:id="80"/>
    <w:p>
      <w:pPr>
        <w:ind w:left="80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Manager notifies the Agents before such Determination Date that the Collateral Manager in its sole discretion has determined that such payments are to be treated as Principal Proceeds;</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w:t>
      </w:r>
    </w:p>
    <w:p>
      <w:pPr>
        <w:spacing w:after="0" w:line="314" w:lineRule="exact"/>
        <w:rPr>
          <w:sz w:val="20"/>
          <w:szCs w:val="20"/>
          <w:color w:val="auto"/>
        </w:rPr>
      </w:pPr>
    </w:p>
    <w:p>
      <w:pPr>
        <w:jc w:val="both"/>
        <w:ind w:left="800" w:firstLine="934"/>
        <w:spacing w:after="0" w:line="249" w:lineRule="auto"/>
        <w:tabs>
          <w:tab w:leader="none" w:pos="2365" w:val="left"/>
        </w:tabs>
        <w:numPr>
          <w:ilvl w:val="0"/>
          <w:numId w:val="82"/>
        </w:numPr>
        <w:rPr>
          <w:rFonts w:ascii="Arial" w:cs="Arial" w:eastAsia="Arial" w:hAnsi="Arial"/>
          <w:sz w:val="21"/>
          <w:szCs w:val="21"/>
          <w:color w:val="auto"/>
        </w:rPr>
      </w:pPr>
      <w:r>
        <w:rPr>
          <w:rFonts w:ascii="Arial" w:cs="Arial" w:eastAsia="Arial" w:hAnsi="Arial"/>
          <w:sz w:val="21"/>
          <w:szCs w:val="21"/>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286" w:lineRule="exact"/>
        <w:rPr>
          <w:rFonts w:ascii="Arial" w:cs="Arial" w:eastAsia="Arial" w:hAnsi="Arial"/>
          <w:sz w:val="21"/>
          <w:szCs w:val="21"/>
          <w:color w:val="auto"/>
        </w:rPr>
      </w:pPr>
    </w:p>
    <w:p>
      <w:pPr>
        <w:ind w:left="2320" w:hanging="586"/>
        <w:spacing w:after="0"/>
        <w:tabs>
          <w:tab w:leader="none" w:pos="23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payments received in respect of Equity Securities will constitute Principal Proceeds; and</w:t>
      </w:r>
    </w:p>
    <w:p>
      <w:pPr>
        <w:spacing w:after="0" w:line="314" w:lineRule="exact"/>
        <w:rPr>
          <w:rFonts w:ascii="Arial" w:cs="Arial" w:eastAsia="Arial" w:hAnsi="Arial"/>
          <w:sz w:val="22"/>
          <w:szCs w:val="22"/>
          <w:color w:val="auto"/>
        </w:rPr>
      </w:pPr>
    </w:p>
    <w:p>
      <w:pPr>
        <w:ind w:left="800" w:firstLine="934"/>
        <w:spacing w:after="0" w:line="250" w:lineRule="auto"/>
        <w:tabs>
          <w:tab w:leader="none" w:pos="2499"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all Cash received as equity contributions from the BDC will constitute Principal Proceeds unless specified by the Collateral Manager pursuant to </w:t>
      </w:r>
      <w:r>
        <w:rPr>
          <w:rFonts w:ascii="Arial" w:cs="Arial" w:eastAsia="Arial" w:hAnsi="Arial"/>
          <w:sz w:val="22"/>
          <w:szCs w:val="22"/>
          <w:u w:val="single" w:color="auto"/>
          <w:color w:val="auto"/>
        </w:rPr>
        <w:t>Section 10.05</w:t>
      </w:r>
      <w:r>
        <w:rPr>
          <w:rFonts w:ascii="Arial" w:cs="Arial" w:eastAsia="Arial" w:hAnsi="Arial"/>
          <w:sz w:val="22"/>
          <w:szCs w:val="22"/>
          <w:color w:val="auto"/>
        </w:rPr>
        <w:t>.</w:t>
      </w:r>
    </w:p>
    <w:p>
      <w:pPr>
        <w:spacing w:after="0" w:line="283" w:lineRule="exact"/>
        <w:rPr>
          <w:sz w:val="20"/>
          <w:szCs w:val="20"/>
          <w:color w:val="auto"/>
        </w:rPr>
      </w:pPr>
    </w:p>
    <w:p>
      <w:pPr>
        <w:ind w:firstLine="786"/>
        <w:spacing w:after="0" w:line="250" w:lineRule="auto"/>
        <w:rPr>
          <w:sz w:val="20"/>
          <w:szCs w:val="20"/>
          <w:color w:val="auto"/>
        </w:rPr>
      </w:pPr>
      <w:r>
        <w:rPr>
          <w:rFonts w:ascii="Arial" w:cs="Arial" w:eastAsia="Arial" w:hAnsi="Arial"/>
          <w:sz w:val="22"/>
          <w:szCs w:val="22"/>
          <w:i w:val="1"/>
          <w:iCs w:val="1"/>
          <w:color w:val="auto"/>
        </w:rPr>
        <w:t xml:space="preserve">“Interest Rate” </w:t>
      </w:r>
      <w:r>
        <w:rPr>
          <w:rFonts w:ascii="Arial" w:cs="Arial" w:eastAsia="Arial" w:hAnsi="Arial"/>
          <w:sz w:val="22"/>
          <w:szCs w:val="22"/>
          <w:color w:val="auto"/>
        </w:rPr>
        <w:t>means, for any Interest Accrual Period and for each Advance outstanding by a Lender for each day</w:t>
      </w:r>
      <w:r>
        <w:rPr>
          <w:rFonts w:ascii="Arial" w:cs="Arial" w:eastAsia="Arial" w:hAnsi="Arial"/>
          <w:sz w:val="22"/>
          <w:szCs w:val="22"/>
          <w:i w:val="1"/>
          <w:iCs w:val="1"/>
          <w:color w:val="auto"/>
        </w:rPr>
        <w:t xml:space="preserve"> </w:t>
      </w:r>
      <w:r>
        <w:rPr>
          <w:rFonts w:ascii="Arial" w:cs="Arial" w:eastAsia="Arial" w:hAnsi="Arial"/>
          <w:sz w:val="22"/>
          <w:szCs w:val="22"/>
          <w:color w:val="auto"/>
        </w:rPr>
        <w:t>during such Interest Accrual Period:</w:t>
      </w:r>
    </w:p>
    <w:p>
      <w:pPr>
        <w:spacing w:after="0" w:line="283" w:lineRule="exact"/>
        <w:rPr>
          <w:sz w:val="20"/>
          <w:szCs w:val="20"/>
          <w:color w:val="auto"/>
        </w:rPr>
      </w:pPr>
    </w:p>
    <w:p>
      <w:pPr>
        <w:jc w:val="both"/>
        <w:ind w:left="800" w:firstLine="934"/>
        <w:spacing w:after="0" w:line="287" w:lineRule="auto"/>
        <w:tabs>
          <w:tab w:leader="none" w:pos="2414"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to the extent such Advance is a Dollar Advance and the Lender has funded the applicable Advance through the issuance of commercial paper, a rate equal to the applicable CP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occurrence and during the continuance of an Event of Default (which has not otherwise been waived by the Lenders pursuant to the terms hereof) the rate shall be the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w:t>
      </w:r>
    </w:p>
    <w:p>
      <w:pPr>
        <w:spacing w:after="0" w:line="250" w:lineRule="exact"/>
        <w:rPr>
          <w:rFonts w:ascii="Arial" w:cs="Arial" w:eastAsia="Arial" w:hAnsi="Arial"/>
          <w:sz w:val="19"/>
          <w:szCs w:val="19"/>
          <w:color w:val="auto"/>
        </w:rPr>
      </w:pPr>
    </w:p>
    <w:p>
      <w:pPr>
        <w:jc w:val="both"/>
        <w:ind w:left="800" w:firstLine="934"/>
        <w:spacing w:after="0"/>
        <w:tabs>
          <w:tab w:leader="none" w:pos="2487"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to the extent such Advance is not a Dollar Advance or to the extent the Lender did not fund the applicable Advance through the issuance of commercial paper, a rate equal to the Alternative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 and</w:t>
      </w:r>
    </w:p>
    <w:p>
      <w:pPr>
        <w:spacing w:after="0" w:line="294" w:lineRule="exact"/>
        <w:rPr>
          <w:rFonts w:ascii="Arial" w:cs="Arial" w:eastAsia="Arial" w:hAnsi="Arial"/>
          <w:sz w:val="22"/>
          <w:szCs w:val="22"/>
          <w:color w:val="auto"/>
        </w:rPr>
      </w:pPr>
    </w:p>
    <w:p>
      <w:pPr>
        <w:ind w:left="800" w:right="20" w:firstLine="934"/>
        <w:spacing w:after="0" w:line="250" w:lineRule="auto"/>
        <w:tabs>
          <w:tab w:leader="none" w:pos="2457"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with respect to any Swingline Advance, a rate equal to the Base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 </w:t>
      </w:r>
      <w:r>
        <w:rPr>
          <w:rFonts w:ascii="Arial" w:cs="Arial" w:eastAsia="Arial" w:hAnsi="Arial"/>
          <w:sz w:val="22"/>
          <w:szCs w:val="22"/>
          <w:i w:val="1"/>
          <w:iCs w:val="1"/>
          <w:color w:val="auto"/>
        </w:rPr>
        <w:t xml:space="preserve">minus </w:t>
      </w:r>
      <w:r>
        <w:rPr>
          <w:rFonts w:ascii="Arial" w:cs="Arial" w:eastAsia="Arial" w:hAnsi="Arial"/>
          <w:sz w:val="22"/>
          <w:szCs w:val="22"/>
          <w:color w:val="auto"/>
        </w:rPr>
        <w:t>1.00% per annum.</w:t>
      </w:r>
    </w:p>
    <w:p>
      <w:pPr>
        <w:spacing w:after="0" w:line="283"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“Interim Order” </w:t>
      </w:r>
      <w:r>
        <w:rPr>
          <w:rFonts w:ascii="Arial" w:cs="Arial" w:eastAsia="Arial" w:hAnsi="Arial"/>
          <w:sz w:val="22"/>
          <w:szCs w:val="22"/>
          <w:color w:val="auto"/>
        </w:rPr>
        <w:t>means an order, judgment, decree or ruling entered after notice and a hearing conducted in accordance</w:t>
      </w:r>
      <w:r>
        <w:rPr>
          <w:rFonts w:ascii="Arial" w:cs="Arial" w:eastAsia="Arial" w:hAnsi="Arial"/>
          <w:sz w:val="22"/>
          <w:szCs w:val="22"/>
          <w:i w:val="1"/>
          <w:iCs w:val="1"/>
          <w:color w:val="auto"/>
        </w:rPr>
        <w:t xml:space="preserve"> </w:t>
      </w:r>
      <w:r>
        <w:rPr>
          <w:rFonts w:ascii="Arial" w:cs="Arial" w:eastAsia="Arial" w:hAnsi="Arial"/>
          <w:sz w:val="22"/>
          <w:szCs w:val="22"/>
          <w:color w:val="auto"/>
        </w:rPr>
        <w:t>with Bankruptcy Rule 4001(c) granting interim authorization, the operation or effect of which has not been stayed, reversed or amended.</w:t>
      </w:r>
    </w:p>
    <w:p>
      <w:pPr>
        <w:spacing w:after="0" w:line="294"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“Investment Company Act” </w:t>
      </w:r>
      <w:r>
        <w:rPr>
          <w:rFonts w:ascii="Arial" w:cs="Arial" w:eastAsia="Arial" w:hAnsi="Arial"/>
          <w:sz w:val="22"/>
          <w:szCs w:val="22"/>
          <w:color w:val="auto"/>
        </w:rPr>
        <w:t>means the Investment Company Act of 1940, as amended, and the rules and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promulgated thereunder.</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“Investment Criteria” </w:t>
      </w:r>
      <w:r>
        <w:rPr>
          <w:rFonts w:ascii="Arial" w:cs="Arial" w:eastAsia="Arial" w:hAnsi="Arial"/>
          <w:sz w:val="22"/>
          <w:szCs w:val="22"/>
          <w:color w:val="auto"/>
        </w:rPr>
        <w:t>means the criteria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10.02(a)</w:t>
      </w:r>
      <w:r>
        <w:rPr>
          <w:rFonts w:ascii="Arial" w:cs="Arial" w:eastAsia="Arial" w:hAnsi="Arial"/>
          <w:sz w:val="22"/>
          <w:szCs w:val="22"/>
          <w:color w:val="auto"/>
        </w:rPr>
        <w:t>.</w:t>
      </w:r>
    </w:p>
    <w:p>
      <w:pPr>
        <w:spacing w:after="0" w:line="13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267" w:right="339" w:bottom="1440" w:gutter="0" w:footer="0" w:header="0"/>
        </w:sectPr>
      </w:pPr>
    </w:p>
    <w:bookmarkStart w:id="81" w:name="page82"/>
    <w:bookmarkEnd w:id="81"/>
    <w:p>
      <w:pPr>
        <w:jc w:val="both"/>
        <w:ind w:firstLine="786"/>
        <w:spacing w:after="0" w:line="238"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“Law” </w:t>
      </w:r>
      <w:r>
        <w:rPr>
          <w:rFonts w:ascii="Arial" w:cs="Arial" w:eastAsia="Arial" w:hAnsi="Arial"/>
          <w:sz w:val="22"/>
          <w:szCs w:val="22"/>
          <w:color w:val="auto"/>
        </w:rPr>
        <w:t>means any action, code, consent decree, constitution, decree, directive, enactment, finding, guideline, law,</w:t>
      </w:r>
      <w:r>
        <w:rPr>
          <w:rFonts w:ascii="Arial" w:cs="Arial" w:eastAsia="Arial" w:hAnsi="Arial"/>
          <w:sz w:val="22"/>
          <w:szCs w:val="22"/>
          <w:i w:val="1"/>
          <w:iCs w:val="1"/>
          <w:color w:val="auto"/>
        </w:rPr>
        <w:t xml:space="preserve"> </w:t>
      </w:r>
      <w:r>
        <w:rPr>
          <w:rFonts w:ascii="Arial" w:cs="Arial" w:eastAsia="Arial" w:hAnsi="Arial"/>
          <w:sz w:val="22"/>
          <w:szCs w:val="22"/>
          <w:color w:val="auto"/>
        </w:rPr>
        <w:t>injunction, interpretation, 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29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“LBO Loan” </w:t>
      </w:r>
      <w:r>
        <w:rPr>
          <w:rFonts w:ascii="Arial" w:cs="Arial" w:eastAsia="Arial" w:hAnsi="Arial"/>
          <w:sz w:val="22"/>
          <w:szCs w:val="22"/>
          <w:color w:val="auto"/>
        </w:rPr>
        <w:t>means a Collateral Loan the proceeds of which are used by the Obligor to acquire a controlling interest in</w:t>
      </w:r>
      <w:r>
        <w:rPr>
          <w:rFonts w:ascii="Arial" w:cs="Arial" w:eastAsia="Arial" w:hAnsi="Arial"/>
          <w:sz w:val="22"/>
          <w:szCs w:val="22"/>
          <w:i w:val="1"/>
          <w:iCs w:val="1"/>
          <w:color w:val="auto"/>
        </w:rPr>
        <w:t xml:space="preserve"> </w:t>
      </w:r>
      <w:r>
        <w:rPr>
          <w:rFonts w:ascii="Arial" w:cs="Arial" w:eastAsia="Arial" w:hAnsi="Arial"/>
          <w:sz w:val="22"/>
          <w:szCs w:val="22"/>
          <w:color w:val="auto"/>
        </w:rPr>
        <w:t>another business enterprise that is secured by the assets of such business enterprise.</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“Lender Fee Letter” </w:t>
      </w:r>
      <w:r>
        <w:rPr>
          <w:rFonts w:ascii="Arial" w:cs="Arial" w:eastAsia="Arial" w:hAnsi="Arial"/>
          <w:sz w:val="22"/>
          <w:szCs w:val="22"/>
          <w:color w:val="auto"/>
        </w:rPr>
        <w:t>means, collectively, (i) that certain Fifth Amended and Restated Lender Fee Letter, dated as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Third Restatement Effective Date, by and among the Lenders, the Borrower and the Administrative Agent, as the same may be amended or amended and restated from time to time, and (ii) any upfront fee letters entered into by and among any Lender and the Borrower.</w:t>
      </w:r>
    </w:p>
    <w:p>
      <w:pPr>
        <w:spacing w:after="0" w:line="29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“Lenders” </w:t>
      </w:r>
      <w:r>
        <w:rPr>
          <w:rFonts w:ascii="Arial" w:cs="Arial" w:eastAsia="Arial" w:hAnsi="Arial"/>
          <w:sz w:val="22"/>
          <w:szCs w:val="22"/>
          <w:color w:val="auto"/>
        </w:rPr>
        <w:t>means the Persons listed on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Schedule 1</w:t>
      </w:r>
      <w:r>
        <w:rPr>
          <w:rFonts w:ascii="Arial" w:cs="Arial" w:eastAsia="Arial" w:hAnsi="Arial"/>
          <w:sz w:val="22"/>
          <w:szCs w:val="22"/>
          <w:i w:val="1"/>
          <w:iCs w:val="1"/>
          <w:color w:val="auto"/>
        </w:rPr>
        <w:t xml:space="preserve"> </w:t>
      </w:r>
      <w:r>
        <w:rPr>
          <w:rFonts w:ascii="Arial" w:cs="Arial" w:eastAsia="Arial" w:hAnsi="Arial"/>
          <w:sz w:val="22"/>
          <w:szCs w:val="22"/>
          <w:color w:val="auto"/>
        </w:rPr>
        <w:t>and any other Person that shall have become a party hereto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the terms hereof pursuant to an Assignment and Acceptance, other than any such Person that ceases to be a party hereto pursuant to an Assignment and Acceptance. Unless the context otherwise requires, the term “</w:t>
      </w:r>
      <w:r>
        <w:rPr>
          <w:rFonts w:ascii="Arial" w:cs="Arial" w:eastAsia="Arial" w:hAnsi="Arial"/>
          <w:sz w:val="22"/>
          <w:szCs w:val="22"/>
          <w:i w:val="1"/>
          <w:iCs w:val="1"/>
          <w:color w:val="auto"/>
        </w:rPr>
        <w:t>Lenders</w:t>
      </w:r>
      <w:r>
        <w:rPr>
          <w:rFonts w:ascii="Arial" w:cs="Arial" w:eastAsia="Arial" w:hAnsi="Arial"/>
          <w:sz w:val="22"/>
          <w:szCs w:val="22"/>
          <w:color w:val="auto"/>
        </w:rPr>
        <w:t>” includes the Swingline Lender.</w:t>
      </w:r>
    </w:p>
    <w:p>
      <w:pPr>
        <w:spacing w:after="0" w:line="29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“LIBOR Quoted Currency” </w:t>
      </w:r>
      <w:r>
        <w:rPr>
          <w:rFonts w:ascii="Arial" w:cs="Arial" w:eastAsia="Arial" w:hAnsi="Arial"/>
          <w:sz w:val="22"/>
          <w:szCs w:val="22"/>
          <w:color w:val="auto"/>
        </w:rPr>
        <w:t>means each of the following currencies: Dollars, Euro and Pounds Sterling; in each case as</w:t>
      </w:r>
      <w:r>
        <w:rPr>
          <w:rFonts w:ascii="Arial" w:cs="Arial" w:eastAsia="Arial" w:hAnsi="Arial"/>
          <w:sz w:val="22"/>
          <w:szCs w:val="22"/>
          <w:i w:val="1"/>
          <w:iCs w:val="1"/>
          <w:color w:val="auto"/>
        </w:rPr>
        <w:t xml:space="preserve"> </w:t>
      </w:r>
      <w:r>
        <w:rPr>
          <w:rFonts w:ascii="Arial" w:cs="Arial" w:eastAsia="Arial" w:hAnsi="Arial"/>
          <w:sz w:val="22"/>
          <w:szCs w:val="22"/>
          <w:color w:val="auto"/>
        </w:rPr>
        <w:t>long as there is a published LIBOR rate with respect thereto.</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“LIBOR Rate” </w:t>
      </w:r>
      <w:r>
        <w:rPr>
          <w:rFonts w:ascii="Arial" w:cs="Arial" w:eastAsia="Arial" w:hAnsi="Arial"/>
          <w:sz w:val="22"/>
          <w:szCs w:val="22"/>
          <w:color w:val="auto"/>
        </w:rPr>
        <w:t>means, for any Interest Accrual Period, the greater of (i) zero percent (0%) and (ii):</w:t>
      </w:r>
    </w:p>
    <w:p>
      <w:pPr>
        <w:spacing w:after="0" w:line="314" w:lineRule="exact"/>
        <w:rPr>
          <w:sz w:val="20"/>
          <w:szCs w:val="20"/>
          <w:color w:val="auto"/>
        </w:rPr>
      </w:pPr>
    </w:p>
    <w:p>
      <w:pPr>
        <w:jc w:val="both"/>
        <w:ind w:left="800" w:firstLine="934"/>
        <w:spacing w:after="0" w:line="268" w:lineRule="auto"/>
        <w:tabs>
          <w:tab w:leader="none" w:pos="2598"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in the case of Eurocurrency Borrowings denominated in a LIBOR Quoted Currency, the ICE Benchmark Administration Limited London interbank offered rate per annum for deposits in the relevant Currency for a period equal to the Interest Accrual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(2) Business Days prior to the first day of the Interest Accrual Period (or, solely with respect to Eurocurrency Borrowings in Pounds Sterling, on the first day of the Interest Accrual Period);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Administrative Agent determines that the relevant foregoing sources are unavailable for the relevant Interest Accrual Period, LIBOR Rate shall mean, for any LIBOR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w:t>
      </w:r>
    </w:p>
    <w:p>
      <w:pPr>
        <w:spacing w:after="0" w:line="7" w:lineRule="exact"/>
        <w:rPr>
          <w:rFonts w:ascii="Arial" w:cs="Arial" w:eastAsia="Arial" w:hAnsi="Arial"/>
          <w:sz w:val="19"/>
          <w:szCs w:val="19"/>
          <w:color w:val="auto"/>
        </w:rPr>
      </w:pPr>
    </w:p>
    <w:p>
      <w:pPr>
        <w:jc w:val="both"/>
        <w:ind w:left="800" w:hanging="6"/>
        <w:spacing w:after="0" w:line="234" w:lineRule="auto"/>
        <w:tabs>
          <w:tab w:leader="none" w:pos="1142" w:val="left"/>
        </w:tabs>
        <w:numPr>
          <w:ilvl w:val="0"/>
          <w:numId w:val="85"/>
        </w:numPr>
        <w:rPr>
          <w:rFonts w:ascii="Arial" w:cs="Arial" w:eastAsia="Arial" w:hAnsi="Arial"/>
          <w:sz w:val="22"/>
          <w:szCs w:val="22"/>
          <w:color w:val="auto"/>
        </w:rPr>
      </w:pPr>
      <w:r>
        <w:rPr>
          <w:rFonts w:ascii="Arial" w:cs="Arial" w:eastAsia="Arial" w:hAnsi="Arial"/>
          <w:sz w:val="22"/>
          <w:szCs w:val="22"/>
          <w:color w:val="auto"/>
        </w:rPr>
        <w:t>Business Days’ preceding the first day of such Interest Accrual Period (or, solely with respect to Eurocurrency Borrowings denominated in Pounds Sterling, on the first day of such Interest Accrual Period) in the London interbank market for the relevant Currency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267" w:right="339" w:bottom="1440" w:gutter="0" w:footer="0" w:header="0"/>
        </w:sectPr>
      </w:pPr>
    </w:p>
    <w:bookmarkStart w:id="82" w:name="page83"/>
    <w:bookmarkEnd w:id="82"/>
    <w:p>
      <w:pPr>
        <w:jc w:val="both"/>
        <w:ind w:left="8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of 11:00 a.m. (London Time) for delivery on the first day of such Interest Accrual Period, for the number of days comprised therein and in an amount comparable to the amount of the Administrative Agent’s portion of the relevant Eurocurrency Borrowing</w:t>
      </w:r>
      <w:r>
        <w:rPr>
          <w:rFonts w:ascii="Arial" w:cs="Arial" w:eastAsia="Arial" w:hAnsi="Arial"/>
          <w:sz w:val="18"/>
          <w:szCs w:val="18"/>
          <w:color w:val="auto"/>
        </w:rPr>
        <w:t>1</w:t>
      </w:r>
      <w:r>
        <w:rPr>
          <w:rFonts w:ascii="Arial" w:cs="Arial" w:eastAsia="Arial" w:hAnsi="Arial"/>
          <w:sz w:val="22"/>
          <w:szCs w:val="22"/>
          <w:color w:val="auto"/>
        </w:rPr>
        <w:t>;</w:t>
      </w:r>
    </w:p>
    <w:p>
      <w:pPr>
        <w:spacing w:after="0" w:line="294" w:lineRule="exact"/>
        <w:rPr>
          <w:sz w:val="20"/>
          <w:szCs w:val="20"/>
          <w:color w:val="auto"/>
        </w:rPr>
      </w:pPr>
    </w:p>
    <w:p>
      <w:pPr>
        <w:ind w:left="2320" w:hanging="586"/>
        <w:spacing w:after="0"/>
        <w:tabs>
          <w:tab w:leader="none" w:pos="23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Canadian Dollars, the CDOR Rate per annum;</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and</w:t>
      </w:r>
    </w:p>
    <w:p>
      <w:pPr>
        <w:spacing w:after="0" w:line="296" w:lineRule="exact"/>
        <w:rPr>
          <w:sz w:val="20"/>
          <w:szCs w:val="20"/>
          <w:color w:val="auto"/>
        </w:rPr>
      </w:pPr>
    </w:p>
    <w:p>
      <w:pPr>
        <w:jc w:val="both"/>
        <w:ind w:left="800" w:firstLine="934"/>
        <w:spacing w:after="0" w:line="279" w:lineRule="auto"/>
        <w:tabs>
          <w:tab w:leader="none" w:pos="2364"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Australian Dollars, the rate per annum equal to the Bank Bill Swap Reference Bid rate or a successor thereto approved by the Administrative Agent (</w:t>
      </w:r>
      <w:r>
        <w:rPr>
          <w:rFonts w:ascii="Arial" w:cs="Arial" w:eastAsia="Arial" w:hAnsi="Arial"/>
          <w:sz w:val="19"/>
          <w:szCs w:val="19"/>
          <w:i w:val="1"/>
          <w:iCs w:val="1"/>
          <w:color w:val="auto"/>
        </w:rPr>
        <w:t>“BBSY”</w:t>
      </w:r>
      <w:r>
        <w:rPr>
          <w:rFonts w:ascii="Arial" w:cs="Arial" w:eastAsia="Arial" w:hAnsi="Arial"/>
          <w:sz w:val="19"/>
          <w:szCs w:val="19"/>
          <w:color w:val="auto"/>
        </w:rPr>
        <w:t>) as published by Reuters (or such other page or commercially available source providing BBSY (Bid) quotations as may be designated by the Administrative Agent from time to time) at or about 10:30 a.m. (Melbourne, Australia time) on the day that is two (2) Business Days prior to the first day of the Interest Accrual Period (or if such day is not a Business Day, then on the immediately preceding Business Day) with a term equivalent to such Interest Accrual Period.</w:t>
      </w:r>
    </w:p>
    <w:p>
      <w:pPr>
        <w:spacing w:after="0" w:line="258"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i w:val="1"/>
          <w:iCs w:val="1"/>
          <w:color w:val="auto"/>
        </w:rPr>
        <w:t xml:space="preserve">“Lien” </w:t>
      </w:r>
      <w:r>
        <w:rPr>
          <w:rFonts w:ascii="Arial" w:cs="Arial" w:eastAsia="Arial" w:hAnsi="Arial"/>
          <w:sz w:val="22"/>
          <w:szCs w:val="22"/>
          <w:color w:val="auto"/>
        </w:rPr>
        <w:t>means any mortgage, pledge, hypothecation, assignment, encumbrance, lien or security interest (statutory or</w:t>
      </w:r>
      <w:r>
        <w:rPr>
          <w:rFonts w:ascii="Arial" w:cs="Arial" w:eastAsia="Arial" w:hAnsi="Arial"/>
          <w:sz w:val="22"/>
          <w:szCs w:val="22"/>
          <w:i w:val="1"/>
          <w:iCs w:val="1"/>
          <w:color w:val="auto"/>
        </w:rPr>
        <w:t xml:space="preserve"> </w:t>
      </w:r>
      <w:r>
        <w:rPr>
          <w:rFonts w:ascii="Arial" w:cs="Arial" w:eastAsia="Arial" w:hAnsi="Arial"/>
          <w:sz w:val="22"/>
          <w:szCs w:val="22"/>
          <w:color w:val="auto"/>
        </w:rPr>
        <w:t>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295"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“Liquidity Facility” </w:t>
      </w:r>
      <w:r>
        <w:rPr>
          <w:rFonts w:ascii="Arial" w:cs="Arial" w:eastAsia="Arial" w:hAnsi="Arial"/>
          <w:sz w:val="22"/>
          <w:szCs w:val="22"/>
          <w:color w:val="auto"/>
        </w:rPr>
        <w:t>means, for any CP Conduit, a loan facility, asset purchase facility or other arrangement under which</w:t>
      </w:r>
      <w:r>
        <w:rPr>
          <w:rFonts w:ascii="Arial" w:cs="Arial" w:eastAsia="Arial" w:hAnsi="Arial"/>
          <w:sz w:val="22"/>
          <w:szCs w:val="22"/>
          <w:i w:val="1"/>
          <w:iCs w:val="1"/>
          <w:color w:val="auto"/>
        </w:rPr>
        <w:t xml:space="preserve"> </w:t>
      </w:r>
      <w:r>
        <w:rPr>
          <w:rFonts w:ascii="Arial" w:cs="Arial" w:eastAsia="Arial" w:hAnsi="Arial"/>
          <w:sz w:val="22"/>
          <w:szCs w:val="22"/>
          <w:color w:val="auto"/>
        </w:rPr>
        <w:t>the providers of such facility have agreed to provide funds to such CP Conduit for purposes of funding such CP Conduit’s obligations under this Agreement.</w:t>
      </w:r>
    </w:p>
    <w:p>
      <w:pPr>
        <w:spacing w:after="0" w:line="29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“Liquidity Bank” </w:t>
      </w:r>
      <w:r>
        <w:rPr>
          <w:rFonts w:ascii="Arial" w:cs="Arial" w:eastAsia="Arial" w:hAnsi="Arial"/>
          <w:sz w:val="22"/>
          <w:szCs w:val="22"/>
          <w:color w:val="auto"/>
        </w:rPr>
        <w:t>means the Person or Persons who provide liquidity support to a Lender that is a CP Conduit pursuant</w:t>
      </w:r>
      <w:r>
        <w:rPr>
          <w:rFonts w:ascii="Arial" w:cs="Arial" w:eastAsia="Arial" w:hAnsi="Arial"/>
          <w:sz w:val="22"/>
          <w:szCs w:val="22"/>
          <w:i w:val="1"/>
          <w:iCs w:val="1"/>
          <w:color w:val="auto"/>
        </w:rPr>
        <w:t xml:space="preserve"> </w:t>
      </w:r>
      <w:r>
        <w:rPr>
          <w:rFonts w:ascii="Arial" w:cs="Arial" w:eastAsia="Arial" w:hAnsi="Arial"/>
          <w:sz w:val="22"/>
          <w:szCs w:val="22"/>
          <w:color w:val="auto"/>
        </w:rPr>
        <w:t>to a Liquidity Facility.</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“Listed Collateral Loan” </w:t>
      </w:r>
      <w:r>
        <w:rPr>
          <w:rFonts w:ascii="Arial" w:cs="Arial" w:eastAsia="Arial" w:hAnsi="Arial"/>
          <w:sz w:val="19"/>
          <w:szCs w:val="19"/>
          <w:color w:val="auto"/>
        </w:rPr>
        <w:t>means a Collateral Loan for which, at the time of determination, a Listed Value is available.</w:t>
      </w:r>
    </w:p>
    <w:p>
      <w:pPr>
        <w:spacing w:after="0" w:line="349"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i w:val="1"/>
          <w:iCs w:val="1"/>
          <w:color w:val="auto"/>
        </w:rPr>
        <w:t xml:space="preserve">“Listed Value” </w:t>
      </w:r>
      <w:r>
        <w:rPr>
          <w:rFonts w:ascii="Arial" w:cs="Arial" w:eastAsia="Arial" w:hAnsi="Arial"/>
          <w:sz w:val="22"/>
          <w:szCs w:val="22"/>
          <w:color w:val="auto"/>
        </w:rPr>
        <w:t>means, for any Collateral Loan, the bid price for such Collateral Loan most recently quoted by Loan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Pricing Corporation, Mark-it Partners (formerly known as Loan X), Interactive Date Corporation (Thompson Reuters), or quoted by another nationally recognized broker-dealer or nationally recognized quotation service as may be approved from time to time by the Administrative Agent and the Required Lenders if so requested by the Borrower;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Collateral Manager reasonably believes that the price quoted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16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74" w:lineRule="exact"/>
        <w:rPr>
          <w:sz w:val="20"/>
          <w:szCs w:val="20"/>
          <w:color w:val="auto"/>
        </w:rPr>
      </w:pPr>
    </w:p>
    <w:p>
      <w:pPr>
        <w:jc w:val="both"/>
        <w:ind w:left="800" w:hanging="792"/>
        <w:spacing w:after="0" w:line="311" w:lineRule="auto"/>
        <w:tabs>
          <w:tab w:leader="none" w:pos="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ICE Benchmark Administration Limited makes no warranty, express of implied, either as to the results to be obtained from the use of ICE LIBOR and/or the figure at which ICE LIBOR stands at any particular time on any particular day or otherwise. ICE Benchmark Administration Limited makes no express or implied warranties of merchantability or fitness for a particular purpose in respect of any use of ICE LIBOR.</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267" w:right="339" w:bottom="1440" w:gutter="0" w:footer="0" w:header="0"/>
        </w:sectPr>
      </w:pPr>
    </w:p>
    <w:bookmarkStart w:id="83" w:name="page84"/>
    <w:bookmarkEnd w:id="83"/>
    <w:p>
      <w:pPr>
        <w:jc w:val="both"/>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such source it based on less than three bona fide bids, then the Collateral Manager, by notice to the Agents, may determine the Listed Value in accordance with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of the definition of “Market Value”.</w:t>
      </w:r>
    </w:p>
    <w:p>
      <w:pPr>
        <w:spacing w:after="0" w:line="283"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“Loan Checklist” </w:t>
      </w:r>
      <w:r>
        <w:rPr>
          <w:rFonts w:ascii="Arial" w:cs="Arial" w:eastAsia="Arial" w:hAnsi="Arial"/>
          <w:sz w:val="22"/>
          <w:szCs w:val="22"/>
          <w:color w:val="auto"/>
        </w:rPr>
        <w:t>means an electronic or hard copy, as applicable, checklist delivered by or on behalf of the Borrower to</w:t>
      </w:r>
      <w:r>
        <w:rPr>
          <w:rFonts w:ascii="Arial" w:cs="Arial" w:eastAsia="Arial" w:hAnsi="Arial"/>
          <w:sz w:val="22"/>
          <w:szCs w:val="22"/>
          <w:i w:val="1"/>
          <w:iCs w:val="1"/>
          <w:color w:val="auto"/>
        </w:rPr>
        <w:t xml:space="preserve"> </w:t>
      </w:r>
      <w:r>
        <w:rPr>
          <w:rFonts w:ascii="Arial" w:cs="Arial" w:eastAsia="Arial" w:hAnsi="Arial"/>
          <w:sz w:val="22"/>
          <w:szCs w:val="22"/>
          <w:color w:val="auto"/>
        </w:rPr>
        <w:t>the Custodian, for each Collateral Loan, of all Related Documents to be included within the respective loan file, which shall specify whether such document is an original or a copy.</w:t>
      </w:r>
    </w:p>
    <w:p>
      <w:pPr>
        <w:spacing w:after="0" w:line="294"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“London Banking Day” </w:t>
      </w:r>
      <w:r>
        <w:rPr>
          <w:rFonts w:ascii="Arial" w:cs="Arial" w:eastAsia="Arial" w:hAnsi="Arial"/>
          <w:sz w:val="22"/>
          <w:szCs w:val="22"/>
          <w:color w:val="auto"/>
        </w:rPr>
        <w:t>means a day on which commercial banks are open for business (including dealings in foreign</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 and foreign currency deposits) in London, England.</w:t>
      </w:r>
    </w:p>
    <w:p>
      <w:pPr>
        <w:spacing w:after="0" w:line="28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“Majority Lenders” </w:t>
      </w:r>
      <w:r>
        <w:rPr>
          <w:rFonts w:ascii="Arial" w:cs="Arial" w:eastAsia="Arial" w:hAnsi="Arial"/>
          <w:sz w:val="22"/>
          <w:szCs w:val="22"/>
          <w:color w:val="auto"/>
        </w:rPr>
        <w:t>means, as of any date of determination, one or more Lenders having aggregate Percentages greater</w:t>
      </w:r>
      <w:r>
        <w:rPr>
          <w:rFonts w:ascii="Arial" w:cs="Arial" w:eastAsia="Arial" w:hAnsi="Arial"/>
          <w:sz w:val="22"/>
          <w:szCs w:val="22"/>
          <w:i w:val="1"/>
          <w:iCs w:val="1"/>
          <w:color w:val="auto"/>
        </w:rPr>
        <w:t xml:space="preserve"> </w:t>
      </w:r>
      <w:r>
        <w:rPr>
          <w:rFonts w:ascii="Arial" w:cs="Arial" w:eastAsia="Arial" w:hAnsi="Arial"/>
          <w:sz w:val="22"/>
          <w:szCs w:val="22"/>
          <w:color w:val="auto"/>
        </w:rPr>
        <w:t>than or equal to 51%.</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“Margin Stock” </w:t>
      </w:r>
      <w:r>
        <w:rPr>
          <w:rFonts w:ascii="Arial" w:cs="Arial" w:eastAsia="Arial" w:hAnsi="Arial"/>
          <w:sz w:val="22"/>
          <w:szCs w:val="22"/>
          <w:color w:val="auto"/>
        </w:rPr>
        <w:t>has the meaning assigned to such term in Regulation U.</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“Market Value</w:t>
      </w:r>
      <w:r>
        <w:rPr>
          <w:rFonts w:ascii="Arial" w:cs="Arial" w:eastAsia="Arial" w:hAnsi="Arial"/>
          <w:sz w:val="22"/>
          <w:szCs w:val="22"/>
          <w:color w:val="auto"/>
        </w:rPr>
        <w:t>” means, as of any date, for any Collateral Loan:</w:t>
      </w:r>
    </w:p>
    <w:p>
      <w:pPr>
        <w:spacing w:after="0" w:line="314" w:lineRule="exact"/>
        <w:rPr>
          <w:sz w:val="20"/>
          <w:szCs w:val="20"/>
          <w:color w:val="auto"/>
        </w:rPr>
      </w:pPr>
    </w:p>
    <w:p>
      <w:pPr>
        <w:ind w:left="800" w:firstLine="934"/>
        <w:spacing w:after="0" w:line="250" w:lineRule="auto"/>
        <w:tabs>
          <w:tab w:leader="none" w:pos="2479" w:val="left"/>
        </w:tabs>
        <w:numPr>
          <w:ilvl w:val="0"/>
          <w:numId w:val="89"/>
        </w:numPr>
        <w:rPr>
          <w:rFonts w:ascii="Arial" w:cs="Arial" w:eastAsia="Arial" w:hAnsi="Arial"/>
          <w:sz w:val="22"/>
          <w:szCs w:val="22"/>
          <w:color w:val="auto"/>
        </w:rPr>
      </w:pPr>
      <w:r>
        <w:rPr>
          <w:rFonts w:ascii="Arial" w:cs="Arial" w:eastAsia="Arial" w:hAnsi="Arial"/>
          <w:sz w:val="22"/>
          <w:szCs w:val="22"/>
          <w:color w:val="auto"/>
        </w:rPr>
        <w:t>if such Collateral Loan is a Listed Collateral Loan as at such date, the Listed Value of such Collateral Loan as at such date; and</w:t>
      </w:r>
    </w:p>
    <w:p>
      <w:pPr>
        <w:spacing w:after="0" w:line="282" w:lineRule="exact"/>
        <w:rPr>
          <w:rFonts w:ascii="Arial" w:cs="Arial" w:eastAsia="Arial" w:hAnsi="Arial"/>
          <w:sz w:val="22"/>
          <w:szCs w:val="22"/>
          <w:color w:val="auto"/>
        </w:rPr>
      </w:pPr>
    </w:p>
    <w:p>
      <w:pPr>
        <w:ind w:left="2480" w:hanging="746"/>
        <w:spacing w:after="0"/>
        <w:tabs>
          <w:tab w:leader="none" w:pos="24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if such Collateral Loan is not a Listed Collateral Loan as of such date, the lower of:</w:t>
      </w:r>
    </w:p>
    <w:p>
      <w:pPr>
        <w:spacing w:after="0" w:line="314" w:lineRule="exact"/>
        <w:rPr>
          <w:rFonts w:ascii="Arial" w:cs="Arial" w:eastAsia="Arial" w:hAnsi="Arial"/>
          <w:sz w:val="22"/>
          <w:szCs w:val="22"/>
          <w:color w:val="auto"/>
        </w:rPr>
      </w:pPr>
    </w:p>
    <w:p>
      <w:pPr>
        <w:ind w:left="1700" w:right="20" w:firstLine="930"/>
        <w:spacing w:after="0" w:line="250" w:lineRule="auto"/>
        <w:tabs>
          <w:tab w:leader="none" w:pos="3306"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fair market value of such Collateral Loan as reasonably determined by the Collateral Manager in accordance with the Collateral Management Standard; and</w:t>
      </w:r>
    </w:p>
    <w:p>
      <w:pPr>
        <w:spacing w:after="0" w:line="283" w:lineRule="exact"/>
        <w:rPr>
          <w:sz w:val="20"/>
          <w:szCs w:val="20"/>
          <w:color w:val="auto"/>
        </w:rPr>
      </w:pPr>
    </w:p>
    <w:p>
      <w:pPr>
        <w:ind w:left="1700" w:firstLine="852"/>
        <w:spacing w:after="0" w:line="250" w:lineRule="auto"/>
        <w:tabs>
          <w:tab w:leader="none" w:pos="3183"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purchase price in respect of such Collateral Loan expressed as an effective percentage of par less any loss reserves maintained by the Borrower in accordance with GAAP.</w:t>
      </w:r>
    </w:p>
    <w:p>
      <w:pPr>
        <w:spacing w:after="0" w:line="283" w:lineRule="exact"/>
        <w:rPr>
          <w:sz w:val="20"/>
          <w:szCs w:val="20"/>
          <w:color w:val="auto"/>
        </w:rPr>
      </w:pPr>
    </w:p>
    <w:p>
      <w:pPr>
        <w:jc w:val="both"/>
        <w:ind w:firstLine="786"/>
        <w:spacing w:after="0" w:line="234" w:lineRule="auto"/>
        <w:rPr>
          <w:sz w:val="20"/>
          <w:szCs w:val="20"/>
          <w:color w:val="auto"/>
        </w:rPr>
      </w:pPr>
      <w:r>
        <w:rPr>
          <w:rFonts w:ascii="Arial" w:cs="Arial" w:eastAsia="Arial" w:hAnsi="Arial"/>
          <w:sz w:val="22"/>
          <w:szCs w:val="22"/>
          <w:i w:val="1"/>
          <w:iCs w:val="1"/>
          <w:color w:val="auto"/>
        </w:rPr>
        <w:t xml:space="preserve">“Material Adverse Effect” </w:t>
      </w:r>
      <w:r>
        <w:rPr>
          <w:rFonts w:ascii="Arial" w:cs="Arial" w:eastAsia="Arial" w:hAnsi="Arial"/>
          <w:sz w:val="22"/>
          <w:szCs w:val="22"/>
          <w:color w:val="auto"/>
        </w:rPr>
        <w:t>means a material adverse effect on (a) the business, assets, financial condition, operations,</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or properties of the Borrower, the Collateral Manager or the BDC,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267" w:right="339" w:bottom="1440" w:gutter="0" w:footer="0" w:header="0"/>
        </w:sectPr>
      </w:pPr>
    </w:p>
    <w:bookmarkStart w:id="84" w:name="page85"/>
    <w:bookmarkEnd w:id="84"/>
    <w:p>
      <w:pPr>
        <w:jc w:val="both"/>
        <w:ind w:firstLine="786"/>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 Modification” </w:t>
      </w:r>
      <w:r>
        <w:rPr>
          <w:rFonts w:ascii="Arial" w:cs="Arial" w:eastAsia="Arial" w:hAnsi="Arial"/>
          <w:sz w:val="22"/>
          <w:szCs w:val="22"/>
          <w:color w:val="auto"/>
        </w:rPr>
        <w:t>means, with respect to any Collateral Loan, any amendment, waiver, consent or modification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of a Related Document with respect thereto executed or effected after the date on which such Collateral Loan is acquired by the Borrower, that:</w:t>
      </w:r>
    </w:p>
    <w:p>
      <w:pPr>
        <w:spacing w:after="0" w:line="294" w:lineRule="exact"/>
        <w:rPr>
          <w:sz w:val="20"/>
          <w:szCs w:val="20"/>
          <w:color w:val="auto"/>
        </w:rPr>
      </w:pPr>
    </w:p>
    <w:p>
      <w:pPr>
        <w:jc w:val="both"/>
        <w:ind w:left="800" w:firstLine="934"/>
        <w:spacing w:after="0" w:line="238" w:lineRule="auto"/>
        <w:tabs>
          <w:tab w:leader="none" w:pos="2462" w:val="left"/>
        </w:tabs>
        <w:numPr>
          <w:ilvl w:val="0"/>
          <w:numId w:val="91"/>
        </w:numPr>
        <w:rPr>
          <w:rFonts w:ascii="Arial" w:cs="Arial" w:eastAsia="Arial" w:hAnsi="Arial"/>
          <w:sz w:val="22"/>
          <w:szCs w:val="22"/>
          <w:color w:val="auto"/>
        </w:rPr>
      </w:pPr>
      <w:r>
        <w:rPr>
          <w:rFonts w:ascii="Arial" w:cs="Arial" w:eastAsia="Arial" w:hAnsi="Arial"/>
          <w:sz w:val="22"/>
          <w:szCs w:val="22"/>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underlying instruments as of the date such Collateral Loan was acquired by the Borrower);</w:t>
      </w:r>
    </w:p>
    <w:p>
      <w:pPr>
        <w:spacing w:after="0" w:line="292" w:lineRule="exact"/>
        <w:rPr>
          <w:rFonts w:ascii="Arial" w:cs="Arial" w:eastAsia="Arial" w:hAnsi="Arial"/>
          <w:sz w:val="22"/>
          <w:szCs w:val="22"/>
          <w:color w:val="auto"/>
        </w:rPr>
      </w:pPr>
    </w:p>
    <w:p>
      <w:pPr>
        <w:jc w:val="both"/>
        <w:ind w:left="800" w:firstLine="934"/>
        <w:spacing w:after="0"/>
        <w:tabs>
          <w:tab w:leader="none" w:pos="2358" w:val="left"/>
        </w:tabs>
        <w:numPr>
          <w:ilvl w:val="0"/>
          <w:numId w:val="91"/>
        </w:numPr>
        <w:rPr>
          <w:rFonts w:ascii="Arial" w:cs="Arial" w:eastAsia="Arial" w:hAnsi="Arial"/>
          <w:sz w:val="22"/>
          <w:szCs w:val="22"/>
          <w:color w:val="auto"/>
        </w:rPr>
      </w:pPr>
      <w:r>
        <w:rPr>
          <w:rFonts w:ascii="Arial" w:cs="Arial" w:eastAsia="Arial" w:hAnsi="Arial"/>
          <w:sz w:val="22"/>
          <w:szCs w:val="22"/>
          <w:color w:val="auto"/>
        </w:rPr>
        <w:t>contractually or structurally subordinates such Collateral Loan by operation of a priority of payments, turnover provisions or the transfer of assets in order to limit recourse to the related Obligor or releases any material guarantor or co-obligor from its obligations with respect thereto;</w:t>
      </w:r>
    </w:p>
    <w:p>
      <w:pPr>
        <w:spacing w:after="0" w:line="294" w:lineRule="exact"/>
        <w:rPr>
          <w:rFonts w:ascii="Arial" w:cs="Arial" w:eastAsia="Arial" w:hAnsi="Arial"/>
          <w:sz w:val="22"/>
          <w:szCs w:val="22"/>
          <w:color w:val="auto"/>
        </w:rPr>
      </w:pPr>
    </w:p>
    <w:p>
      <w:pPr>
        <w:jc w:val="both"/>
        <w:ind w:left="800" w:firstLine="934"/>
        <w:spacing w:after="0" w:line="238" w:lineRule="auto"/>
        <w:tabs>
          <w:tab w:leader="none" w:pos="24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substitutes or releases the underlying assets securing such Collateral Loan (other than as expressly permitted by the Related Documents as of the date such Collateral Loan was acquired by the Borrower), and such substitution or release materially and adversely affects the value of such Collateral Loan (as determined by the Collateral Manager in good faith);</w:t>
      </w:r>
    </w:p>
    <w:p>
      <w:pPr>
        <w:spacing w:after="0" w:line="292" w:lineRule="exact"/>
        <w:rPr>
          <w:rFonts w:ascii="Arial" w:cs="Arial" w:eastAsia="Arial" w:hAnsi="Arial"/>
          <w:sz w:val="22"/>
          <w:szCs w:val="22"/>
          <w:color w:val="auto"/>
        </w:rPr>
      </w:pPr>
    </w:p>
    <w:p>
      <w:pPr>
        <w:ind w:left="800" w:right="20" w:firstLine="934"/>
        <w:spacing w:after="0" w:line="250" w:lineRule="auto"/>
        <w:tabs>
          <w:tab w:leader="none" w:pos="2327" w:val="left"/>
        </w:tabs>
        <w:numPr>
          <w:ilvl w:val="0"/>
          <w:numId w:val="91"/>
        </w:numPr>
        <w:rPr>
          <w:rFonts w:ascii="Arial" w:cs="Arial" w:eastAsia="Arial" w:hAnsi="Arial"/>
          <w:sz w:val="22"/>
          <w:szCs w:val="22"/>
          <w:color w:val="auto"/>
        </w:rPr>
      </w:pPr>
      <w:r>
        <w:rPr>
          <w:rFonts w:ascii="Arial" w:cs="Arial" w:eastAsia="Arial" w:hAnsi="Arial"/>
          <w:sz w:val="22"/>
          <w:szCs w:val="22"/>
          <w:color w:val="auto"/>
        </w:rPr>
        <w:t>waives, extends or postpones any date fixed for any payment or mandatory prepayment of principal on such Collateral Loan; or</w:t>
      </w:r>
    </w:p>
    <w:p>
      <w:pPr>
        <w:spacing w:after="0" w:line="282" w:lineRule="exact"/>
        <w:rPr>
          <w:rFonts w:ascii="Arial" w:cs="Arial" w:eastAsia="Arial" w:hAnsi="Arial"/>
          <w:sz w:val="22"/>
          <w:szCs w:val="22"/>
          <w:color w:val="auto"/>
        </w:rPr>
      </w:pPr>
    </w:p>
    <w:p>
      <w:pPr>
        <w:ind w:left="2360" w:hanging="626"/>
        <w:spacing w:after="0"/>
        <w:tabs>
          <w:tab w:leader="none" w:pos="23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reduces or forgives any principal amount of such Collateral Loan.</w:t>
      </w:r>
    </w:p>
    <w:p>
      <w:pPr>
        <w:spacing w:after="0" w:line="314" w:lineRule="exact"/>
        <w:rPr>
          <w:sz w:val="20"/>
          <w:szCs w:val="20"/>
          <w:color w:val="auto"/>
        </w:rPr>
      </w:pPr>
    </w:p>
    <w:p>
      <w:pPr>
        <w:jc w:val="both"/>
        <w:ind w:firstLine="61"/>
        <w:spacing w:after="0" w:line="250"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any Collateral Loan subject to a Material Modification which subsequently becomes a Restructured Loan shall no</w:t>
      </w:r>
      <w:r>
        <w:rPr>
          <w:rFonts w:ascii="Arial" w:cs="Arial" w:eastAsia="Arial" w:hAnsi="Arial"/>
          <w:sz w:val="22"/>
          <w:szCs w:val="22"/>
          <w:i w:val="1"/>
          <w:iCs w:val="1"/>
          <w:color w:val="auto"/>
        </w:rPr>
        <w:t xml:space="preserve"> </w:t>
      </w:r>
      <w:r>
        <w:rPr>
          <w:rFonts w:ascii="Arial" w:cs="Arial" w:eastAsia="Arial" w:hAnsi="Arial"/>
          <w:sz w:val="22"/>
          <w:szCs w:val="22"/>
          <w:color w:val="auto"/>
        </w:rPr>
        <w:t>longer be considered to have been subject to a Material Modification hereunder.</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“Matrix” </w:t>
      </w:r>
      <w:r>
        <w:rPr>
          <w:rFonts w:ascii="Arial" w:cs="Arial" w:eastAsia="Arial" w:hAnsi="Arial"/>
          <w:sz w:val="22"/>
          <w:szCs w:val="22"/>
          <w:color w:val="auto"/>
        </w:rPr>
        <w:t>means the Matrix set forth on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Schedule 5</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hereto.</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“Matrix Adjustment Notice” </w:t>
      </w:r>
      <w:r>
        <w:rPr>
          <w:rFonts w:ascii="Arial" w:cs="Arial" w:eastAsia="Arial" w:hAnsi="Arial"/>
          <w:sz w:val="22"/>
          <w:szCs w:val="22"/>
          <w:color w:val="auto"/>
        </w:rPr>
        <w:t>means a notice from the Borrower, or the Collateral Manager on its behalf, 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Administrative Agent and the Collateral Agent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hereto.</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Matrix Inputs</w:t>
      </w:r>
      <w:r>
        <w:rPr>
          <w:rFonts w:ascii="Arial" w:cs="Arial" w:eastAsia="Arial" w:hAnsi="Arial"/>
          <w:sz w:val="22"/>
          <w:szCs w:val="22"/>
          <w:color w:val="auto"/>
        </w:rPr>
        <w:t xml:space="preserve">” means, at any time, the combination of “Advance Rates”, “Minimum Weighted Average Spread”, “Minimum Diversity Score”, “Maximum Obligor”, “Maximum Moody’s Industry Classification”, “Ratings” and “Maximum Loan Types” that are in effect for use in relation to the Matrix at such time as set forth in the applicable row of the Matrix, as the same may be adjusted from time to time pursuant to </w:t>
      </w:r>
      <w:r>
        <w:rPr>
          <w:rFonts w:ascii="Arial" w:cs="Arial" w:eastAsia="Arial" w:hAnsi="Arial"/>
          <w:sz w:val="22"/>
          <w:szCs w:val="22"/>
          <w:u w:val="single" w:color="auto"/>
          <w:color w:val="auto"/>
        </w:rPr>
        <w:t>Section 11.02(e)</w:t>
      </w:r>
      <w:r>
        <w:rPr>
          <w:rFonts w:ascii="Arial" w:cs="Arial" w:eastAsia="Arial" w:hAnsi="Arial"/>
          <w:sz w:val="22"/>
          <w:szCs w:val="22"/>
          <w:color w:val="auto"/>
        </w:rPr>
        <w:t xml:space="preserve"> hereof.</w:t>
      </w:r>
    </w:p>
    <w:p>
      <w:pPr>
        <w:spacing w:after="0" w:line="29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Maximum Advance Rate</w:t>
      </w:r>
      <w:r>
        <w:rPr>
          <w:rFonts w:ascii="Arial" w:cs="Arial" w:eastAsia="Arial" w:hAnsi="Arial"/>
          <w:sz w:val="22"/>
          <w:szCs w:val="22"/>
          <w:color w:val="auto"/>
        </w:rPr>
        <w:t>” means, at any time, the “Advance Rate” specified in the Matrix based on the applicable combination of Matrix Inputs as then in effect.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267" w:right="339" w:bottom="1440" w:gutter="0" w:footer="0" w:header="0"/>
        </w:sectPr>
      </w:pPr>
    </w:p>
    <w:bookmarkStart w:id="85" w:name="page86"/>
    <w:bookmarkEnd w:id="85"/>
    <w:p>
      <w:pPr>
        <w:jc w:val="both"/>
        <w:ind w:firstLine="786"/>
        <w:spacing w:after="0" w:line="297"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“Maximum Advance Rate Test” </w:t>
      </w:r>
      <w:r>
        <w:rPr>
          <w:rFonts w:ascii="Arial" w:cs="Arial" w:eastAsia="Arial" w:hAnsi="Arial"/>
          <w:sz w:val="19"/>
          <w:szCs w:val="19"/>
          <w:color w:val="auto"/>
        </w:rPr>
        <w:t>means a test that will be satisfied at any time if (a) the sum of (i) the Dollar Equivalent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the aggregate outstanding principal balance of the Advances and (ii) the Net Aggregate Exposure Amounts at such time is less than (b) (i) the Maximum Available Amount at such time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Foreign Currency Variability Reserve at such time.</w:t>
      </w:r>
    </w:p>
    <w:p>
      <w:pPr>
        <w:spacing w:after="0" w:line="242"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“Maximum Available Amount” </w:t>
      </w:r>
      <w:r>
        <w:rPr>
          <w:rFonts w:ascii="Arial" w:cs="Arial" w:eastAsia="Arial" w:hAnsi="Arial"/>
          <w:sz w:val="22"/>
          <w:szCs w:val="22"/>
          <w:color w:val="auto"/>
        </w:rPr>
        <w:t>means, at any time, the least of:</w:t>
      </w:r>
    </w:p>
    <w:p>
      <w:pPr>
        <w:spacing w:after="0" w:line="314" w:lineRule="exact"/>
        <w:rPr>
          <w:sz w:val="20"/>
          <w:szCs w:val="20"/>
          <w:color w:val="auto"/>
        </w:rPr>
      </w:pPr>
    </w:p>
    <w:p>
      <w:pPr>
        <w:ind w:left="2520" w:hanging="786"/>
        <w:spacing w:after="0"/>
        <w:tabs>
          <w:tab w:leader="none" w:pos="25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Facility Amount at such time;</w:t>
      </w:r>
    </w:p>
    <w:p>
      <w:pPr>
        <w:spacing w:after="0" w:line="314" w:lineRule="exact"/>
        <w:rPr>
          <w:rFonts w:ascii="Arial" w:cs="Arial" w:eastAsia="Arial" w:hAnsi="Arial"/>
          <w:sz w:val="22"/>
          <w:szCs w:val="22"/>
          <w:color w:val="auto"/>
        </w:rPr>
      </w:pPr>
    </w:p>
    <w:p>
      <w:pPr>
        <w:ind w:left="2520" w:hanging="786"/>
        <w:spacing w:after="0"/>
        <w:tabs>
          <w:tab w:leader="none" w:pos="25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sum of:</w:t>
      </w:r>
    </w:p>
    <w:p>
      <w:pPr>
        <w:spacing w:after="0" w:line="314" w:lineRule="exact"/>
        <w:rPr>
          <w:rFonts w:ascii="Arial" w:cs="Arial" w:eastAsia="Arial" w:hAnsi="Arial"/>
          <w:sz w:val="22"/>
          <w:szCs w:val="22"/>
          <w:color w:val="auto"/>
        </w:rPr>
      </w:pPr>
    </w:p>
    <w:p>
      <w:pPr>
        <w:ind w:left="3180" w:hanging="567"/>
        <w:spacing w:after="0"/>
        <w:tabs>
          <w:tab w:leader="none" w:pos="3180"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product of (x) the Borrowing Base and (y) the Maximum Advance Rate in effect at such</w:t>
      </w:r>
    </w:p>
    <w:p>
      <w:pPr>
        <w:spacing w:after="0" w:line="42" w:lineRule="exact"/>
        <w:rPr>
          <w:rFonts w:ascii="Arial" w:cs="Arial" w:eastAsia="Arial" w:hAnsi="Arial"/>
          <w:sz w:val="19"/>
          <w:szCs w:val="19"/>
          <w:color w:val="auto"/>
        </w:rPr>
      </w:pPr>
    </w:p>
    <w:p>
      <w:pPr>
        <w:ind w:left="1700"/>
        <w:spacing w:after="0"/>
        <w:rPr>
          <w:rFonts w:ascii="Arial" w:cs="Arial" w:eastAsia="Arial" w:hAnsi="Arial"/>
          <w:sz w:val="19"/>
          <w:szCs w:val="19"/>
          <w:color w:val="auto"/>
        </w:rPr>
      </w:pPr>
      <w:r>
        <w:rPr>
          <w:rFonts w:ascii="Arial" w:cs="Arial" w:eastAsia="Arial" w:hAnsi="Arial"/>
          <w:sz w:val="22"/>
          <w:szCs w:val="22"/>
          <w:color w:val="auto"/>
        </w:rPr>
        <w:t xml:space="preserve">time, </w:t>
      </w:r>
      <w:r>
        <w:rPr>
          <w:rFonts w:ascii="Arial" w:cs="Arial" w:eastAsia="Arial" w:hAnsi="Arial"/>
          <w:sz w:val="22"/>
          <w:szCs w:val="22"/>
          <w:i w:val="1"/>
          <w:iCs w:val="1"/>
          <w:color w:val="auto"/>
        </w:rPr>
        <w:t>plus</w:t>
      </w:r>
    </w:p>
    <w:p>
      <w:pPr>
        <w:spacing w:after="0" w:line="296" w:lineRule="exact"/>
        <w:rPr>
          <w:rFonts w:ascii="Arial" w:cs="Arial" w:eastAsia="Arial" w:hAnsi="Arial"/>
          <w:sz w:val="19"/>
          <w:szCs w:val="19"/>
          <w:color w:val="auto"/>
        </w:rPr>
      </w:pPr>
    </w:p>
    <w:p>
      <w:pPr>
        <w:ind w:left="1700" w:right="20" w:firstLine="852"/>
        <w:spacing w:after="0" w:line="250" w:lineRule="auto"/>
        <w:tabs>
          <w:tab w:leader="none" w:pos="3345"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Dollar Equivalent of the aggregate amount of cash then on deposit in the Principal Collection Subaccounts; and</w:t>
      </w:r>
    </w:p>
    <w:p>
      <w:pPr>
        <w:spacing w:after="0" w:line="282" w:lineRule="exact"/>
        <w:rPr>
          <w:rFonts w:ascii="Arial" w:cs="Arial" w:eastAsia="Arial" w:hAnsi="Arial"/>
          <w:sz w:val="22"/>
          <w:szCs w:val="22"/>
          <w:color w:val="auto"/>
        </w:rPr>
      </w:pPr>
    </w:p>
    <w:p>
      <w:pPr>
        <w:ind w:left="2520" w:hanging="786"/>
        <w:spacing w:after="0"/>
        <w:tabs>
          <w:tab w:leader="none" w:pos="25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sum of:</w:t>
      </w:r>
    </w:p>
    <w:p>
      <w:pPr>
        <w:spacing w:after="0" w:line="314" w:lineRule="exact"/>
        <w:rPr>
          <w:rFonts w:ascii="Arial" w:cs="Arial" w:eastAsia="Arial" w:hAnsi="Arial"/>
          <w:sz w:val="22"/>
          <w:szCs w:val="22"/>
          <w:color w:val="auto"/>
        </w:rPr>
      </w:pPr>
    </w:p>
    <w:p>
      <w:pPr>
        <w:ind w:left="3180" w:hanging="520"/>
        <w:spacing w:after="0"/>
        <w:tabs>
          <w:tab w:leader="none" w:pos="3180" w:val="left"/>
        </w:tabs>
        <w:numPr>
          <w:ilvl w:val="2"/>
          <w:numId w:val="92"/>
        </w:numPr>
        <w:rPr>
          <w:rFonts w:ascii="Arial" w:cs="Arial" w:eastAsia="Arial" w:hAnsi="Arial"/>
          <w:sz w:val="22"/>
          <w:szCs w:val="22"/>
          <w:color w:val="auto"/>
        </w:rPr>
      </w:pPr>
      <w:r>
        <w:rPr>
          <w:rFonts w:ascii="Arial" w:cs="Arial" w:eastAsia="Arial" w:hAnsi="Arial"/>
          <w:sz w:val="22"/>
          <w:szCs w:val="22"/>
          <w:color w:val="auto"/>
        </w:rPr>
        <w:t xml:space="preserve">the Borrowing Base, </w:t>
      </w:r>
      <w:r>
        <w:rPr>
          <w:rFonts w:ascii="Arial" w:cs="Arial" w:eastAsia="Arial" w:hAnsi="Arial"/>
          <w:sz w:val="22"/>
          <w:szCs w:val="22"/>
          <w:i w:val="1"/>
          <w:iCs w:val="1"/>
          <w:color w:val="auto"/>
        </w:rPr>
        <w:t>minus</w:t>
      </w:r>
    </w:p>
    <w:p>
      <w:pPr>
        <w:spacing w:after="0" w:line="314" w:lineRule="exact"/>
        <w:rPr>
          <w:rFonts w:ascii="Arial" w:cs="Arial" w:eastAsia="Arial" w:hAnsi="Arial"/>
          <w:sz w:val="22"/>
          <w:szCs w:val="22"/>
          <w:color w:val="auto"/>
        </w:rPr>
      </w:pPr>
    </w:p>
    <w:p>
      <w:pPr>
        <w:ind w:left="3200" w:hanging="594"/>
        <w:spacing w:after="0"/>
        <w:tabs>
          <w:tab w:leader="none" w:pos="3200" w:val="left"/>
        </w:tabs>
        <w:numPr>
          <w:ilvl w:val="2"/>
          <w:numId w:val="92"/>
        </w:numPr>
        <w:rPr>
          <w:rFonts w:ascii="Arial" w:cs="Arial" w:eastAsia="Arial" w:hAnsi="Arial"/>
          <w:sz w:val="22"/>
          <w:szCs w:val="22"/>
          <w:color w:val="auto"/>
        </w:rPr>
      </w:pPr>
      <w:r>
        <w:rPr>
          <w:rFonts w:ascii="Arial" w:cs="Arial" w:eastAsia="Arial" w:hAnsi="Arial"/>
          <w:sz w:val="22"/>
          <w:szCs w:val="22"/>
          <w:color w:val="auto"/>
        </w:rPr>
        <w:t xml:space="preserve">the Minimum Equity Amount, </w:t>
      </w:r>
      <w:r>
        <w:rPr>
          <w:rFonts w:ascii="Arial" w:cs="Arial" w:eastAsia="Arial" w:hAnsi="Arial"/>
          <w:sz w:val="22"/>
          <w:szCs w:val="22"/>
          <w:i w:val="1"/>
          <w:iCs w:val="1"/>
          <w:color w:val="auto"/>
        </w:rPr>
        <w:t>plus</w:t>
      </w:r>
    </w:p>
    <w:p>
      <w:pPr>
        <w:spacing w:after="0" w:line="314" w:lineRule="exact"/>
        <w:rPr>
          <w:rFonts w:ascii="Arial" w:cs="Arial" w:eastAsia="Arial" w:hAnsi="Arial"/>
          <w:sz w:val="22"/>
          <w:szCs w:val="22"/>
          <w:color w:val="auto"/>
        </w:rPr>
      </w:pPr>
    </w:p>
    <w:p>
      <w:pPr>
        <w:ind w:left="1700" w:firstLine="852"/>
        <w:spacing w:after="0" w:line="250" w:lineRule="auto"/>
        <w:tabs>
          <w:tab w:leader="none" w:pos="3389" w:val="left"/>
        </w:tabs>
        <w:numPr>
          <w:ilvl w:val="3"/>
          <w:numId w:val="92"/>
        </w:numPr>
        <w:rPr>
          <w:rFonts w:ascii="Arial" w:cs="Arial" w:eastAsia="Arial" w:hAnsi="Arial"/>
          <w:sz w:val="22"/>
          <w:szCs w:val="22"/>
          <w:color w:val="auto"/>
        </w:rPr>
      </w:pPr>
      <w:r>
        <w:rPr>
          <w:rFonts w:ascii="Arial" w:cs="Arial" w:eastAsia="Arial" w:hAnsi="Arial"/>
          <w:sz w:val="22"/>
          <w:szCs w:val="22"/>
          <w:color w:val="auto"/>
        </w:rPr>
        <w:t>the Dollar Equivalent of the aggregate amount of cash then on deposit in the Principal Collection Subaccounts.</w:t>
      </w:r>
    </w:p>
    <w:p>
      <w:pPr>
        <w:spacing w:after="0" w:line="283" w:lineRule="exact"/>
        <w:rPr>
          <w:sz w:val="20"/>
          <w:szCs w:val="20"/>
          <w:color w:val="auto"/>
        </w:rPr>
      </w:pPr>
    </w:p>
    <w:p>
      <w:pPr>
        <w:ind w:firstLine="786"/>
        <w:spacing w:after="0" w:line="250" w:lineRule="auto"/>
        <w:rPr>
          <w:sz w:val="20"/>
          <w:szCs w:val="20"/>
          <w:color w:val="auto"/>
        </w:rPr>
      </w:pPr>
      <w:r>
        <w:rPr>
          <w:rFonts w:ascii="Arial" w:cs="Arial" w:eastAsia="Arial" w:hAnsi="Arial"/>
          <w:sz w:val="22"/>
          <w:szCs w:val="22"/>
          <w:i w:val="1"/>
          <w:iCs w:val="1"/>
          <w:color w:val="auto"/>
        </w:rPr>
        <w:t xml:space="preserve">“Measurement Date” </w:t>
      </w:r>
      <w:r>
        <w:rPr>
          <w:rFonts w:ascii="Arial" w:cs="Arial" w:eastAsia="Arial" w:hAnsi="Arial"/>
          <w:sz w:val="22"/>
          <w:szCs w:val="22"/>
          <w:color w:val="auto"/>
        </w:rPr>
        <w:t>means, (i) the Closing Date, (ii) each Borrowing Date and (iii) each Monthly Report</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Determination Date.</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“Minimum Equity Amount” </w:t>
      </w:r>
      <w:r>
        <w:rPr>
          <w:rFonts w:ascii="Arial" w:cs="Arial" w:eastAsia="Arial" w:hAnsi="Arial"/>
          <w:sz w:val="22"/>
          <w:szCs w:val="22"/>
          <w:color w:val="auto"/>
        </w:rPr>
        <w:t>means, at any time, $25,000,000.</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“Money”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1-201(24)</w:t>
      </w:r>
      <w:r>
        <w:rPr>
          <w:rFonts w:ascii="Arial" w:cs="Arial" w:eastAsia="Arial" w:hAnsi="Arial"/>
          <w:sz w:val="22"/>
          <w:szCs w:val="22"/>
          <w:i w:val="1"/>
          <w:iCs w:val="1"/>
          <w:color w:val="auto"/>
        </w:rPr>
        <w:t xml:space="preserve"> </w:t>
      </w:r>
      <w:r>
        <w:rPr>
          <w:rFonts w:ascii="Arial" w:cs="Arial" w:eastAsia="Arial" w:hAnsi="Arial"/>
          <w:sz w:val="22"/>
          <w:szCs w:val="22"/>
          <w:color w:val="auto"/>
        </w:rPr>
        <w:t>of the UCC.</w:t>
      </w:r>
    </w:p>
    <w:p>
      <w:pPr>
        <w:spacing w:after="0" w:line="314" w:lineRule="exact"/>
        <w:rPr>
          <w:sz w:val="20"/>
          <w:szCs w:val="20"/>
          <w:color w:val="auto"/>
        </w:rPr>
      </w:pPr>
    </w:p>
    <w:p>
      <w:pPr>
        <w:ind w:right="20" w:firstLine="786"/>
        <w:spacing w:after="0" w:line="250" w:lineRule="auto"/>
        <w:rPr>
          <w:sz w:val="20"/>
          <w:szCs w:val="20"/>
          <w:color w:val="auto"/>
        </w:rPr>
      </w:pPr>
      <w:r>
        <w:rPr>
          <w:rFonts w:ascii="Arial" w:cs="Arial" w:eastAsia="Arial" w:hAnsi="Arial"/>
          <w:sz w:val="22"/>
          <w:szCs w:val="22"/>
          <w:i w:val="1"/>
          <w:iCs w:val="1"/>
          <w:color w:val="auto"/>
        </w:rPr>
        <w:t xml:space="preserve">“Monthly Asset Amount” </w:t>
      </w:r>
      <w:r>
        <w:rPr>
          <w:rFonts w:ascii="Arial" w:cs="Arial" w:eastAsia="Arial" w:hAnsi="Arial"/>
          <w:sz w:val="22"/>
          <w:szCs w:val="22"/>
          <w:color w:val="auto"/>
        </w:rPr>
        <w:t>means, for any Payment Date, the Aggregate Collateral Balance as of the last day of the most</w:t>
      </w:r>
      <w:r>
        <w:rPr>
          <w:rFonts w:ascii="Arial" w:cs="Arial" w:eastAsia="Arial" w:hAnsi="Arial"/>
          <w:sz w:val="22"/>
          <w:szCs w:val="22"/>
          <w:i w:val="1"/>
          <w:iCs w:val="1"/>
          <w:color w:val="auto"/>
        </w:rPr>
        <w:t xml:space="preserve"> </w:t>
      </w:r>
      <w:r>
        <w:rPr>
          <w:rFonts w:ascii="Arial" w:cs="Arial" w:eastAsia="Arial" w:hAnsi="Arial"/>
          <w:sz w:val="22"/>
          <w:szCs w:val="22"/>
          <w:color w:val="auto"/>
        </w:rPr>
        <w:t>recent Collection Period.</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“Monthly Report”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8.06(a)</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“Monthly Report Determination Date”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8.06(a)</w:t>
      </w:r>
      <w:r>
        <w:rPr>
          <w:rFonts w:ascii="Arial" w:cs="Arial" w:eastAsia="Arial" w:hAnsi="Arial"/>
          <w:sz w:val="22"/>
          <w:szCs w:val="22"/>
          <w:color w:val="auto"/>
        </w:rPr>
        <w:t>.</w:t>
      </w:r>
    </w:p>
    <w:p>
      <w:pPr>
        <w:spacing w:after="0" w:line="314" w:lineRule="exact"/>
        <w:rPr>
          <w:sz w:val="20"/>
          <w:szCs w:val="20"/>
          <w:color w:val="auto"/>
        </w:rPr>
      </w:pPr>
    </w:p>
    <w:p>
      <w:pPr>
        <w:ind w:firstLine="786"/>
        <w:spacing w:after="0" w:line="250" w:lineRule="auto"/>
        <w:rPr>
          <w:sz w:val="20"/>
          <w:szCs w:val="20"/>
          <w:color w:val="auto"/>
        </w:rPr>
      </w:pPr>
      <w:r>
        <w:rPr>
          <w:rFonts w:ascii="Arial" w:cs="Arial" w:eastAsia="Arial" w:hAnsi="Arial"/>
          <w:sz w:val="22"/>
          <w:szCs w:val="22"/>
          <w:i w:val="1"/>
          <w:iCs w:val="1"/>
          <w:color w:val="auto"/>
        </w:rPr>
        <w:t xml:space="preserve">“Monthly Reporting Date” </w:t>
      </w:r>
      <w:r>
        <w:rPr>
          <w:rFonts w:ascii="Arial" w:cs="Arial" w:eastAsia="Arial" w:hAnsi="Arial"/>
          <w:sz w:val="22"/>
          <w:szCs w:val="22"/>
          <w:color w:val="auto"/>
        </w:rPr>
        <w:t>means the 20</w:t>
      </w:r>
      <w:r>
        <w:rPr>
          <w:rFonts w:ascii="Arial" w:cs="Arial" w:eastAsia="Arial" w:hAnsi="Arial"/>
          <w:sz w:val="18"/>
          <w:szCs w:val="18"/>
          <w:color w:val="auto"/>
        </w:rPr>
        <w:t>th</w:t>
      </w:r>
      <w:r>
        <w:rPr>
          <w:rFonts w:ascii="Arial" w:cs="Arial" w:eastAsia="Arial" w:hAnsi="Arial"/>
          <w:sz w:val="22"/>
          <w:szCs w:val="22"/>
          <w:i w:val="1"/>
          <w:iCs w:val="1"/>
          <w:color w:val="auto"/>
        </w:rPr>
        <w:t xml:space="preserve"> </w:t>
      </w:r>
      <w:r>
        <w:rPr>
          <w:rFonts w:ascii="Arial" w:cs="Arial" w:eastAsia="Arial" w:hAnsi="Arial"/>
          <w:sz w:val="22"/>
          <w:szCs w:val="22"/>
          <w:color w:val="auto"/>
        </w:rPr>
        <w:t>calendar day (or, if such day is not a Business Day, on the next succeeding</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Day) of each calendar month (other than January, April, July and October in each year).</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“Moody’s” </w:t>
      </w:r>
      <w:r>
        <w:rPr>
          <w:rFonts w:ascii="Arial" w:cs="Arial" w:eastAsia="Arial" w:hAnsi="Arial"/>
          <w:sz w:val="22"/>
          <w:szCs w:val="22"/>
          <w:color w:val="auto"/>
        </w:rPr>
        <w:t>means Moody’s Investors Service, Inc., together with its successors.</w:t>
      </w:r>
    </w:p>
    <w:p>
      <w:pPr>
        <w:spacing w:after="0" w:line="13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267" w:right="339" w:bottom="1440" w:gutter="0" w:footer="0" w:header="0"/>
        </w:sectPr>
      </w:pPr>
    </w:p>
    <w:bookmarkStart w:id="86" w:name="page87"/>
    <w:bookmarkEnd w:id="86"/>
    <w:p>
      <w:pPr>
        <w:jc w:val="both"/>
        <w:ind w:firstLine="786"/>
        <w:spacing w:after="0" w:line="328"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“Moody’s Industry Classification” </w:t>
      </w:r>
      <w:r>
        <w:rPr>
          <w:rFonts w:ascii="Arial" w:cs="Arial" w:eastAsia="Arial" w:hAnsi="Arial"/>
          <w:sz w:val="19"/>
          <w:szCs w:val="19"/>
          <w:color w:val="auto"/>
        </w:rPr>
        <w:t>means the industry classifications set forth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Schedule 4</w:t>
      </w:r>
      <w:r>
        <w:rPr>
          <w:rFonts w:ascii="Arial" w:cs="Arial" w:eastAsia="Arial" w:hAnsi="Arial"/>
          <w:sz w:val="19"/>
          <w:szCs w:val="19"/>
          <w:i w:val="1"/>
          <w:iCs w:val="1"/>
          <w:color w:val="auto"/>
        </w:rPr>
        <w:t xml:space="preserve"> </w:t>
      </w:r>
      <w:r>
        <w:rPr>
          <w:rFonts w:ascii="Arial" w:cs="Arial" w:eastAsia="Arial" w:hAnsi="Arial"/>
          <w:sz w:val="19"/>
          <w:szCs w:val="19"/>
          <w:color w:val="auto"/>
        </w:rPr>
        <w:t>hereto, as such industry</w:t>
      </w:r>
      <w:r>
        <w:rPr>
          <w:rFonts w:ascii="Arial" w:cs="Arial" w:eastAsia="Arial" w:hAnsi="Arial"/>
          <w:sz w:val="19"/>
          <w:szCs w:val="19"/>
          <w:i w:val="1"/>
          <w:iCs w:val="1"/>
          <w:color w:val="auto"/>
        </w:rPr>
        <w:t xml:space="preserve"> </w:t>
      </w:r>
      <w:r>
        <w:rPr>
          <w:rFonts w:ascii="Arial" w:cs="Arial" w:eastAsia="Arial" w:hAnsi="Arial"/>
          <w:sz w:val="19"/>
          <w:szCs w:val="19"/>
          <w:color w:val="auto"/>
        </w:rPr>
        <w:t>classifications shall be updated at the option of the Collateral Manager if Moody’s publishes revised industry classifications.</w:t>
      </w:r>
    </w:p>
    <w:p>
      <w:pPr>
        <w:spacing w:after="0" w:line="213" w:lineRule="exact"/>
        <w:rPr>
          <w:sz w:val="20"/>
          <w:szCs w:val="20"/>
          <w:color w:val="auto"/>
        </w:rPr>
      </w:pPr>
    </w:p>
    <w:p>
      <w:pPr>
        <w:jc w:val="both"/>
        <w:ind w:firstLine="78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 Rating</w:t>
      </w:r>
      <w:r>
        <w:rPr>
          <w:rFonts w:ascii="Arial" w:cs="Arial" w:eastAsia="Arial" w:hAnsi="Arial"/>
          <w:sz w:val="19"/>
          <w:szCs w:val="19"/>
          <w:color w:val="auto"/>
        </w:rPr>
        <w:t xml:space="preserve">” means, with respect to any Collateral Loan, as of any date of determination, the rating determined pursuant to </w:t>
      </w:r>
      <w:r>
        <w:rPr>
          <w:rFonts w:ascii="Arial" w:cs="Arial" w:eastAsia="Arial" w:hAnsi="Arial"/>
          <w:sz w:val="19"/>
          <w:szCs w:val="19"/>
          <w:u w:val="single" w:color="auto"/>
          <w:color w:val="auto"/>
        </w:rPr>
        <w:t>Schedule 9</w:t>
      </w:r>
      <w:r>
        <w:rPr>
          <w:rFonts w:ascii="Arial" w:cs="Arial" w:eastAsia="Arial" w:hAnsi="Arial"/>
          <w:sz w:val="19"/>
          <w:szCs w:val="19"/>
          <w:color w:val="auto"/>
        </w:rPr>
        <w:t xml:space="preserve"> hereto (or such other schedule provided by Moody’s to the Borrower and the Collateral Manager).</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“Multicurrency Advance” </w:t>
      </w:r>
      <w:r>
        <w:rPr>
          <w:rFonts w:ascii="Arial" w:cs="Arial" w:eastAsia="Arial" w:hAnsi="Arial"/>
          <w:sz w:val="22"/>
          <w:szCs w:val="22"/>
          <w:color w:val="auto"/>
        </w:rPr>
        <w:t>means an Advance denominated in Dollars or an Agreed Foreign Currency.</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“Multiemployer Plan” </w:t>
      </w:r>
      <w:r>
        <w:rPr>
          <w:rFonts w:ascii="Arial" w:cs="Arial" w:eastAsia="Arial" w:hAnsi="Arial"/>
          <w:sz w:val="22"/>
          <w:szCs w:val="22"/>
          <w:color w:val="auto"/>
        </w:rPr>
        <w:t>means an employee pension benefit plan within the meaning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4001(a)(3)</w:t>
      </w:r>
      <w:r>
        <w:rPr>
          <w:rFonts w:ascii="Arial" w:cs="Arial" w:eastAsia="Arial" w:hAnsi="Arial"/>
          <w:sz w:val="22"/>
          <w:szCs w:val="22"/>
          <w:i w:val="1"/>
          <w:iCs w:val="1"/>
          <w:color w:val="auto"/>
        </w:rPr>
        <w:t xml:space="preserve"> </w:t>
      </w:r>
      <w:r>
        <w:rPr>
          <w:rFonts w:ascii="Arial" w:cs="Arial" w:eastAsia="Arial" w:hAnsi="Arial"/>
          <w:sz w:val="22"/>
          <w:szCs w:val="22"/>
          <w:color w:val="auto"/>
        </w:rPr>
        <w:t>of ERISA</w:t>
      </w:r>
      <w:r>
        <w:rPr>
          <w:rFonts w:ascii="Arial" w:cs="Arial" w:eastAsia="Arial" w:hAnsi="Arial"/>
          <w:sz w:val="22"/>
          <w:szCs w:val="22"/>
          <w:i w:val="1"/>
          <w:iCs w:val="1"/>
          <w:color w:val="auto"/>
        </w:rPr>
        <w:t xml:space="preserve"> </w:t>
      </w:r>
      <w:r>
        <w:rPr>
          <w:rFonts w:ascii="Arial" w:cs="Arial" w:eastAsia="Arial" w:hAnsi="Arial"/>
          <w:sz w:val="22"/>
          <w:szCs w:val="22"/>
          <w:color w:val="auto"/>
        </w:rPr>
        <w:t>that is sponsored by the Borrower or a member of its ERISA Group or to which the Borrower or a member of its ERISA Group is obligated to make contributions or has any liability.</w:t>
      </w:r>
    </w:p>
    <w:p>
      <w:pPr>
        <w:spacing w:after="0" w:line="294"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9"/>
          <w:szCs w:val="19"/>
          <w:i w:val="1"/>
          <w:iCs w:val="1"/>
          <w:color w:val="auto"/>
        </w:rPr>
        <w:t xml:space="preserve">“Net Aggregate Exposure Amount” </w:t>
      </w:r>
      <w:r>
        <w:rPr>
          <w:rFonts w:ascii="Arial" w:cs="Arial" w:eastAsia="Arial" w:hAnsi="Arial"/>
          <w:sz w:val="19"/>
          <w:szCs w:val="19"/>
          <w:color w:val="auto"/>
        </w:rPr>
        <w:t>means, at any time, the excess (if any) of (x) the Dollar Equivalent of the aggregate</w:t>
      </w:r>
      <w:r>
        <w:rPr>
          <w:rFonts w:ascii="Arial" w:cs="Arial" w:eastAsia="Arial" w:hAnsi="Arial"/>
          <w:sz w:val="19"/>
          <w:szCs w:val="19"/>
          <w:i w:val="1"/>
          <w:iCs w:val="1"/>
          <w:color w:val="auto"/>
        </w:rPr>
        <w:t xml:space="preserve"> </w:t>
      </w:r>
      <w:r>
        <w:rPr>
          <w:rFonts w:ascii="Arial" w:cs="Arial" w:eastAsia="Arial" w:hAnsi="Arial"/>
          <w:sz w:val="19"/>
          <w:szCs w:val="19"/>
          <w:color w:val="auto"/>
        </w:rPr>
        <w:t>unfunded amounts in respect of all Revolving Collateral Loans and Delayed Drawdown Collateral Loans at such time over (y) the Dollar Equivalent of the aggregate amount on deposit in the Revolving Reserve Account at such time.</w:t>
      </w:r>
    </w:p>
    <w:p>
      <w:pPr>
        <w:spacing w:after="0" w:line="242"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Net Purchased Loan Balance</w:t>
      </w:r>
      <w:r>
        <w:rPr>
          <w:rFonts w:ascii="Arial" w:cs="Arial" w:eastAsia="Arial" w:hAnsi="Arial"/>
          <w:sz w:val="22"/>
          <w:szCs w:val="22"/>
          <w:color w:val="auto"/>
        </w:rPr>
        <w:t xml:space="preserve">” means, as of any date of determination, an amount equal to (a) the Aggregate Principal Balance of all Transferred Loans (as defined in the Purchase and Sale Agreement) sold and/or contributed by the BDC, as seller, to the Borrower, as buyer pursuant to the Purchase and Sale Agreement prior to such date,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Aggregate Principal Balance of all Transferred Loans (other than Warranty Loans (as defined in the Purchase and Sale Agreement)) repurchased or substituted by the BDC, as seller, prior to such date.</w:t>
      </w:r>
    </w:p>
    <w:p>
      <w:pPr>
        <w:spacing w:after="0" w:line="295" w:lineRule="exact"/>
        <w:rPr>
          <w:sz w:val="20"/>
          <w:szCs w:val="20"/>
          <w:color w:val="auto"/>
        </w:rPr>
      </w:pPr>
    </w:p>
    <w:p>
      <w:pPr>
        <w:jc w:val="both"/>
        <w:ind w:firstLine="78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Net Worth</w:t>
      </w:r>
      <w:r>
        <w:rPr>
          <w:rFonts w:ascii="Arial" w:cs="Arial" w:eastAsia="Arial" w:hAnsi="Arial"/>
          <w:sz w:val="19"/>
          <w:szCs w:val="19"/>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21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“Net Worth to Total Capital Ratio” </w:t>
      </w:r>
      <w:r>
        <w:rPr>
          <w:rFonts w:ascii="Arial" w:cs="Arial" w:eastAsia="Arial" w:hAnsi="Arial"/>
          <w:sz w:val="22"/>
          <w:szCs w:val="22"/>
          <w:color w:val="auto"/>
        </w:rPr>
        <w:t>means, at any time the same is to be determined for any Obligor, the ratio of (i) such</w:t>
      </w:r>
      <w:r>
        <w:rPr>
          <w:rFonts w:ascii="Arial" w:cs="Arial" w:eastAsia="Arial" w:hAnsi="Arial"/>
          <w:sz w:val="22"/>
          <w:szCs w:val="22"/>
          <w:i w:val="1"/>
          <w:iCs w:val="1"/>
          <w:color w:val="auto"/>
        </w:rPr>
        <w:t xml:space="preserve"> </w:t>
      </w:r>
      <w:r>
        <w:rPr>
          <w:rFonts w:ascii="Arial" w:cs="Arial" w:eastAsia="Arial" w:hAnsi="Arial"/>
          <w:sz w:val="22"/>
          <w:szCs w:val="22"/>
          <w:color w:val="auto"/>
        </w:rPr>
        <w:t>Obligor’s Net Worth to (ii) the Total Capitalization of such Obligor.</w:t>
      </w:r>
    </w:p>
    <w:p>
      <w:pPr>
        <w:spacing w:after="0" w:line="283"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9"/>
          <w:szCs w:val="19"/>
          <w:i w:val="1"/>
          <w:iCs w:val="1"/>
          <w:color w:val="auto"/>
        </w:rPr>
        <w:t xml:space="preserve">“Non-Cash Paying PIK Loan” </w:t>
      </w:r>
      <w:r>
        <w:rPr>
          <w:rFonts w:ascii="Arial" w:cs="Arial" w:eastAsia="Arial" w:hAnsi="Arial"/>
          <w:sz w:val="19"/>
          <w:szCs w:val="19"/>
          <w:color w:val="auto"/>
        </w:rPr>
        <w:t>means, at any time, a PIK Loan that is deferring all of the cash interest that is due at such</w:t>
      </w:r>
      <w:r>
        <w:rPr>
          <w:rFonts w:ascii="Arial" w:cs="Arial" w:eastAsia="Arial" w:hAnsi="Arial"/>
          <w:sz w:val="19"/>
          <w:szCs w:val="19"/>
          <w:i w:val="1"/>
          <w:iCs w:val="1"/>
          <w:color w:val="auto"/>
        </w:rPr>
        <w:t xml:space="preserve"> </w:t>
      </w:r>
      <w:r>
        <w:rPr>
          <w:rFonts w:ascii="Arial" w:cs="Arial" w:eastAsia="Arial" w:hAnsi="Arial"/>
          <w:sz w:val="19"/>
          <w:szCs w:val="19"/>
          <w:color w:val="auto"/>
        </w:rPr>
        <w:t>time or that, at such time, has any capitalized interest (unless, in addition to capitalized interest, such PIK Loan requires interest in cash at a rate of at least LIBOR plus 3.50% per annum), or any balance of due and unpaid cash interest, outstanding.</w:t>
      </w:r>
    </w:p>
    <w:p>
      <w:pPr>
        <w:spacing w:after="0" w:line="242"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Noteless Loan</w:t>
      </w:r>
      <w:r>
        <w:rPr>
          <w:rFonts w:ascii="Arial" w:cs="Arial" w:eastAsia="Arial" w:hAnsi="Arial"/>
          <w:sz w:val="19"/>
          <w:szCs w:val="19"/>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267" w:right="339" w:bottom="1440" w:gutter="0" w:footer="0" w:header="0"/>
        </w:sectPr>
      </w:pPr>
    </w:p>
    <w:bookmarkStart w:id="87" w:name="page88"/>
    <w:bookmarkEnd w:id="87"/>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of Borrowing”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“Notice of Prepayment”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“Obligations” </w:t>
      </w:r>
      <w:r>
        <w:rPr>
          <w:rFonts w:ascii="Arial" w:cs="Arial" w:eastAsia="Arial" w:hAnsi="Arial"/>
          <w:sz w:val="22"/>
          <w:szCs w:val="22"/>
          <w:color w:val="auto"/>
        </w:rPr>
        <w:t>means all indebtedness, whether absolute, fixed or contingent, at any time or from time to time owing by</w:t>
      </w:r>
      <w:r>
        <w:rPr>
          <w:rFonts w:ascii="Arial" w:cs="Arial" w:eastAsia="Arial" w:hAnsi="Arial"/>
          <w:sz w:val="22"/>
          <w:szCs w:val="22"/>
          <w:i w:val="1"/>
          <w:iCs w:val="1"/>
          <w:color w:val="auto"/>
        </w:rPr>
        <w:t xml:space="preserve"> </w:t>
      </w:r>
      <w:r>
        <w:rPr>
          <w:rFonts w:ascii="Arial" w:cs="Arial" w:eastAsia="Arial" w:hAnsi="Arial"/>
          <w:sz w:val="22"/>
          <w:szCs w:val="22"/>
          <w:color w:val="auto"/>
        </w:rPr>
        <w:t>the Borrower to any 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29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“Obligor” </w:t>
      </w:r>
      <w:r>
        <w:rPr>
          <w:rFonts w:ascii="Arial" w:cs="Arial" w:eastAsia="Arial" w:hAnsi="Arial"/>
          <w:sz w:val="22"/>
          <w:szCs w:val="22"/>
          <w:color w:val="auto"/>
        </w:rPr>
        <w:t>means, in respect of any Collateral Loan, the Person primarily obligated to pay Collections in respect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Collateral Loan.</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“OFAC”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4.01(f)</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“Offer” </w:t>
      </w:r>
      <w:r>
        <w:rPr>
          <w:rFonts w:ascii="Arial" w:cs="Arial" w:eastAsia="Arial" w:hAnsi="Arial"/>
          <w:sz w:val="22"/>
          <w:szCs w:val="22"/>
          <w:color w:val="auto"/>
        </w:rPr>
        <w:t>has the meaning given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8.07(c)</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“Original Agreement” </w:t>
      </w:r>
      <w:r>
        <w:rPr>
          <w:rFonts w:ascii="Arial" w:cs="Arial" w:eastAsia="Arial" w:hAnsi="Arial"/>
          <w:sz w:val="22"/>
          <w:szCs w:val="22"/>
          <w:color w:val="auto"/>
        </w:rPr>
        <w:t>has the meaning assigned to such term in the preamble hereto.</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“Original Currency”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“Other Taxes” </w:t>
      </w:r>
      <w:r>
        <w:rPr>
          <w:rFonts w:ascii="Arial" w:cs="Arial" w:eastAsia="Arial" w:hAnsi="Arial"/>
          <w:sz w:val="22"/>
          <w:szCs w:val="22"/>
          <w:color w:val="auto"/>
        </w:rPr>
        <w:t>has the meaning given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15.03(b)</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“Ownership Certificates” </w:t>
      </w:r>
      <w:r>
        <w:rPr>
          <w:rFonts w:ascii="Arial" w:cs="Arial" w:eastAsia="Arial" w:hAnsi="Arial"/>
          <w:sz w:val="22"/>
          <w:szCs w:val="22"/>
          <w:color w:val="auto"/>
        </w:rPr>
        <w:t>means, in respect of any Collateral, all stock, ownership certificates, participation certificates</w:t>
      </w:r>
      <w:r>
        <w:rPr>
          <w:rFonts w:ascii="Arial" w:cs="Arial" w:eastAsia="Arial" w:hAnsi="Arial"/>
          <w:sz w:val="22"/>
          <w:szCs w:val="22"/>
          <w:i w:val="1"/>
          <w:iCs w:val="1"/>
          <w:color w:val="auto"/>
        </w:rPr>
        <w:t xml:space="preserve"> </w:t>
      </w:r>
      <w:r>
        <w:rPr>
          <w:rFonts w:ascii="Arial" w:cs="Arial" w:eastAsia="Arial" w:hAnsi="Arial"/>
          <w:sz w:val="22"/>
          <w:szCs w:val="22"/>
          <w:color w:val="auto"/>
        </w:rPr>
        <w:t>and other “instruments” and “certificated securities” (as such terms are defined in the UCC), if any, governing or evidencing or representing ownership of such Collateral.</w:t>
      </w:r>
    </w:p>
    <w:p>
      <w:pPr>
        <w:spacing w:after="0" w:line="29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“Participant” </w:t>
      </w:r>
      <w:r>
        <w:rPr>
          <w:rFonts w:ascii="Arial" w:cs="Arial" w:eastAsia="Arial" w:hAnsi="Arial"/>
          <w:sz w:val="22"/>
          <w:szCs w:val="22"/>
          <w:color w:val="auto"/>
        </w:rPr>
        <w:t>means any Person to whom a participation is sold as permitted by</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15.06(d)</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328" w:lineRule="auto"/>
        <w:rPr>
          <w:sz w:val="20"/>
          <w:szCs w:val="20"/>
          <w:color w:val="auto"/>
        </w:rPr>
      </w:pPr>
      <w:r>
        <w:rPr>
          <w:rFonts w:ascii="Arial" w:cs="Arial" w:eastAsia="Arial" w:hAnsi="Arial"/>
          <w:sz w:val="19"/>
          <w:szCs w:val="19"/>
          <w:i w:val="1"/>
          <w:iCs w:val="1"/>
          <w:color w:val="auto"/>
        </w:rPr>
        <w:t xml:space="preserve">“Participating Member State” </w:t>
      </w:r>
      <w:r>
        <w:rPr>
          <w:rFonts w:ascii="Arial" w:cs="Arial" w:eastAsia="Arial" w:hAnsi="Arial"/>
          <w:sz w:val="19"/>
          <w:szCs w:val="19"/>
          <w:color w:val="auto"/>
        </w:rPr>
        <w:t>means any member state of the European Community that adopts or has adopted the</w:t>
      </w:r>
      <w:r>
        <w:rPr>
          <w:rFonts w:ascii="Arial" w:cs="Arial" w:eastAsia="Arial" w:hAnsi="Arial"/>
          <w:sz w:val="19"/>
          <w:szCs w:val="19"/>
          <w:i w:val="1"/>
          <w:iCs w:val="1"/>
          <w:color w:val="auto"/>
        </w:rPr>
        <w:t xml:space="preserve"> </w:t>
      </w:r>
      <w:r>
        <w:rPr>
          <w:rFonts w:ascii="Arial" w:cs="Arial" w:eastAsia="Arial" w:hAnsi="Arial"/>
          <w:sz w:val="19"/>
          <w:szCs w:val="19"/>
          <w:color w:val="auto"/>
        </w:rPr>
        <w:t>Euro as its lawful currency in accordance with the legislation of the European Union relating to the European Monetary Union.</w:t>
      </w:r>
    </w:p>
    <w:p>
      <w:pPr>
        <w:spacing w:after="0" w:line="21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“Participation Interest” </w:t>
      </w:r>
      <w:r>
        <w:rPr>
          <w:rFonts w:ascii="Arial" w:cs="Arial" w:eastAsia="Arial" w:hAnsi="Arial"/>
          <w:sz w:val="22"/>
          <w:szCs w:val="22"/>
          <w:color w:val="auto"/>
        </w:rPr>
        <w:t>means a participation interest in a loan or other obligation that would, at the time of acquisition,</w:t>
      </w:r>
      <w:r>
        <w:rPr>
          <w:rFonts w:ascii="Arial" w:cs="Arial" w:eastAsia="Arial" w:hAnsi="Arial"/>
          <w:sz w:val="22"/>
          <w:szCs w:val="22"/>
          <w:i w:val="1"/>
          <w:iCs w:val="1"/>
          <w:color w:val="auto"/>
        </w:rPr>
        <w:t xml:space="preserve"> </w:t>
      </w:r>
      <w:r>
        <w:rPr>
          <w:rFonts w:ascii="Arial" w:cs="Arial" w:eastAsia="Arial" w:hAnsi="Arial"/>
          <w:sz w:val="22"/>
          <w:szCs w:val="22"/>
          <w:color w:val="auto"/>
        </w:rPr>
        <w:t>or the Borrower’s commitment to acquire the same, constitute a Collateral Loan.</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“PATRIOT Act”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15.16</w:t>
      </w:r>
      <w:r>
        <w:rPr>
          <w:rFonts w:ascii="Arial" w:cs="Arial" w:eastAsia="Arial" w:hAnsi="Arial"/>
          <w:sz w:val="22"/>
          <w:szCs w:val="22"/>
          <w:color w:val="auto"/>
        </w:rPr>
        <w:t>.</w:t>
      </w:r>
    </w:p>
    <w:p>
      <w:pPr>
        <w:spacing w:after="0" w:line="314"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“Payment Account” </w:t>
      </w:r>
      <w:r>
        <w:rPr>
          <w:rFonts w:ascii="Arial" w:cs="Arial" w:eastAsia="Arial" w:hAnsi="Arial"/>
          <w:sz w:val="22"/>
          <w:szCs w:val="22"/>
          <w:color w:val="auto"/>
        </w:rPr>
        <w:t>means, collectively, the payment accounts of the Collateral Agent established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8.03(a)</w:t>
      </w:r>
      <w:r>
        <w:rPr>
          <w:rFonts w:ascii="Arial" w:cs="Arial" w:eastAsia="Arial" w:hAnsi="Arial"/>
          <w:sz w:val="22"/>
          <w:szCs w:val="22"/>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267" w:right="339" w:bottom="1440" w:gutter="0" w:footer="0" w:header="0"/>
        </w:sectPr>
      </w:pPr>
    </w:p>
    <w:bookmarkStart w:id="88" w:name="page89"/>
    <w:bookmarkEnd w:id="88"/>
    <w:p>
      <w:pPr>
        <w:jc w:val="both"/>
        <w:ind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“Payment Date” </w:t>
      </w:r>
      <w:r>
        <w:rPr>
          <w:rFonts w:ascii="Arial" w:cs="Arial" w:eastAsia="Arial" w:hAnsi="Arial"/>
          <w:sz w:val="22"/>
          <w:szCs w:val="22"/>
          <w:color w:val="auto"/>
        </w:rPr>
        <w:t>means the 20</w:t>
      </w:r>
      <w:r>
        <w:rPr>
          <w:rFonts w:ascii="Arial" w:cs="Arial" w:eastAsia="Arial" w:hAnsi="Arial"/>
          <w:sz w:val="18"/>
          <w:szCs w:val="18"/>
          <w:color w:val="auto"/>
        </w:rPr>
        <w:t>th</w:t>
      </w:r>
      <w:r>
        <w:rPr>
          <w:rFonts w:ascii="Arial" w:cs="Arial" w:eastAsia="Arial" w:hAnsi="Arial"/>
          <w:sz w:val="22"/>
          <w:szCs w:val="22"/>
          <w:i w:val="1"/>
          <w:iCs w:val="1"/>
          <w:color w:val="auto"/>
        </w:rPr>
        <w:t xml:space="preserve"> </w:t>
      </w:r>
      <w:r>
        <w:rPr>
          <w:rFonts w:ascii="Arial" w:cs="Arial" w:eastAsia="Arial" w:hAnsi="Arial"/>
          <w:sz w:val="22"/>
          <w:szCs w:val="22"/>
          <w:color w:val="auto"/>
        </w:rPr>
        <w:t>day of each calendar month in each year;</w:t>
      </w:r>
      <w:r>
        <w:rPr>
          <w:rFonts w:ascii="Arial" w:cs="Arial" w:eastAsia="Arial" w:hAnsi="Arial"/>
          <w:sz w:val="22"/>
          <w:szCs w:val="22"/>
          <w:i w:val="1"/>
          <w:iCs w:val="1"/>
          <w:color w:val="auto"/>
        </w:rPr>
        <w:t xml:space="preserve"> provided </w:t>
      </w:r>
      <w:r>
        <w:rPr>
          <w:rFonts w:ascii="Arial" w:cs="Arial" w:eastAsia="Arial" w:hAnsi="Arial"/>
          <w:sz w:val="22"/>
          <w:szCs w:val="22"/>
          <w:color w:val="auto"/>
        </w:rPr>
        <w:t>that, if any such day is not a</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Day, then such Payment Date shall be the next succeeding Business Day.</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“Payment Date Report”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8.06(b)</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“PBGC” </w:t>
      </w:r>
      <w:r>
        <w:rPr>
          <w:rFonts w:ascii="Arial" w:cs="Arial" w:eastAsia="Arial" w:hAnsi="Arial"/>
          <w:sz w:val="22"/>
          <w:szCs w:val="22"/>
          <w:color w:val="auto"/>
        </w:rPr>
        <w:t>means the Pension Benefit Guaranty Corporation, or any successor agency or entity performing substantially</w:t>
      </w:r>
      <w:r>
        <w:rPr>
          <w:rFonts w:ascii="Arial" w:cs="Arial" w:eastAsia="Arial" w:hAnsi="Arial"/>
          <w:sz w:val="22"/>
          <w:szCs w:val="22"/>
          <w:i w:val="1"/>
          <w:iCs w:val="1"/>
          <w:color w:val="auto"/>
        </w:rPr>
        <w:t xml:space="preserve"> </w:t>
      </w:r>
      <w:r>
        <w:rPr>
          <w:rFonts w:ascii="Arial" w:cs="Arial" w:eastAsia="Arial" w:hAnsi="Arial"/>
          <w:sz w:val="22"/>
          <w:szCs w:val="22"/>
          <w:color w:val="auto"/>
        </w:rPr>
        <w:t>the same functions.</w:t>
      </w:r>
    </w:p>
    <w:p>
      <w:pPr>
        <w:spacing w:after="0" w:line="283" w:lineRule="exact"/>
        <w:rPr>
          <w:sz w:val="20"/>
          <w:szCs w:val="20"/>
          <w:color w:val="auto"/>
        </w:rPr>
      </w:pPr>
    </w:p>
    <w:p>
      <w:pPr>
        <w:jc w:val="both"/>
        <w:ind w:firstLine="786"/>
        <w:spacing w:after="0" w:line="234" w:lineRule="auto"/>
        <w:rPr>
          <w:sz w:val="20"/>
          <w:szCs w:val="20"/>
          <w:color w:val="auto"/>
        </w:rPr>
      </w:pPr>
      <w:r>
        <w:rPr>
          <w:rFonts w:ascii="Arial" w:cs="Arial" w:eastAsia="Arial" w:hAnsi="Arial"/>
          <w:sz w:val="22"/>
          <w:szCs w:val="22"/>
          <w:i w:val="1"/>
          <w:iCs w:val="1"/>
          <w:color w:val="auto"/>
        </w:rPr>
        <w:t xml:space="preserve">“Percentage” </w:t>
      </w:r>
      <w:r>
        <w:rPr>
          <w:rFonts w:ascii="Arial" w:cs="Arial" w:eastAsia="Arial" w:hAnsi="Arial"/>
          <w:sz w:val="22"/>
          <w:szCs w:val="22"/>
          <w:color w:val="auto"/>
        </w:rPr>
        <w:t>of any Lender means, (a) with respect to any Lender party hereto on the date hereof, the percentage set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forth opposite such Lender’s name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299"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“Permitted Agent” </w:t>
      </w:r>
      <w:r>
        <w:rPr>
          <w:rFonts w:ascii="Arial" w:cs="Arial" w:eastAsia="Arial" w:hAnsi="Arial"/>
          <w:sz w:val="22"/>
          <w:szCs w:val="22"/>
          <w:color w:val="auto"/>
        </w:rPr>
        <w:t>means:</w:t>
      </w:r>
    </w:p>
    <w:p>
      <w:pPr>
        <w:spacing w:after="0" w:line="314" w:lineRule="exact"/>
        <w:rPr>
          <w:sz w:val="20"/>
          <w:szCs w:val="20"/>
          <w:color w:val="auto"/>
        </w:rPr>
      </w:pPr>
    </w:p>
    <w:p>
      <w:pPr>
        <w:ind w:left="800" w:firstLine="934"/>
        <w:spacing w:after="0" w:line="250" w:lineRule="auto"/>
        <w:tabs>
          <w:tab w:leader="none" w:pos="2449"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 connection with the Facility Documents, the Collateral Manager, the Custodian, the Agents, the Independent Accountants and any such party’s sub-agents; and</w:t>
      </w:r>
    </w:p>
    <w:p>
      <w:pPr>
        <w:spacing w:after="0" w:line="282" w:lineRule="exact"/>
        <w:rPr>
          <w:rFonts w:ascii="Arial" w:cs="Arial" w:eastAsia="Arial" w:hAnsi="Arial"/>
          <w:sz w:val="22"/>
          <w:szCs w:val="22"/>
          <w:color w:val="auto"/>
        </w:rPr>
      </w:pPr>
    </w:p>
    <w:p>
      <w:pPr>
        <w:jc w:val="both"/>
        <w:ind w:left="800" w:firstLine="934"/>
        <w:spacing w:after="0" w:line="249" w:lineRule="auto"/>
        <w:tabs>
          <w:tab w:leader="none" w:pos="2352" w:val="left"/>
        </w:tabs>
        <w:numPr>
          <w:ilvl w:val="0"/>
          <w:numId w:val="93"/>
        </w:numPr>
        <w:rPr>
          <w:rFonts w:ascii="Arial" w:cs="Arial" w:eastAsia="Arial" w:hAnsi="Arial"/>
          <w:sz w:val="21"/>
          <w:szCs w:val="21"/>
          <w:color w:val="auto"/>
        </w:rPr>
      </w:pPr>
      <w:r>
        <w:rPr>
          <w:rFonts w:ascii="Arial" w:cs="Arial" w:eastAsia="Arial" w:hAnsi="Arial"/>
          <w:sz w:val="21"/>
          <w:szCs w:val="21"/>
          <w:color w:val="auto"/>
        </w:rPr>
        <w:t>in connection with the Collateral Loans, (i) administrative agents, collateral agents, arrangers, trustees and similar agents (and any sub-agents) appointed under the Related Documents, (ii) financial and restructuring advisors, appraisers and evaluators, (iii) foreign agents retained for foreign perfection purposes or other local law requirements, (iv) back-office operations providers and (v) legal counsel, in each case, consistent with the Collateral Manager’s past practice and in the ordinary course of business.</w:t>
      </w:r>
    </w:p>
    <w:p>
      <w:pPr>
        <w:spacing w:after="0" w:line="286" w:lineRule="exact"/>
        <w:rPr>
          <w:sz w:val="20"/>
          <w:szCs w:val="20"/>
          <w:color w:val="auto"/>
        </w:rPr>
      </w:pPr>
    </w:p>
    <w:p>
      <w:pPr>
        <w:jc w:val="both"/>
        <w:ind w:firstLine="78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Assignee</w:t>
      </w:r>
      <w:r>
        <w:rPr>
          <w:rFonts w:ascii="Arial" w:cs="Arial" w:eastAsia="Arial" w:hAnsi="Arial"/>
          <w:sz w:val="19"/>
          <w:szCs w:val="19"/>
          <w:color w:val="auto"/>
        </w:rPr>
        <w:t>” means, with respect to (i) any CP Conduit, any Liquidity Bank for such CP Conduit and any other multi-seller asset-backed commercial paper conduit administered by the same agent as such CP Conduit, (ii) any Lender other than a CP Conduit, an Affiliate of such Lender that has a short-term unsecured debt rating or certificate of deposit rating of “A-2” or better by S&amp;P or “P-2” or better by Moody’s, and (iii) any Lender, any other Lender, and which, in the case of clause (ii) does not require the Borrower to pay any additional or increased costs or is otherwise approved by the Borrower.</w:t>
      </w:r>
    </w:p>
    <w:p>
      <w:pPr>
        <w:spacing w:after="0" w:line="255" w:lineRule="exact"/>
        <w:rPr>
          <w:sz w:val="20"/>
          <w:szCs w:val="20"/>
          <w:color w:val="auto"/>
        </w:rPr>
      </w:pPr>
    </w:p>
    <w:p>
      <w:pPr>
        <w:jc w:val="both"/>
        <w:ind w:firstLine="786"/>
        <w:spacing w:after="0" w:line="252" w:lineRule="auto"/>
        <w:rPr>
          <w:sz w:val="20"/>
          <w:szCs w:val="20"/>
          <w:color w:val="auto"/>
        </w:rPr>
      </w:pPr>
      <w:r>
        <w:rPr>
          <w:rFonts w:ascii="Arial" w:cs="Arial" w:eastAsia="Arial" w:hAnsi="Arial"/>
          <w:sz w:val="21"/>
          <w:szCs w:val="21"/>
          <w:i w:val="1"/>
          <w:iCs w:val="1"/>
          <w:color w:val="auto"/>
        </w:rPr>
        <w:t xml:space="preserve">“Permitted Liens” </w:t>
      </w:r>
      <w:r>
        <w:rPr>
          <w:rFonts w:ascii="Arial" w:cs="Arial" w:eastAsia="Arial" w:hAnsi="Arial"/>
          <w:sz w:val="21"/>
          <w:szCs w:val="21"/>
          <w:color w:val="auto"/>
        </w:rPr>
        <w:t>means: (a) Liens created in favor of the Collateral Agent hereunder or under the other Facility</w:t>
      </w:r>
      <w:r>
        <w:rPr>
          <w:rFonts w:ascii="Arial" w:cs="Arial" w:eastAsia="Arial" w:hAnsi="Arial"/>
          <w:sz w:val="21"/>
          <w:szCs w:val="21"/>
          <w:i w:val="1"/>
          <w:iCs w:val="1"/>
          <w:color w:val="auto"/>
        </w:rPr>
        <w:t xml:space="preserve"> </w:t>
      </w:r>
      <w:r>
        <w:rPr>
          <w:rFonts w:ascii="Arial" w:cs="Arial" w:eastAsia="Arial" w:hAnsi="Arial"/>
          <w:sz w:val="21"/>
          <w:szCs w:val="21"/>
          <w:color w:val="auto"/>
        </w:rPr>
        <w:t>Documents for the benefit of the 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267" w:right="339" w:bottom="1440" w:gutter="0" w:footer="0" w:header="0"/>
        </w:sectPr>
      </w:pPr>
    </w:p>
    <w:bookmarkStart w:id="89" w:name="page90"/>
    <w:bookmarkEnd w:id="89"/>
    <w:p>
      <w:pPr>
        <w:jc w:val="both"/>
        <w:ind w:firstLine="786"/>
        <w:spacing w:after="0" w:line="252" w:lineRule="auto"/>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“Permitted Securitization” </w:t>
      </w:r>
      <w:r>
        <w:rPr>
          <w:rFonts w:ascii="Arial" w:cs="Arial" w:eastAsia="Arial" w:hAnsi="Arial"/>
          <w:sz w:val="21"/>
          <w:szCs w:val="21"/>
          <w:color w:val="auto"/>
        </w:rPr>
        <w:t>means any private or public term or conduit securitization transaction undertaken by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or its Affiliates that 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282"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 individual or a corporation (including a business trust), partnership, trust, incorporated or</w:t>
      </w:r>
      <w:r>
        <w:rPr>
          <w:rFonts w:ascii="Arial" w:cs="Arial" w:eastAsia="Arial" w:hAnsi="Arial"/>
          <w:sz w:val="22"/>
          <w:szCs w:val="22"/>
          <w:i w:val="1"/>
          <w:iCs w:val="1"/>
          <w:color w:val="auto"/>
        </w:rPr>
        <w:t xml:space="preserve"> </w:t>
      </w:r>
      <w:r>
        <w:rPr>
          <w:rFonts w:ascii="Arial" w:cs="Arial" w:eastAsia="Arial" w:hAnsi="Arial"/>
          <w:sz w:val="22"/>
          <w:szCs w:val="22"/>
          <w:color w:val="auto"/>
        </w:rPr>
        <w:t>unincorporated association, joint stock company, limited liability company, government (or an agency or political subdivision thereof) or other entity of any kind.</w:t>
      </w:r>
    </w:p>
    <w:p>
      <w:pPr>
        <w:spacing w:after="0" w:line="294"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“PIK Loan” </w:t>
      </w:r>
      <w:r>
        <w:rPr>
          <w:rFonts w:ascii="Arial" w:cs="Arial" w:eastAsia="Arial" w:hAnsi="Arial"/>
          <w:sz w:val="22"/>
          <w:szCs w:val="22"/>
          <w:color w:val="auto"/>
        </w:rPr>
        <w:t>means a Collateral Loan that permits the obligor thereon to defer or capitalize any portion of the accrued</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thereon.</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“Plan” </w:t>
      </w:r>
      <w:r>
        <w:rPr>
          <w:rFonts w:ascii="Arial" w:cs="Arial" w:eastAsia="Arial" w:hAnsi="Arial"/>
          <w:sz w:val="22"/>
          <w:szCs w:val="22"/>
          <w:color w:val="auto"/>
        </w:rPr>
        <w:t>means an employee pension benefit plan (other than a Multiemployer Plan) which is covered by Title IV of</w:t>
      </w:r>
      <w:r>
        <w:rPr>
          <w:rFonts w:ascii="Arial" w:cs="Arial" w:eastAsia="Arial" w:hAnsi="Arial"/>
          <w:sz w:val="22"/>
          <w:szCs w:val="22"/>
          <w:i w:val="1"/>
          <w:iCs w:val="1"/>
          <w:color w:val="auto"/>
        </w:rPr>
        <w:t xml:space="preserve"> </w:t>
      </w:r>
      <w:r>
        <w:rPr>
          <w:rFonts w:ascii="Arial" w:cs="Arial" w:eastAsia="Arial" w:hAnsi="Arial"/>
          <w:sz w:val="22"/>
          <w:szCs w:val="22"/>
          <w:color w:val="auto"/>
        </w:rPr>
        <w:t>ERISA or subject to the minimum funding standards under Section 412 of the Code that is sponsored by the Borrower or a member of its ERISA Group or to which the Borrower or a member of its ERISA Group is obligated to make contributions or has any liability.</w:t>
      </w:r>
    </w:p>
    <w:p>
      <w:pPr>
        <w:spacing w:after="0" w:line="29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“Post-Default Rate” </w:t>
      </w:r>
      <w:r>
        <w:rPr>
          <w:rFonts w:ascii="Arial" w:cs="Arial" w:eastAsia="Arial" w:hAnsi="Arial"/>
          <w:sz w:val="22"/>
          <w:szCs w:val="22"/>
          <w:color w:val="auto"/>
        </w:rPr>
        <w:t>means a rate per annum equal to the rate of interest otherwise in effect pursuant to this Agreement</w:t>
      </w:r>
      <w:r>
        <w:rPr>
          <w:rFonts w:ascii="Arial" w:cs="Arial" w:eastAsia="Arial" w:hAnsi="Arial"/>
          <w:sz w:val="22"/>
          <w:szCs w:val="22"/>
          <w:i w:val="1"/>
          <w:iCs w:val="1"/>
          <w:color w:val="auto"/>
        </w:rPr>
        <w:t xml:space="preserve"> plus </w:t>
      </w:r>
      <w:r>
        <w:rPr>
          <w:rFonts w:ascii="Arial" w:cs="Arial" w:eastAsia="Arial" w:hAnsi="Arial"/>
          <w:sz w:val="22"/>
          <w:szCs w:val="22"/>
          <w:color w:val="auto"/>
        </w:rPr>
        <w:t>2.0% per annum.</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“Pounds Sterling” </w:t>
      </w:r>
      <w:r>
        <w:rPr>
          <w:rFonts w:ascii="Arial" w:cs="Arial" w:eastAsia="Arial" w:hAnsi="Arial"/>
          <w:sz w:val="22"/>
          <w:szCs w:val="22"/>
          <w:color w:val="auto"/>
        </w:rPr>
        <w:t>means the lawful currency of the United Kingdom.</w:t>
      </w:r>
    </w:p>
    <w:p>
      <w:pPr>
        <w:spacing w:after="0" w:line="314" w:lineRule="exact"/>
        <w:rPr>
          <w:sz w:val="20"/>
          <w:szCs w:val="20"/>
          <w:color w:val="auto"/>
        </w:rPr>
      </w:pPr>
    </w:p>
    <w:p>
      <w:pPr>
        <w:jc w:val="both"/>
        <w:ind w:right="20" w:firstLine="786"/>
        <w:spacing w:after="0"/>
        <w:rPr>
          <w:sz w:val="20"/>
          <w:szCs w:val="20"/>
          <w:color w:val="auto"/>
        </w:rPr>
      </w:pPr>
      <w:r>
        <w:rPr>
          <w:rFonts w:ascii="Arial" w:cs="Arial" w:eastAsia="Arial" w:hAnsi="Arial"/>
          <w:sz w:val="22"/>
          <w:szCs w:val="22"/>
          <w:i w:val="1"/>
          <w:iCs w:val="1"/>
          <w:color w:val="auto"/>
        </w:rPr>
        <w:t xml:space="preserve">“Pounds Sterling Borrowing Base” </w:t>
      </w:r>
      <w:r>
        <w:rPr>
          <w:rFonts w:ascii="Arial" w:cs="Arial" w:eastAsia="Arial" w:hAnsi="Arial"/>
          <w:sz w:val="22"/>
          <w:szCs w:val="22"/>
          <w:color w:val="auto"/>
        </w:rPr>
        <w:t>means an amount, calculated in Pounds Sterling, equal to (a) the portion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Borrowing Base that is allocable to Collateral Loans that are denominated in Pounds Sterling,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aggregate amount of Pounds Sterling then on deposit in the applicable Principal Collection Subaccount.</w:t>
      </w:r>
    </w:p>
    <w:p>
      <w:pPr>
        <w:spacing w:after="0" w:line="294" w:lineRule="exact"/>
        <w:rPr>
          <w:sz w:val="20"/>
          <w:szCs w:val="20"/>
          <w:color w:val="auto"/>
        </w:rPr>
      </w:pPr>
    </w:p>
    <w:p>
      <w:pPr>
        <w:jc w:val="both"/>
        <w:ind w:firstLine="786"/>
        <w:spacing w:after="0" w:line="328" w:lineRule="auto"/>
        <w:rPr>
          <w:sz w:val="20"/>
          <w:szCs w:val="20"/>
          <w:color w:val="auto"/>
        </w:rPr>
      </w:pPr>
      <w:r>
        <w:rPr>
          <w:rFonts w:ascii="Arial" w:cs="Arial" w:eastAsia="Arial" w:hAnsi="Arial"/>
          <w:sz w:val="19"/>
          <w:szCs w:val="19"/>
          <w:i w:val="1"/>
          <w:iCs w:val="1"/>
          <w:color w:val="auto"/>
        </w:rPr>
        <w:t xml:space="preserve">“Pounds Sterling Borrowing Base Test” </w:t>
      </w:r>
      <w:r>
        <w:rPr>
          <w:rFonts w:ascii="Arial" w:cs="Arial" w:eastAsia="Arial" w:hAnsi="Arial"/>
          <w:sz w:val="19"/>
          <w:szCs w:val="19"/>
          <w:color w:val="auto"/>
        </w:rPr>
        <w:t>means a test that will be satisfied at any time that (i) the aggregate outstanding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principal balance of Advances denominated in Pounds Sterling is less than or equal to (ii) the Pounds Sterling Borrowing Base.</w:t>
      </w:r>
    </w:p>
    <w:p>
      <w:pPr>
        <w:spacing w:after="0" w:line="213" w:lineRule="exact"/>
        <w:rPr>
          <w:sz w:val="20"/>
          <w:szCs w:val="20"/>
          <w:color w:val="auto"/>
        </w:rPr>
      </w:pPr>
    </w:p>
    <w:p>
      <w:pPr>
        <w:jc w:val="both"/>
        <w:ind w:firstLine="786"/>
        <w:spacing w:after="0" w:line="287" w:lineRule="auto"/>
        <w:rPr>
          <w:sz w:val="20"/>
          <w:szCs w:val="20"/>
          <w:color w:val="auto"/>
        </w:rPr>
      </w:pPr>
      <w:r>
        <w:rPr>
          <w:rFonts w:ascii="Arial" w:cs="Arial" w:eastAsia="Arial" w:hAnsi="Arial"/>
          <w:sz w:val="19"/>
          <w:szCs w:val="19"/>
          <w:i w:val="1"/>
          <w:iCs w:val="1"/>
          <w:color w:val="auto"/>
        </w:rPr>
        <w:t xml:space="preserve">“Pounds Sterling Variability Reserve” </w:t>
      </w:r>
      <w:r>
        <w:rPr>
          <w:rFonts w:ascii="Arial" w:cs="Arial" w:eastAsia="Arial" w:hAnsi="Arial"/>
          <w:sz w:val="19"/>
          <w:szCs w:val="19"/>
          <w:color w:val="auto"/>
        </w:rPr>
        <w:t>means, the sum, for each Collateral Loan in the Pounds Sterling Borrowing Base,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an amount equal to the following: (i) the Dollar Equivalent of the Principal Balance of such Collateral Loan as of such date, </w:t>
      </w:r>
      <w:r>
        <w:rPr>
          <w:rFonts w:ascii="Arial" w:cs="Arial" w:eastAsia="Arial" w:hAnsi="Arial"/>
          <w:sz w:val="19"/>
          <w:szCs w:val="19"/>
          <w:i w:val="1"/>
          <w:iCs w:val="1"/>
          <w:color w:val="auto"/>
        </w:rPr>
        <w:t xml:space="preserve">times </w:t>
      </w:r>
      <w:r>
        <w:rPr>
          <w:rFonts w:ascii="Arial" w:cs="Arial" w:eastAsia="Arial" w:hAnsi="Arial"/>
          <w:sz w:val="19"/>
          <w:szCs w:val="19"/>
          <w:color w:val="auto"/>
        </w:rPr>
        <w:t>(ii) (a percentage equal to 100.00%</w:t>
      </w:r>
      <w:r>
        <w:rPr>
          <w:rFonts w:ascii="Arial" w:cs="Arial" w:eastAsia="Arial" w:hAnsi="Arial"/>
          <w:sz w:val="19"/>
          <w:szCs w:val="19"/>
          <w:i w:val="1"/>
          <w:iCs w:val="1"/>
          <w:color w:val="auto"/>
        </w:rPr>
        <w:t xml:space="preserve"> minus </w:t>
      </w:r>
      <w:r>
        <w:rPr>
          <w:rFonts w:ascii="Arial" w:cs="Arial" w:eastAsia="Arial" w:hAnsi="Arial"/>
          <w:sz w:val="19"/>
          <w:szCs w:val="19"/>
          <w:color w:val="auto"/>
        </w:rPr>
        <w:t>the Maximum Advance Rate)</w:t>
      </w:r>
      <w:r>
        <w:rPr>
          <w:rFonts w:ascii="Arial" w:cs="Arial" w:eastAsia="Arial" w:hAnsi="Arial"/>
          <w:sz w:val="19"/>
          <w:szCs w:val="19"/>
          <w:i w:val="1"/>
          <w:iCs w:val="1"/>
          <w:color w:val="auto"/>
        </w:rPr>
        <w:t xml:space="preserve"> times </w:t>
      </w:r>
      <w:r>
        <w:rPr>
          <w:rFonts w:ascii="Arial" w:cs="Arial" w:eastAsia="Arial" w:hAnsi="Arial"/>
          <w:sz w:val="19"/>
          <w:szCs w:val="19"/>
          <w:color w:val="auto"/>
        </w:rPr>
        <w:t>(iii) the applicable Currency Variability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Factor </w:t>
      </w:r>
      <w:r>
        <w:rPr>
          <w:rFonts w:ascii="Arial" w:cs="Arial" w:eastAsia="Arial" w:hAnsi="Arial"/>
          <w:sz w:val="19"/>
          <w:szCs w:val="19"/>
          <w:i w:val="1"/>
          <w:iCs w:val="1"/>
          <w:color w:val="auto"/>
        </w:rPr>
        <w:t>times</w:t>
      </w:r>
      <w:r>
        <w:rPr>
          <w:rFonts w:ascii="Arial" w:cs="Arial" w:eastAsia="Arial" w:hAnsi="Arial"/>
          <w:sz w:val="19"/>
          <w:szCs w:val="19"/>
          <w:color w:val="auto"/>
        </w:rPr>
        <w:t xml:space="preserve"> (iv) the applicable Foreign Currency Collateral Loan Percentage for such Collateral Loan.</w:t>
      </w:r>
    </w:p>
    <w:p>
      <w:pPr>
        <w:spacing w:after="0" w:line="251"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“Prime Rate” </w:t>
      </w:r>
      <w:r>
        <w:rPr>
          <w:rFonts w:ascii="Arial" w:cs="Arial" w:eastAsia="Arial" w:hAnsi="Arial"/>
          <w:sz w:val="22"/>
          <w:szCs w:val="22"/>
          <w:color w:val="auto"/>
        </w:rPr>
        <w:t>means the rate announced by SunTrust Bank from time to time as its prime rate in the United States, such</w:t>
      </w:r>
      <w:r>
        <w:rPr>
          <w:rFonts w:ascii="Arial" w:cs="Arial" w:eastAsia="Arial" w:hAnsi="Arial"/>
          <w:sz w:val="22"/>
          <w:szCs w:val="22"/>
          <w:i w:val="1"/>
          <w:iCs w:val="1"/>
          <w:color w:val="auto"/>
        </w:rPr>
        <w:t xml:space="preserve"> </w:t>
      </w:r>
      <w:r>
        <w:rPr>
          <w:rFonts w:ascii="Arial" w:cs="Arial" w:eastAsia="Arial" w:hAnsi="Arial"/>
          <w:sz w:val="22"/>
          <w:szCs w:val="22"/>
          <w:color w:val="auto"/>
        </w:rPr>
        <w:t>rate to change as and when such designated rate changes. The Prime Rate is not intended to be the lowest rate of interest charged by SunTrust Bank in connection with extensions of credit to debtors. SunTrust Bank may make commercial loans or other loans at rates of interest at, above, or below the Prime Rate.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267" w:right="339" w:bottom="1440" w:gutter="0" w:footer="0" w:header="0"/>
        </w:sectPr>
      </w:pPr>
    </w:p>
    <w:bookmarkStart w:id="90" w:name="page91"/>
    <w:bookmarkEnd w:id="90"/>
    <w:p>
      <w:pPr>
        <w:jc w:val="both"/>
        <w:ind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“Principal Balance” </w:t>
      </w:r>
      <w:r>
        <w:rPr>
          <w:rFonts w:ascii="Arial" w:cs="Arial" w:eastAsia="Arial" w:hAnsi="Arial"/>
          <w:sz w:val="22"/>
          <w:szCs w:val="22"/>
          <w:color w:val="auto"/>
        </w:rPr>
        <w:t>means, with respect to any Collateral Loan, as of any date of determination, the Dollar Equivalent</w:t>
      </w:r>
      <w:r>
        <w:rPr>
          <w:rFonts w:ascii="Arial" w:cs="Arial" w:eastAsia="Arial" w:hAnsi="Arial"/>
          <w:sz w:val="22"/>
          <w:szCs w:val="22"/>
          <w:i w:val="1"/>
          <w:iCs w:val="1"/>
          <w:color w:val="auto"/>
        </w:rPr>
        <w:t xml:space="preserve"> </w:t>
      </w:r>
      <w:r>
        <w:rPr>
          <w:rFonts w:ascii="Arial" w:cs="Arial" w:eastAsia="Arial" w:hAnsi="Arial"/>
          <w:sz w:val="22"/>
          <w:szCs w:val="22"/>
          <w:color w:val="auto"/>
        </w:rPr>
        <w:t>of the outstanding principal amount of such Collateral Loan (excluding any capitalized interest).</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“Principal Collection Subaccount”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8.02(a)</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“Principal Financial Center” </w:t>
      </w:r>
      <w:r>
        <w:rPr>
          <w:rFonts w:ascii="Arial" w:cs="Arial" w:eastAsia="Arial" w:hAnsi="Arial"/>
          <w:sz w:val="22"/>
          <w:szCs w:val="22"/>
          <w:color w:val="auto"/>
        </w:rPr>
        <w:t>means, in the case of any Currency, the principal financial center where such Currency is</w:t>
      </w:r>
      <w:r>
        <w:rPr>
          <w:rFonts w:ascii="Arial" w:cs="Arial" w:eastAsia="Arial" w:hAnsi="Arial"/>
          <w:sz w:val="22"/>
          <w:szCs w:val="22"/>
          <w:i w:val="1"/>
          <w:iCs w:val="1"/>
          <w:color w:val="auto"/>
        </w:rPr>
        <w:t xml:space="preserve"> </w:t>
      </w:r>
      <w:r>
        <w:rPr>
          <w:rFonts w:ascii="Arial" w:cs="Arial" w:eastAsia="Arial" w:hAnsi="Arial"/>
          <w:sz w:val="22"/>
          <w:szCs w:val="22"/>
          <w:color w:val="auto"/>
        </w:rPr>
        <w:t>cleared and settled, as determined by the Administrative Agent.</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“Principal Proceeds” </w:t>
      </w:r>
      <w:r>
        <w:rPr>
          <w:rFonts w:ascii="Arial" w:cs="Arial" w:eastAsia="Arial" w:hAnsi="Arial"/>
          <w:sz w:val="22"/>
          <w:szCs w:val="22"/>
          <w:color w:val="auto"/>
        </w:rPr>
        <w:t>means, with respect to any Collection Period or the related Determination Date, all amounts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received by the Borrower during such Collection Period that do not constitute Interest Proceeds, including unapplied proceeds of the Advances and any Cash equity contributions (unless specified by the Collateral Manager to constitute Interest Proceeds in accordance with </w:t>
      </w:r>
      <w:r>
        <w:rPr>
          <w:rFonts w:ascii="Arial" w:cs="Arial" w:eastAsia="Arial" w:hAnsi="Arial"/>
          <w:sz w:val="22"/>
          <w:szCs w:val="22"/>
          <w:u w:val="single" w:color="auto"/>
          <w:color w:val="auto"/>
        </w:rPr>
        <w:t>Section 10.05</w:t>
      </w:r>
      <w:r>
        <w:rPr>
          <w:rFonts w:ascii="Arial" w:cs="Arial" w:eastAsia="Arial" w:hAnsi="Arial"/>
          <w:sz w:val="22"/>
          <w:szCs w:val="22"/>
          <w:color w:val="auto"/>
        </w:rPr>
        <w:t>).</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“Priority of Payments”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9.01(a)</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“Private Authorizations” </w:t>
      </w:r>
      <w:r>
        <w:rPr>
          <w:rFonts w:ascii="Arial" w:cs="Arial" w:eastAsia="Arial" w:hAnsi="Arial"/>
          <w:sz w:val="22"/>
          <w:szCs w:val="22"/>
          <w:color w:val="auto"/>
        </w:rPr>
        <w:t>means all franchises, permits, licenses, approvals, consents and other authorizations of all</w:t>
      </w:r>
      <w:r>
        <w:rPr>
          <w:rFonts w:ascii="Arial" w:cs="Arial" w:eastAsia="Arial" w:hAnsi="Arial"/>
          <w:sz w:val="22"/>
          <w:szCs w:val="22"/>
          <w:i w:val="1"/>
          <w:iCs w:val="1"/>
          <w:color w:val="auto"/>
        </w:rPr>
        <w:t xml:space="preserve"> </w:t>
      </w:r>
      <w:r>
        <w:rPr>
          <w:rFonts w:ascii="Arial" w:cs="Arial" w:eastAsia="Arial" w:hAnsi="Arial"/>
          <w:sz w:val="22"/>
          <w:szCs w:val="22"/>
          <w:color w:val="auto"/>
        </w:rPr>
        <w:t>Persons (other than Governmental Authorities).</w:t>
      </w:r>
    </w:p>
    <w:p>
      <w:pPr>
        <w:spacing w:after="0" w:line="283"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“Proceeds” </w:t>
      </w:r>
      <w:r>
        <w:rPr>
          <w:rFonts w:ascii="Arial" w:cs="Arial" w:eastAsia="Arial" w:hAnsi="Arial"/>
          <w:sz w:val="22"/>
          <w:szCs w:val="22"/>
          <w:color w:val="auto"/>
        </w:rPr>
        <w:t>has, with reference to any asset or property, the meaning assigned to it under the UCC and, in any event,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include, but not be limited to, any and all amounts from time to time paid or payable under or in connection with such asset or property.</w:t>
      </w:r>
    </w:p>
    <w:p>
      <w:pPr>
        <w:spacing w:after="0" w:line="29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“Professional Independent Manager” </w:t>
      </w:r>
      <w:r>
        <w:rPr>
          <w:rFonts w:ascii="Arial" w:cs="Arial" w:eastAsia="Arial" w:hAnsi="Arial"/>
          <w:sz w:val="22"/>
          <w:szCs w:val="22"/>
          <w:color w:val="auto"/>
        </w:rPr>
        <w:t>means an individual who is employed by a nationally-recognized company that</w:t>
      </w:r>
      <w:r>
        <w:rPr>
          <w:rFonts w:ascii="Arial" w:cs="Arial" w:eastAsia="Arial" w:hAnsi="Arial"/>
          <w:sz w:val="22"/>
          <w:szCs w:val="22"/>
          <w:i w:val="1"/>
          <w:iCs w:val="1"/>
          <w:color w:val="auto"/>
        </w:rPr>
        <w:t xml:space="preserve"> </w:t>
      </w:r>
      <w:r>
        <w:rPr>
          <w:rFonts w:ascii="Arial" w:cs="Arial" w:eastAsia="Arial" w:hAnsi="Arial"/>
          <w:sz w:val="22"/>
          <w:szCs w:val="22"/>
          <w:color w:val="auto"/>
        </w:rPr>
        <w:t>provides professional independent directors or independent managers for Special Purpose Entities and other corporate services in the ordinary course of its business.</w:t>
      </w:r>
    </w:p>
    <w:p>
      <w:pPr>
        <w:spacing w:after="0" w:line="29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“Prohibited Transaction” </w:t>
      </w:r>
      <w:r>
        <w:rPr>
          <w:rFonts w:ascii="Arial" w:cs="Arial" w:eastAsia="Arial" w:hAnsi="Arial"/>
          <w:sz w:val="22"/>
          <w:szCs w:val="22"/>
          <w:color w:val="auto"/>
        </w:rPr>
        <w:t>means a transaction described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406(a)</w:t>
      </w:r>
      <w:r>
        <w:rPr>
          <w:rFonts w:ascii="Arial" w:cs="Arial" w:eastAsia="Arial" w:hAnsi="Arial"/>
          <w:sz w:val="22"/>
          <w:szCs w:val="22"/>
          <w:i w:val="1"/>
          <w:iCs w:val="1"/>
          <w:color w:val="auto"/>
        </w:rPr>
        <w:t xml:space="preserve"> </w:t>
      </w:r>
      <w:r>
        <w:rPr>
          <w:rFonts w:ascii="Arial" w:cs="Arial" w:eastAsia="Arial" w:hAnsi="Arial"/>
          <w:sz w:val="22"/>
          <w:szCs w:val="22"/>
          <w:color w:val="auto"/>
        </w:rPr>
        <w:t>of ERISA, that is not exempted by a statutory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or administrative or individual exemption pursuant to </w:t>
      </w:r>
      <w:r>
        <w:rPr>
          <w:rFonts w:ascii="Arial" w:cs="Arial" w:eastAsia="Arial" w:hAnsi="Arial"/>
          <w:sz w:val="22"/>
          <w:szCs w:val="22"/>
          <w:u w:val="single" w:color="auto"/>
          <w:color w:val="auto"/>
        </w:rPr>
        <w:t>Section 408</w:t>
      </w:r>
      <w:r>
        <w:rPr>
          <w:rFonts w:ascii="Arial" w:cs="Arial" w:eastAsia="Arial" w:hAnsi="Arial"/>
          <w:sz w:val="22"/>
          <w:szCs w:val="22"/>
          <w:color w:val="auto"/>
        </w:rPr>
        <w:t xml:space="preserve"> of ERISA.</w:t>
      </w:r>
    </w:p>
    <w:p>
      <w:pPr>
        <w:spacing w:after="0" w:line="283"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“Purchase and Contribution Agreement” </w:t>
      </w:r>
      <w:r>
        <w:rPr>
          <w:rFonts w:ascii="Arial" w:cs="Arial" w:eastAsia="Arial" w:hAnsi="Arial"/>
          <w:sz w:val="22"/>
          <w:szCs w:val="22"/>
          <w:color w:val="auto"/>
        </w:rPr>
        <w:t>means that certain Purchase and Contribution Agreement dated as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Closing Date between the BDC, as seller, and the Borrower, as buyer.</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Purchase Money Lien”</w:t>
      </w:r>
      <w:r>
        <w:rPr>
          <w:rFonts w:ascii="Arial" w:cs="Arial" w:eastAsia="Arial" w:hAnsi="Arial"/>
          <w:sz w:val="22"/>
          <w:szCs w:val="22"/>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293"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9"/>
          <w:szCs w:val="19"/>
          <w:i w:val="1"/>
          <w:iCs w:val="1"/>
          <w:color w:val="auto"/>
        </w:rPr>
        <w:t xml:space="preserve">“Qualified Institution” </w:t>
      </w:r>
      <w:r>
        <w:rPr>
          <w:rFonts w:ascii="Arial" w:cs="Arial" w:eastAsia="Arial" w:hAnsi="Arial"/>
          <w:sz w:val="19"/>
          <w:szCs w:val="19"/>
          <w:color w:val="auto"/>
        </w:rPr>
        <w:t>means a depository institution or trust company organized under the laws of the United States of</w:t>
      </w:r>
      <w:r>
        <w:rPr>
          <w:rFonts w:ascii="Arial" w:cs="Arial" w:eastAsia="Arial" w:hAnsi="Arial"/>
          <w:sz w:val="19"/>
          <w:szCs w:val="19"/>
          <w:i w:val="1"/>
          <w:iCs w:val="1"/>
          <w:color w:val="auto"/>
        </w:rPr>
        <w:t xml:space="preserve"> </w:t>
      </w:r>
      <w:r>
        <w:rPr>
          <w:rFonts w:ascii="Arial" w:cs="Arial" w:eastAsia="Arial" w:hAnsi="Arial"/>
          <w:sz w:val="19"/>
          <w:szCs w:val="19"/>
          <w:color w:val="auto"/>
        </w:rPr>
        <w:t>America or any one of the States thereof or the District of Columbia (or any domestic branch of a foreign bank), (i)(a) that has either (1) a long-term unsecured debt rating of “A” or better by S&amp;P and “A2” or better by Moody’s or (2) a short-term</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267" w:right="339" w:bottom="1440" w:gutter="0" w:footer="0" w:header="0"/>
        </w:sectPr>
      </w:pPr>
    </w:p>
    <w:bookmarkStart w:id="91" w:name="page92"/>
    <w:bookmarkEnd w:id="91"/>
    <w:p>
      <w:pPr>
        <w:spacing w:after="0" w:line="27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unsecured debt rating or certificate of deposit rating of “A-1” or better by S&amp;P or “P-1” or better by Moody’s, (b) the parent corporation of which has either (1) a long-term unsecured debt rating of “A” or better by S&amp;P and “A2” or better by Moody’s or</w:t>
      </w:r>
    </w:p>
    <w:p>
      <w:pPr>
        <w:spacing w:after="0" w:line="1" w:lineRule="exact"/>
        <w:rPr>
          <w:sz w:val="20"/>
          <w:szCs w:val="20"/>
          <w:color w:val="auto"/>
        </w:rPr>
      </w:pPr>
    </w:p>
    <w:p>
      <w:pPr>
        <w:jc w:val="both"/>
        <w:ind w:firstLine="8"/>
        <w:spacing w:after="0" w:line="234" w:lineRule="auto"/>
        <w:tabs>
          <w:tab w:leader="none" w:pos="316"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short-term unsecured debt rating or certificate of deposit rating of “A-1” or better by S&amp;P and “P-1” or better by Moody’s or (c) is otherwise acceptable to the Administrative Agent and (ii) the deposits of which are insured by the Federal Deposit Insurance Corporation.</w:t>
      </w:r>
    </w:p>
    <w:p>
      <w:pPr>
        <w:spacing w:after="0" w:line="29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“QIB”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15.06(e)</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“Qualified Purchaser”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15.06(e)</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“Ratings” </w:t>
      </w:r>
      <w:r>
        <w:rPr>
          <w:rFonts w:ascii="Arial" w:cs="Arial" w:eastAsia="Arial" w:hAnsi="Arial"/>
          <w:sz w:val="22"/>
          <w:szCs w:val="22"/>
          <w:color w:val="auto"/>
        </w:rPr>
        <w:t>means, for purposes of determining the “Ratings” Matrix Input, the lower of the Moody’s Rating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S&amp;P Rating.</w:t>
      </w:r>
    </w:p>
    <w:p>
      <w:pPr>
        <w:spacing w:after="0" w:line="283" w:lineRule="exact"/>
        <w:rPr>
          <w:sz w:val="20"/>
          <w:szCs w:val="20"/>
          <w:color w:val="auto"/>
        </w:rPr>
      </w:pPr>
    </w:p>
    <w:p>
      <w:pPr>
        <w:jc w:val="both"/>
        <w:ind w:firstLine="786"/>
        <w:spacing w:after="0" w:line="275" w:lineRule="auto"/>
        <w:rPr>
          <w:sz w:val="20"/>
          <w:szCs w:val="20"/>
          <w:color w:val="auto"/>
        </w:rPr>
      </w:pPr>
      <w:r>
        <w:rPr>
          <w:rFonts w:ascii="Arial" w:cs="Arial" w:eastAsia="Arial" w:hAnsi="Arial"/>
          <w:sz w:val="19"/>
          <w:szCs w:val="19"/>
          <w:i w:val="1"/>
          <w:iCs w:val="1"/>
          <w:color w:val="auto"/>
        </w:rPr>
        <w:t xml:space="preserve">“Rating Agency” </w:t>
      </w:r>
      <w:r>
        <w:rPr>
          <w:rFonts w:ascii="Arial" w:cs="Arial" w:eastAsia="Arial" w:hAnsi="Arial"/>
          <w:sz w:val="19"/>
          <w:szCs w:val="19"/>
          <w:color w:val="auto"/>
        </w:rPr>
        <w:t>means Moody’s, Fitch or S&amp;P (or, if, at any time Moody’s, Fitch or S&amp;P ceases to provide rating</w:t>
      </w:r>
      <w:r>
        <w:rPr>
          <w:rFonts w:ascii="Arial" w:cs="Arial" w:eastAsia="Arial" w:hAnsi="Arial"/>
          <w:sz w:val="19"/>
          <w:szCs w:val="19"/>
          <w:i w:val="1"/>
          <w:iCs w:val="1"/>
          <w:color w:val="auto"/>
        </w:rPr>
        <w:t xml:space="preserve"> </w:t>
      </w:r>
      <w:r>
        <w:rPr>
          <w:rFonts w:ascii="Arial" w:cs="Arial" w:eastAsia="Arial" w:hAnsi="Arial"/>
          <w:sz w:val="19"/>
          <w:szCs w:val="19"/>
          <w:color w:val="auto"/>
        </w:rPr>
        <w:t>services with respect to debt 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265"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“Recovery Rate” </w:t>
      </w:r>
      <w:r>
        <w:rPr>
          <w:rFonts w:ascii="Arial" w:cs="Arial" w:eastAsia="Arial" w:hAnsi="Arial"/>
          <w:sz w:val="22"/>
          <w:szCs w:val="22"/>
          <w:color w:val="auto"/>
        </w:rPr>
        <w:t>means, for Defaulted Collateral Loans, the lesser of (a) the recovery rate assigned by Moody’s or S&amp;P</w:t>
      </w:r>
      <w:r>
        <w:rPr>
          <w:rFonts w:ascii="Arial" w:cs="Arial" w:eastAsia="Arial" w:hAnsi="Arial"/>
          <w:sz w:val="22"/>
          <w:szCs w:val="22"/>
          <w:i w:val="1"/>
          <w:iCs w:val="1"/>
          <w:color w:val="auto"/>
        </w:rPr>
        <w:t xml:space="preserve"> </w:t>
      </w:r>
      <w:r>
        <w:rPr>
          <w:rFonts w:ascii="Arial" w:cs="Arial" w:eastAsia="Arial" w:hAnsi="Arial"/>
          <w:sz w:val="22"/>
          <w:szCs w:val="22"/>
          <w:color w:val="auto"/>
        </w:rPr>
        <w:t>(if both are provided, the lowest shall govern) to such Collateral Loan; and (b) the recovery rate set forth opposite such asset type below:</w:t>
      </w:r>
    </w:p>
    <w:p>
      <w:pPr>
        <w:spacing w:after="0" w:line="294"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Eligible First Lien Obligation-50%</w:t>
      </w:r>
    </w:p>
    <w:p>
      <w:pPr>
        <w:spacing w:after="0" w:line="314"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Eligible Second Lien Obligation-30%,</w:t>
      </w:r>
    </w:p>
    <w:p>
      <w:pPr>
        <w:spacing w:after="0" w:line="3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if (1) all amounts have been recovered with respect to a Defaulted Collateral Loan or (2) the amounts that</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recovered with respect to a Defaulted Collateral Loan would result in a higher Recovery Rate (calculated pursuant to this proviso) than that set forth above, the Recovery Rate for such Collateral Loan shall be equal to (A) the aggregate amount recovered with respect to such Collateral Loan, divided by (B) the Principal Balance of such Collateral Loan on the day it became a Defaulted Collateral Loan.</w:t>
      </w:r>
    </w:p>
    <w:p>
      <w:pPr>
        <w:spacing w:after="0" w:line="29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“Register”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15.06(d)</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“Regulation T”</w:t>
      </w:r>
      <w:r>
        <w:rPr>
          <w:rFonts w:ascii="Arial" w:cs="Arial" w:eastAsia="Arial" w:hAnsi="Arial"/>
          <w:sz w:val="22"/>
          <w:szCs w:val="22"/>
          <w:color w:val="auto"/>
        </w:rPr>
        <w:t>,</w:t>
      </w:r>
      <w:r>
        <w:rPr>
          <w:rFonts w:ascii="Arial" w:cs="Arial" w:eastAsia="Arial" w:hAnsi="Arial"/>
          <w:sz w:val="22"/>
          <w:szCs w:val="22"/>
          <w:i w:val="1"/>
          <w:iCs w:val="1"/>
          <w:color w:val="auto"/>
        </w:rPr>
        <w:t xml:space="preserve"> “Regulation U” </w:t>
      </w:r>
      <w:r>
        <w:rPr>
          <w:rFonts w:ascii="Arial" w:cs="Arial" w:eastAsia="Arial" w:hAnsi="Arial"/>
          <w:sz w:val="22"/>
          <w:szCs w:val="22"/>
          <w:color w:val="auto"/>
        </w:rPr>
        <w:t>and</w:t>
      </w:r>
      <w:r>
        <w:rPr>
          <w:rFonts w:ascii="Arial" w:cs="Arial" w:eastAsia="Arial" w:hAnsi="Arial"/>
          <w:sz w:val="22"/>
          <w:szCs w:val="22"/>
          <w:i w:val="1"/>
          <w:iCs w:val="1"/>
          <w:color w:val="auto"/>
        </w:rPr>
        <w:t xml:space="preserve"> “Regulation X” </w:t>
      </w:r>
      <w:r>
        <w:rPr>
          <w:rFonts w:ascii="Arial" w:cs="Arial" w:eastAsia="Arial" w:hAnsi="Arial"/>
          <w:sz w:val="22"/>
          <w:szCs w:val="22"/>
          <w:color w:val="auto"/>
        </w:rPr>
        <w:t>mean Regulation T, U and X, respectively, of the Board of</w:t>
      </w:r>
      <w:r>
        <w:rPr>
          <w:rFonts w:ascii="Arial" w:cs="Arial" w:eastAsia="Arial" w:hAnsi="Arial"/>
          <w:sz w:val="22"/>
          <w:szCs w:val="22"/>
          <w:i w:val="1"/>
          <w:iCs w:val="1"/>
          <w:color w:val="auto"/>
        </w:rPr>
        <w:t xml:space="preserve"> </w:t>
      </w:r>
      <w:r>
        <w:rPr>
          <w:rFonts w:ascii="Arial" w:cs="Arial" w:eastAsia="Arial" w:hAnsi="Arial"/>
          <w:sz w:val="22"/>
          <w:szCs w:val="22"/>
          <w:color w:val="auto"/>
        </w:rPr>
        <w:t>Governors of the Federal Reserve System, as in effect from time to time.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267" w:right="339" w:bottom="1440" w:gutter="0" w:footer="0" w:header="0"/>
        </w:sectPr>
      </w:pPr>
    </w:p>
    <w:bookmarkStart w:id="92" w:name="page93"/>
    <w:bookmarkEnd w:id="92"/>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“Regulatory Change”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2.09(a)</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48" w:lineRule="auto"/>
        <w:rPr>
          <w:sz w:val="20"/>
          <w:szCs w:val="20"/>
          <w:color w:val="auto"/>
        </w:rPr>
      </w:pPr>
      <w:r>
        <w:rPr>
          <w:rFonts w:ascii="Arial" w:cs="Arial" w:eastAsia="Arial" w:hAnsi="Arial"/>
          <w:sz w:val="21"/>
          <w:szCs w:val="21"/>
          <w:i w:val="1"/>
          <w:iCs w:val="1"/>
          <w:color w:val="auto"/>
        </w:rPr>
        <w:t xml:space="preserve">“Reinvestment Agreement” </w:t>
      </w:r>
      <w:r>
        <w:rPr>
          <w:rFonts w:ascii="Arial" w:cs="Arial" w:eastAsia="Arial" w:hAnsi="Arial"/>
          <w:sz w:val="21"/>
          <w:szCs w:val="21"/>
          <w:color w:val="auto"/>
        </w:rPr>
        <w:t>means a guaranteed reinvestment agreement from a bank, insurance company or other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corporation or entity having an Eligible Investment Required Ratings;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“Reinvestment Period” </w:t>
      </w:r>
      <w:r>
        <w:rPr>
          <w:rFonts w:ascii="Arial" w:cs="Arial" w:eastAsia="Arial" w:hAnsi="Arial"/>
          <w:sz w:val="22"/>
          <w:szCs w:val="22"/>
          <w:color w:val="auto"/>
        </w:rPr>
        <w:t>means the period from and including the Closing Date to and including the earlier of</w:t>
      </w:r>
    </w:p>
    <w:p>
      <w:pPr>
        <w:spacing w:after="0" w:line="8" w:lineRule="exact"/>
        <w:rPr>
          <w:sz w:val="20"/>
          <w:szCs w:val="20"/>
          <w:color w:val="auto"/>
        </w:rPr>
      </w:pPr>
    </w:p>
    <w:p>
      <w:pPr>
        <w:ind w:firstLine="8"/>
        <w:spacing w:after="0" w:line="236" w:lineRule="auto"/>
        <w:tabs>
          <w:tab w:leader="none" w:pos="312"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May 14, 2016 (or such later date as may be agreed by the Borrower and each of the Lenders and notified in writing to the Agents) or (b) the date of the termination of the Commitments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95"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“Related Documents” </w:t>
      </w:r>
      <w:r>
        <w:rPr>
          <w:rFonts w:ascii="Arial" w:cs="Arial" w:eastAsia="Arial" w:hAnsi="Arial"/>
          <w:sz w:val="22"/>
          <w:szCs w:val="22"/>
          <w:color w:val="auto"/>
        </w:rPr>
        <w:t>means, with respect to any Collateral Loan, all agreements or documents evidencing,</w:t>
      </w:r>
      <w:r>
        <w:rPr>
          <w:rFonts w:ascii="Arial" w:cs="Arial" w:eastAsia="Arial" w:hAnsi="Arial"/>
          <w:sz w:val="22"/>
          <w:szCs w:val="22"/>
          <w:i w:val="1"/>
          <w:iCs w:val="1"/>
          <w:color w:val="auto"/>
        </w:rPr>
        <w:t xml:space="preserve"> </w:t>
      </w:r>
      <w:r>
        <w:rPr>
          <w:rFonts w:ascii="Arial" w:cs="Arial" w:eastAsia="Arial" w:hAnsi="Arial"/>
          <w:sz w:val="22"/>
          <w:szCs w:val="22"/>
          <w:color w:val="auto"/>
        </w:rPr>
        <w:t>guaranteeing, securing, governing or giving rise to such Collateral Loan (as identified on the Loan Checklist).</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“Requested Amount”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“Required Lenders” </w:t>
      </w:r>
      <w:r>
        <w:rPr>
          <w:rFonts w:ascii="Arial" w:cs="Arial" w:eastAsia="Arial" w:hAnsi="Arial"/>
          <w:sz w:val="22"/>
          <w:szCs w:val="22"/>
          <w:color w:val="auto"/>
        </w:rPr>
        <w:t>means, as of any date of determination, one or more Lenders having aggregate Percentages greater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than or equal to 66 2/3%;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at any time there are two (2) or more Lenders, “Required Lenders” must include at least two (2) Lenders (who are not Affiliates of one another).</w:t>
      </w:r>
    </w:p>
    <w:p>
      <w:pPr>
        <w:spacing w:after="0" w:line="294"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i w:val="1"/>
          <w:iCs w:val="1"/>
          <w:color w:val="auto"/>
        </w:rPr>
        <w:t xml:space="preserve">“Responsible Officer” </w:t>
      </w:r>
      <w:r>
        <w:rPr>
          <w:rFonts w:ascii="Arial" w:cs="Arial" w:eastAsia="Arial" w:hAnsi="Arial"/>
          <w:sz w:val="19"/>
          <w:szCs w:val="19"/>
          <w:color w:val="auto"/>
        </w:rPr>
        <w:t>means (a) in the case of a corporation, partnership or limited liability company that,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its Constituent Documents, 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269" w:lineRule="exact"/>
        <w:rPr>
          <w:sz w:val="20"/>
          <w:szCs w:val="20"/>
          <w:color w:val="auto"/>
        </w:rPr>
      </w:pPr>
    </w:p>
    <w:p>
      <w:pPr>
        <w:jc w:val="both"/>
        <w:ind w:firstLine="786"/>
        <w:spacing w:after="0" w:line="287" w:lineRule="auto"/>
        <w:rPr>
          <w:sz w:val="20"/>
          <w:szCs w:val="20"/>
          <w:color w:val="auto"/>
        </w:rPr>
      </w:pPr>
      <w:r>
        <w:rPr>
          <w:rFonts w:ascii="Arial" w:cs="Arial" w:eastAsia="Arial" w:hAnsi="Arial"/>
          <w:sz w:val="19"/>
          <w:szCs w:val="19"/>
          <w:i w:val="1"/>
          <w:iCs w:val="1"/>
          <w:color w:val="auto"/>
        </w:rPr>
        <w:t xml:space="preserve">“Restricted Payments” </w:t>
      </w:r>
      <w:r>
        <w:rPr>
          <w:rFonts w:ascii="Arial" w:cs="Arial" w:eastAsia="Arial" w:hAnsi="Arial"/>
          <w:sz w:val="19"/>
          <w:szCs w:val="19"/>
          <w:color w:val="auto"/>
        </w:rPr>
        <w:t>means the declaration of any distribution or dividends or the payment of any other amount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in respect of 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267" w:right="339" w:bottom="1440" w:gutter="0" w:footer="0" w:header="0"/>
        </w:sectPr>
      </w:pPr>
    </w:p>
    <w:bookmarkStart w:id="93" w:name="page94"/>
    <w:bookmarkEnd w:id="93"/>
    <w:p>
      <w:pPr>
        <w:jc w:val="both"/>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“Restructured Loan” </w:t>
      </w:r>
      <w:r>
        <w:rPr>
          <w:rFonts w:ascii="Arial" w:cs="Arial" w:eastAsia="Arial" w:hAnsi="Arial"/>
          <w:sz w:val="22"/>
          <w:szCs w:val="22"/>
          <w:color w:val="auto"/>
        </w:rPr>
        <w:t>means:</w:t>
      </w:r>
    </w:p>
    <w:p>
      <w:pPr>
        <w:spacing w:after="0" w:line="314" w:lineRule="exact"/>
        <w:rPr>
          <w:sz w:val="20"/>
          <w:szCs w:val="20"/>
          <w:color w:val="auto"/>
        </w:rPr>
      </w:pPr>
    </w:p>
    <w:p>
      <w:pPr>
        <w:jc w:val="both"/>
        <w:ind w:left="800" w:firstLine="621"/>
        <w:spacing w:after="0" w:line="236" w:lineRule="auto"/>
        <w:tabs>
          <w:tab w:leader="none" w:pos="2251" w:val="left"/>
        </w:tabs>
        <w:numPr>
          <w:ilvl w:val="0"/>
          <w:numId w:val="96"/>
        </w:numPr>
        <w:rPr>
          <w:rFonts w:ascii="Arial" w:cs="Arial" w:eastAsia="Arial" w:hAnsi="Arial"/>
          <w:sz w:val="22"/>
          <w:szCs w:val="22"/>
          <w:color w:val="auto"/>
        </w:rPr>
      </w:pPr>
      <w:r>
        <w:rPr>
          <w:rFonts w:ascii="Arial" w:cs="Arial" w:eastAsia="Arial" w:hAnsi="Arial"/>
          <w:sz w:val="22"/>
          <w:szCs w:val="22"/>
          <w:color w:val="auto"/>
        </w:rPr>
        <w:t>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be eligible for purchase by the Borrower as a Collateral Loan in accordance with the terms of this Agreement if purchased at such time; and</w:t>
      </w:r>
    </w:p>
    <w:p>
      <w:pPr>
        <w:spacing w:after="0" w:line="295" w:lineRule="exact"/>
        <w:rPr>
          <w:rFonts w:ascii="Arial" w:cs="Arial" w:eastAsia="Arial" w:hAnsi="Arial"/>
          <w:sz w:val="22"/>
          <w:szCs w:val="22"/>
          <w:color w:val="auto"/>
        </w:rPr>
      </w:pPr>
    </w:p>
    <w:p>
      <w:pPr>
        <w:jc w:val="both"/>
        <w:ind w:left="800" w:firstLine="621"/>
        <w:spacing w:after="0" w:line="246" w:lineRule="auto"/>
        <w:tabs>
          <w:tab w:leader="none" w:pos="2128" w:val="left"/>
        </w:tabs>
        <w:numPr>
          <w:ilvl w:val="0"/>
          <w:numId w:val="96"/>
        </w:numPr>
        <w:rPr>
          <w:rFonts w:ascii="Arial" w:cs="Arial" w:eastAsia="Arial" w:hAnsi="Arial"/>
          <w:sz w:val="21"/>
          <w:szCs w:val="21"/>
          <w:color w:val="auto"/>
        </w:rPr>
      </w:pPr>
      <w:r>
        <w:rPr>
          <w:rFonts w:ascii="Arial" w:cs="Arial" w:eastAsia="Arial" w:hAnsi="Arial"/>
          <w:sz w:val="21"/>
          <w:szCs w:val="21"/>
          <w:color w:val="auto"/>
        </w:rPr>
        <w:t>with respect to any Collateral Loan which has been the subject of a Material Modification, either (i) after the date on which such loan became a Collateral Loan which is the subject of a Material Modification, (A) it is current on all required payments for a period of three months (if such loan pays monthly), two quarters (if such loan pays quarterly) or one year (if such loan pays semiannually) and (B) it would be eligible for purchase by the Borrower as a Collateral Loan in accordance with the terms of this Agreement if purchased at such time, or (ii) the Administrative Agent has consented in writing to such Collateral Loan no longer constituting a loan which has been the subject of a Material Modification hereunder.</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“Review Criteria” </w:t>
      </w:r>
      <w:r>
        <w:rPr>
          <w:rFonts w:ascii="Arial" w:cs="Arial" w:eastAsia="Arial" w:hAnsi="Arial"/>
          <w:sz w:val="22"/>
          <w:szCs w:val="22"/>
          <w:color w:val="auto"/>
        </w:rPr>
        <w:t>is defined in S</w:t>
      </w:r>
      <w:r>
        <w:rPr>
          <w:rFonts w:ascii="Arial" w:cs="Arial" w:eastAsia="Arial" w:hAnsi="Arial"/>
          <w:sz w:val="22"/>
          <w:szCs w:val="22"/>
          <w:u w:val="single" w:color="auto"/>
          <w:color w:val="auto"/>
        </w:rPr>
        <w:t>ection 14.02(b)(i)</w:t>
      </w:r>
      <w:r>
        <w:rPr>
          <w:rFonts w:ascii="Arial" w:cs="Arial" w:eastAsia="Arial" w:hAnsi="Arial"/>
          <w:sz w:val="22"/>
          <w:szCs w:val="22"/>
          <w:i w:val="1"/>
          <w:iCs w:val="1"/>
          <w:color w:val="auto"/>
        </w:rPr>
        <w:t xml:space="preserve"> </w:t>
      </w:r>
      <w:r>
        <w:rPr>
          <w:rFonts w:ascii="Arial" w:cs="Arial" w:eastAsia="Arial" w:hAnsi="Arial"/>
          <w:sz w:val="22"/>
          <w:szCs w:val="22"/>
          <w:color w:val="auto"/>
        </w:rPr>
        <w:t>hereof.</w:t>
      </w:r>
    </w:p>
    <w:p>
      <w:pPr>
        <w:spacing w:after="0" w:line="314" w:lineRule="exact"/>
        <w:rPr>
          <w:sz w:val="20"/>
          <w:szCs w:val="20"/>
          <w:color w:val="auto"/>
        </w:rPr>
      </w:pPr>
    </w:p>
    <w:p>
      <w:pPr>
        <w:jc w:val="both"/>
        <w:ind w:firstLine="786"/>
        <w:spacing w:after="0" w:line="235" w:lineRule="auto"/>
        <w:rPr>
          <w:sz w:val="20"/>
          <w:szCs w:val="20"/>
          <w:color w:val="auto"/>
        </w:rPr>
      </w:pPr>
      <w:r>
        <w:rPr>
          <w:rFonts w:ascii="Arial" w:cs="Arial" w:eastAsia="Arial" w:hAnsi="Arial"/>
          <w:sz w:val="22"/>
          <w:szCs w:val="22"/>
          <w:i w:val="1"/>
          <w:iCs w:val="1"/>
          <w:color w:val="auto"/>
        </w:rPr>
        <w:t xml:space="preserve">“Revolving Collateral Loan” </w:t>
      </w:r>
      <w:r>
        <w:rPr>
          <w:rFonts w:ascii="Arial" w:cs="Arial" w:eastAsia="Arial" w:hAnsi="Arial"/>
          <w:sz w:val="22"/>
          <w:szCs w:val="22"/>
          <w:color w:val="auto"/>
        </w:rPr>
        <w:t>means any Collateral Loan (other than a Delayed Drawdown Collateral Loan) that is a</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loan (including, without limitation, revolving loans, including funded and unfunded portions of revolving credit lines, unfunded commitments under specific facilities and other similar loans and investments) that by its terms may require one or more future advances to be made to the borrower by the Borrower;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Collateral Loan will be a Revolving Collateral Loan only until all commitments to make revolving advances to the Obligor expire or are terminated or irrevocably reduced to zero.</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“Revolving Reserve Account” </w:t>
      </w:r>
      <w:r>
        <w:rPr>
          <w:rFonts w:ascii="Arial" w:cs="Arial" w:eastAsia="Arial" w:hAnsi="Arial"/>
          <w:sz w:val="22"/>
          <w:szCs w:val="22"/>
          <w:color w:val="auto"/>
        </w:rPr>
        <w:t>means the account established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8.04</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Revolving Reserve Required Amount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8.04</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“S&amp;P” </w:t>
      </w:r>
      <w:r>
        <w:rPr>
          <w:rFonts w:ascii="Arial" w:cs="Arial" w:eastAsia="Arial" w:hAnsi="Arial"/>
          <w:sz w:val="22"/>
          <w:szCs w:val="22"/>
          <w:color w:val="auto"/>
        </w:rPr>
        <w:t>means Standard &amp; Poor’s Ratings Group.</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267" w:right="339" w:bottom="1440" w:gutter="0" w:footer="0" w:header="0"/>
        </w:sectPr>
      </w:pPr>
    </w:p>
    <w:bookmarkStart w:id="94" w:name="page95"/>
    <w:bookmarkEnd w:id="94"/>
    <w:p>
      <w:pPr>
        <w:jc w:val="both"/>
        <w:ind w:firstLine="786"/>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21"/>
          <w:szCs w:val="21"/>
          <w:i w:val="1"/>
          <w:iCs w:val="1"/>
          <w:color w:val="auto"/>
        </w:rPr>
        <w:t>S&amp;P Rating</w:t>
      </w:r>
      <w:r>
        <w:rPr>
          <w:rFonts w:ascii="Arial" w:cs="Arial" w:eastAsia="Arial" w:hAnsi="Arial"/>
          <w:sz w:val="21"/>
          <w:szCs w:val="21"/>
          <w:color w:val="auto"/>
        </w:rPr>
        <w:t xml:space="preserve">” means, with respect to any Collateral Loan, as of any date of determination, the rating determined pursuant to </w:t>
      </w:r>
      <w:r>
        <w:rPr>
          <w:rFonts w:ascii="Arial" w:cs="Arial" w:eastAsia="Arial" w:hAnsi="Arial"/>
          <w:sz w:val="21"/>
          <w:szCs w:val="21"/>
          <w:u w:val="single" w:color="auto"/>
          <w:color w:val="auto"/>
        </w:rPr>
        <w:t>Schedule 10</w:t>
      </w:r>
      <w:r>
        <w:rPr>
          <w:rFonts w:ascii="Arial" w:cs="Arial" w:eastAsia="Arial" w:hAnsi="Arial"/>
          <w:sz w:val="21"/>
          <w:szCs w:val="21"/>
          <w:color w:val="auto"/>
        </w:rPr>
        <w:t xml:space="preserve"> hereto (or such other schedule provided by S&amp;P to the Borrower and the Collateral Manager).</w:t>
      </w:r>
    </w:p>
    <w:p>
      <w:pPr>
        <w:spacing w:after="0" w:line="259"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“Scheduled Distribution” </w:t>
      </w:r>
      <w:r>
        <w:rPr>
          <w:rFonts w:ascii="Arial" w:cs="Arial" w:eastAsia="Arial" w:hAnsi="Arial"/>
          <w:sz w:val="22"/>
          <w:szCs w:val="22"/>
          <w:color w:val="auto"/>
        </w:rPr>
        <w:t>means, with respect to any Collateral Loan, for each Due Date, the scheduled payment of</w:t>
      </w:r>
      <w:r>
        <w:rPr>
          <w:rFonts w:ascii="Arial" w:cs="Arial" w:eastAsia="Arial" w:hAnsi="Arial"/>
          <w:sz w:val="22"/>
          <w:szCs w:val="22"/>
          <w:i w:val="1"/>
          <w:iCs w:val="1"/>
          <w:color w:val="auto"/>
        </w:rPr>
        <w:t xml:space="preserve"> </w:t>
      </w:r>
      <w:r>
        <w:rPr>
          <w:rFonts w:ascii="Arial" w:cs="Arial" w:eastAsia="Arial" w:hAnsi="Arial"/>
          <w:sz w:val="22"/>
          <w:szCs w:val="22"/>
          <w:color w:val="auto"/>
        </w:rPr>
        <w:t>principal and/or interest and/or fees due on such Due Date with respect to such Collateral Loan.</w:t>
      </w:r>
    </w:p>
    <w:p>
      <w:pPr>
        <w:spacing w:after="0" w:line="283"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Securities and Exchange Commission or any other governmental authority of the United States of</w:t>
      </w:r>
      <w:r>
        <w:rPr>
          <w:rFonts w:ascii="Arial" w:cs="Arial" w:eastAsia="Arial" w:hAnsi="Arial"/>
          <w:sz w:val="22"/>
          <w:szCs w:val="22"/>
          <w:i w:val="1"/>
          <w:iCs w:val="1"/>
          <w:color w:val="auto"/>
        </w:rPr>
        <w:t xml:space="preserve"> </w:t>
      </w:r>
      <w:r>
        <w:rPr>
          <w:rFonts w:ascii="Arial" w:cs="Arial" w:eastAsia="Arial" w:hAnsi="Arial"/>
          <w:sz w:val="22"/>
          <w:szCs w:val="22"/>
          <w:color w:val="auto"/>
        </w:rPr>
        <w:t>America at the time administrating the Securities Act, the Investment Company Act or the Exchange Act.</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“Secured Parties” </w:t>
      </w:r>
      <w:r>
        <w:rPr>
          <w:rFonts w:ascii="Arial" w:cs="Arial" w:eastAsia="Arial" w:hAnsi="Arial"/>
          <w:sz w:val="22"/>
          <w:szCs w:val="22"/>
          <w:color w:val="auto"/>
        </w:rPr>
        <w:t>means the Administrative Agent, the Collateral Agent, the Backup Collateral Manager, the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Administrator, the Custodian, the BDC (in respect of the Senior Collateral Management Fee and the Subordinated Collateral Management Fee payable to the BDC to the extent provided in </w:t>
      </w:r>
      <w:r>
        <w:rPr>
          <w:rFonts w:ascii="Arial" w:cs="Arial" w:eastAsia="Arial" w:hAnsi="Arial"/>
          <w:sz w:val="22"/>
          <w:szCs w:val="22"/>
          <w:u w:val="single" w:color="auto"/>
          <w:color w:val="auto"/>
        </w:rPr>
        <w:t>Section 11.06</w:t>
      </w:r>
      <w:r>
        <w:rPr>
          <w:rFonts w:ascii="Arial" w:cs="Arial" w:eastAsia="Arial" w:hAnsi="Arial"/>
          <w:sz w:val="22"/>
          <w:szCs w:val="22"/>
          <w:color w:val="auto"/>
        </w:rPr>
        <w:t>), the Collateral Manager, the Lenders and their respective permitted successors and assigns.</w:t>
      </w:r>
    </w:p>
    <w:p>
      <w:pPr>
        <w:spacing w:after="0" w:line="293"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Securities Act of 1933, as amended, and the rules and regulations promulgated thereunder,</w:t>
      </w:r>
      <w:r>
        <w:rPr>
          <w:rFonts w:ascii="Arial" w:cs="Arial" w:eastAsia="Arial" w:hAnsi="Arial"/>
          <w:sz w:val="22"/>
          <w:szCs w:val="22"/>
          <w:i w:val="1"/>
          <w:iCs w:val="1"/>
          <w:color w:val="auto"/>
        </w:rPr>
        <w:t xml:space="preserve"> </w:t>
      </w:r>
      <w:r>
        <w:rPr>
          <w:rFonts w:ascii="Arial" w:cs="Arial" w:eastAsia="Arial" w:hAnsi="Arial"/>
          <w:sz w:val="22"/>
          <w:szCs w:val="22"/>
          <w:color w:val="auto"/>
        </w:rPr>
        <w:t>all as from time to time in effect.</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“Securities Intermediary” </w:t>
      </w:r>
      <w:r>
        <w:rPr>
          <w:rFonts w:ascii="Arial" w:cs="Arial" w:eastAsia="Arial" w:hAnsi="Arial"/>
          <w:sz w:val="22"/>
          <w:szCs w:val="22"/>
          <w:color w:val="auto"/>
        </w:rPr>
        <w:t>has the meaning assigned to it in Section 8-102(a)(14) of the UCC.</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“Security Entitlement” </w:t>
      </w:r>
      <w:r>
        <w:rPr>
          <w:rFonts w:ascii="Arial" w:cs="Arial" w:eastAsia="Arial" w:hAnsi="Arial"/>
          <w:sz w:val="22"/>
          <w:szCs w:val="22"/>
          <w:color w:val="auto"/>
        </w:rPr>
        <w:t>has the meaning specified in Section 8-102(a)(17) of the UCC.</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“Selling Institution” </w:t>
      </w:r>
      <w:r>
        <w:rPr>
          <w:rFonts w:ascii="Arial" w:cs="Arial" w:eastAsia="Arial" w:hAnsi="Arial"/>
          <w:sz w:val="19"/>
          <w:szCs w:val="19"/>
          <w:color w:val="auto"/>
        </w:rPr>
        <w:t>means an entity obligated to make payments to the Borrower under the terms of a Participation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Interest.</w:t>
      </w:r>
    </w:p>
    <w:p>
      <w:pPr>
        <w:spacing w:after="0" w:line="296"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Senior B Loan Obligation”</w:t>
      </w:r>
      <w:r>
        <w:rPr>
          <w:rFonts w:ascii="Arial" w:cs="Arial" w:eastAsia="Arial" w:hAnsi="Arial"/>
          <w:sz w:val="22"/>
          <w:szCs w:val="22"/>
          <w:color w:val="auto"/>
        </w:rPr>
        <w:t xml:space="preserve"> means a loan, debt obligation or Participation Interest (for purposes of this definition, a </w:t>
      </w:r>
      <w:r>
        <w:rPr>
          <w:rFonts w:ascii="Arial" w:cs="Arial" w:eastAsia="Arial" w:hAnsi="Arial"/>
          <w:sz w:val="22"/>
          <w:szCs w:val="22"/>
          <w:i w:val="1"/>
          <w:iCs w:val="1"/>
          <w:color w:val="auto"/>
        </w:rPr>
        <w:t>“loan”</w:t>
      </w:r>
      <w:r>
        <w:rPr>
          <w:rFonts w:ascii="Arial" w:cs="Arial" w:eastAsia="Arial" w:hAnsi="Arial"/>
          <w:sz w:val="22"/>
          <w:szCs w:val="22"/>
          <w:color w:val="auto"/>
        </w:rPr>
        <w:t>) that would constitute an Eligible First Lien Obligation (other than by operation of the proviso in the definition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term) but that, in the case of an event of default under the applicable Related Document, will be paid after a tranche that is senior in the right of payment issued by the same Obligor has been paid in full (the </w:t>
      </w:r>
      <w:r>
        <w:rPr>
          <w:rFonts w:ascii="Arial" w:cs="Arial" w:eastAsia="Arial" w:hAnsi="Arial"/>
          <w:sz w:val="22"/>
          <w:szCs w:val="22"/>
          <w:i w:val="1"/>
          <w:iCs w:val="1"/>
          <w:color w:val="auto"/>
        </w:rPr>
        <w:t>“First Out Tranche”)</w:t>
      </w:r>
      <w:r>
        <w:rPr>
          <w:rFonts w:ascii="Arial" w:cs="Arial" w:eastAsia="Arial" w:hAnsi="Arial"/>
          <w:sz w:val="22"/>
          <w:szCs w:val="22"/>
          <w:color w:val="auto"/>
        </w:rPr>
        <w:t xml:space="preserve"> in accordance with a specified waterfall of payments,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295" w:lineRule="exact"/>
        <w:rPr>
          <w:sz w:val="20"/>
          <w:szCs w:val="20"/>
          <w:color w:val="auto"/>
        </w:rPr>
      </w:pPr>
    </w:p>
    <w:p>
      <w:pPr>
        <w:ind w:left="800" w:right="20" w:firstLine="934"/>
        <w:spacing w:after="0" w:line="328" w:lineRule="auto"/>
        <w:tabs>
          <w:tab w:leader="none" w:pos="2332"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outstanding Principal Balance (and Unfunded Commitments in respect of) the First Out Tranche is less than 25% of total first lien debt (including the Senior B Loan Obligations and the First Out Tranche);</w:t>
      </w:r>
    </w:p>
    <w:p>
      <w:pPr>
        <w:spacing w:after="0" w:line="212" w:lineRule="exact"/>
        <w:rPr>
          <w:rFonts w:ascii="Arial" w:cs="Arial" w:eastAsia="Arial" w:hAnsi="Arial"/>
          <w:sz w:val="19"/>
          <w:szCs w:val="19"/>
          <w:color w:val="auto"/>
        </w:rPr>
      </w:pPr>
    </w:p>
    <w:p>
      <w:pPr>
        <w:ind w:left="800" w:firstLine="934"/>
        <w:spacing w:after="0" w:line="250" w:lineRule="auto"/>
        <w:tabs>
          <w:tab w:leader="none" w:pos="2354"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ratio of the outstanding Principal Balance (and unfunded commitments in respect of) the First Out Tranche to the EBITDA of the Obligor on such loan is less than or equal to 1.00x;</w:t>
      </w:r>
    </w:p>
    <w:p>
      <w:pPr>
        <w:spacing w:after="0" w:line="282" w:lineRule="exact"/>
        <w:rPr>
          <w:rFonts w:ascii="Arial" w:cs="Arial" w:eastAsia="Arial" w:hAnsi="Arial"/>
          <w:sz w:val="22"/>
          <w:szCs w:val="22"/>
          <w:color w:val="auto"/>
        </w:rPr>
      </w:pPr>
    </w:p>
    <w:p>
      <w:pPr>
        <w:ind w:left="2300" w:hanging="566"/>
        <w:spacing w:after="0"/>
        <w:tabs>
          <w:tab w:leader="none" w:pos="23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trailing twelve-month senior debt to EBITDA ratio of the Obligor on such loan is less than or equal</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to 4.25x; and</w:t>
      </w:r>
    </w:p>
    <w:p>
      <w:pPr>
        <w:spacing w:after="0" w:line="296" w:lineRule="exact"/>
        <w:rPr>
          <w:rFonts w:ascii="Arial" w:cs="Arial" w:eastAsia="Arial" w:hAnsi="Arial"/>
          <w:sz w:val="19"/>
          <w:szCs w:val="19"/>
          <w:color w:val="auto"/>
        </w:rPr>
      </w:pPr>
    </w:p>
    <w:p>
      <w:pPr>
        <w:ind w:left="800" w:firstLine="934"/>
        <w:spacing w:after="0" w:line="250" w:lineRule="auto"/>
        <w:tabs>
          <w:tab w:leader="none" w:pos="2366"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such Senior B Loan Obligation has been specifically assigned a recovery rate assigned by Moody’s or S&amp;P, such recovery rate is greater than or equal to 50%.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267" w:right="339" w:bottom="1440" w:gutter="0" w:footer="0" w:header="0"/>
        </w:sectPr>
      </w:pPr>
    </w:p>
    <w:bookmarkStart w:id="95" w:name="page96"/>
    <w:bookmarkEnd w:id="95"/>
    <w:p>
      <w:pPr>
        <w:jc w:val="both"/>
        <w:ind w:firstLine="786"/>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“Senior Collateral Management Fee” </w:t>
      </w:r>
      <w:r>
        <w:rPr>
          <w:rFonts w:ascii="Arial" w:cs="Arial" w:eastAsia="Arial" w:hAnsi="Arial"/>
          <w:sz w:val="22"/>
          <w:szCs w:val="22"/>
          <w:color w:val="auto"/>
        </w:rPr>
        <w:t>means the monthly fee, accruing from the Closing Date, payable in arrears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each Payment Date for the related Interest Accrual Period, in an amount equal to 0.50%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(calculated on the basis of a 360 day year and the actual number of days elapsed) of the Monthly Asset Amount.</w:t>
      </w:r>
    </w:p>
    <w:p>
      <w:pPr>
        <w:spacing w:after="0" w:line="294" w:lineRule="exact"/>
        <w:rPr>
          <w:sz w:val="20"/>
          <w:szCs w:val="20"/>
          <w:color w:val="auto"/>
        </w:rPr>
      </w:pPr>
    </w:p>
    <w:p>
      <w:pPr>
        <w:jc w:val="both"/>
        <w:ind w:firstLine="78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Senior B Excess Concentration Advance Amount”</w:t>
      </w:r>
      <w:r>
        <w:rPr>
          <w:rFonts w:ascii="Arial" w:cs="Arial" w:eastAsia="Arial" w:hAnsi="Arial"/>
          <w:sz w:val="21"/>
          <w:szCs w:val="21"/>
          <w:color w:val="auto"/>
        </w:rPr>
        <w:t xml:space="preserve"> means an amount equal to (i) 50.00% multiplied by (ii) any Excess Concentration Amounts attributable to Collateral Loans that constitute Senior B Loan Obligations to the extent that (x) such Excess Concentration Amounts arise solely as the result of Collateral Loans that constitute Senior B Loan Obligations exceeding the Concentration Limitation set forth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of the definition of “Concentration Limitation” and (y) any such Senior B Obligations (or portions thereof) included in such Excess Concentration Amounts would not cause the aggregate amount of Collateral Loans that are Eligible Second Lien Obligations and Senior B Loan Obligations to exceed 30.00% of the Aggregate Collateral Balance of all the Collateral Loans.</w:t>
      </w:r>
    </w:p>
    <w:p>
      <w:pPr>
        <w:spacing w:after="0" w:line="292"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Shareholders’ Equity”</w:t>
      </w:r>
      <w:r>
        <w:rPr>
          <w:rFonts w:ascii="Arial" w:cs="Arial" w:eastAsia="Arial" w:hAnsi="Arial"/>
          <w:sz w:val="22"/>
          <w:szCs w:val="22"/>
          <w:color w:val="auto"/>
        </w:rPr>
        <w:t xml:space="preserve"> means, at any date, the amount determined on a consolidated basis, without duplication, in accordance with GAAP, of shareholders’ equity for the Borrower and its Subsidiaries at such date.</w:t>
      </w:r>
    </w:p>
    <w:p>
      <w:pPr>
        <w:spacing w:after="0" w:line="28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Single Covenant Obligation”</w:t>
      </w:r>
      <w:r>
        <w:rPr>
          <w:rFonts w:ascii="Arial" w:cs="Arial" w:eastAsia="Arial" w:hAnsi="Arial"/>
          <w:sz w:val="22"/>
          <w:szCs w:val="22"/>
          <w:color w:val="auto"/>
        </w:rPr>
        <w:t xml:space="preserve"> means a loan, debt obligation or Participation Interest (for purposes of this definition, a </w:t>
      </w:r>
      <w:r>
        <w:rPr>
          <w:rFonts w:ascii="Arial" w:cs="Arial" w:eastAsia="Arial" w:hAnsi="Arial"/>
          <w:sz w:val="22"/>
          <w:szCs w:val="22"/>
          <w:i w:val="1"/>
          <w:iCs w:val="1"/>
          <w:color w:val="auto"/>
        </w:rPr>
        <w:t>“loan”</w:t>
      </w:r>
      <w:r>
        <w:rPr>
          <w:rFonts w:ascii="Arial" w:cs="Arial" w:eastAsia="Arial" w:hAnsi="Arial"/>
          <w:sz w:val="22"/>
          <w:szCs w:val="22"/>
          <w:color w:val="auto"/>
        </w:rPr>
        <w:t>) that:</w:t>
      </w:r>
    </w:p>
    <w:p>
      <w:pPr>
        <w:spacing w:after="0" w:line="283" w:lineRule="exact"/>
        <w:rPr>
          <w:sz w:val="20"/>
          <w:szCs w:val="20"/>
          <w:color w:val="auto"/>
        </w:rPr>
      </w:pPr>
    </w:p>
    <w:p>
      <w:pPr>
        <w:ind w:left="2160" w:hanging="631"/>
        <w:spacing w:after="0"/>
        <w:tabs>
          <w:tab w:leader="none" w:pos="21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is not a Covenant Lite Loan,</w:t>
      </w:r>
    </w:p>
    <w:p>
      <w:pPr>
        <w:spacing w:after="0" w:line="314" w:lineRule="exact"/>
        <w:rPr>
          <w:rFonts w:ascii="Arial" w:cs="Arial" w:eastAsia="Arial" w:hAnsi="Arial"/>
          <w:sz w:val="22"/>
          <w:szCs w:val="22"/>
          <w:color w:val="auto"/>
        </w:rPr>
      </w:pPr>
    </w:p>
    <w:p>
      <w:pPr>
        <w:jc w:val="both"/>
        <w:ind w:left="800" w:firstLine="676"/>
        <w:spacing w:after="0" w:line="249" w:lineRule="auto"/>
        <w:tabs>
          <w:tab w:leader="none" w:pos="2136" w:val="left"/>
        </w:tabs>
        <w:numPr>
          <w:ilvl w:val="0"/>
          <w:numId w:val="98"/>
        </w:numPr>
        <w:rPr>
          <w:rFonts w:ascii="Arial" w:cs="Arial" w:eastAsia="Arial" w:hAnsi="Arial"/>
          <w:sz w:val="21"/>
          <w:szCs w:val="21"/>
          <w:color w:val="auto"/>
        </w:rPr>
      </w:pPr>
      <w:r>
        <w:rPr>
          <w:rFonts w:ascii="Arial" w:cs="Arial" w:eastAsia="Arial" w:hAnsi="Arial"/>
          <w:sz w:val="21"/>
          <w:szCs w:val="21"/>
          <w:color w:val="auto"/>
        </w:rPr>
        <w:t>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w:t>
      </w:r>
    </w:p>
    <w:p>
      <w:pPr>
        <w:spacing w:after="0" w:line="286" w:lineRule="exact"/>
        <w:rPr>
          <w:rFonts w:ascii="Arial" w:cs="Arial" w:eastAsia="Arial" w:hAnsi="Arial"/>
          <w:sz w:val="21"/>
          <w:szCs w:val="21"/>
          <w:color w:val="auto"/>
        </w:rPr>
      </w:pPr>
    </w:p>
    <w:p>
      <w:pPr>
        <w:ind w:left="2060" w:hanging="639"/>
        <w:spacing w:after="0"/>
        <w:tabs>
          <w:tab w:leader="none" w:pos="20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either, at the time of acquisition of such loan:</w:t>
      </w:r>
    </w:p>
    <w:p>
      <w:pPr>
        <w:spacing w:after="0" w:line="314" w:lineRule="exact"/>
        <w:rPr>
          <w:rFonts w:ascii="Arial" w:cs="Arial" w:eastAsia="Arial" w:hAnsi="Arial"/>
          <w:sz w:val="22"/>
          <w:szCs w:val="22"/>
          <w:color w:val="auto"/>
        </w:rPr>
      </w:pPr>
    </w:p>
    <w:p>
      <w:pPr>
        <w:ind w:left="1460" w:firstLine="399"/>
        <w:spacing w:after="0" w:line="250" w:lineRule="auto"/>
        <w:tabs>
          <w:tab w:leader="none" w:pos="2957" w:val="left"/>
        </w:tabs>
        <w:numPr>
          <w:ilvl w:val="2"/>
          <w:numId w:val="98"/>
        </w:numPr>
        <w:rPr>
          <w:rFonts w:ascii="Arial" w:cs="Arial" w:eastAsia="Arial" w:hAnsi="Arial"/>
          <w:sz w:val="22"/>
          <w:szCs w:val="22"/>
          <w:color w:val="auto"/>
        </w:rPr>
      </w:pPr>
      <w:r>
        <w:rPr>
          <w:rFonts w:ascii="Arial" w:cs="Arial" w:eastAsia="Arial" w:hAnsi="Arial"/>
          <w:sz w:val="22"/>
          <w:szCs w:val="22"/>
          <w:color w:val="auto"/>
        </w:rPr>
        <w:t>has an original principal balance of (and unfunded commitments in respect of) more than the Dollar Equivalent of $150,000,000; or</w:t>
      </w:r>
    </w:p>
    <w:p>
      <w:pPr>
        <w:spacing w:after="0" w:line="282" w:lineRule="exact"/>
        <w:rPr>
          <w:rFonts w:ascii="Arial" w:cs="Arial" w:eastAsia="Arial" w:hAnsi="Arial"/>
          <w:sz w:val="22"/>
          <w:szCs w:val="22"/>
          <w:color w:val="auto"/>
        </w:rPr>
      </w:pPr>
    </w:p>
    <w:p>
      <w:pPr>
        <w:jc w:val="both"/>
        <w:ind w:left="1460" w:firstLine="399"/>
        <w:spacing w:after="0" w:line="282" w:lineRule="auto"/>
        <w:tabs>
          <w:tab w:leader="none" w:pos="2822" w:val="left"/>
        </w:tabs>
        <w:numPr>
          <w:ilvl w:val="2"/>
          <w:numId w:val="98"/>
        </w:numPr>
        <w:rPr>
          <w:rFonts w:ascii="Arial" w:cs="Arial" w:eastAsia="Arial" w:hAnsi="Arial"/>
          <w:sz w:val="19"/>
          <w:szCs w:val="19"/>
          <w:color w:val="auto"/>
        </w:rPr>
      </w:pPr>
      <w:r>
        <w:rPr>
          <w:rFonts w:ascii="Arial" w:cs="Arial" w:eastAsia="Arial" w:hAnsi="Arial"/>
          <w:sz w:val="19"/>
          <w:szCs w:val="19"/>
          <w:color w:val="auto"/>
        </w:rPr>
        <w:t>(x) has a rating of at least “B-” from S&amp;P and “B3” from Moody’s, and (y) either (1) (A) has an original principal balance of (and unfunded commitments in respect of) more than the Dollar Equivalent of $125,000,000, (B) has an Obligor with a trailing twelve-month EBITDA of at least the Dollar Equivalent of $30,000,000 and (C) is a first lien commercial loan, or (2) (A) has an Obligor with a trailing twelve-month EBITDA of at least the Dollar Equivalent of $40,000,000 and (B) is an Eligible Second Lien Obligation.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267" w:right="339" w:bottom="1440" w:gutter="0" w:footer="0" w:header="0"/>
        </w:sectPr>
      </w:pPr>
    </w:p>
    <w:bookmarkStart w:id="96" w:name="page97"/>
    <w:bookmarkEnd w:id="96"/>
    <w:p>
      <w:pPr>
        <w:jc w:val="both"/>
        <w:ind w:firstLine="786"/>
        <w:spacing w:after="0" w:line="272"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“Solvent” </w:t>
      </w:r>
      <w:r>
        <w:rPr>
          <w:rFonts w:ascii="Arial" w:cs="Arial" w:eastAsia="Arial" w:hAnsi="Arial"/>
          <w:sz w:val="19"/>
          <w:szCs w:val="19"/>
          <w:color w:val="auto"/>
        </w:rPr>
        <w:t>means, with respect to any Person, that as of the date of determination, both (i) (a) the sum of such Person’s</w:t>
      </w:r>
      <w:r>
        <w:rPr>
          <w:rFonts w:ascii="Arial" w:cs="Arial" w:eastAsia="Arial" w:hAnsi="Arial"/>
          <w:sz w:val="19"/>
          <w:szCs w:val="19"/>
          <w:i w:val="1"/>
          <w:iCs w:val="1"/>
          <w:color w:val="auto"/>
        </w:rPr>
        <w:t xml:space="preserve"> </w:t>
      </w:r>
      <w:r>
        <w:rPr>
          <w:rFonts w:ascii="Arial" w:cs="Arial" w:eastAsia="Arial" w:hAnsi="Arial"/>
          <w:sz w:val="19"/>
          <w:szCs w:val="19"/>
          <w:color w:val="auto"/>
        </w:rPr>
        <w:t>debt (including contingent liabilities) does not exceed the present 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 (ii) such Person is “solvent” within the meaning given that term and similar terms under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w:t>
      </w:r>
    </w:p>
    <w:p>
      <w:pPr>
        <w:spacing w:after="0" w:line="200" w:lineRule="exact"/>
        <w:rPr>
          <w:sz w:val="20"/>
          <w:szCs w:val="20"/>
          <w:color w:val="auto"/>
        </w:rPr>
      </w:pPr>
    </w:p>
    <w:p>
      <w:pPr>
        <w:spacing w:after="0" w:line="316"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“Special Obligor” </w:t>
      </w:r>
      <w:r>
        <w:rPr>
          <w:rFonts w:ascii="Arial" w:cs="Arial" w:eastAsia="Arial" w:hAnsi="Arial"/>
          <w:sz w:val="22"/>
          <w:szCs w:val="22"/>
          <w:color w:val="auto"/>
        </w:rPr>
        <w:t>means an Obligor that is in the government IT, payment processors, insurance services, healthcare</w:t>
      </w:r>
      <w:r>
        <w:rPr>
          <w:rFonts w:ascii="Arial" w:cs="Arial" w:eastAsia="Arial" w:hAnsi="Arial"/>
          <w:sz w:val="22"/>
          <w:szCs w:val="22"/>
          <w:i w:val="1"/>
          <w:iCs w:val="1"/>
          <w:color w:val="auto"/>
        </w:rPr>
        <w:t xml:space="preserve"> </w:t>
      </w:r>
      <w:r>
        <w:rPr>
          <w:rFonts w:ascii="Arial" w:cs="Arial" w:eastAsia="Arial" w:hAnsi="Arial"/>
          <w:sz w:val="22"/>
          <w:szCs w:val="22"/>
          <w:color w:val="auto"/>
        </w:rPr>
        <w:t>services or marketing services subcategory of the “Business Services” industry as defined by Moody’s.</w:t>
      </w:r>
    </w:p>
    <w:p>
      <w:pPr>
        <w:spacing w:after="0" w:line="283"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i w:val="1"/>
          <w:iCs w:val="1"/>
          <w:color w:val="auto"/>
        </w:rPr>
        <w:t xml:space="preserve">“Special Purpose Entity” </w:t>
      </w:r>
      <w:r>
        <w:rPr>
          <w:rFonts w:ascii="Arial" w:cs="Arial" w:eastAsia="Arial" w:hAnsi="Arial"/>
          <w:sz w:val="22"/>
          <w:szCs w:val="22"/>
          <w:color w:val="auto"/>
        </w:rPr>
        <w:t>means a limited liability company or other business entity that is created with the purpose of</w:t>
      </w:r>
      <w:r>
        <w:rPr>
          <w:rFonts w:ascii="Arial" w:cs="Arial" w:eastAsia="Arial" w:hAnsi="Arial"/>
          <w:sz w:val="22"/>
          <w:szCs w:val="22"/>
          <w:i w:val="1"/>
          <w:iCs w:val="1"/>
          <w:color w:val="auto"/>
        </w:rPr>
        <w:t xml:space="preserve"> </w:t>
      </w:r>
      <w:r>
        <w:rPr>
          <w:rFonts w:ascii="Arial" w:cs="Arial" w:eastAsia="Arial" w:hAnsi="Arial"/>
          <w:sz w:val="22"/>
          <w:szCs w:val="22"/>
          <w:color w:val="auto"/>
        </w:rPr>
        <w:t>being “bankruptcy remote” and whose organizational documents contain restrictions on its activities and impose requirements intended to preserve such entity’s separateness that are substantially similar to the special purpose provisions of the Borrower LLC Agreement.</w:t>
      </w:r>
    </w:p>
    <w:p>
      <w:pPr>
        <w:spacing w:after="0" w:line="293" w:lineRule="exact"/>
        <w:rPr>
          <w:sz w:val="20"/>
          <w:szCs w:val="20"/>
          <w:color w:val="auto"/>
        </w:rPr>
      </w:pPr>
    </w:p>
    <w:p>
      <w:pPr>
        <w:jc w:val="both"/>
        <w:ind w:firstLine="786"/>
        <w:spacing w:after="0" w:line="277" w:lineRule="auto"/>
        <w:rPr>
          <w:sz w:val="20"/>
          <w:szCs w:val="20"/>
          <w:color w:val="auto"/>
        </w:rPr>
      </w:pPr>
      <w:r>
        <w:rPr>
          <w:rFonts w:ascii="Arial" w:cs="Arial" w:eastAsia="Arial" w:hAnsi="Arial"/>
          <w:sz w:val="19"/>
          <w:szCs w:val="19"/>
          <w:i w:val="1"/>
          <w:iCs w:val="1"/>
          <w:color w:val="auto"/>
        </w:rPr>
        <w:t xml:space="preserve">“Specified Eligible Investment” </w:t>
      </w:r>
      <w:r>
        <w:rPr>
          <w:rFonts w:ascii="Arial" w:cs="Arial" w:eastAsia="Arial" w:hAnsi="Arial"/>
          <w:sz w:val="19"/>
          <w:szCs w:val="19"/>
          <w:color w:val="auto"/>
        </w:rPr>
        <w:t>means an Eligible Investment meeting the requirements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8.05(a)</w:t>
      </w:r>
      <w:r>
        <w:rPr>
          <w:rFonts w:ascii="Arial" w:cs="Arial" w:eastAsia="Arial" w:hAnsi="Arial"/>
          <w:sz w:val="19"/>
          <w:szCs w:val="19"/>
          <w:i w:val="1"/>
          <w:iCs w:val="1"/>
          <w:color w:val="auto"/>
        </w:rPr>
        <w:t xml:space="preserve"> </w:t>
      </w:r>
      <w:r>
        <w:rPr>
          <w:rFonts w:ascii="Arial" w:cs="Arial" w:eastAsia="Arial" w:hAnsi="Arial"/>
          <w:sz w:val="19"/>
          <w:szCs w:val="19"/>
          <w:color w:val="auto"/>
        </w:rPr>
        <w:t>and that 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available to the Collateral Agent, to be specified by the Collateral Manager to the Collateral Agent (with a copy to the Administrative Agent) on or prior to the initial Borrowing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so long as no Default or Event of Default shall have occurred and then be continuing, at any time with not less than five (5) Business Days’ notice to the Collateral Agent (with a copy to the Administrative Agent) the Collateral Manager may (and, if the-then Specified Eligible Investment is no longer available to the Collateral Agent, shall) designate another Eligible Investment that meets the requirements of </w:t>
      </w:r>
      <w:r>
        <w:rPr>
          <w:rFonts w:ascii="Arial" w:cs="Arial" w:eastAsia="Arial" w:hAnsi="Arial"/>
          <w:sz w:val="19"/>
          <w:szCs w:val="19"/>
          <w:u w:val="single" w:color="auto"/>
          <w:color w:val="auto"/>
        </w:rPr>
        <w:t>Section 8.05(a)</w:t>
      </w:r>
      <w:r>
        <w:rPr>
          <w:rFonts w:ascii="Arial" w:cs="Arial" w:eastAsia="Arial" w:hAnsi="Arial"/>
          <w:sz w:val="19"/>
          <w:szCs w:val="19"/>
          <w:color w:val="auto"/>
        </w:rPr>
        <w:t xml:space="preserve"> and that is available to the Collateral Agent to be the Specified Eligible Investment for purposes hereof.</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Specified LIBOR</w:t>
      </w:r>
      <w:r>
        <w:rPr>
          <w:rFonts w:ascii="Arial" w:cs="Arial" w:eastAsia="Arial" w:hAnsi="Arial"/>
          <w:sz w:val="22"/>
          <w:szCs w:val="22"/>
          <w:color w:val="auto"/>
        </w:rPr>
        <w:t>” means at any time:</w:t>
      </w:r>
    </w:p>
    <w:p>
      <w:pPr>
        <w:spacing w:after="0" w:line="314" w:lineRule="exact"/>
        <w:rPr>
          <w:sz w:val="20"/>
          <w:szCs w:val="20"/>
          <w:color w:val="auto"/>
        </w:rPr>
      </w:pPr>
    </w:p>
    <w:p>
      <w:pPr>
        <w:jc w:val="both"/>
        <w:ind w:left="800" w:firstLine="934"/>
        <w:spacing w:after="0" w:line="236" w:lineRule="auto"/>
        <w:tabs>
          <w:tab w:leader="none" w:pos="2377" w:val="left"/>
        </w:tabs>
        <w:numPr>
          <w:ilvl w:val="0"/>
          <w:numId w:val="99"/>
        </w:numPr>
        <w:rPr>
          <w:rFonts w:ascii="Arial" w:cs="Arial" w:eastAsia="Arial" w:hAnsi="Arial"/>
          <w:sz w:val="22"/>
          <w:szCs w:val="22"/>
          <w:color w:val="auto"/>
        </w:rPr>
      </w:pPr>
      <w:r>
        <w:rPr>
          <w:rFonts w:ascii="Arial" w:cs="Arial" w:eastAsia="Arial" w:hAnsi="Arial"/>
          <w:sz w:val="22"/>
          <w:szCs w:val="22"/>
          <w:color w:val="auto"/>
        </w:rPr>
        <w:t>if no Advances are bearing interest at the Adjusted LIBOR Rate, the LIBOR Rate determined by the Collateral Administrator as if (1) Advances having an aggregate principal balance of $10,000,000 were bearing interest at the Adjusted LIBOR Rate hereunder and (2) the related Interest Accrual Period were in effect for the period from the immediately preceding Payment Date (or, if prior to the first Payment Date, the Closing Date) through the next following Payment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267" w:right="339" w:bottom="1440" w:gutter="0" w:footer="0" w:header="0"/>
        </w:sectPr>
      </w:pPr>
    </w:p>
    <w:bookmarkStart w:id="97" w:name="page98"/>
    <w:bookmarkEnd w:id="97"/>
    <w:p>
      <w:pPr>
        <w:ind w:left="800" w:firstLine="934"/>
        <w:spacing w:after="0" w:line="328" w:lineRule="auto"/>
        <w:tabs>
          <w:tab w:leader="none" w:pos="2497" w:val="left"/>
        </w:tabs>
        <w:numPr>
          <w:ilvl w:val="0"/>
          <w:numId w:val="10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only one Interest Accrual Period for Advances bearing interest at the Adjusted LIBOR Rate is outstanding at such time, the LIBOR Rate in effect with respect to such Advances for such Interest Accrual Period; and</w:t>
      </w:r>
    </w:p>
    <w:p>
      <w:pPr>
        <w:spacing w:after="0" w:line="212" w:lineRule="exact"/>
        <w:rPr>
          <w:rFonts w:ascii="Arial" w:cs="Arial" w:eastAsia="Arial" w:hAnsi="Arial"/>
          <w:sz w:val="19"/>
          <w:szCs w:val="19"/>
          <w:color w:val="auto"/>
        </w:rPr>
      </w:pPr>
    </w:p>
    <w:p>
      <w:pPr>
        <w:jc w:val="both"/>
        <w:ind w:left="800" w:firstLine="934"/>
        <w:spacing w:after="0" w:line="279" w:lineRule="auto"/>
        <w:tabs>
          <w:tab w:leader="none" w:pos="234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if more than one Interest Accrual Period for Advances bearing interest at the Adjusted LIBOR Rate is outstanding at such time, a rate per annum equal to (1) the sum of the products, for each such Interest Accrual Period, of the LIBOR Rate (as determined by the Collateral Administrator) in effect with respect to such Interest Accrual Period </w:t>
      </w:r>
      <w:r>
        <w:rPr>
          <w:rFonts w:ascii="Arial" w:cs="Arial" w:eastAsia="Arial" w:hAnsi="Arial"/>
          <w:sz w:val="19"/>
          <w:szCs w:val="19"/>
          <w:i w:val="1"/>
          <w:iCs w:val="1"/>
          <w:color w:val="auto"/>
        </w:rPr>
        <w:t xml:space="preserve">multiplied by </w:t>
      </w:r>
      <w:r>
        <w:rPr>
          <w:rFonts w:ascii="Arial" w:cs="Arial" w:eastAsia="Arial" w:hAnsi="Arial"/>
          <w:sz w:val="19"/>
          <w:szCs w:val="19"/>
          <w:color w:val="auto"/>
        </w:rPr>
        <w:t>the Dollar Equivalent of the principal amount of Advances then bearing interest at a rate based on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LIBOR Rate,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(2) the Dollar Equivalent of the aggregate principal amount of all Advances bearing interest at the Adjusted LIBOR Rate outstanding at such time, rounded to the nearest 0.01%.</w:t>
      </w:r>
    </w:p>
    <w:p>
      <w:pPr>
        <w:spacing w:after="0" w:line="258" w:lineRule="exact"/>
        <w:rPr>
          <w:sz w:val="20"/>
          <w:szCs w:val="20"/>
          <w:color w:val="auto"/>
        </w:rPr>
      </w:pPr>
    </w:p>
    <w:p>
      <w:pPr>
        <w:jc w:val="both"/>
        <w:ind w:firstLine="786"/>
        <w:spacing w:after="0" w:line="245" w:lineRule="auto"/>
        <w:rPr>
          <w:sz w:val="20"/>
          <w:szCs w:val="20"/>
          <w:color w:val="auto"/>
        </w:rPr>
      </w:pPr>
      <w:r>
        <w:rPr>
          <w:rFonts w:ascii="Arial" w:cs="Arial" w:eastAsia="Arial" w:hAnsi="Arial"/>
          <w:sz w:val="21"/>
          <w:szCs w:val="21"/>
          <w:i w:val="1"/>
          <w:iCs w:val="1"/>
          <w:color w:val="auto"/>
        </w:rPr>
        <w:t xml:space="preserve">“Statutory Reserve Rate” </w:t>
      </w:r>
      <w:r>
        <w:rPr>
          <w:rFonts w:ascii="Arial" w:cs="Arial" w:eastAsia="Arial" w:hAnsi="Arial"/>
          <w:sz w:val="21"/>
          <w:szCs w:val="21"/>
          <w:color w:val="auto"/>
        </w:rPr>
        <w:t>means, for the Interest Accrual Period for any Eurocurrency Borrowing, a fraction (expressed</w:t>
      </w:r>
      <w:r>
        <w:rPr>
          <w:rFonts w:ascii="Arial" w:cs="Arial" w:eastAsia="Arial" w:hAnsi="Arial"/>
          <w:sz w:val="21"/>
          <w:szCs w:val="21"/>
          <w:i w:val="1"/>
          <w:iCs w:val="1"/>
          <w:color w:val="auto"/>
        </w:rPr>
        <w:t xml:space="preserve"> </w:t>
      </w:r>
      <w:r>
        <w:rPr>
          <w:rFonts w:ascii="Arial" w:cs="Arial" w:eastAsia="Arial" w:hAnsi="Arial"/>
          <w:sz w:val="21"/>
          <w:szCs w:val="21"/>
          <w:color w:val="auto"/>
        </w:rPr>
        <w:t>as a decimal), the numerator of which is the number one and the denominator of which is the number one minus the arithmetic mean, taken over each day in such Interest Accrual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Borrowings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289" w:lineRule="exact"/>
        <w:rPr>
          <w:sz w:val="20"/>
          <w:szCs w:val="20"/>
          <w:color w:val="auto"/>
        </w:rPr>
      </w:pPr>
    </w:p>
    <w:p>
      <w:pPr>
        <w:jc w:val="both"/>
        <w:ind w:firstLine="786"/>
        <w:spacing w:after="0" w:line="235" w:lineRule="auto"/>
        <w:rPr>
          <w:sz w:val="20"/>
          <w:szCs w:val="20"/>
          <w:color w:val="auto"/>
        </w:rPr>
      </w:pPr>
      <w:r>
        <w:rPr>
          <w:rFonts w:ascii="Arial" w:cs="Arial" w:eastAsia="Arial" w:hAnsi="Arial"/>
          <w:sz w:val="22"/>
          <w:szCs w:val="22"/>
          <w:i w:val="1"/>
          <w:iCs w:val="1"/>
          <w:color w:val="auto"/>
        </w:rPr>
        <w:t xml:space="preserve">“Structured Finance Obligation” </w:t>
      </w:r>
      <w:r>
        <w:rPr>
          <w:rFonts w:ascii="Arial" w:cs="Arial" w:eastAsia="Arial" w:hAnsi="Arial"/>
          <w:sz w:val="22"/>
          <w:szCs w:val="22"/>
          <w:color w:val="auto"/>
        </w:rPr>
        <w:t>means any debt obligation owing by a finance vehicle that is secured directly 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primarily by, primarily 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ABL Facilities, loans to financial service companies, factoring businesses, health care providers and other genuine operating businesses do not constitute Structured Finance Obligations.</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“Subject Laws”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4.01(f)</w:t>
      </w:r>
      <w:r>
        <w:rPr>
          <w:rFonts w:ascii="Arial" w:cs="Arial" w:eastAsia="Arial" w:hAnsi="Arial"/>
          <w:sz w:val="22"/>
          <w:szCs w:val="22"/>
          <w:color w:val="auto"/>
        </w:rPr>
        <w:t>.</w:t>
      </w:r>
    </w:p>
    <w:p>
      <w:pPr>
        <w:spacing w:after="0" w:line="314"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i w:val="1"/>
          <w:iCs w:val="1"/>
          <w:color w:val="auto"/>
        </w:rPr>
        <w:t xml:space="preserve">“Subordinated Collateral Management Fee” </w:t>
      </w:r>
      <w:r>
        <w:rPr>
          <w:rFonts w:ascii="Arial" w:cs="Arial" w:eastAsia="Arial" w:hAnsi="Arial"/>
          <w:sz w:val="21"/>
          <w:szCs w:val="21"/>
          <w:color w:val="auto"/>
        </w:rPr>
        <w:t>means the monthly fee, accruing from the Closing Date, payable in arrears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on each Payment Date for the related Interest Accrual Period, in an amount equal to 0.50%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(calculated on the basis of a 360 day year and the actual number of days elapsed) of the Monthly Asset Amount.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267" w:right="339" w:bottom="1440" w:gutter="0" w:footer="0" w:header="0"/>
        </w:sectPr>
      </w:pPr>
    </w:p>
    <w:bookmarkStart w:id="98" w:name="page99"/>
    <w:bookmarkEnd w:id="98"/>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“Successor Collateral Manager”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11.09(a)</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“SunTrust” </w:t>
      </w:r>
      <w:r>
        <w:rPr>
          <w:rFonts w:ascii="Arial" w:cs="Arial" w:eastAsia="Arial" w:hAnsi="Arial"/>
          <w:sz w:val="22"/>
          <w:szCs w:val="22"/>
          <w:color w:val="auto"/>
        </w:rPr>
        <w:t>means SunTrust Bank, a Georgia banking corporation.</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Swingline Advance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Swingline Borrowing</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Swingline Facility End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Swingline Lender</w:t>
      </w:r>
      <w:r>
        <w:rPr>
          <w:rFonts w:ascii="Arial" w:cs="Arial" w:eastAsia="Arial" w:hAnsi="Arial"/>
          <w:sz w:val="22"/>
          <w:szCs w:val="22"/>
          <w:color w:val="auto"/>
        </w:rPr>
        <w:t>” means SunTrust, in its capacity as lender of Swingline Advances hereunder.</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Swingline Refinancing Advances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2.02(c)</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Swingline Refinancing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2.02(c)</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Syndicated Advance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Syndicated Borrowing</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“Taxes” </w:t>
      </w:r>
      <w:r>
        <w:rPr>
          <w:rFonts w:ascii="Arial" w:cs="Arial" w:eastAsia="Arial" w:hAnsi="Arial"/>
          <w:sz w:val="22"/>
          <w:szCs w:val="22"/>
          <w:color w:val="auto"/>
        </w:rPr>
        <w:t>has the meaning assigned to such term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15.03(a)</w:t>
      </w:r>
      <w:r>
        <w:rPr>
          <w:rFonts w:ascii="Arial" w:cs="Arial" w:eastAsia="Arial" w:hAnsi="Arial"/>
          <w:sz w:val="22"/>
          <w:szCs w:val="22"/>
          <w:color w:val="auto"/>
        </w:rPr>
        <w:t>.</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“Third Restatement Effective Date” </w:t>
      </w:r>
      <w:r>
        <w:rPr>
          <w:rFonts w:ascii="Arial" w:cs="Arial" w:eastAsia="Arial" w:hAnsi="Arial"/>
          <w:sz w:val="22"/>
          <w:szCs w:val="22"/>
          <w:color w:val="auto"/>
        </w:rPr>
        <w:t>means May 22, 2015.</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“Total Capitalization” </w:t>
      </w:r>
      <w:r>
        <w:rPr>
          <w:rFonts w:ascii="Arial" w:cs="Arial" w:eastAsia="Arial" w:hAnsi="Arial"/>
          <w:sz w:val="22"/>
          <w:szCs w:val="22"/>
          <w:color w:val="auto"/>
        </w:rPr>
        <w:t>means, for any Obligor at any time the same is to be determined, the sum of Total Funded Debt</w:t>
      </w:r>
      <w:r>
        <w:rPr>
          <w:rFonts w:ascii="Arial" w:cs="Arial" w:eastAsia="Arial" w:hAnsi="Arial"/>
          <w:sz w:val="22"/>
          <w:szCs w:val="22"/>
          <w:i w:val="1"/>
          <w:iCs w:val="1"/>
          <w:color w:val="auto"/>
        </w:rPr>
        <w:t xml:space="preserve"> </w:t>
      </w:r>
      <w:r>
        <w:rPr>
          <w:rFonts w:ascii="Arial" w:cs="Arial" w:eastAsia="Arial" w:hAnsi="Arial"/>
          <w:sz w:val="22"/>
          <w:szCs w:val="22"/>
          <w:color w:val="auto"/>
        </w:rPr>
        <w:t>of such Obligor plus the Net Worth of such Obligor.</w:t>
      </w:r>
    </w:p>
    <w:p>
      <w:pPr>
        <w:spacing w:after="0" w:line="283" w:lineRule="exact"/>
        <w:rPr>
          <w:sz w:val="20"/>
          <w:szCs w:val="20"/>
          <w:color w:val="auto"/>
        </w:rPr>
      </w:pPr>
    </w:p>
    <w:p>
      <w:pPr>
        <w:jc w:val="both"/>
        <w:ind w:firstLine="786"/>
        <w:spacing w:after="0" w:line="249" w:lineRule="auto"/>
        <w:rPr>
          <w:sz w:val="20"/>
          <w:szCs w:val="20"/>
          <w:color w:val="auto"/>
        </w:rPr>
      </w:pPr>
      <w:r>
        <w:rPr>
          <w:rFonts w:ascii="Arial" w:cs="Arial" w:eastAsia="Arial" w:hAnsi="Arial"/>
          <w:sz w:val="21"/>
          <w:szCs w:val="21"/>
          <w:i w:val="1"/>
          <w:iCs w:val="1"/>
          <w:color w:val="auto"/>
        </w:rPr>
        <w:t xml:space="preserve">“Total Funded Debt” </w:t>
      </w:r>
      <w:r>
        <w:rPr>
          <w:rFonts w:ascii="Arial" w:cs="Arial" w:eastAsia="Arial" w:hAnsi="Arial"/>
          <w:sz w:val="21"/>
          <w:szCs w:val="21"/>
          <w:color w:val="auto"/>
        </w:rPr>
        <w:t>means, at any time the same is to be determined, the sum (but without duplication) of (a) all</w:t>
      </w:r>
      <w:r>
        <w:rPr>
          <w:rFonts w:ascii="Arial" w:cs="Arial" w:eastAsia="Arial" w:hAnsi="Arial"/>
          <w:sz w:val="21"/>
          <w:szCs w:val="21"/>
          <w:i w:val="1"/>
          <w:iCs w:val="1"/>
          <w:color w:val="auto"/>
        </w:rPr>
        <w:t xml:space="preserve"> </w:t>
      </w:r>
      <w:r>
        <w:rPr>
          <w:rFonts w:ascii="Arial" w:cs="Arial" w:eastAsia="Arial" w:hAnsi="Arial"/>
          <w:sz w:val="21"/>
          <w:szCs w:val="21"/>
          <w:color w:val="auto"/>
        </w:rPr>
        <w:t>indebtedness for borrowed money of such Obligor and its Subsidiaries at such time, and (b) all indebtedness for borrowed money of any other Person which is directly or indirectly guaranteed by the Obligor or any of its Subsidiaries or which the Obligor or any of its Subsidiaries has agreed (contingently or otherwise) to purchase or otherwise acquire or in respect of which the Obligor or any of its Subsidiaries has otherwise assured a creditor against loss.</w:t>
      </w:r>
    </w:p>
    <w:p>
      <w:pPr>
        <w:spacing w:after="0" w:line="286" w:lineRule="exact"/>
        <w:rPr>
          <w:sz w:val="20"/>
          <w:szCs w:val="20"/>
          <w:color w:val="auto"/>
        </w:rPr>
      </w:pPr>
    </w:p>
    <w:p>
      <w:pPr>
        <w:jc w:val="both"/>
        <w:ind w:firstLine="786"/>
        <w:spacing w:after="0" w:line="235" w:lineRule="auto"/>
        <w:rPr>
          <w:sz w:val="20"/>
          <w:szCs w:val="20"/>
          <w:color w:val="auto"/>
        </w:rPr>
      </w:pPr>
      <w:r>
        <w:rPr>
          <w:rFonts w:ascii="Arial" w:cs="Arial" w:eastAsia="Arial" w:hAnsi="Arial"/>
          <w:sz w:val="22"/>
          <w:szCs w:val="22"/>
          <w:i w:val="1"/>
          <w:iCs w:val="1"/>
          <w:color w:val="auto"/>
        </w:rPr>
        <w:t xml:space="preserve">“UCC” </w:t>
      </w:r>
      <w:r>
        <w:rPr>
          <w:rFonts w:ascii="Arial" w:cs="Arial" w:eastAsia="Arial" w:hAnsi="Arial"/>
          <w:sz w:val="22"/>
          <w:szCs w:val="22"/>
          <w:color w:val="auto"/>
        </w:rPr>
        <w:t>means the Uniform Commercial Code, as from time to time in effect in the State of New York;</w:t>
      </w:r>
      <w:r>
        <w:rPr>
          <w:rFonts w:ascii="Arial" w:cs="Arial" w:eastAsia="Arial" w:hAnsi="Arial"/>
          <w:sz w:val="22"/>
          <w:szCs w:val="22"/>
          <w:i w:val="1"/>
          <w:iCs w:val="1"/>
          <w:color w:val="auto"/>
        </w:rPr>
        <w:t xml:space="preserve"> provided </w:t>
      </w:r>
      <w:r>
        <w:rPr>
          <w:rFonts w:ascii="Arial" w:cs="Arial" w:eastAsia="Arial" w:hAnsi="Arial"/>
          <w:sz w:val="22"/>
          <w:szCs w:val="22"/>
          <w:color w:val="auto"/>
        </w:rPr>
        <w:t>that if,</w:t>
      </w:r>
      <w:r>
        <w:rPr>
          <w:rFonts w:ascii="Arial" w:cs="Arial" w:eastAsia="Arial" w:hAnsi="Arial"/>
          <w:sz w:val="22"/>
          <w:szCs w:val="22"/>
          <w:i w:val="1"/>
          <w:iCs w:val="1"/>
          <w:color w:val="auto"/>
        </w:rPr>
        <w:t xml:space="preserve"> </w:t>
      </w:r>
      <w:r>
        <w:rPr>
          <w:rFonts w:ascii="Arial" w:cs="Arial" w:eastAsia="Arial" w:hAnsi="Arial"/>
          <w:sz w:val="22"/>
          <w:szCs w:val="22"/>
          <w:color w:val="auto"/>
        </w:rPr>
        <w:t>by reason of any 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267" w:right="339" w:bottom="1440" w:gutter="0" w:footer="0" w:header="0"/>
        </w:sectPr>
      </w:pPr>
    </w:p>
    <w:bookmarkStart w:id="99" w:name="page100"/>
    <w:bookmarkEnd w:id="99"/>
    <w:p>
      <w:pPr>
        <w:ind w:left="80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“Uncertificated Security” </w:t>
      </w:r>
      <w:r>
        <w:rPr>
          <w:rFonts w:ascii="Arial" w:cs="Arial" w:eastAsia="Arial" w:hAnsi="Arial"/>
          <w:sz w:val="22"/>
          <w:szCs w:val="22"/>
          <w:color w:val="auto"/>
        </w:rPr>
        <w:t>has the meaning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8-102(a)(18)</w:t>
      </w:r>
      <w:r>
        <w:rPr>
          <w:rFonts w:ascii="Arial" w:cs="Arial" w:eastAsia="Arial" w:hAnsi="Arial"/>
          <w:sz w:val="22"/>
          <w:szCs w:val="22"/>
          <w:i w:val="1"/>
          <w:iCs w:val="1"/>
          <w:color w:val="auto"/>
        </w:rPr>
        <w:t xml:space="preserve"> </w:t>
      </w:r>
      <w:r>
        <w:rPr>
          <w:rFonts w:ascii="Arial" w:cs="Arial" w:eastAsia="Arial" w:hAnsi="Arial"/>
          <w:sz w:val="22"/>
          <w:szCs w:val="22"/>
          <w:color w:val="auto"/>
        </w:rPr>
        <w:t>of the UCC.</w:t>
      </w:r>
    </w:p>
    <w:p>
      <w:pPr>
        <w:spacing w:after="0" w:line="314"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Underlying Note</w:t>
      </w:r>
      <w:r>
        <w:rPr>
          <w:rFonts w:ascii="Arial" w:cs="Arial" w:eastAsia="Arial" w:hAnsi="Arial"/>
          <w:sz w:val="22"/>
          <w:szCs w:val="22"/>
          <w:color w:val="auto"/>
        </w:rPr>
        <w:t>” means, with respect to a Collateral Loan, one or more promissory notes executed by an Obligor to evidence such Collateral Loan.</w:t>
      </w:r>
    </w:p>
    <w:p>
      <w:pPr>
        <w:spacing w:after="0" w:line="283" w:lineRule="exact"/>
        <w:rPr>
          <w:sz w:val="20"/>
          <w:szCs w:val="20"/>
          <w:color w:val="auto"/>
        </w:rPr>
      </w:pPr>
    </w:p>
    <w:p>
      <w:pPr>
        <w:jc w:val="both"/>
        <w:ind w:firstLine="786"/>
        <w:spacing w:after="0"/>
        <w:rPr>
          <w:sz w:val="20"/>
          <w:szCs w:val="20"/>
          <w:color w:val="auto"/>
        </w:rPr>
      </w:pPr>
      <w:r>
        <w:rPr>
          <w:rFonts w:ascii="Arial" w:cs="Arial" w:eastAsia="Arial" w:hAnsi="Arial"/>
          <w:sz w:val="22"/>
          <w:szCs w:val="22"/>
          <w:i w:val="1"/>
          <w:iCs w:val="1"/>
          <w:color w:val="auto"/>
        </w:rPr>
        <w:t xml:space="preserve">“Uni-Tranche Loan” </w:t>
      </w:r>
      <w:r>
        <w:rPr>
          <w:rFonts w:ascii="Arial" w:cs="Arial" w:eastAsia="Arial" w:hAnsi="Arial"/>
          <w:sz w:val="22"/>
          <w:szCs w:val="22"/>
          <w:color w:val="auto"/>
        </w:rPr>
        <w:t>means any loan, debt obligation or Participation Interest (for purposes of this definition, a “</w:t>
      </w:r>
      <w:r>
        <w:rPr>
          <w:rFonts w:ascii="Arial" w:cs="Arial" w:eastAsia="Arial" w:hAnsi="Arial"/>
          <w:sz w:val="22"/>
          <w:szCs w:val="22"/>
          <w:i w:val="1"/>
          <w:iCs w:val="1"/>
          <w:color w:val="auto"/>
        </w:rPr>
        <w:t>loan</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that has been structured such that one loan comprises an Eligible First Lien Obligation and an Eligible Second Lien Obligation between the related Obligor and a single lender.</w:t>
      </w:r>
    </w:p>
    <w:p>
      <w:pPr>
        <w:spacing w:after="0" w:line="294" w:lineRule="exact"/>
        <w:rPr>
          <w:sz w:val="20"/>
          <w:szCs w:val="20"/>
          <w:color w:val="auto"/>
        </w:rPr>
      </w:pPr>
    </w:p>
    <w:p>
      <w:pPr>
        <w:jc w:val="both"/>
        <w:ind w:firstLine="786"/>
        <w:spacing w:after="0" w:line="235" w:lineRule="auto"/>
        <w:rPr>
          <w:sz w:val="20"/>
          <w:szCs w:val="20"/>
          <w:color w:val="auto"/>
        </w:rPr>
      </w:pPr>
      <w:r>
        <w:rPr>
          <w:rFonts w:ascii="Arial" w:cs="Arial" w:eastAsia="Arial" w:hAnsi="Arial"/>
          <w:sz w:val="22"/>
          <w:szCs w:val="22"/>
          <w:i w:val="1"/>
          <w:iCs w:val="1"/>
          <w:color w:val="auto"/>
        </w:rPr>
        <w:t xml:space="preserve">“Unrestricted Cash” </w:t>
      </w:r>
      <w:r>
        <w:rPr>
          <w:rFonts w:ascii="Arial" w:cs="Arial" w:eastAsia="Arial" w:hAnsi="Arial"/>
          <w:sz w:val="22"/>
          <w:szCs w:val="22"/>
          <w:color w:val="auto"/>
        </w:rPr>
        <w:t>means the meaning of “Unrestricted Cash” or any comparable definition in the related loan</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for each Collateral 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296"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i w:val="1"/>
          <w:iCs w:val="1"/>
          <w:color w:val="auto"/>
        </w:rPr>
        <w:t xml:space="preserve">“Voting Shares” </w:t>
      </w:r>
      <w:r>
        <w:rPr>
          <w:rFonts w:ascii="Arial" w:cs="Arial" w:eastAsia="Arial" w:hAnsi="Arial"/>
          <w:sz w:val="21"/>
          <w:szCs w:val="21"/>
          <w:color w:val="auto"/>
        </w:rPr>
        <w:t>of any Person means capital stock or other equity interests of any class or classes (however designated)</w:t>
      </w:r>
      <w:r>
        <w:rPr>
          <w:rFonts w:ascii="Arial" w:cs="Arial" w:eastAsia="Arial" w:hAnsi="Arial"/>
          <w:sz w:val="21"/>
          <w:szCs w:val="21"/>
          <w:i w:val="1"/>
          <w:iCs w:val="1"/>
          <w:color w:val="auto"/>
        </w:rPr>
        <w:t xml:space="preserve"> </w:t>
      </w:r>
      <w:r>
        <w:rPr>
          <w:rFonts w:ascii="Arial" w:cs="Arial" w:eastAsia="Arial" w:hAnsi="Arial"/>
          <w:sz w:val="21"/>
          <w:szCs w:val="21"/>
          <w:color w:val="auto"/>
        </w:rPr>
        <w:t>having ordinary power for the election of directors or other similar governing body of such Person, other than stock or other equity interests having such power only by reason of the happening of a contingency.</w:t>
      </w:r>
    </w:p>
    <w:p>
      <w:pPr>
        <w:spacing w:after="0" w:line="277" w:lineRule="exact"/>
        <w:rPr>
          <w:sz w:val="20"/>
          <w:szCs w:val="20"/>
          <w:color w:val="auto"/>
        </w:rPr>
      </w:pPr>
    </w:p>
    <w:p>
      <w:pPr>
        <w:jc w:val="both"/>
        <w:ind w:right="20" w:firstLine="786"/>
        <w:spacing w:after="0" w:line="250" w:lineRule="auto"/>
        <w:rPr>
          <w:sz w:val="20"/>
          <w:szCs w:val="20"/>
          <w:color w:val="auto"/>
        </w:rPr>
      </w:pPr>
      <w:r>
        <w:rPr>
          <w:rFonts w:ascii="Arial" w:cs="Arial" w:eastAsia="Arial" w:hAnsi="Arial"/>
          <w:sz w:val="22"/>
          <w:szCs w:val="22"/>
          <w:i w:val="1"/>
          <w:iCs w:val="1"/>
          <w:color w:val="auto"/>
        </w:rPr>
        <w:t xml:space="preserve">“Weighted Average Coupon” </w:t>
      </w:r>
      <w:r>
        <w:rPr>
          <w:rFonts w:ascii="Arial" w:cs="Arial" w:eastAsia="Arial" w:hAnsi="Arial"/>
          <w:sz w:val="22"/>
          <w:szCs w:val="22"/>
          <w:color w:val="auto"/>
        </w:rPr>
        <w:t>means, as of any date, an amount equal to the number, expressed as a percentage, obtained</w:t>
      </w:r>
      <w:r>
        <w:rPr>
          <w:rFonts w:ascii="Arial" w:cs="Arial" w:eastAsia="Arial" w:hAnsi="Arial"/>
          <w:sz w:val="22"/>
          <w:szCs w:val="22"/>
          <w:i w:val="1"/>
          <w:iCs w:val="1"/>
          <w:color w:val="auto"/>
        </w:rPr>
        <w:t xml:space="preserve"> </w:t>
      </w:r>
      <w:r>
        <w:rPr>
          <w:rFonts w:ascii="Arial" w:cs="Arial" w:eastAsia="Arial" w:hAnsi="Arial"/>
          <w:sz w:val="22"/>
          <w:szCs w:val="22"/>
          <w:color w:val="auto"/>
        </w:rPr>
        <w:t>by dividing:</w:t>
      </w:r>
    </w:p>
    <w:p>
      <w:pPr>
        <w:spacing w:after="0" w:line="283" w:lineRule="exact"/>
        <w:rPr>
          <w:sz w:val="20"/>
          <w:szCs w:val="20"/>
          <w:color w:val="auto"/>
        </w:rPr>
      </w:pPr>
    </w:p>
    <w:p>
      <w:pPr>
        <w:ind w:left="800" w:firstLine="934"/>
        <w:spacing w:after="0" w:line="250" w:lineRule="auto"/>
        <w:tabs>
          <w:tab w:leader="none" w:pos="238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the sum, for each Fixed Rate Obligation, of the stated interest coupon on such Collateral Loan </w:t>
      </w:r>
      <w:r>
        <w:rPr>
          <w:rFonts w:ascii="Arial" w:cs="Arial" w:eastAsia="Arial" w:hAnsi="Arial"/>
          <w:sz w:val="22"/>
          <w:szCs w:val="22"/>
          <w:i w:val="1"/>
          <w:iCs w:val="1"/>
          <w:color w:val="auto"/>
        </w:rPr>
        <w:t>times</w:t>
      </w:r>
      <w:r>
        <w:rPr>
          <w:rFonts w:ascii="Arial" w:cs="Arial" w:eastAsia="Arial" w:hAnsi="Arial"/>
          <w:sz w:val="22"/>
          <w:szCs w:val="22"/>
          <w:color w:val="auto"/>
        </w:rPr>
        <w:t xml:space="preserve"> the portion of the Aggregate Collateral Balance attributable to such Collateral Loan; by</w:t>
      </w:r>
    </w:p>
    <w:p>
      <w:pPr>
        <w:spacing w:after="0" w:line="282" w:lineRule="exact"/>
        <w:rPr>
          <w:rFonts w:ascii="Arial" w:cs="Arial" w:eastAsia="Arial" w:hAnsi="Arial"/>
          <w:sz w:val="22"/>
          <w:szCs w:val="22"/>
          <w:color w:val="auto"/>
        </w:rPr>
      </w:pPr>
    </w:p>
    <w:p>
      <w:pPr>
        <w:ind w:left="2320" w:hanging="586"/>
        <w:spacing w:after="0"/>
        <w:tabs>
          <w:tab w:leader="none" w:pos="23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Aggregate Collateral Balance of all Fixed Rate Obligations as of such date.</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“Weighted Average Floating Spread” </w:t>
      </w:r>
      <w:r>
        <w:rPr>
          <w:rFonts w:ascii="Arial" w:cs="Arial" w:eastAsia="Arial" w:hAnsi="Arial"/>
          <w:sz w:val="22"/>
          <w:szCs w:val="22"/>
          <w:color w:val="auto"/>
        </w:rPr>
        <w:t>means, as of any date, the number obtained by dividing:</w:t>
      </w:r>
    </w:p>
    <w:p>
      <w:pPr>
        <w:spacing w:after="0" w:line="314" w:lineRule="exact"/>
        <w:rPr>
          <w:sz w:val="20"/>
          <w:szCs w:val="20"/>
          <w:color w:val="auto"/>
        </w:rPr>
      </w:pPr>
    </w:p>
    <w:p>
      <w:pPr>
        <w:ind w:left="800" w:right="20" w:firstLine="934"/>
        <w:spacing w:after="0" w:line="250" w:lineRule="auto"/>
        <w:tabs>
          <w:tab w:leader="none" w:pos="235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the amount equal to (A) the Aggregate Funded Spread (with respect to all Floating Rate Obligations), </w:t>
      </w:r>
      <w:r>
        <w:rPr>
          <w:rFonts w:ascii="Arial" w:cs="Arial" w:eastAsia="Arial" w:hAnsi="Arial"/>
          <w:sz w:val="22"/>
          <w:szCs w:val="22"/>
          <w:i w:val="1"/>
          <w:iCs w:val="1"/>
          <w:color w:val="auto"/>
        </w:rPr>
        <w:t xml:space="preserve">plus </w:t>
      </w:r>
      <w:r>
        <w:rPr>
          <w:rFonts w:ascii="Arial" w:cs="Arial" w:eastAsia="Arial" w:hAnsi="Arial"/>
          <w:sz w:val="22"/>
          <w:szCs w:val="22"/>
          <w:color w:val="auto"/>
        </w:rPr>
        <w:t>(B) the Aggregate Unfunded Spread, by</w:t>
      </w:r>
    </w:p>
    <w:p>
      <w:pPr>
        <w:spacing w:after="0" w:line="282" w:lineRule="exact"/>
        <w:rPr>
          <w:rFonts w:ascii="Arial" w:cs="Arial" w:eastAsia="Arial" w:hAnsi="Arial"/>
          <w:sz w:val="22"/>
          <w:szCs w:val="22"/>
          <w:color w:val="auto"/>
        </w:rPr>
      </w:pPr>
    </w:p>
    <w:p>
      <w:pPr>
        <w:ind w:left="2320" w:hanging="586"/>
        <w:spacing w:after="0"/>
        <w:tabs>
          <w:tab w:leader="none" w:pos="23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Aggregate Collateral Balance of all Floating Rate Obligations as of such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267" w:right="339" w:bottom="1440" w:gutter="0" w:footer="0" w:header="0"/>
        </w:sectPr>
      </w:pPr>
    </w:p>
    <w:bookmarkStart w:id="100" w:name="page101"/>
    <w:bookmarkEnd w:id="100"/>
    <w:p>
      <w:pPr>
        <w:ind w:firstLine="786"/>
        <w:spacing w:after="0" w:line="250"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“Weighted Average Life” </w:t>
      </w:r>
      <w:r>
        <w:rPr>
          <w:rFonts w:ascii="Arial" w:cs="Arial" w:eastAsia="Arial" w:hAnsi="Arial"/>
          <w:sz w:val="22"/>
          <w:szCs w:val="22"/>
          <w:color w:val="auto"/>
        </w:rPr>
        <w:t>means, as of any date of determination with respect to all Collateral Loans, the number of</w:t>
      </w:r>
      <w:r>
        <w:rPr>
          <w:rFonts w:ascii="Arial" w:cs="Arial" w:eastAsia="Arial" w:hAnsi="Arial"/>
          <w:sz w:val="22"/>
          <w:szCs w:val="22"/>
          <w:i w:val="1"/>
          <w:iCs w:val="1"/>
          <w:color w:val="auto"/>
        </w:rPr>
        <w:t xml:space="preserve"> </w:t>
      </w:r>
      <w:r>
        <w:rPr>
          <w:rFonts w:ascii="Arial" w:cs="Arial" w:eastAsia="Arial" w:hAnsi="Arial"/>
          <w:sz w:val="22"/>
          <w:szCs w:val="22"/>
          <w:color w:val="auto"/>
        </w:rPr>
        <w:t>years following such date obtained by summing the products obtained by multiplying:</w:t>
      </w:r>
    </w:p>
    <w:p>
      <w:pPr>
        <w:sectPr>
          <w:pgSz w:w="11900" w:h="16838" w:orient="portrait"/>
          <w:cols w:equalWidth="0" w:num="1">
            <w:col w:w="11240"/>
          </w:cols>
          <w:pgMar w:left="320" w:top="267" w:right="339" w:bottom="1440" w:gutter="0" w:footer="0" w:header="0"/>
        </w:sectPr>
      </w:pPr>
    </w:p>
    <w:p>
      <w:pPr>
        <w:spacing w:after="0" w:line="382"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The Average Life at such time of each such Collateral Loan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455" w:right="2320" w:hanging="455"/>
        <w:spacing w:after="0" w:line="188" w:lineRule="auto"/>
        <w:tabs>
          <w:tab w:leader="none" w:pos="455" w:val="left"/>
        </w:tabs>
        <w:numPr>
          <w:ilvl w:val="0"/>
          <w:numId w:val="103"/>
        </w:numPr>
        <w:rPr>
          <w:rFonts w:ascii="Arial" w:cs="Arial" w:eastAsia="Arial" w:hAnsi="Arial"/>
          <w:sz w:val="35"/>
          <w:szCs w:val="35"/>
          <w:b w:val="1"/>
          <w:bCs w:val="1"/>
          <w:color w:val="auto"/>
          <w:vertAlign w:val="subscript"/>
        </w:rPr>
      </w:pPr>
      <w:r>
        <w:rPr>
          <w:rFonts w:ascii="Arial" w:cs="Arial" w:eastAsia="Arial" w:hAnsi="Arial"/>
          <w:sz w:val="18"/>
          <w:szCs w:val="18"/>
          <w:color w:val="auto"/>
        </w:rPr>
        <w:t>The portion of the Aggregate Collateral Balance attributable to such Collateral Loan</w:t>
      </w:r>
    </w:p>
    <w:p>
      <w:pPr>
        <w:spacing w:after="0" w:line="220" w:lineRule="exact"/>
        <w:rPr>
          <w:sz w:val="20"/>
          <w:szCs w:val="20"/>
          <w:color w:val="auto"/>
        </w:rPr>
      </w:pPr>
    </w:p>
    <w:p>
      <w:pPr>
        <w:sectPr>
          <w:pgSz w:w="11900" w:h="16838" w:orient="portrait"/>
          <w:cols w:equalWidth="0" w:num="2">
            <w:col w:w="4460" w:space="505"/>
            <w:col w:w="6275"/>
          </w:cols>
          <w:pgMar w:left="320" w:top="267" w:right="339" w:bottom="1440" w:gutter="0" w:footer="0" w:header="0"/>
          <w:type w:val="continuous"/>
        </w:sectPr>
      </w:pPr>
    </w:p>
    <w:p>
      <w:pPr>
        <w:spacing w:after="0" w:line="8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and dividing such sum by:</w:t>
      </w:r>
    </w:p>
    <w:p>
      <w:pPr>
        <w:spacing w:after="0" w:line="31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Aggregate Collateral Balance at such time of all Collateral Loans.</w:t>
      </w:r>
    </w:p>
    <w:p>
      <w:pPr>
        <w:spacing w:after="0" w:line="314" w:lineRule="exact"/>
        <w:rPr>
          <w:sz w:val="20"/>
          <w:szCs w:val="20"/>
          <w:color w:val="auto"/>
        </w:rPr>
      </w:pPr>
    </w:p>
    <w:p>
      <w:pPr>
        <w:jc w:val="both"/>
        <w:ind w:firstLine="786"/>
        <w:spacing w:after="0" w:line="249" w:lineRule="auto"/>
        <w:rPr>
          <w:sz w:val="20"/>
          <w:szCs w:val="20"/>
          <w:color w:val="auto"/>
        </w:rPr>
      </w:pPr>
      <w:r>
        <w:rPr>
          <w:rFonts w:ascii="Arial" w:cs="Arial" w:eastAsia="Arial" w:hAnsi="Arial"/>
          <w:sz w:val="21"/>
          <w:szCs w:val="21"/>
          <w:color w:val="auto"/>
        </w:rPr>
        <w:t>For the purposes of the foregoing, the “Average Life” is, on any date of determination with respect to any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286"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“Withdrawal Liability” </w:t>
      </w:r>
      <w:r>
        <w:rPr>
          <w:rFonts w:ascii="Arial" w:cs="Arial" w:eastAsia="Arial" w:hAnsi="Arial"/>
          <w:sz w:val="22"/>
          <w:szCs w:val="22"/>
          <w:color w:val="auto"/>
        </w:rPr>
        <w:t>means liability to a Multiemployer Plan as a result of a complete or partial withdrawal from</w:t>
      </w:r>
      <w:r>
        <w:rPr>
          <w:rFonts w:ascii="Arial" w:cs="Arial" w:eastAsia="Arial" w:hAnsi="Arial"/>
          <w:sz w:val="22"/>
          <w:szCs w:val="22"/>
          <w:i w:val="1"/>
          <w:iCs w:val="1"/>
          <w:color w:val="auto"/>
        </w:rPr>
        <w:t xml:space="preserve"> </w:t>
      </w:r>
      <w:r>
        <w:rPr>
          <w:rFonts w:ascii="Arial" w:cs="Arial" w:eastAsia="Arial" w:hAnsi="Arial"/>
          <w:sz w:val="22"/>
          <w:szCs w:val="22"/>
          <w:color w:val="auto"/>
        </w:rPr>
        <w:t>such Multiemployer Plan, as such terms are defined in Part I of Subtitle E of Title IV of ERISA.</w:t>
      </w:r>
    </w:p>
    <w:p>
      <w:pPr>
        <w:spacing w:after="0" w:line="283" w:lineRule="exact"/>
        <w:rPr>
          <w:sz w:val="20"/>
          <w:szCs w:val="20"/>
          <w:color w:val="auto"/>
        </w:rPr>
      </w:pPr>
    </w:p>
    <w:p>
      <w:pPr>
        <w:jc w:val="both"/>
        <w:ind w:firstLine="786"/>
        <w:spacing w:after="0" w:line="250" w:lineRule="auto"/>
        <w:rPr>
          <w:sz w:val="20"/>
          <w:szCs w:val="20"/>
          <w:color w:val="auto"/>
        </w:rPr>
      </w:pPr>
      <w:r>
        <w:rPr>
          <w:rFonts w:ascii="Arial" w:cs="Arial" w:eastAsia="Arial" w:hAnsi="Arial"/>
          <w:sz w:val="22"/>
          <w:szCs w:val="22"/>
          <w:i w:val="1"/>
          <w:iCs w:val="1"/>
          <w:color w:val="auto"/>
        </w:rPr>
        <w:t xml:space="preserve">“Zero Coupon Obligation” </w:t>
      </w:r>
      <w:r>
        <w:rPr>
          <w:rFonts w:ascii="Arial" w:cs="Arial" w:eastAsia="Arial" w:hAnsi="Arial"/>
          <w:sz w:val="22"/>
          <w:szCs w:val="22"/>
          <w:color w:val="auto"/>
        </w:rPr>
        <w:t>means a Collateral Loan that does not provide for periodic payments of interest in Cash or</w:t>
      </w:r>
      <w:r>
        <w:rPr>
          <w:rFonts w:ascii="Arial" w:cs="Arial" w:eastAsia="Arial" w:hAnsi="Arial"/>
          <w:sz w:val="22"/>
          <w:szCs w:val="22"/>
          <w:i w:val="1"/>
          <w:iCs w:val="1"/>
          <w:color w:val="auto"/>
        </w:rPr>
        <w:t xml:space="preserve"> </w:t>
      </w:r>
      <w:r>
        <w:rPr>
          <w:rFonts w:ascii="Arial" w:cs="Arial" w:eastAsia="Arial" w:hAnsi="Arial"/>
          <w:sz w:val="22"/>
          <w:szCs w:val="22"/>
          <w:color w:val="auto"/>
        </w:rPr>
        <w:t>that pays interest only at its stated maturity.</w:t>
      </w:r>
    </w:p>
    <w:p>
      <w:pPr>
        <w:spacing w:after="0" w:line="283"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9"/>
          <w:szCs w:val="19"/>
          <w:i w:val="1"/>
          <w:iCs w:val="1"/>
          <w:color w:val="auto"/>
        </w:rPr>
        <w:t xml:space="preserve">Section 1.02. Rules of Construction. </w:t>
      </w:r>
      <w:r>
        <w:rPr>
          <w:rFonts w:ascii="Arial" w:cs="Arial" w:eastAsia="Arial" w:hAnsi="Arial"/>
          <w:sz w:val="19"/>
          <w:szCs w:val="19"/>
          <w:color w:val="auto"/>
        </w:rPr>
        <w:t>For all purposes of this Agreement, except as otherwise expressly provided or</w:t>
      </w:r>
      <w:r>
        <w:rPr>
          <w:rFonts w:ascii="Arial" w:cs="Arial" w:eastAsia="Arial" w:hAnsi="Arial"/>
          <w:sz w:val="19"/>
          <w:szCs w:val="19"/>
          <w:i w:val="1"/>
          <w:iCs w:val="1"/>
          <w:color w:val="auto"/>
        </w:rPr>
        <w:t xml:space="preserve"> </w:t>
      </w:r>
      <w:r>
        <w:rPr>
          <w:rFonts w:ascii="Arial" w:cs="Arial" w:eastAsia="Arial" w:hAnsi="Arial"/>
          <w:sz w:val="19"/>
          <w:szCs w:val="19"/>
          <w:color w:val="auto"/>
        </w:rPr>
        <w:t>unless the context otherwise 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267" w:right="339" w:bottom="1440" w:gutter="0" w:footer="0" w:header="0"/>
          <w:type w:val="continuous"/>
        </w:sectPr>
      </w:pPr>
    </w:p>
    <w:bookmarkStart w:id="101" w:name="page102"/>
    <w:bookmarkEnd w:id="101"/>
    <w:p>
      <w:pPr>
        <w:jc w:val="both"/>
        <w:spacing w:after="0" w:line="25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and (ix) each reference to any-time means Atlanta, Georgia time.</w:t>
      </w:r>
    </w:p>
    <w:p>
      <w:pPr>
        <w:spacing w:after="0" w:line="277"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22"/>
          <w:szCs w:val="22"/>
          <w:i w:val="1"/>
          <w:iCs w:val="1"/>
          <w:color w:val="auto"/>
        </w:rPr>
        <w:t>Section 1.03. Computation of Time Periods</w:t>
      </w:r>
      <w:r>
        <w:rPr>
          <w:rFonts w:ascii="Arial" w:cs="Arial" w:eastAsia="Arial" w:hAnsi="Arial"/>
          <w:sz w:val="22"/>
          <w:szCs w:val="22"/>
          <w:color w:val="auto"/>
        </w:rPr>
        <w:t>. Unless otherwise stated in this Agreement, in the computation of a period</w:t>
      </w:r>
      <w:r>
        <w:rPr>
          <w:rFonts w:ascii="Arial" w:cs="Arial" w:eastAsia="Arial" w:hAnsi="Arial"/>
          <w:sz w:val="22"/>
          <w:szCs w:val="22"/>
          <w:i w:val="1"/>
          <w:iCs w:val="1"/>
          <w:color w:val="auto"/>
        </w:rPr>
        <w:t xml:space="preserve"> </w:t>
      </w:r>
      <w:r>
        <w:rPr>
          <w:rFonts w:ascii="Arial" w:cs="Arial" w:eastAsia="Arial" w:hAnsi="Arial"/>
          <w:sz w:val="22"/>
          <w:szCs w:val="22"/>
          <w:color w:val="auto"/>
        </w:rPr>
        <w:t>of time from a specified date to a later specified date, the word “from” means “from and including” and the words “to” and “until” both mean “to but excluding”. Periods of days referred to in this Agreement shall be counted in calendar days unless Business Days are expressly prescribed.</w:t>
      </w:r>
    </w:p>
    <w:p>
      <w:pPr>
        <w:spacing w:after="0" w:line="293"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i w:val="1"/>
          <w:iCs w:val="1"/>
          <w:color w:val="auto"/>
        </w:rPr>
        <w:t>Section 1.04</w:t>
      </w:r>
      <w:r>
        <w:rPr>
          <w:rFonts w:ascii="Arial" w:cs="Arial" w:eastAsia="Arial" w:hAnsi="Arial"/>
          <w:sz w:val="19"/>
          <w:szCs w:val="19"/>
          <w:color w:val="auto"/>
        </w:rPr>
        <w:t>.</w:t>
      </w:r>
      <w:r>
        <w:rPr>
          <w:rFonts w:ascii="Arial" w:cs="Arial" w:eastAsia="Arial" w:hAnsi="Arial"/>
          <w:sz w:val="19"/>
          <w:szCs w:val="19"/>
          <w:i w:val="1"/>
          <w:iCs w:val="1"/>
          <w:color w:val="auto"/>
        </w:rPr>
        <w:t xml:space="preserve"> Collateral Value Calculation Procedures</w:t>
      </w:r>
      <w:r>
        <w:rPr>
          <w:rFonts w:ascii="Arial" w:cs="Arial" w:eastAsia="Arial" w:hAnsi="Arial"/>
          <w:sz w:val="19"/>
          <w:szCs w:val="19"/>
          <w:color w:val="auto"/>
        </w:rPr>
        <w:t>. In connection with all calculations required to be made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this Agreement with 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shall be applied. The provisions of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shall be applicable to any determination or calculation that is covered by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whether or not reference is specifically made to </w:t>
      </w:r>
      <w:r>
        <w:rPr>
          <w:rFonts w:ascii="Arial" w:cs="Arial" w:eastAsia="Arial" w:hAnsi="Arial"/>
          <w:sz w:val="19"/>
          <w:szCs w:val="19"/>
          <w:u w:val="single" w:color="auto"/>
          <w:color w:val="auto"/>
        </w:rPr>
        <w:t>Section 1.04</w:t>
      </w:r>
      <w:r>
        <w:rPr>
          <w:rFonts w:ascii="Arial" w:cs="Arial" w:eastAsia="Arial" w:hAnsi="Arial"/>
          <w:sz w:val="19"/>
          <w:szCs w:val="19"/>
          <w:color w:val="auto"/>
        </w:rPr>
        <w:t>, unless some other method of calculation or determination is expressly specified in the particular provision.</w:t>
      </w:r>
    </w:p>
    <w:p>
      <w:pPr>
        <w:spacing w:after="0" w:line="260" w:lineRule="exact"/>
        <w:rPr>
          <w:sz w:val="20"/>
          <w:szCs w:val="20"/>
          <w:color w:val="auto"/>
        </w:rPr>
      </w:pPr>
    </w:p>
    <w:p>
      <w:pPr>
        <w:jc w:val="both"/>
        <w:ind w:left="800" w:firstLine="995"/>
        <w:spacing w:after="0" w:line="287" w:lineRule="auto"/>
        <w:tabs>
          <w:tab w:leader="none" w:pos="239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250" w:lineRule="exact"/>
        <w:rPr>
          <w:rFonts w:ascii="Arial" w:cs="Arial" w:eastAsia="Arial" w:hAnsi="Arial"/>
          <w:sz w:val="19"/>
          <w:szCs w:val="19"/>
          <w:color w:val="auto"/>
        </w:rPr>
      </w:pPr>
    </w:p>
    <w:p>
      <w:pPr>
        <w:jc w:val="both"/>
        <w:ind w:left="800" w:firstLine="998"/>
        <w:spacing w:after="0" w:line="252" w:lineRule="auto"/>
        <w:tabs>
          <w:tab w:leader="none" w:pos="244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For purposes of calculating the Coverage Tests, except as otherwise specified in the Coverage Tests, such calculations will not include (i) 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281" w:lineRule="exact"/>
        <w:rPr>
          <w:rFonts w:ascii="Arial" w:cs="Arial" w:eastAsia="Arial" w:hAnsi="Arial"/>
          <w:sz w:val="21"/>
          <w:szCs w:val="21"/>
          <w:color w:val="auto"/>
        </w:rPr>
      </w:pPr>
    </w:p>
    <w:p>
      <w:pPr>
        <w:jc w:val="both"/>
        <w:ind w:left="800" w:firstLine="1007"/>
        <w:spacing w:after="0" w:line="252" w:lineRule="auto"/>
        <w:tabs>
          <w:tab w:leader="none" w:pos="2486" w:val="left"/>
        </w:tabs>
        <w:numPr>
          <w:ilvl w:val="1"/>
          <w:numId w:val="104"/>
        </w:numPr>
        <w:rPr>
          <w:rFonts w:ascii="Arial" w:cs="Arial" w:eastAsia="Arial" w:hAnsi="Arial"/>
          <w:sz w:val="21"/>
          <w:szCs w:val="21"/>
          <w:color w:val="auto"/>
        </w:rPr>
      </w:pPr>
      <w:r>
        <w:rPr>
          <w:rFonts w:ascii="Arial" w:cs="Arial" w:eastAsia="Arial" w:hAnsi="Arial"/>
          <w:sz w:val="21"/>
          <w:szCs w:val="21"/>
          <w:color w:val="auto"/>
        </w:rPr>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281" w:lineRule="exact"/>
        <w:rPr>
          <w:rFonts w:ascii="Arial" w:cs="Arial" w:eastAsia="Arial" w:hAnsi="Arial"/>
          <w:sz w:val="21"/>
          <w:szCs w:val="21"/>
          <w:color w:val="auto"/>
        </w:rPr>
      </w:pPr>
    </w:p>
    <w:p>
      <w:pPr>
        <w:ind w:left="800" w:firstLine="1015"/>
        <w:spacing w:after="0" w:line="250" w:lineRule="auto"/>
        <w:tabs>
          <w:tab w:leader="none" w:pos="2559" w:val="left"/>
        </w:tabs>
        <w:numPr>
          <w:ilvl w:val="1"/>
          <w:numId w:val="104"/>
        </w:numPr>
        <w:rPr>
          <w:rFonts w:ascii="Arial" w:cs="Arial" w:eastAsia="Arial" w:hAnsi="Arial"/>
          <w:sz w:val="22"/>
          <w:szCs w:val="22"/>
          <w:color w:val="auto"/>
        </w:rPr>
      </w:pPr>
      <w:r>
        <w:rPr>
          <w:rFonts w:ascii="Arial" w:cs="Arial" w:eastAsia="Arial" w:hAnsi="Arial"/>
          <w:sz w:val="22"/>
          <w:szCs w:val="22"/>
          <w:color w:val="auto"/>
        </w:rPr>
        <w:t>Each Scheduled Distribution receivable with respect to a Collateral Loan shall be assumed to be received on the applicable Due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267" w:right="339" w:bottom="1440" w:gutter="0" w:footer="0" w:header="0"/>
        </w:sectPr>
      </w:pPr>
    </w:p>
    <w:bookmarkStart w:id="102" w:name="page103"/>
    <w:bookmarkEnd w:id="102"/>
    <w:p>
      <w:pPr>
        <w:jc w:val="both"/>
        <w:ind w:left="-320" w:firstLine="1000"/>
        <w:spacing w:after="0"/>
        <w:tabs>
          <w:tab w:leader="none" w:pos="13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294" w:lineRule="exact"/>
        <w:rPr>
          <w:rFonts w:ascii="Arial" w:cs="Arial" w:eastAsia="Arial" w:hAnsi="Arial"/>
          <w:sz w:val="22"/>
          <w:szCs w:val="22"/>
          <w:color w:val="auto"/>
        </w:rPr>
      </w:pPr>
    </w:p>
    <w:p>
      <w:pPr>
        <w:jc w:val="both"/>
        <w:ind w:left="-320" w:firstLine="993"/>
        <w:spacing w:after="0" w:line="238" w:lineRule="auto"/>
        <w:tabs>
          <w:tab w:leader="none" w:pos="130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For purposes of calculating all Concentration Limitations, in both the numerator and the denominator of any component of the Concentration Limitations, Defaulted Collateral Loans and Ineligible Collateral Loans (including any unfunded commitments with respect to such Collateral Loans) will be treated as having a value equal to zero.</w:t>
      </w:r>
    </w:p>
    <w:p>
      <w:pPr>
        <w:spacing w:after="0" w:line="292" w:lineRule="exact"/>
        <w:rPr>
          <w:rFonts w:ascii="Arial" w:cs="Arial" w:eastAsia="Arial" w:hAnsi="Arial"/>
          <w:sz w:val="22"/>
          <w:szCs w:val="22"/>
          <w:color w:val="auto"/>
        </w:rPr>
      </w:pPr>
    </w:p>
    <w:p>
      <w:pPr>
        <w:jc w:val="both"/>
        <w:ind w:left="-320" w:firstLine="1017"/>
        <w:spacing w:after="0" w:line="236" w:lineRule="auto"/>
        <w:tabs>
          <w:tab w:leader="none" w:pos="1455" w:val="left"/>
        </w:tabs>
        <w:numPr>
          <w:ilvl w:val="3"/>
          <w:numId w:val="105"/>
        </w:numPr>
        <w:rPr>
          <w:rFonts w:ascii="Arial" w:cs="Arial" w:eastAsia="Arial" w:hAnsi="Arial"/>
          <w:sz w:val="22"/>
          <w:szCs w:val="22"/>
          <w:color w:val="auto"/>
        </w:rPr>
      </w:pPr>
      <w:r>
        <w:rPr>
          <w:rFonts w:ascii="Arial" w:cs="Arial" w:eastAsia="Arial" w:hAnsi="Arial"/>
          <w:sz w:val="22"/>
          <w:szCs w:val="22"/>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295" w:lineRule="exact"/>
        <w:rPr>
          <w:rFonts w:ascii="Arial" w:cs="Arial" w:eastAsia="Arial" w:hAnsi="Arial"/>
          <w:sz w:val="22"/>
          <w:szCs w:val="22"/>
          <w:color w:val="auto"/>
        </w:rPr>
      </w:pPr>
    </w:p>
    <w:p>
      <w:pPr>
        <w:jc w:val="both"/>
        <w:ind w:left="-320" w:firstLine="996"/>
        <w:spacing w:after="0"/>
        <w:tabs>
          <w:tab w:leader="none" w:pos="1304" w:val="left"/>
        </w:tabs>
        <w:numPr>
          <w:ilvl w:val="2"/>
          <w:numId w:val="105"/>
        </w:numPr>
        <w:rPr>
          <w:rFonts w:ascii="Arial" w:cs="Arial" w:eastAsia="Arial" w:hAnsi="Arial"/>
          <w:sz w:val="22"/>
          <w:szCs w:val="22"/>
          <w:color w:val="auto"/>
        </w:rPr>
      </w:pPr>
      <w:r>
        <w:rPr>
          <w:rFonts w:ascii="Arial" w:cs="Arial" w:eastAsia="Arial" w:hAnsi="Arial"/>
          <w:sz w:val="22"/>
          <w:szCs w:val="22"/>
          <w:color w:val="auto"/>
        </w:rPr>
        <w:t>Except as otherwise provided herein, Defaulted Collateral Loans and Ineligible Collateral Loans will not be included in the calculation of the Weighted Average Floating Spread, the Weighted Average Coupon, and the Weighted Average Life.</w:t>
      </w:r>
    </w:p>
    <w:p>
      <w:pPr>
        <w:spacing w:after="0" w:line="294" w:lineRule="exact"/>
        <w:rPr>
          <w:rFonts w:ascii="Arial" w:cs="Arial" w:eastAsia="Arial" w:hAnsi="Arial"/>
          <w:sz w:val="22"/>
          <w:szCs w:val="22"/>
          <w:color w:val="auto"/>
        </w:rPr>
      </w:pPr>
    </w:p>
    <w:p>
      <w:pPr>
        <w:jc w:val="both"/>
        <w:ind w:left="-320" w:firstLine="1023"/>
        <w:spacing w:after="0"/>
        <w:tabs>
          <w:tab w:leader="none" w:pos="1531" w:val="left"/>
        </w:tabs>
        <w:numPr>
          <w:ilvl w:val="3"/>
          <w:numId w:val="106"/>
        </w:numPr>
        <w:rPr>
          <w:rFonts w:ascii="Arial" w:cs="Arial" w:eastAsia="Arial" w:hAnsi="Arial"/>
          <w:sz w:val="22"/>
          <w:szCs w:val="22"/>
          <w:color w:val="auto"/>
        </w:rPr>
      </w:pPr>
      <w:r>
        <w:rPr>
          <w:rFonts w:ascii="Arial" w:cs="Arial" w:eastAsia="Arial" w:hAnsi="Arial"/>
          <w:sz w:val="22"/>
          <w:szCs w:val="22"/>
          <w:color w:val="auto"/>
        </w:rPr>
        <w:t>For purposes of determining the Weighted Average Floating Spread and the Weighted Average Coupon (and related computations of stated interest coupons and Aggregate Funded Spread), capitalized or deferred interest (and any other interest that is not paid in cash) will be excluded.</w:t>
      </w:r>
    </w:p>
    <w:p>
      <w:pPr>
        <w:spacing w:after="0" w:line="294" w:lineRule="exact"/>
        <w:rPr>
          <w:rFonts w:ascii="Arial" w:cs="Arial" w:eastAsia="Arial" w:hAnsi="Arial"/>
          <w:sz w:val="22"/>
          <w:szCs w:val="22"/>
          <w:color w:val="auto"/>
        </w:rPr>
      </w:pPr>
    </w:p>
    <w:p>
      <w:pPr>
        <w:jc w:val="both"/>
        <w:ind w:left="-320" w:firstLine="1012"/>
        <w:spacing w:after="0" w:line="277" w:lineRule="auto"/>
        <w:tabs>
          <w:tab w:leader="none" w:pos="1446" w:val="left"/>
        </w:tabs>
        <w:numPr>
          <w:ilvl w:val="3"/>
          <w:numId w:val="106"/>
        </w:numPr>
        <w:rPr>
          <w:rFonts w:ascii="Arial" w:cs="Arial" w:eastAsia="Arial" w:hAnsi="Arial"/>
          <w:sz w:val="19"/>
          <w:szCs w:val="19"/>
          <w:color w:val="auto"/>
        </w:rPr>
      </w:pPr>
      <w:r>
        <w:rPr>
          <w:rFonts w:ascii="Arial" w:cs="Arial" w:eastAsia="Arial" w:hAnsi="Arial"/>
          <w:sz w:val="19"/>
          <w:szCs w:val="19"/>
          <w:color w:val="auto"/>
        </w:rPr>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Drawdown Collateral Loans) will, for purposes of determining the purchase price of such Collateral Loan, be treated as separate purchases on separate dates (and not a weighted average purchase price for any particular Collateral Loan).</w:t>
      </w:r>
    </w:p>
    <w:p>
      <w:pPr>
        <w:spacing w:after="0" w:line="259" w:lineRule="exact"/>
        <w:rPr>
          <w:rFonts w:ascii="Arial" w:cs="Arial" w:eastAsia="Arial" w:hAnsi="Arial"/>
          <w:sz w:val="19"/>
          <w:szCs w:val="19"/>
          <w:color w:val="auto"/>
        </w:rPr>
      </w:pPr>
    </w:p>
    <w:p>
      <w:pPr>
        <w:ind w:left="-320" w:firstLine="989"/>
        <w:spacing w:after="0" w:line="250" w:lineRule="auto"/>
        <w:tabs>
          <w:tab w:leader="none" w:pos="1259" w:val="left"/>
        </w:tabs>
        <w:numPr>
          <w:ilvl w:val="1"/>
          <w:numId w:val="107"/>
        </w:numPr>
        <w:rPr>
          <w:rFonts w:ascii="Arial" w:cs="Arial" w:eastAsia="Arial" w:hAnsi="Arial"/>
          <w:sz w:val="22"/>
          <w:szCs w:val="22"/>
          <w:color w:val="auto"/>
        </w:rPr>
      </w:pPr>
      <w:r>
        <w:rPr>
          <w:rFonts w:ascii="Arial" w:cs="Arial" w:eastAsia="Arial" w:hAnsi="Arial"/>
          <w:sz w:val="22"/>
          <w:szCs w:val="22"/>
          <w:color w:val="auto"/>
        </w:rPr>
        <w:t>For the purposes of calculating compliance with each of the Concentration Limitations all calculations will be rounded to the nearest 0.01%.</w:t>
      </w:r>
    </w:p>
    <w:p>
      <w:pPr>
        <w:spacing w:after="0" w:line="282" w:lineRule="exact"/>
        <w:rPr>
          <w:rFonts w:ascii="Arial" w:cs="Arial" w:eastAsia="Arial" w:hAnsi="Arial"/>
          <w:sz w:val="22"/>
          <w:szCs w:val="22"/>
          <w:color w:val="auto"/>
        </w:rPr>
      </w:pPr>
    </w:p>
    <w:p>
      <w:pPr>
        <w:jc w:val="both"/>
        <w:ind w:left="-320" w:firstLine="993"/>
        <w:spacing w:after="0" w:line="236" w:lineRule="auto"/>
        <w:tabs>
          <w:tab w:leader="none" w:pos="1297" w:val="left"/>
        </w:tabs>
        <w:numPr>
          <w:ilvl w:val="1"/>
          <w:numId w:val="107"/>
        </w:numPr>
        <w:rPr>
          <w:rFonts w:ascii="Arial" w:cs="Arial" w:eastAsia="Arial" w:hAnsi="Arial"/>
          <w:sz w:val="22"/>
          <w:szCs w:val="22"/>
          <w:color w:val="auto"/>
        </w:rPr>
      </w:pPr>
      <w:r>
        <w:rPr>
          <w:rFonts w:ascii="Arial" w:cs="Arial" w:eastAsia="Arial" w:hAnsi="Arial"/>
          <w:sz w:val="22"/>
          <w:szCs w:val="22"/>
          <w:color w:val="auto"/>
        </w:rPr>
        <w:t>Unless otherwise indicated herein, all monetary calculations under this Agreement shall be in Dollars (and any amounts denominated in an Agreed Foreign Currency shall be converted to the Dollar Equivalent of such Agreed Foreign Currency for such calculations, as applicable). For purposes of this Agreement, calculations with respect to all amounts received or required to be paid in a currency other than Dollars or an Agreed Foreign Currency shall be valued at zero.</w:t>
      </w:r>
    </w:p>
    <w:p>
      <w:pPr>
        <w:spacing w:after="0" w:line="295" w:lineRule="exact"/>
        <w:rPr>
          <w:rFonts w:ascii="Arial" w:cs="Arial" w:eastAsia="Arial" w:hAnsi="Arial"/>
          <w:sz w:val="22"/>
          <w:szCs w:val="22"/>
          <w:color w:val="auto"/>
        </w:rPr>
      </w:pPr>
    </w:p>
    <w:p>
      <w:pPr>
        <w:jc w:val="both"/>
        <w:ind w:left="-320" w:firstLine="1006"/>
        <w:spacing w:after="0" w:line="252" w:lineRule="auto"/>
        <w:tabs>
          <w:tab w:leader="none" w:pos="1437" w:val="left"/>
        </w:tabs>
        <w:numPr>
          <w:ilvl w:val="2"/>
          <w:numId w:val="107"/>
        </w:numPr>
        <w:rPr>
          <w:rFonts w:ascii="Arial" w:cs="Arial" w:eastAsia="Arial" w:hAnsi="Arial"/>
          <w:sz w:val="21"/>
          <w:szCs w:val="21"/>
          <w:color w:val="auto"/>
        </w:rPr>
      </w:pPr>
      <w:r>
        <w:rPr>
          <w:rFonts w:ascii="Arial" w:cs="Arial" w:eastAsia="Arial" w:hAnsi="Arial"/>
          <w:sz w:val="21"/>
          <w:szCs w:val="21"/>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120"/>
          </w:cols>
          <w:pgMar w:left="1440" w:top="267" w:right="339" w:bottom="1440" w:gutter="0" w:footer="0" w:header="0"/>
        </w:sectPr>
      </w:pPr>
    </w:p>
    <w:bookmarkStart w:id="103" w:name="page104"/>
    <w:bookmarkEnd w:id="103"/>
    <w:p>
      <w:pPr>
        <w:ind w:left="560"/>
        <w:spacing w:after="0"/>
        <w:tabs>
          <w:tab w:leader="none" w:pos="2140" w:val="left"/>
          <w:tab w:leader="none" w:pos="660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1.05.</w:t>
      </w:r>
      <w:r>
        <w:rPr>
          <w:sz w:val="20"/>
          <w:szCs w:val="20"/>
          <w:color w:val="auto"/>
        </w:rPr>
        <w:tab/>
      </w:r>
      <w:r>
        <w:rPr>
          <w:rFonts w:ascii="Arial" w:cs="Arial" w:eastAsia="Arial" w:hAnsi="Arial"/>
          <w:sz w:val="22"/>
          <w:szCs w:val="22"/>
          <w:i w:val="1"/>
          <w:iCs w:val="1"/>
          <w:color w:val="auto"/>
        </w:rPr>
        <w:t>Classification of Advances and Borrowings.</w:t>
      </w:r>
      <w:r>
        <w:rPr>
          <w:sz w:val="20"/>
          <w:szCs w:val="20"/>
          <w:color w:val="auto"/>
        </w:rPr>
        <w:tab/>
      </w:r>
      <w:r>
        <w:rPr>
          <w:rFonts w:ascii="Arial" w:cs="Arial" w:eastAsia="Arial" w:hAnsi="Arial"/>
          <w:sz w:val="19"/>
          <w:szCs w:val="19"/>
          <w:color w:val="auto"/>
        </w:rPr>
        <w:t>For purposes of this Agreement, Advances may be</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classified and referred to by Class (e.g., a “Syndicated Dollar Advance” or “Syndicated Multicurrency Advance”). Borrowings also may be classified and referred to by Class (e.g., a “Dollar Borrowing”, “Multicurrency Borrowing” or “Syndicated Borrowing”). Advances and Borrowings may also be identified by Currency.</w:t>
      </w:r>
    </w:p>
    <w:p>
      <w:pPr>
        <w:spacing w:after="0" w:line="295"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9"/>
          <w:szCs w:val="19"/>
          <w:i w:val="1"/>
          <w:iCs w:val="1"/>
          <w:color w:val="auto"/>
        </w:rPr>
        <w:t xml:space="preserve">Section 1.06. Currencies Generally. </w:t>
      </w:r>
      <w:r>
        <w:rPr>
          <w:rFonts w:ascii="Arial" w:cs="Arial" w:eastAsia="Arial" w:hAnsi="Arial"/>
          <w:sz w:val="19"/>
          <w:szCs w:val="19"/>
          <w:color w:val="auto"/>
        </w:rPr>
        <w:t>At any time, any reference in the definition of the term “Agreed Foreign Currency”</w:t>
      </w:r>
      <w:r>
        <w:rPr>
          <w:rFonts w:ascii="Arial" w:cs="Arial" w:eastAsia="Arial" w:hAnsi="Arial"/>
          <w:sz w:val="19"/>
          <w:szCs w:val="19"/>
          <w:i w:val="1"/>
          <w:iCs w:val="1"/>
          <w:color w:val="auto"/>
        </w:rPr>
        <w:t xml:space="preserve"> </w:t>
      </w:r>
      <w:r>
        <w:rPr>
          <w:rFonts w:ascii="Arial" w:cs="Arial" w:eastAsia="Arial" w:hAnsi="Arial"/>
          <w:sz w:val="19"/>
          <w:szCs w:val="19"/>
          <w:color w:val="auto"/>
        </w:rPr>
        <w:t>or in any other provision of this Agreement to the Currency of any particular nation means the lawful currency of such nation at such time whether or not the name of such Currency is the same as it was on the date hereof. The outstanding principal amount of any Borrowing that is denominated in any Agreed Foreign Currency shall be deemed to be the Dollar Equivalent of the amount of the Agreed Foreign Currency of such Borrowing determined as of the date of such Borrowing. Wherever in this Agreement in connection with a Borrowing, an amount, such as a required minimum or multiple amount, is expressed in Dollars, but such Borrowing is denominated in an Agreed Foreign Currency, such amount shall be the relevant Foreign Currency Equivalent of such Dollar amount (rounded to the nearest 1,000 units of such Agreed Foreign Currency).</w:t>
      </w:r>
    </w:p>
    <w:p>
      <w:pPr>
        <w:spacing w:after="0" w:line="265"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9"/>
          <w:szCs w:val="19"/>
          <w:i w:val="1"/>
          <w:iCs w:val="1"/>
          <w:color w:val="auto"/>
        </w:rPr>
        <w:t xml:space="preserve">Section 1.07. Calculation of Borrowing Base. </w:t>
      </w:r>
      <w:r>
        <w:rPr>
          <w:rFonts w:ascii="Arial" w:cs="Arial" w:eastAsia="Arial" w:hAnsi="Arial"/>
          <w:sz w:val="19"/>
          <w:szCs w:val="19"/>
          <w:color w:val="auto"/>
        </w:rPr>
        <w:t>In connection with amounts to be calculated for purposes of</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determining the Borrowing Base and generally preparing the Borrowing Base Calculation Statement, all amounts shall be expressed in Dollars. If any such amount is denominated in an Agreed Foreign Currency, such amount shall be the relevant Foreign Currency Equivalent of such Dollar amount (rounded to the nearest 1,000 units of such Agreed Foreign Currency).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II</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DVANCES</w:t>
      </w:r>
    </w:p>
    <w:p>
      <w:pPr>
        <w:spacing w:after="0" w:line="320" w:lineRule="exact"/>
        <w:rPr>
          <w:sz w:val="20"/>
          <w:szCs w:val="20"/>
          <w:color w:val="auto"/>
        </w:rPr>
      </w:pPr>
    </w:p>
    <w:p>
      <w:pPr>
        <w:ind w:left="560"/>
        <w:spacing w:after="0"/>
        <w:tabs>
          <w:tab w:leader="none" w:pos="2060" w:val="left"/>
          <w:tab w:leader="none" w:pos="4640" w:val="left"/>
        </w:tabs>
        <w:rPr>
          <w:sz w:val="20"/>
          <w:szCs w:val="20"/>
          <w:color w:val="auto"/>
        </w:rPr>
      </w:pPr>
      <w:r>
        <w:rPr>
          <w:rFonts w:ascii="Arial" w:cs="Arial" w:eastAsia="Arial" w:hAnsi="Arial"/>
          <w:sz w:val="22"/>
          <w:szCs w:val="22"/>
          <w:i w:val="1"/>
          <w:iCs w:val="1"/>
          <w:color w:val="auto"/>
        </w:rPr>
        <w:t>Section 2.01.</w:t>
      </w:r>
      <w:r>
        <w:rPr>
          <w:sz w:val="20"/>
          <w:szCs w:val="20"/>
          <w:color w:val="auto"/>
        </w:rPr>
        <w:tab/>
      </w:r>
      <w:r>
        <w:rPr>
          <w:rFonts w:ascii="Arial" w:cs="Arial" w:eastAsia="Arial" w:hAnsi="Arial"/>
          <w:sz w:val="22"/>
          <w:szCs w:val="22"/>
          <w:i w:val="1"/>
          <w:iCs w:val="1"/>
          <w:color w:val="auto"/>
        </w:rPr>
        <w:t>Revolving Credit Facility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On the terms and subject to the conditions hereinafter set forth, including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96" w:lineRule="exact"/>
        <w:rPr>
          <w:sz w:val="20"/>
          <w:szCs w:val="20"/>
          <w:color w:val="auto"/>
        </w:rPr>
      </w:pPr>
    </w:p>
    <w:p>
      <w:pPr>
        <w:jc w:val="both"/>
        <w:ind w:left="800" w:firstLine="934"/>
        <w:spacing w:after="0" w:line="252" w:lineRule="auto"/>
        <w:tabs>
          <w:tab w:leader="none" w:pos="251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each Lender severally agrees to make loans in Dollars and in Agreed Foreign Currencies to the Borrower (each, a </w:t>
      </w:r>
      <w:r>
        <w:rPr>
          <w:rFonts w:ascii="Arial" w:cs="Arial" w:eastAsia="Arial" w:hAnsi="Arial"/>
          <w:sz w:val="21"/>
          <w:szCs w:val="21"/>
          <w:i w:val="1"/>
          <w:iCs w:val="1"/>
          <w:color w:val="auto"/>
        </w:rPr>
        <w:t>“Syndicated Advance”</w:t>
      </w:r>
      <w:r>
        <w:rPr>
          <w:rFonts w:ascii="Arial" w:cs="Arial" w:eastAsia="Arial" w:hAnsi="Arial"/>
          <w:sz w:val="21"/>
          <w:szCs w:val="21"/>
          <w:color w:val="auto"/>
        </w:rPr>
        <w:t xml:space="preserve">) from time to time on any Business Day during the period from the Funding Effective Date until the Commitment Termination Date (or thereafter pursuant to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in each case in an aggregate principal amount at any one time outstanding up to but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267" w:right="339" w:bottom="1440" w:gutter="0" w:footer="0" w:header="0"/>
        </w:sectPr>
      </w:pPr>
    </w:p>
    <w:bookmarkStart w:id="104" w:name="page105"/>
    <w:bookmarkEnd w:id="104"/>
    <w:p>
      <w:pPr>
        <w:ind w:left="800" w:right="2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exceeding such Lender’s Commitment and, as to all Lenders, in an aggregate principal amount up to but not exceeding the Maximum Available Amount as then in effect.</w:t>
      </w:r>
    </w:p>
    <w:p>
      <w:pPr>
        <w:spacing w:after="0" w:line="283" w:lineRule="exact"/>
        <w:rPr>
          <w:sz w:val="20"/>
          <w:szCs w:val="20"/>
          <w:color w:val="auto"/>
        </w:rPr>
      </w:pPr>
    </w:p>
    <w:p>
      <w:pPr>
        <w:jc w:val="both"/>
        <w:ind w:left="800" w:firstLine="934"/>
        <w:spacing w:after="0" w:line="273" w:lineRule="auto"/>
        <w:tabs>
          <w:tab w:leader="none" w:pos="233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Swingline Lender agrees to make loans in Dollars (each, a “</w:t>
      </w:r>
      <w:r>
        <w:rPr>
          <w:rFonts w:ascii="Arial" w:cs="Arial" w:eastAsia="Arial" w:hAnsi="Arial"/>
          <w:sz w:val="19"/>
          <w:szCs w:val="19"/>
          <w:i w:val="1"/>
          <w:iCs w:val="1"/>
          <w:color w:val="auto"/>
        </w:rPr>
        <w:t>Swingline Advance</w:t>
      </w:r>
      <w:r>
        <w:rPr>
          <w:rFonts w:ascii="Arial" w:cs="Arial" w:eastAsia="Arial" w:hAnsi="Arial"/>
          <w:sz w:val="19"/>
          <w:szCs w:val="19"/>
          <w:color w:val="auto"/>
        </w:rPr>
        <w:t>” and, together with the Syndicated Advances, the “</w:t>
      </w:r>
      <w:r>
        <w:rPr>
          <w:rFonts w:ascii="Arial" w:cs="Arial" w:eastAsia="Arial" w:hAnsi="Arial"/>
          <w:sz w:val="19"/>
          <w:szCs w:val="19"/>
          <w:i w:val="1"/>
          <w:iCs w:val="1"/>
          <w:color w:val="auto"/>
        </w:rPr>
        <w:t>Advances</w:t>
      </w:r>
      <w:r>
        <w:rPr>
          <w:rFonts w:ascii="Arial" w:cs="Arial" w:eastAsia="Arial" w:hAnsi="Arial"/>
          <w:sz w:val="19"/>
          <w:szCs w:val="19"/>
          <w:color w:val="auto"/>
        </w:rPr>
        <w:t>”) to the Borrower from time to time on any Business Day during the period from the Funding Effective Date until the date that is five (5) Business Days prior to the Commitment Termination Date (the “</w:t>
      </w:r>
      <w:r>
        <w:rPr>
          <w:rFonts w:ascii="Arial" w:cs="Arial" w:eastAsia="Arial" w:hAnsi="Arial"/>
          <w:sz w:val="19"/>
          <w:szCs w:val="19"/>
          <w:i w:val="1"/>
          <w:iCs w:val="1"/>
          <w:color w:val="auto"/>
        </w:rPr>
        <w:t>Swingline Facility End Date</w:t>
      </w:r>
      <w:r>
        <w:rPr>
          <w:rFonts w:ascii="Arial" w:cs="Arial" w:eastAsia="Arial" w:hAnsi="Arial"/>
          <w:sz w:val="19"/>
          <w:szCs w:val="19"/>
          <w:color w:val="auto"/>
        </w:rPr>
        <w:t xml:space="preserve">”) in an aggregate principal amount at any one time outstanding up to but not exceeding the lesser of (i) $20,000,000 and (ii) the aggregate unused Commitment of the Swingline Lender. Anything contained in the foregoing to the contrary notwithstanding, the undertaking of the Swingline Lender to make Swingline Advances shall be subject to all of the terms and conditions of this Agreement, and Swingline Lender shall not make any Swingline Advances if any of the conditions precedent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are not satisfied;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Swingline Lender shall be entitled to assume that the conditions precedent to an advance of any Swingline Loan have been satisfied unless notified to the contrary by the Administrative Agent, the Collateral Agent, the Majority Lenders, the Borrower or the Collateral Manager on the Borrower’s behalf.</w:t>
      </w:r>
    </w:p>
    <w:p>
      <w:pPr>
        <w:spacing w:after="0" w:line="263"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color w:val="auto"/>
        </w:rPr>
        <w:t>Each such borrowing of a Syndicated Advance on any single day is referred to herein as a “</w:t>
      </w:r>
      <w:r>
        <w:rPr>
          <w:rFonts w:ascii="Arial" w:cs="Arial" w:eastAsia="Arial" w:hAnsi="Arial"/>
          <w:sz w:val="21"/>
          <w:szCs w:val="21"/>
          <w:i w:val="1"/>
          <w:iCs w:val="1"/>
          <w:color w:val="auto"/>
        </w:rPr>
        <w:t>Syndicated Borrowing</w:t>
      </w:r>
      <w:r>
        <w:rPr>
          <w:rFonts w:ascii="Arial" w:cs="Arial" w:eastAsia="Arial" w:hAnsi="Arial"/>
          <w:sz w:val="21"/>
          <w:szCs w:val="21"/>
          <w:color w:val="auto"/>
        </w:rPr>
        <w:t>”; each such borrowing of a Swingline Advance on any single day is referred to herein as a “</w:t>
      </w:r>
      <w:r>
        <w:rPr>
          <w:rFonts w:ascii="Arial" w:cs="Arial" w:eastAsia="Arial" w:hAnsi="Arial"/>
          <w:sz w:val="21"/>
          <w:szCs w:val="21"/>
          <w:i w:val="1"/>
          <w:iCs w:val="1"/>
          <w:color w:val="auto"/>
        </w:rPr>
        <w:t>Swingline Borrowing</w:t>
      </w:r>
      <w:r>
        <w:rPr>
          <w:rFonts w:ascii="Arial" w:cs="Arial" w:eastAsia="Arial" w:hAnsi="Arial"/>
          <w:sz w:val="21"/>
          <w:szCs w:val="21"/>
          <w:color w:val="auto"/>
        </w:rPr>
        <w:t>”; and Syndicated Borrowings and Swingline Borrowings are referred to herein collectively as “</w:t>
      </w:r>
      <w:r>
        <w:rPr>
          <w:rFonts w:ascii="Arial" w:cs="Arial" w:eastAsia="Arial" w:hAnsi="Arial"/>
          <w:sz w:val="21"/>
          <w:szCs w:val="21"/>
          <w:i w:val="1"/>
          <w:iCs w:val="1"/>
          <w:color w:val="auto"/>
        </w:rPr>
        <w:t>Borrowings</w:t>
      </w:r>
      <w:r>
        <w:rPr>
          <w:rFonts w:ascii="Arial" w:cs="Arial" w:eastAsia="Arial" w:hAnsi="Arial"/>
          <w:sz w:val="21"/>
          <w:szCs w:val="21"/>
          <w:color w:val="auto"/>
        </w:rPr>
        <w:t>”.</w:t>
      </w:r>
    </w:p>
    <w:p>
      <w:pPr>
        <w:spacing w:after="0" w:line="277" w:lineRule="exact"/>
        <w:rPr>
          <w:sz w:val="20"/>
          <w:szCs w:val="20"/>
          <w:color w:val="auto"/>
        </w:rPr>
      </w:pPr>
    </w:p>
    <w:p>
      <w:pPr>
        <w:ind w:firstLine="794"/>
        <w:spacing w:after="0" w:line="250" w:lineRule="auto"/>
        <w:tabs>
          <w:tab w:leader="none" w:pos="1444" w:val="left"/>
        </w:tabs>
        <w:numPr>
          <w:ilvl w:val="1"/>
          <w:numId w:val="110"/>
        </w:numPr>
        <w:rPr>
          <w:rFonts w:ascii="Arial" w:cs="Arial" w:eastAsia="Arial" w:hAnsi="Arial"/>
          <w:sz w:val="22"/>
          <w:szCs w:val="22"/>
          <w:color w:val="auto"/>
        </w:rPr>
      </w:pPr>
      <w:r>
        <w:rPr>
          <w:rFonts w:ascii="Arial" w:cs="Arial" w:eastAsia="Arial" w:hAnsi="Arial"/>
          <w:sz w:val="22"/>
          <w:szCs w:val="22"/>
          <w:i w:val="1"/>
          <w:iCs w:val="1"/>
          <w:color w:val="auto"/>
        </w:rPr>
        <w:t xml:space="preserve">Type of Advances. </w:t>
      </w:r>
      <w:r>
        <w:rPr>
          <w:rFonts w:ascii="Arial" w:cs="Arial" w:eastAsia="Arial" w:hAnsi="Arial"/>
          <w:sz w:val="22"/>
          <w:szCs w:val="22"/>
          <w:color w:val="auto"/>
        </w:rPr>
        <w:t>Each Syndicated Borrowing of a Class shall be denominated in a single Currency as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may request in accordance herewith.</w:t>
      </w:r>
    </w:p>
    <w:p>
      <w:pPr>
        <w:spacing w:after="0" w:line="282" w:lineRule="exact"/>
        <w:rPr>
          <w:rFonts w:ascii="Arial" w:cs="Arial" w:eastAsia="Arial" w:hAnsi="Arial"/>
          <w:sz w:val="22"/>
          <w:szCs w:val="22"/>
          <w:color w:val="auto"/>
        </w:rPr>
      </w:pPr>
    </w:p>
    <w:p>
      <w:pPr>
        <w:ind w:left="1420" w:hanging="626"/>
        <w:spacing w:after="0"/>
        <w:tabs>
          <w:tab w:leader="none" w:pos="1420" w:val="left"/>
        </w:tabs>
        <w:numPr>
          <w:ilvl w:val="1"/>
          <w:numId w:val="110"/>
        </w:numPr>
        <w:rPr>
          <w:rFonts w:ascii="Arial" w:cs="Arial" w:eastAsia="Arial" w:hAnsi="Arial"/>
          <w:sz w:val="19"/>
          <w:szCs w:val="19"/>
          <w:color w:val="auto"/>
        </w:rPr>
      </w:pPr>
      <w:r>
        <w:rPr>
          <w:rFonts w:ascii="Arial" w:cs="Arial" w:eastAsia="Arial" w:hAnsi="Arial"/>
          <w:sz w:val="19"/>
          <w:szCs w:val="19"/>
          <w:i w:val="1"/>
          <w:iCs w:val="1"/>
          <w:color w:val="auto"/>
        </w:rPr>
        <w:t>Maximum Multicurrency Advances</w:t>
      </w:r>
      <w:r>
        <w:rPr>
          <w:rFonts w:ascii="Arial" w:cs="Arial" w:eastAsia="Arial" w:hAnsi="Arial"/>
          <w:sz w:val="19"/>
          <w:szCs w:val="19"/>
          <w:color w:val="auto"/>
        </w:rPr>
        <w:t>.  With respect to Borrowings denominated in an Agreed Foreign Currency,</w:t>
      </w:r>
    </w:p>
    <w:p>
      <w:pPr>
        <w:spacing w:after="0" w:line="42" w:lineRule="exact"/>
        <w:rPr>
          <w:rFonts w:ascii="Arial" w:cs="Arial" w:eastAsia="Arial" w:hAnsi="Arial"/>
          <w:sz w:val="19"/>
          <w:szCs w:val="19"/>
          <w:color w:val="auto"/>
        </w:rPr>
      </w:pPr>
    </w:p>
    <w:p>
      <w:pPr>
        <w:ind w:right="20" w:firstLine="8"/>
        <w:spacing w:after="0" w:line="236" w:lineRule="auto"/>
        <w:tabs>
          <w:tab w:leader="none" w:pos="26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no more than two (2) Borrowings per week shall be permitted hereunder and (ii) no more than eight (8) Borrowings shall be outstanding hereunder at any one time.</w:t>
      </w:r>
    </w:p>
    <w:p>
      <w:pPr>
        <w:spacing w:after="0" w:line="295"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color w:val="auto"/>
        </w:rPr>
        <w:t xml:space="preserve">Within such limits and subject to the other terms and conditions of this Agreement, the Borrower may borrow (and re-borrow) Advances under this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and prepay Advances under </w:t>
      </w:r>
      <w:r>
        <w:rPr>
          <w:rFonts w:ascii="Arial" w:cs="Arial" w:eastAsia="Arial" w:hAnsi="Arial"/>
          <w:sz w:val="21"/>
          <w:szCs w:val="21"/>
          <w:u w:val="single" w:color="auto"/>
          <w:color w:val="auto"/>
        </w:rPr>
        <w:t>Section 2.05</w:t>
      </w:r>
      <w:r>
        <w:rPr>
          <w:rFonts w:ascii="Arial" w:cs="Arial" w:eastAsia="Arial" w:hAnsi="Arial"/>
          <w:sz w:val="21"/>
          <w:szCs w:val="21"/>
          <w:color w:val="auto"/>
        </w:rPr>
        <w:t>; provided that the Swingline Lender shall not be required to make a Swingline Advance to refinance an outstanding Swingline Advance.</w:t>
      </w:r>
    </w:p>
    <w:p>
      <w:pPr>
        <w:spacing w:after="0" w:line="277" w:lineRule="exact"/>
        <w:rPr>
          <w:sz w:val="20"/>
          <w:szCs w:val="20"/>
          <w:color w:val="auto"/>
        </w:rPr>
      </w:pPr>
    </w:p>
    <w:p>
      <w:pPr>
        <w:jc w:val="both"/>
        <w:ind w:firstLine="562"/>
        <w:spacing w:after="0" w:line="297" w:lineRule="auto"/>
        <w:rPr>
          <w:sz w:val="20"/>
          <w:szCs w:val="20"/>
          <w:color w:val="auto"/>
        </w:rPr>
      </w:pPr>
      <w:r>
        <w:rPr>
          <w:rFonts w:ascii="Arial" w:cs="Arial" w:eastAsia="Arial" w:hAnsi="Arial"/>
          <w:sz w:val="19"/>
          <w:szCs w:val="19"/>
          <w:i w:val="1"/>
          <w:iCs w:val="1"/>
          <w:color w:val="auto"/>
        </w:rPr>
        <w:t>Section 2.02. Making of the Advances</w:t>
      </w:r>
      <w:r>
        <w:rPr>
          <w:rFonts w:ascii="Arial" w:cs="Arial" w:eastAsia="Arial" w:hAnsi="Arial"/>
          <w:sz w:val="19"/>
          <w:szCs w:val="19"/>
          <w:color w:val="auto"/>
        </w:rPr>
        <w:t>. (a) If the Borrower desires to make a Borrowing under this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or the Collateral Manager on its behalf, shall give the Administrative Agent and the Collateral Agent a written notice (each, a “</w:t>
      </w:r>
      <w:r>
        <w:rPr>
          <w:rFonts w:ascii="Arial" w:cs="Arial" w:eastAsia="Arial" w:hAnsi="Arial"/>
          <w:sz w:val="19"/>
          <w:szCs w:val="19"/>
          <w:i w:val="1"/>
          <w:iCs w:val="1"/>
          <w:color w:val="auto"/>
        </w:rPr>
        <w:t>Notice of Borrowing</w:t>
      </w:r>
      <w:r>
        <w:rPr>
          <w:rFonts w:ascii="Arial" w:cs="Arial" w:eastAsia="Arial" w:hAnsi="Arial"/>
          <w:sz w:val="19"/>
          <w:szCs w:val="19"/>
          <w:color w:val="auto"/>
        </w:rPr>
        <w:t>”) for such Borrowing (which notice shall be irrevocable and effective upon receipt) not later than:</w:t>
      </w:r>
    </w:p>
    <w:p>
      <w:pPr>
        <w:spacing w:after="0" w:line="242" w:lineRule="exact"/>
        <w:rPr>
          <w:sz w:val="20"/>
          <w:szCs w:val="20"/>
          <w:color w:val="auto"/>
        </w:rPr>
      </w:pPr>
    </w:p>
    <w:p>
      <w:pPr>
        <w:jc w:val="both"/>
        <w:ind w:left="800" w:firstLine="934"/>
        <w:spacing w:after="0"/>
        <w:tabs>
          <w:tab w:leader="none" w:pos="235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the case of Syndicated Borrowings denominated in Dollars, 2:00 p.m. at least one (1) Business Day prior to the day of the requested Borrowing. A Notice of Borrowing received after 2:00 p.m. shall be deemed received on the following Business Day;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267" w:right="339" w:bottom="1440" w:gutter="0" w:footer="0" w:header="0"/>
        </w:sectPr>
      </w:pPr>
    </w:p>
    <w:bookmarkStart w:id="105" w:name="page106"/>
    <w:bookmarkEnd w:id="105"/>
    <w:p>
      <w:pPr>
        <w:jc w:val="both"/>
        <w:ind w:left="800" w:firstLine="994"/>
        <w:spacing w:after="0"/>
        <w:tabs>
          <w:tab w:leader="none" w:pos="24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Syndicated Borrowings denominated in an Agreed Foreign Currency, 2:00 p.m. at least three (3) Business Days prior to the day of the requested Borrowing. A Notice of Borrowing received after 2:00 p.m. shall be deemed received on the following Business Day; and</w:t>
      </w:r>
    </w:p>
    <w:p>
      <w:pPr>
        <w:spacing w:after="0" w:line="294" w:lineRule="exact"/>
        <w:rPr>
          <w:rFonts w:ascii="Arial" w:cs="Arial" w:eastAsia="Arial" w:hAnsi="Arial"/>
          <w:sz w:val="22"/>
          <w:szCs w:val="22"/>
          <w:color w:val="auto"/>
        </w:rPr>
      </w:pPr>
    </w:p>
    <w:p>
      <w:pPr>
        <w:ind w:left="800" w:firstLine="934"/>
        <w:spacing w:after="0" w:line="250" w:lineRule="auto"/>
        <w:tabs>
          <w:tab w:leader="none" w:pos="245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in the case of Swingline Borrowings denominated in Dollars, 2:00 p.m. on the date of the requested Swingline Borrowing.</w:t>
      </w:r>
    </w:p>
    <w:p>
      <w:pPr>
        <w:spacing w:after="0" w:line="283"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color w:val="auto"/>
        </w:rPr>
        <w:t xml:space="preserve">Promptly following receipt of a Notice of Borrowing in accordance with this Section, the Administrative Agent shall advise each applicable Lender of the details thereof and of the amounts of such Lender’s Loan to be made as part of the requested Borrowing. Each Notice of Borrowing shall be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dated the date the request for the related Borrowing is being made, signed by a Responsible Officer of the Borrower or the Collateral Manager, as applicable, shall attach a Borrowing Base Calculation Statement, and shall otherwise be appropriately completed. If no election as to the Currency of a Syndicated Borrowing is specified, then the requested Syndicated Borrowing shall be denominated in Dollars.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Arial" w:cs="Arial" w:eastAsia="Arial" w:hAnsi="Arial"/>
          <w:sz w:val="19"/>
          <w:szCs w:val="19"/>
          <w:i w:val="1"/>
          <w:iCs w:val="1"/>
          <w:color w:val="auto"/>
        </w:rPr>
        <w:t>“Requested Amount”</w:t>
      </w:r>
      <w:r>
        <w:rPr>
          <w:rFonts w:ascii="Arial" w:cs="Arial" w:eastAsia="Arial" w:hAnsi="Arial"/>
          <w:sz w:val="19"/>
          <w:szCs w:val="19"/>
          <w:color w:val="auto"/>
        </w:rPr>
        <w:t>) shall be equal to at least $250,000 or an integral multiple of $100,000 in excess thereof (or, if less, the remaining unfunded Commitments hereunder). Borrowings of more than one Class and Currency may be outstanding at the same time.</w:t>
      </w:r>
    </w:p>
    <w:p>
      <w:pPr>
        <w:spacing w:after="0" w:line="263" w:lineRule="exact"/>
        <w:rPr>
          <w:sz w:val="20"/>
          <w:szCs w:val="20"/>
          <w:color w:val="auto"/>
        </w:rPr>
      </w:pPr>
    </w:p>
    <w:p>
      <w:pPr>
        <w:jc w:val="both"/>
        <w:ind w:firstLine="794"/>
        <w:spacing w:after="0" w:line="274" w:lineRule="auto"/>
        <w:tabs>
          <w:tab w:leader="none" w:pos="1308" w:val="left"/>
        </w:tabs>
        <w:numPr>
          <w:ilvl w:val="0"/>
          <w:numId w:val="114"/>
        </w:numPr>
        <w:rPr>
          <w:rFonts w:ascii="Arial" w:cs="Arial" w:eastAsia="Arial" w:hAnsi="Arial"/>
          <w:sz w:val="19"/>
          <w:szCs w:val="19"/>
          <w:color w:val="auto"/>
        </w:rPr>
      </w:pPr>
      <w:r>
        <w:rPr>
          <w:rFonts w:ascii="Arial" w:cs="Arial" w:eastAsia="Arial" w:hAnsi="Arial"/>
          <w:sz w:val="19"/>
          <w:szCs w:val="19"/>
          <w:i w:val="1"/>
          <w:iCs w:val="1"/>
          <w:color w:val="auto"/>
        </w:rPr>
        <w:t xml:space="preserve">Funding by Lenders. </w:t>
      </w:r>
      <w:r>
        <w:rPr>
          <w:rFonts w:ascii="Arial" w:cs="Arial" w:eastAsia="Arial" w:hAnsi="Arial"/>
          <w:sz w:val="19"/>
          <w:szCs w:val="19"/>
          <w:color w:val="auto"/>
        </w:rPr>
        <w:t>Each Lender, in respect of Syndicated Advances, shall make its Percentage of the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Requested Amount on each Borrowing Date by wire transfer of immediately available funds by 11:00 a.m. to the account of the Administrative Agent most recently designated by it for such purpose by notice to the Lenders. The Administrative Agent will make such Advances available to the Borrower by promptly crediting the amounts so received, in like funds, to the Principal Collection Subaccount. The Swingline Lender shall not later than 4:00 p.m. on each Borrowing Date, in respect of Swingline Advances, make the applicable Requested Amount available to the Borrower by disbursing such funds to the Principal Collection Subaccount;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Swingline Lender shall have no obligation hereunder to make any Swingline Advance at any time if, at such time, one or more Lenders has announced that it is not obligated (or has disputed, in good faith or otherwise, whether it is obligated) to make additional Advances hereunder (including its portion of any Swingline Refinancing Advance).</w:t>
      </w:r>
    </w:p>
    <w:p>
      <w:pPr>
        <w:spacing w:after="0" w:line="266" w:lineRule="exact"/>
        <w:rPr>
          <w:rFonts w:ascii="Arial" w:cs="Arial" w:eastAsia="Arial" w:hAnsi="Arial"/>
          <w:sz w:val="19"/>
          <w:szCs w:val="19"/>
          <w:color w:val="auto"/>
        </w:rPr>
      </w:pPr>
    </w:p>
    <w:p>
      <w:pPr>
        <w:jc w:val="both"/>
        <w:ind w:firstLine="794"/>
        <w:spacing w:after="0" w:line="238" w:lineRule="auto"/>
        <w:tabs>
          <w:tab w:leader="none" w:pos="133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Each Notice of Borrowing for a Swingline Advance shall also be deemed to constitute a Notice of Borrowing for Syndicated Advances (such Advances, “</w:t>
      </w:r>
      <w:r>
        <w:rPr>
          <w:rFonts w:ascii="Arial" w:cs="Arial" w:eastAsia="Arial" w:hAnsi="Arial"/>
          <w:sz w:val="22"/>
          <w:szCs w:val="22"/>
          <w:i w:val="1"/>
          <w:iCs w:val="1"/>
          <w:color w:val="auto"/>
        </w:rPr>
        <w:t>Swingline Refinancing Advances</w:t>
      </w:r>
      <w:r>
        <w:rPr>
          <w:rFonts w:ascii="Arial" w:cs="Arial" w:eastAsia="Arial" w:hAnsi="Arial"/>
          <w:sz w:val="22"/>
          <w:szCs w:val="22"/>
          <w:color w:val="auto"/>
        </w:rPr>
        <w:t>”), in an amount equal to (1) the same Requested Amount or (2) if the Borrower has submitted a Notice of Prepayment in tandem with the Notice of Borrowing for a Swingline Borrowing, such portion of the Requested Amount that will not be repaid by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267" w:right="339" w:bottom="1440" w:gutter="0" w:footer="0" w:header="0"/>
        </w:sectPr>
      </w:pPr>
    </w:p>
    <w:bookmarkStart w:id="106" w:name="page107"/>
    <w:bookmarkEnd w:id="106"/>
    <w:p>
      <w:pPr>
        <w:jc w:val="both"/>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on the next Business Day. The Borrowing Date for the Swingline Refinancing Advance shall fall on the day (the “</w:t>
      </w:r>
      <w:r>
        <w:rPr>
          <w:rFonts w:ascii="Arial" w:cs="Arial" w:eastAsia="Arial" w:hAnsi="Arial"/>
          <w:sz w:val="21"/>
          <w:szCs w:val="21"/>
          <w:i w:val="1"/>
          <w:iCs w:val="1"/>
          <w:color w:val="auto"/>
        </w:rPr>
        <w:t>Swingline Refinancing Date</w:t>
      </w:r>
      <w:r>
        <w:rPr>
          <w:rFonts w:ascii="Arial" w:cs="Arial" w:eastAsia="Arial" w:hAnsi="Arial"/>
          <w:sz w:val="21"/>
          <w:szCs w:val="21"/>
          <w:color w:val="auto"/>
        </w:rPr>
        <w:t>”) that is one (1) Business Day after the date on which such Swingline Borrowing is made (and the applicable Notice of Borrowing shall specify both applicable information for the Swingline Advance and the related Swingline Refinancing Advance). Notwithstanding anything to the contrary contained herein:</w:t>
      </w:r>
    </w:p>
    <w:p>
      <w:pPr>
        <w:spacing w:after="0" w:line="282" w:lineRule="exact"/>
        <w:rPr>
          <w:sz w:val="20"/>
          <w:szCs w:val="20"/>
          <w:color w:val="auto"/>
        </w:rPr>
      </w:pPr>
    </w:p>
    <w:p>
      <w:pPr>
        <w:jc w:val="both"/>
        <w:ind w:left="800" w:firstLine="1025"/>
        <w:spacing w:after="0" w:line="236" w:lineRule="auto"/>
        <w:tabs>
          <w:tab w:leader="none" w:pos="2579" w:val="left"/>
        </w:tabs>
        <w:numPr>
          <w:ilvl w:val="2"/>
          <w:numId w:val="115"/>
        </w:numPr>
        <w:rPr>
          <w:rFonts w:ascii="Arial" w:cs="Arial" w:eastAsia="Arial" w:hAnsi="Arial"/>
          <w:sz w:val="22"/>
          <w:szCs w:val="22"/>
          <w:color w:val="auto"/>
        </w:rPr>
      </w:pPr>
      <w:r>
        <w:rPr>
          <w:rFonts w:ascii="Arial" w:cs="Arial" w:eastAsia="Arial" w:hAnsi="Arial"/>
          <w:sz w:val="22"/>
          <w:szCs w:val="22"/>
          <w:color w:val="auto"/>
        </w:rPr>
        <w:t xml:space="preserve">it is understood and agreed that each Lender shall acquire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 exclusive benefit of the Swingline Lender; and</w:t>
      </w:r>
    </w:p>
    <w:p>
      <w:pPr>
        <w:spacing w:after="0" w:line="295" w:lineRule="exact"/>
        <w:rPr>
          <w:rFonts w:ascii="Arial" w:cs="Arial" w:eastAsia="Arial" w:hAnsi="Arial"/>
          <w:sz w:val="22"/>
          <w:szCs w:val="22"/>
          <w:color w:val="auto"/>
        </w:rPr>
      </w:pPr>
    </w:p>
    <w:p>
      <w:pPr>
        <w:ind w:left="2480" w:hanging="746"/>
        <w:spacing w:after="0"/>
        <w:tabs>
          <w:tab w:leader="none" w:pos="248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the Collateral Agent shall immediately apply all amounts received from the Lenders under </w:t>
      </w:r>
      <w:r>
        <w:rPr>
          <w:rFonts w:ascii="Arial" w:cs="Arial" w:eastAsia="Arial" w:hAnsi="Arial"/>
          <w:sz w:val="19"/>
          <w:szCs w:val="19"/>
          <w:u w:val="single" w:color="auto"/>
          <w:color w:val="auto"/>
        </w:rPr>
        <w:t>clause</w:t>
      </w:r>
    </w:p>
    <w:p>
      <w:pPr>
        <w:spacing w:after="0" w:line="42" w:lineRule="exact"/>
        <w:rPr>
          <w:rFonts w:ascii="Arial" w:cs="Arial" w:eastAsia="Arial" w:hAnsi="Arial"/>
          <w:sz w:val="19"/>
          <w:szCs w:val="19"/>
          <w:color w:val="auto"/>
        </w:rPr>
      </w:pPr>
    </w:p>
    <w:p>
      <w:pPr>
        <w:ind w:left="1060" w:hanging="266"/>
        <w:spacing w:after="0"/>
        <w:tabs>
          <w:tab w:leader="none" w:pos="1060" w:val="left"/>
        </w:tabs>
        <w:numPr>
          <w:ilvl w:val="0"/>
          <w:numId w:val="117"/>
        </w:numPr>
        <w:rPr>
          <w:rFonts w:ascii="Arial" w:cs="Arial" w:eastAsia="Arial" w:hAnsi="Arial"/>
          <w:sz w:val="21"/>
          <w:szCs w:val="21"/>
          <w:u w:val="single" w:color="auto"/>
          <w:color w:val="auto"/>
        </w:rPr>
      </w:pPr>
      <w:r>
        <w:rPr>
          <w:rFonts w:ascii="Arial" w:cs="Arial" w:eastAsia="Arial" w:hAnsi="Arial"/>
          <w:sz w:val="21"/>
          <w:szCs w:val="21"/>
          <w:color w:val="auto"/>
        </w:rPr>
        <w:t>above to the repayment of the outstanding Swingline Advances by paying the same to the Swingline Lender.</w:t>
      </w: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If the Swingline Lender is also a Lender, it will be deemed to have automatically funded its portion of each Swingline Refinancing Advance on the relevant Swingline Refinancing Date. The obligations of the Lenders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and the obligations of the Collateral Agent to apply amounts received from the Lenders under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For the avoidance of doubt, at no time will the Administrative Agent have any duty (express or implied) to fund (or front or advance) any Lender’s Percentage of a Requested Amount.</w:t>
      </w:r>
    </w:p>
    <w:p>
      <w:pPr>
        <w:spacing w:after="0" w:line="260" w:lineRule="exact"/>
        <w:rPr>
          <w:sz w:val="20"/>
          <w:szCs w:val="20"/>
          <w:color w:val="auto"/>
        </w:rPr>
      </w:pPr>
    </w:p>
    <w:p>
      <w:pPr>
        <w:jc w:val="both"/>
        <w:ind w:firstLine="794"/>
        <w:spacing w:after="0" w:line="272" w:lineRule="auto"/>
        <w:tabs>
          <w:tab w:leader="none" w:pos="1416" w:val="left"/>
        </w:tabs>
        <w:numPr>
          <w:ilvl w:val="0"/>
          <w:numId w:val="118"/>
        </w:numPr>
        <w:rPr>
          <w:rFonts w:ascii="Arial" w:cs="Arial" w:eastAsia="Arial" w:hAnsi="Arial"/>
          <w:sz w:val="19"/>
          <w:szCs w:val="19"/>
          <w:color w:val="auto"/>
        </w:rPr>
      </w:pPr>
      <w:r>
        <w:rPr>
          <w:rFonts w:ascii="Arial" w:cs="Arial" w:eastAsia="Arial" w:hAnsi="Arial"/>
          <w:sz w:val="19"/>
          <w:szCs w:val="19"/>
          <w:i w:val="1"/>
          <w:iCs w:val="1"/>
          <w:color w:val="auto"/>
        </w:rPr>
        <w:t xml:space="preserve">Presumption by the Administrative Agent. </w:t>
      </w:r>
      <w:r>
        <w:rPr>
          <w:rFonts w:ascii="Arial" w:cs="Arial" w:eastAsia="Arial" w:hAnsi="Arial"/>
          <w:sz w:val="19"/>
          <w:szCs w:val="19"/>
          <w:color w:val="auto"/>
        </w:rPr>
        <w:t>Unless the Administrative Agent shall have received notice from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Lender prior to the applicable proposed Borrowing Date that such Lender will not make available to the Administrative Agent such Lender’s Percentage of the applicable Requested Amount, the Administrative Agent may assume that such Lender has made such Percentage of the applicable Requested Amount available on the Borrowing Date in accordance with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may, in reliance upon such assumption, make available to the Borrower a corresponding amount. In such event, if a Lender has not in fact made its Percentage of the applicable Requested Amount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 (ii) in the case of the Borrower, the Interest Rate applicable to Advances not funded through the issuance of commercial paper. If such Lender pays such amount to the Administrative Agent, then such amount shall constitute such Lender’s Advance included in such Borrowing.</w:t>
      </w:r>
    </w:p>
    <w:p>
      <w:pPr>
        <w:spacing w:after="0" w:line="200" w:lineRule="exact"/>
        <w:rPr>
          <w:sz w:val="20"/>
          <w:szCs w:val="20"/>
          <w:color w:val="auto"/>
        </w:rPr>
      </w:pPr>
    </w:p>
    <w:p>
      <w:pPr>
        <w:spacing w:after="0" w:line="316" w:lineRule="exact"/>
        <w:rPr>
          <w:sz w:val="20"/>
          <w:szCs w:val="20"/>
          <w:color w:val="auto"/>
        </w:rPr>
      </w:pPr>
    </w:p>
    <w:p>
      <w:pPr>
        <w:ind w:firstLine="562"/>
        <w:spacing w:after="0" w:line="250" w:lineRule="auto"/>
        <w:rPr>
          <w:sz w:val="20"/>
          <w:szCs w:val="20"/>
          <w:color w:val="auto"/>
        </w:rPr>
      </w:pPr>
      <w:r>
        <w:rPr>
          <w:rFonts w:ascii="Arial" w:cs="Arial" w:eastAsia="Arial" w:hAnsi="Arial"/>
          <w:sz w:val="22"/>
          <w:szCs w:val="22"/>
          <w:i w:val="1"/>
          <w:iCs w:val="1"/>
          <w:color w:val="auto"/>
        </w:rPr>
        <w:t>Section 2.03. Evidence of Indebtedness</w:t>
      </w:r>
      <w:r>
        <w:rPr>
          <w:rFonts w:ascii="Arial" w:cs="Arial" w:eastAsia="Arial" w:hAnsi="Arial"/>
          <w:sz w:val="22"/>
          <w:szCs w:val="22"/>
          <w:color w:val="auto"/>
        </w:rPr>
        <w:t>. (a)</w:t>
      </w:r>
      <w:r>
        <w:rPr>
          <w:rFonts w:ascii="Arial" w:cs="Arial" w:eastAsia="Arial" w:hAnsi="Arial"/>
          <w:sz w:val="22"/>
          <w:szCs w:val="22"/>
          <w:i w:val="1"/>
          <w:iCs w:val="1"/>
          <w:color w:val="auto"/>
        </w:rPr>
        <w:t xml:space="preserve"> Maintenance of Records by Lenders. </w:t>
      </w:r>
      <w:r>
        <w:rPr>
          <w:rFonts w:ascii="Arial" w:cs="Arial" w:eastAsia="Arial" w:hAnsi="Arial"/>
          <w:sz w:val="22"/>
          <w:szCs w:val="22"/>
          <w:color w:val="auto"/>
        </w:rPr>
        <w:t>Each Lender shall maintain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its usual practice an account or accounts evidencing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267" w:right="339" w:bottom="1440" w:gutter="0" w:footer="0" w:header="0"/>
        </w:sectPr>
      </w:pPr>
    </w:p>
    <w:bookmarkStart w:id="107" w:name="page108"/>
    <w:bookmarkEnd w:id="107"/>
    <w:p>
      <w:pPr>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of the Borrower to it and resulting from the Advances made by such Lender to the Borrower, from time to time, including the amounts of principal and interest thereon and paid to it, from time to time hereunder.</w:t>
      </w:r>
    </w:p>
    <w:p>
      <w:pPr>
        <w:spacing w:after="0" w:line="283" w:lineRule="exact"/>
        <w:rPr>
          <w:sz w:val="20"/>
          <w:szCs w:val="20"/>
          <w:color w:val="auto"/>
        </w:rPr>
      </w:pPr>
    </w:p>
    <w:p>
      <w:pPr>
        <w:jc w:val="both"/>
        <w:ind w:firstLine="794"/>
        <w:spacing w:after="0" w:line="252" w:lineRule="auto"/>
        <w:tabs>
          <w:tab w:leader="none" w:pos="1362" w:val="left"/>
        </w:tabs>
        <w:numPr>
          <w:ilvl w:val="0"/>
          <w:numId w:val="119"/>
        </w:numPr>
        <w:rPr>
          <w:rFonts w:ascii="Arial" w:cs="Arial" w:eastAsia="Arial" w:hAnsi="Arial"/>
          <w:sz w:val="21"/>
          <w:szCs w:val="21"/>
          <w:color w:val="auto"/>
        </w:rPr>
      </w:pPr>
      <w:r>
        <w:rPr>
          <w:rFonts w:ascii="Arial" w:cs="Arial" w:eastAsia="Arial" w:hAnsi="Arial"/>
          <w:sz w:val="21"/>
          <w:szCs w:val="21"/>
          <w:i w:val="1"/>
          <w:iCs w:val="1"/>
          <w:color w:val="auto"/>
        </w:rPr>
        <w:t xml:space="preserve">Maintenance of Records by Administrative Agent. </w:t>
      </w:r>
      <w:r>
        <w:rPr>
          <w:rFonts w:ascii="Arial" w:cs="Arial" w:eastAsia="Arial" w:hAnsi="Arial"/>
          <w:sz w:val="21"/>
          <w:szCs w:val="21"/>
          <w:color w:val="auto"/>
        </w:rPr>
        <w:t>The Administrative Agent shall maintain records in which it</w:t>
      </w:r>
      <w:r>
        <w:rPr>
          <w:rFonts w:ascii="Arial" w:cs="Arial" w:eastAsia="Arial" w:hAnsi="Arial"/>
          <w:sz w:val="21"/>
          <w:szCs w:val="21"/>
          <w:i w:val="1"/>
          <w:iCs w:val="1"/>
          <w:color w:val="auto"/>
        </w:rPr>
        <w:t xml:space="preserve"> </w:t>
      </w:r>
      <w:r>
        <w:rPr>
          <w:rFonts w:ascii="Arial" w:cs="Arial" w:eastAsia="Arial" w:hAnsi="Arial"/>
          <w:sz w:val="21"/>
          <w:szCs w:val="21"/>
          <w:color w:val="auto"/>
        </w:rPr>
        <w:t>shall record (i) the amount 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81" w:lineRule="exact"/>
        <w:rPr>
          <w:rFonts w:ascii="Arial" w:cs="Arial" w:eastAsia="Arial" w:hAnsi="Arial"/>
          <w:sz w:val="21"/>
          <w:szCs w:val="21"/>
          <w:color w:val="auto"/>
        </w:rPr>
      </w:pPr>
    </w:p>
    <w:p>
      <w:pPr>
        <w:jc w:val="both"/>
        <w:ind w:firstLine="794"/>
        <w:spacing w:after="0" w:line="287" w:lineRule="auto"/>
        <w:tabs>
          <w:tab w:leader="none" w:pos="1296" w:val="left"/>
        </w:tabs>
        <w:numPr>
          <w:ilvl w:val="0"/>
          <w:numId w:val="119"/>
        </w:numPr>
        <w:rPr>
          <w:rFonts w:ascii="Arial" w:cs="Arial" w:eastAsia="Arial" w:hAnsi="Arial"/>
          <w:sz w:val="19"/>
          <w:szCs w:val="19"/>
          <w:color w:val="auto"/>
        </w:rPr>
      </w:pPr>
      <w:r>
        <w:rPr>
          <w:rFonts w:ascii="Arial" w:cs="Arial" w:eastAsia="Arial" w:hAnsi="Arial"/>
          <w:sz w:val="19"/>
          <w:szCs w:val="19"/>
          <w:i w:val="1"/>
          <w:iCs w:val="1"/>
          <w:color w:val="auto"/>
        </w:rPr>
        <w:t xml:space="preserve">Effect of Entries. </w:t>
      </w:r>
      <w:r>
        <w:rPr>
          <w:rFonts w:ascii="Arial" w:cs="Arial" w:eastAsia="Arial" w:hAnsi="Arial"/>
          <w:sz w:val="19"/>
          <w:szCs w:val="19"/>
          <w:color w:val="auto"/>
        </w:rPr>
        <w:t>The entries made in the records maintained pursuant to paragraph (a) or (b) of this Section shall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prima facie evidence, absent obvious error, of the existence and amounts of the obligations recorded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of any Lender or the Administrative Agent to maintain such records or any error therein shall not in any manner affect the obligation of the Borrower to repay the Advances in accordance with the terms of this Agreement.</w:t>
      </w:r>
    </w:p>
    <w:p>
      <w:pPr>
        <w:spacing w:after="0" w:line="251" w:lineRule="exact"/>
        <w:rPr>
          <w:sz w:val="20"/>
          <w:szCs w:val="20"/>
          <w:color w:val="auto"/>
        </w:rPr>
      </w:pPr>
    </w:p>
    <w:p>
      <w:pPr>
        <w:ind w:firstLine="562"/>
        <w:spacing w:after="0" w:line="250" w:lineRule="auto"/>
        <w:rPr>
          <w:sz w:val="20"/>
          <w:szCs w:val="20"/>
          <w:color w:val="auto"/>
        </w:rPr>
      </w:pPr>
      <w:r>
        <w:rPr>
          <w:rFonts w:ascii="Arial" w:cs="Arial" w:eastAsia="Arial" w:hAnsi="Arial"/>
          <w:sz w:val="22"/>
          <w:szCs w:val="22"/>
          <w:i w:val="1"/>
          <w:iCs w:val="1"/>
          <w:color w:val="auto"/>
        </w:rPr>
        <w:t>Section 2.04. Payment of Principal and Interest</w:t>
      </w:r>
      <w:r>
        <w:rPr>
          <w:rFonts w:ascii="Arial" w:cs="Arial" w:eastAsia="Arial" w:hAnsi="Arial"/>
          <w:sz w:val="22"/>
          <w:szCs w:val="22"/>
          <w:color w:val="auto"/>
        </w:rPr>
        <w:t>. The Borrower shall pay principal and Interest on the Advances as</w:t>
      </w:r>
      <w:r>
        <w:rPr>
          <w:rFonts w:ascii="Arial" w:cs="Arial" w:eastAsia="Arial" w:hAnsi="Arial"/>
          <w:sz w:val="22"/>
          <w:szCs w:val="22"/>
          <w:i w:val="1"/>
          <w:iCs w:val="1"/>
          <w:color w:val="auto"/>
        </w:rPr>
        <w:t xml:space="preserve"> </w:t>
      </w:r>
      <w:r>
        <w:rPr>
          <w:rFonts w:ascii="Arial" w:cs="Arial" w:eastAsia="Arial" w:hAnsi="Arial"/>
          <w:sz w:val="22"/>
          <w:szCs w:val="22"/>
          <w:color w:val="auto"/>
        </w:rPr>
        <w:t>follows:</w:t>
      </w:r>
    </w:p>
    <w:p>
      <w:pPr>
        <w:spacing w:after="0" w:line="283" w:lineRule="exact"/>
        <w:rPr>
          <w:sz w:val="20"/>
          <w:szCs w:val="20"/>
          <w:color w:val="auto"/>
        </w:rPr>
      </w:pPr>
    </w:p>
    <w:p>
      <w:pPr>
        <w:ind w:left="800" w:right="20" w:firstLine="934"/>
        <w:spacing w:after="0" w:line="250" w:lineRule="auto"/>
        <w:tabs>
          <w:tab w:leader="none" w:pos="240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100% of the outstanding principal amount of each Advance, together with all accrued and unpaid Interest thereon, shall be payable on the Final Maturity Date.</w:t>
      </w:r>
    </w:p>
    <w:p>
      <w:pPr>
        <w:spacing w:after="0" w:line="282" w:lineRule="exact"/>
        <w:rPr>
          <w:rFonts w:ascii="Arial" w:cs="Arial" w:eastAsia="Arial" w:hAnsi="Arial"/>
          <w:sz w:val="22"/>
          <w:szCs w:val="22"/>
          <w:color w:val="auto"/>
        </w:rPr>
      </w:pPr>
    </w:p>
    <w:p>
      <w:pPr>
        <w:jc w:val="both"/>
        <w:ind w:left="800" w:firstLine="934"/>
        <w:spacing w:after="0" w:line="244" w:lineRule="auto"/>
        <w:tabs>
          <w:tab w:leader="none" w:pos="235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Interest shall accrue at the applicable Interest Rate on the unpaid principal amount of each Advance from the date of such Advance until such principal amount is paid in full. The Administrative Agent shall determine the unpaid Interest and Commitment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Administrative Agent shall send a consolidated invoice of all such Interest and Commitment Fees to the Borrower on the Business Day following the Administrative Agent’s receipt of all such information from the Lenders. To the extent any applicable Interest Rate is determined by the Collateral Administrator, the Collateral Administrator will provide such rate to the Administrative Agent (who shall promptly inform the Lenders of the same) upon request. For the avoidance of doubt, when the applicable Interest Rate is the LIBOR Rate, such rate shall be determined on a daily, fluctuating basis for a one month interest period.</w:t>
      </w:r>
    </w:p>
    <w:p>
      <w:pPr>
        <w:spacing w:after="0" w:line="293" w:lineRule="exact"/>
        <w:rPr>
          <w:rFonts w:ascii="Arial" w:cs="Arial" w:eastAsia="Arial" w:hAnsi="Arial"/>
          <w:sz w:val="21"/>
          <w:szCs w:val="21"/>
          <w:color w:val="auto"/>
        </w:rPr>
      </w:pPr>
    </w:p>
    <w:p>
      <w:pPr>
        <w:jc w:val="both"/>
        <w:ind w:left="800" w:firstLine="934"/>
        <w:spacing w:after="0" w:line="246" w:lineRule="auto"/>
        <w:tabs>
          <w:tab w:leader="none" w:pos="234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Accrued Interest on each Advance shall be payable in arrears (x) on each Payment Date, and (y) in connection with any prepayment in full of the Advances pursuant to </w:t>
      </w:r>
      <w:r>
        <w:rPr>
          <w:rFonts w:ascii="Arial" w:cs="Arial" w:eastAsia="Arial" w:hAnsi="Arial"/>
          <w:sz w:val="21"/>
          <w:szCs w:val="21"/>
          <w:u w:val="single" w:color="auto"/>
          <w:color w:val="auto"/>
        </w:rPr>
        <w:t>Section 2.05(a)</w:t>
      </w:r>
      <w:r>
        <w:rPr>
          <w:rFonts w:ascii="Arial" w:cs="Arial" w:eastAsia="Arial" w:hAnsi="Arial"/>
          <w:sz w:val="21"/>
          <w:szCs w:val="21"/>
          <w:color w:val="auto"/>
        </w:rPr>
        <w:t>; provided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267" w:right="339" w:bottom="1440" w:gutter="0" w:footer="0" w:header="0"/>
        </w:sectPr>
      </w:pPr>
    </w:p>
    <w:bookmarkStart w:id="108" w:name="page109"/>
    <w:bookmarkEnd w:id="108"/>
    <w:p>
      <w:pPr>
        <w:jc w:val="both"/>
        <w:ind w:left="800" w:firstLine="934"/>
        <w:spacing w:after="0" w:line="282" w:lineRule="auto"/>
        <w:tabs>
          <w:tab w:leader="none" w:pos="2338" w:val="left"/>
        </w:tabs>
        <w:numPr>
          <w:ilvl w:val="0"/>
          <w:numId w:val="121"/>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in all cases to </w:t>
      </w:r>
      <w:r>
        <w:rPr>
          <w:rFonts w:ascii="Arial" w:cs="Arial" w:eastAsia="Arial" w:hAnsi="Arial"/>
          <w:sz w:val="19"/>
          <w:szCs w:val="19"/>
          <w:u w:val="single" w:color="auto"/>
          <w:color w:val="auto"/>
        </w:rPr>
        <w:t>Section 2.04(f)</w:t>
      </w:r>
      <w:r>
        <w:rPr>
          <w:rFonts w:ascii="Arial" w:cs="Arial" w:eastAsia="Arial" w:hAnsi="Arial"/>
          <w:sz w:val="19"/>
          <w:szCs w:val="19"/>
          <w:color w:val="auto"/>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9"/>
          <w:szCs w:val="19"/>
          <w:u w:val="single" w:color="auto"/>
          <w:color w:val="auto"/>
        </w:rPr>
        <w:t>Section 2.14</w:t>
      </w:r>
      <w:r>
        <w:rPr>
          <w:rFonts w:ascii="Arial" w:cs="Arial" w:eastAsia="Arial" w:hAnsi="Arial"/>
          <w:sz w:val="19"/>
          <w:szCs w:val="19"/>
          <w:color w:val="auto"/>
        </w:rPr>
        <w:t>), under any and all circumstances and irrespective of any setoff, counterclaim or defense to payment which the Borrower or any other Person may have or have had against any Secured Party or any other Person.</w:t>
      </w:r>
    </w:p>
    <w:p>
      <w:pPr>
        <w:spacing w:after="0" w:line="255" w:lineRule="exact"/>
        <w:rPr>
          <w:rFonts w:ascii="Arial" w:cs="Arial" w:eastAsia="Arial" w:hAnsi="Arial"/>
          <w:sz w:val="19"/>
          <w:szCs w:val="19"/>
          <w:color w:val="auto"/>
        </w:rPr>
      </w:pPr>
    </w:p>
    <w:p>
      <w:pPr>
        <w:jc w:val="both"/>
        <w:ind w:left="800" w:firstLine="934"/>
        <w:spacing w:after="0" w:line="234" w:lineRule="auto"/>
        <w:tabs>
          <w:tab w:leader="none" w:pos="236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298" w:lineRule="exact"/>
        <w:rPr>
          <w:rFonts w:ascii="Arial" w:cs="Arial" w:eastAsia="Arial" w:hAnsi="Arial"/>
          <w:sz w:val="22"/>
          <w:szCs w:val="22"/>
          <w:color w:val="auto"/>
        </w:rPr>
      </w:pPr>
    </w:p>
    <w:p>
      <w:pPr>
        <w:jc w:val="both"/>
        <w:ind w:left="800" w:firstLine="934"/>
        <w:spacing w:after="0" w:line="244" w:lineRule="auto"/>
        <w:tabs>
          <w:tab w:leader="none" w:pos="2471"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w:t>
      </w:r>
      <w:r>
        <w:rPr>
          <w:rFonts w:ascii="Arial" w:cs="Arial" w:eastAsia="Arial" w:hAnsi="Arial"/>
          <w:sz w:val="21"/>
          <w:szCs w:val="21"/>
          <w:u w:val="single" w:color="auto"/>
          <w:color w:val="auto"/>
        </w:rPr>
        <w:t>Section 2.12</w:t>
      </w:r>
      <w:r>
        <w:rPr>
          <w:rFonts w:ascii="Arial" w:cs="Arial" w:eastAsia="Arial" w:hAnsi="Arial"/>
          <w:sz w:val="21"/>
          <w:szCs w:val="21"/>
          <w:color w:val="auto"/>
        </w:rPr>
        <w:t>,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clause (f)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clause (f)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289" w:lineRule="exact"/>
        <w:rPr>
          <w:sz w:val="20"/>
          <w:szCs w:val="20"/>
          <w:color w:val="auto"/>
        </w:rPr>
      </w:pPr>
    </w:p>
    <w:p>
      <w:pPr>
        <w:ind w:left="560"/>
        <w:spacing w:after="0"/>
        <w:tabs>
          <w:tab w:leader="none" w:pos="2120" w:val="left"/>
          <w:tab w:leader="none" w:pos="7060" w:val="left"/>
        </w:tabs>
        <w:rPr>
          <w:sz w:val="20"/>
          <w:szCs w:val="20"/>
          <w:color w:val="auto"/>
        </w:rPr>
      </w:pPr>
      <w:r>
        <w:rPr>
          <w:rFonts w:ascii="Arial" w:cs="Arial" w:eastAsia="Arial" w:hAnsi="Arial"/>
          <w:sz w:val="22"/>
          <w:szCs w:val="22"/>
          <w:i w:val="1"/>
          <w:iCs w:val="1"/>
          <w:color w:val="auto"/>
        </w:rPr>
        <w:t>Section 2.05.</w:t>
      </w:r>
      <w:r>
        <w:rPr>
          <w:sz w:val="20"/>
          <w:szCs w:val="20"/>
          <w:color w:val="auto"/>
        </w:rPr>
        <w:tab/>
      </w:r>
      <w:r>
        <w:rPr>
          <w:rFonts w:ascii="Arial" w:cs="Arial" w:eastAsia="Arial" w:hAnsi="Arial"/>
          <w:sz w:val="22"/>
          <w:szCs w:val="22"/>
          <w:i w:val="1"/>
          <w:iCs w:val="1"/>
          <w:color w:val="auto"/>
        </w:rPr>
        <w:t>Prepayment of Advances</w:t>
      </w:r>
      <w:r>
        <w:rPr>
          <w:rFonts w:ascii="Arial" w:cs="Arial" w:eastAsia="Arial" w:hAnsi="Arial"/>
          <w:sz w:val="22"/>
          <w:szCs w:val="22"/>
          <w:color w:val="auto"/>
        </w:rPr>
        <w:t>. (a)</w:t>
      </w:r>
      <w:r>
        <w:rPr>
          <w:rFonts w:ascii="Arial" w:cs="Arial" w:eastAsia="Arial" w:hAnsi="Arial"/>
          <w:sz w:val="22"/>
          <w:szCs w:val="22"/>
          <w:i w:val="1"/>
          <w:iCs w:val="1"/>
          <w:color w:val="auto"/>
        </w:rPr>
        <w:t xml:space="preserve"> Optional Prepayments.</w:t>
      </w:r>
      <w:r>
        <w:rPr>
          <w:sz w:val="20"/>
          <w:szCs w:val="20"/>
          <w:color w:val="auto"/>
        </w:rPr>
        <w:tab/>
      </w:r>
      <w:r>
        <w:rPr>
          <w:rFonts w:ascii="Arial" w:cs="Arial" w:eastAsia="Arial" w:hAnsi="Arial"/>
          <w:sz w:val="21"/>
          <w:szCs w:val="21"/>
          <w:color w:val="auto"/>
        </w:rPr>
        <w:t>The Borrower may, from time to time on any</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Business Day (and with respect to Advances denominated in Agreed Foreign Currencies, no more than twice per week on any Business Day), voluntarily prepay Advances in whole or in part, without penalty or premium;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Borrower shall have delivered to the Administrative Agent written notice of such prepayment (such notice, a </w:t>
      </w:r>
      <w:r>
        <w:rPr>
          <w:rFonts w:ascii="Arial" w:cs="Arial" w:eastAsia="Arial" w:hAnsi="Arial"/>
          <w:sz w:val="21"/>
          <w:szCs w:val="21"/>
          <w:i w:val="1"/>
          <w:iCs w:val="1"/>
          <w:color w:val="auto"/>
        </w:rPr>
        <w:t>“Notice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267" w:right="339" w:bottom="1440" w:gutter="0" w:footer="0" w:header="0"/>
        </w:sectPr>
      </w:pPr>
    </w:p>
    <w:bookmarkStart w:id="109" w:name="page110"/>
    <w:bookmarkEnd w:id="109"/>
    <w:p>
      <w:pPr>
        <w:jc w:val="both"/>
        <w:spacing w:after="0" w:line="269"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Prepayment</w:t>
      </w:r>
      <w:r>
        <w:rPr>
          <w:rFonts w:ascii="Arial" w:cs="Arial" w:eastAsia="Arial" w:hAnsi="Arial"/>
          <w:sz w:val="19"/>
          <w:szCs w:val="19"/>
          <w:color w:val="auto"/>
        </w:rPr>
        <w:t>”) in the form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C</w:t>
      </w:r>
      <w:r>
        <w:rPr>
          <w:rFonts w:ascii="Arial" w:cs="Arial" w:eastAsia="Arial" w:hAnsi="Arial"/>
          <w:sz w:val="19"/>
          <w:szCs w:val="19"/>
          <w:i w:val="1"/>
          <w:iCs w:val="1"/>
          <w:color w:val="auto"/>
        </w:rPr>
        <w:t xml:space="preserve"> </w:t>
      </w:r>
      <w:r>
        <w:rPr>
          <w:rFonts w:ascii="Arial" w:cs="Arial" w:eastAsia="Arial" w:hAnsi="Arial"/>
          <w:sz w:val="19"/>
          <w:szCs w:val="19"/>
          <w:color w:val="auto"/>
        </w:rPr>
        <w:t>hereto (i) in the case of a prepayment of a Syndicated Advance denominated in Dollars,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by no later than 2:00 p.m. at least one (1) Business Day prior to the day of such prepayment, (ii) in the case of a prepayment of a Syndicated Advance denominated in an Agreed Foreign Currency, by no later than 2:00 p.m. at least three (3) Business Days prior to the day of such prepayment, and (iii) in the case of a prepayment of a Swingline Advance denominated in Dollars, by no later than 2:00 p.m. on the date of such prepayment,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there shall not be more than two (2) such prepayments during any calendar month which are made in whole or in part with any Interest Proceeds. Any Notice of Prepayment received by the Administrative Agent after 2:00 p.m. shall be deemed received on the next Business Day. Upon receipt of such Notice of Prepayment, the Administrative Agent shall promptly notify each Lender. 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11:00 a.m.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11:00 a.m. shall be deemed received on the next Business Day.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279" w:lineRule="exact"/>
        <w:rPr>
          <w:sz w:val="20"/>
          <w:szCs w:val="20"/>
          <w:color w:val="auto"/>
        </w:rPr>
      </w:pPr>
    </w:p>
    <w:p>
      <w:pPr>
        <w:jc w:val="both"/>
        <w:ind w:firstLine="794"/>
        <w:spacing w:after="0" w:line="297" w:lineRule="auto"/>
        <w:tabs>
          <w:tab w:leader="none" w:pos="1322" w:val="left"/>
        </w:tabs>
        <w:numPr>
          <w:ilvl w:val="0"/>
          <w:numId w:val="122"/>
        </w:numPr>
        <w:rPr>
          <w:rFonts w:ascii="Arial" w:cs="Arial" w:eastAsia="Arial" w:hAnsi="Arial"/>
          <w:sz w:val="19"/>
          <w:szCs w:val="19"/>
          <w:color w:val="auto"/>
        </w:rPr>
      </w:pPr>
      <w:r>
        <w:rPr>
          <w:rFonts w:ascii="Arial" w:cs="Arial" w:eastAsia="Arial" w:hAnsi="Arial"/>
          <w:sz w:val="19"/>
          <w:szCs w:val="19"/>
          <w:i w:val="1"/>
          <w:iCs w:val="1"/>
          <w:color w:val="auto"/>
        </w:rPr>
        <w:t xml:space="preserve">Mandatory Prepayments. </w:t>
      </w:r>
      <w:r>
        <w:rPr>
          <w:rFonts w:ascii="Arial" w:cs="Arial" w:eastAsia="Arial" w:hAnsi="Arial"/>
          <w:sz w:val="19"/>
          <w:szCs w:val="19"/>
          <w:color w:val="auto"/>
        </w:rPr>
        <w:t>The Borrower shall prepay the Advances on each Payment Date in the manner and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extent provided in the Priority of Payments. The Borrower shall provide, in each Payment Date Report, notice of the aggregate amounts of Advances that are to be prepaid on the related Payment Date in accordance with the Priority of Payments.</w:t>
      </w:r>
    </w:p>
    <w:p>
      <w:pPr>
        <w:spacing w:after="0" w:line="241" w:lineRule="exact"/>
        <w:rPr>
          <w:rFonts w:ascii="Arial" w:cs="Arial" w:eastAsia="Arial" w:hAnsi="Arial"/>
          <w:sz w:val="19"/>
          <w:szCs w:val="19"/>
          <w:color w:val="auto"/>
        </w:rPr>
      </w:pPr>
    </w:p>
    <w:p>
      <w:pPr>
        <w:jc w:val="both"/>
        <w:ind w:firstLine="794"/>
        <w:spacing w:after="0" w:line="238" w:lineRule="auto"/>
        <w:tabs>
          <w:tab w:leader="none" w:pos="1363" w:val="left"/>
        </w:tabs>
        <w:numPr>
          <w:ilvl w:val="0"/>
          <w:numId w:val="122"/>
        </w:numPr>
        <w:rPr>
          <w:rFonts w:ascii="Arial" w:cs="Arial" w:eastAsia="Arial" w:hAnsi="Arial"/>
          <w:sz w:val="22"/>
          <w:szCs w:val="22"/>
          <w:color w:val="auto"/>
        </w:rPr>
      </w:pPr>
      <w:r>
        <w:rPr>
          <w:rFonts w:ascii="Arial" w:cs="Arial" w:eastAsia="Arial" w:hAnsi="Arial"/>
          <w:sz w:val="22"/>
          <w:szCs w:val="22"/>
          <w:i w:val="1"/>
          <w:iCs w:val="1"/>
          <w:color w:val="auto"/>
        </w:rPr>
        <w:t>Additional Prepayment Provisions</w:t>
      </w:r>
      <w:r>
        <w:rPr>
          <w:rFonts w:ascii="Arial" w:cs="Arial" w:eastAsia="Arial" w:hAnsi="Arial"/>
          <w:sz w:val="22"/>
          <w:szCs w:val="22"/>
          <w:color w:val="auto"/>
        </w:rPr>
        <w:t>. Each prepayment pursuant to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2.05</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subject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2.04(c)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2.10</w:t>
      </w:r>
      <w:r>
        <w:rPr>
          <w:rFonts w:ascii="Arial" w:cs="Arial" w:eastAsia="Arial" w:hAnsi="Arial"/>
          <w:sz w:val="22"/>
          <w:szCs w:val="22"/>
          <w:color w:val="auto"/>
        </w:rPr>
        <w:t xml:space="preserve"> and applied to the Syndicated Advances in accordance with the Lenders’ respective Percentages (unless a Notice of Prepayment is submitted in tandem with a Notice of Borrowing for a Swingline Borrowing, in which case the prepayment shall be applied first to the Swingline Advance).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267" w:right="339" w:bottom="1440" w:gutter="0" w:footer="0" w:header="0"/>
        </w:sectPr>
      </w:pPr>
    </w:p>
    <w:bookmarkStart w:id="110" w:name="page111"/>
    <w:bookmarkEnd w:id="110"/>
    <w:p>
      <w:pPr>
        <w:ind w:firstLine="794"/>
        <w:spacing w:after="0" w:line="250" w:lineRule="auto"/>
        <w:tabs>
          <w:tab w:leader="none" w:pos="1376" w:val="left"/>
        </w:tabs>
        <w:numPr>
          <w:ilvl w:val="0"/>
          <w:numId w:val="123"/>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Interest on Prepaid Advances. </w:t>
      </w:r>
      <w:r>
        <w:rPr>
          <w:rFonts w:ascii="Arial" w:cs="Arial" w:eastAsia="Arial" w:hAnsi="Arial"/>
          <w:sz w:val="22"/>
          <w:szCs w:val="22"/>
          <w:color w:val="auto"/>
        </w:rPr>
        <w:t>If requested by the Administrative Agent, the Borrower shall pay all accrued and</w:t>
      </w:r>
      <w:r>
        <w:rPr>
          <w:rFonts w:ascii="Arial" w:cs="Arial" w:eastAsia="Arial" w:hAnsi="Arial"/>
          <w:sz w:val="22"/>
          <w:szCs w:val="22"/>
          <w:i w:val="1"/>
          <w:iCs w:val="1"/>
          <w:color w:val="auto"/>
        </w:rPr>
        <w:t xml:space="preserve"> </w:t>
      </w:r>
      <w:r>
        <w:rPr>
          <w:rFonts w:ascii="Arial" w:cs="Arial" w:eastAsia="Arial" w:hAnsi="Arial"/>
          <w:sz w:val="22"/>
          <w:szCs w:val="22"/>
          <w:color w:val="auto"/>
        </w:rPr>
        <w:t>unpaid Interest on Advances prepaid on the date of such prepayment.</w:t>
      </w:r>
    </w:p>
    <w:p>
      <w:pPr>
        <w:spacing w:after="0" w:line="283" w:lineRule="exact"/>
        <w:rPr>
          <w:sz w:val="20"/>
          <w:szCs w:val="20"/>
          <w:color w:val="auto"/>
        </w:rPr>
      </w:pPr>
    </w:p>
    <w:p>
      <w:pPr>
        <w:ind w:left="560"/>
        <w:spacing w:after="0"/>
        <w:tabs>
          <w:tab w:leader="none" w:pos="1940" w:val="left"/>
        </w:tabs>
        <w:rPr>
          <w:sz w:val="20"/>
          <w:szCs w:val="20"/>
          <w:color w:val="auto"/>
        </w:rPr>
      </w:pPr>
      <w:r>
        <w:rPr>
          <w:rFonts w:ascii="Arial" w:cs="Arial" w:eastAsia="Arial" w:hAnsi="Arial"/>
          <w:sz w:val="22"/>
          <w:szCs w:val="22"/>
          <w:i w:val="1"/>
          <w:iCs w:val="1"/>
          <w:color w:val="auto"/>
        </w:rPr>
        <w:t>Section 2.06.</w:t>
      </w:r>
      <w:r>
        <w:rPr>
          <w:sz w:val="20"/>
          <w:szCs w:val="20"/>
          <w:color w:val="auto"/>
        </w:rPr>
        <w:tab/>
      </w:r>
      <w:r>
        <w:rPr>
          <w:rFonts w:ascii="Arial" w:cs="Arial" w:eastAsia="Arial" w:hAnsi="Arial"/>
          <w:sz w:val="19"/>
          <w:szCs w:val="19"/>
          <w:i w:val="1"/>
          <w:iCs w:val="1"/>
          <w:color w:val="auto"/>
        </w:rPr>
        <w:t>Changes of Commitments</w:t>
      </w:r>
      <w:r>
        <w:rPr>
          <w:rFonts w:ascii="Arial" w:cs="Arial" w:eastAsia="Arial" w:hAnsi="Arial"/>
          <w:sz w:val="19"/>
          <w:szCs w:val="19"/>
          <w:color w:val="auto"/>
        </w:rPr>
        <w:t>.</w:t>
      </w:r>
    </w:p>
    <w:p>
      <w:pPr>
        <w:spacing w:after="0" w:line="314" w:lineRule="exact"/>
        <w:rPr>
          <w:sz w:val="20"/>
          <w:szCs w:val="20"/>
          <w:color w:val="auto"/>
        </w:rPr>
      </w:pPr>
    </w:p>
    <w:p>
      <w:pPr>
        <w:ind w:firstLine="794"/>
        <w:spacing w:after="0" w:line="250" w:lineRule="auto"/>
        <w:tabs>
          <w:tab w:leader="none" w:pos="1539" w:val="left"/>
        </w:tabs>
        <w:numPr>
          <w:ilvl w:val="0"/>
          <w:numId w:val="124"/>
        </w:numPr>
        <w:rPr>
          <w:rFonts w:ascii="Arial" w:cs="Arial" w:eastAsia="Arial" w:hAnsi="Arial"/>
          <w:sz w:val="22"/>
          <w:szCs w:val="22"/>
          <w:color w:val="auto"/>
        </w:rPr>
      </w:pPr>
      <w:r>
        <w:rPr>
          <w:rFonts w:ascii="Arial" w:cs="Arial" w:eastAsia="Arial" w:hAnsi="Arial"/>
          <w:sz w:val="22"/>
          <w:szCs w:val="22"/>
          <w:i w:val="1"/>
          <w:iCs w:val="1"/>
          <w:color w:val="auto"/>
        </w:rPr>
        <w:t xml:space="preserve">Automatic Reduction and Termination. </w:t>
      </w:r>
      <w:r>
        <w:rPr>
          <w:rFonts w:ascii="Arial" w:cs="Arial" w:eastAsia="Arial" w:hAnsi="Arial"/>
          <w:sz w:val="22"/>
          <w:szCs w:val="22"/>
          <w:color w:val="auto"/>
        </w:rPr>
        <w:t>Subject to the provisions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8.04</w:t>
      </w:r>
      <w:r>
        <w:rPr>
          <w:rFonts w:ascii="Arial" w:cs="Arial" w:eastAsia="Arial" w:hAnsi="Arial"/>
          <w:sz w:val="22"/>
          <w:szCs w:val="22"/>
          <w:color w:val="auto"/>
        </w:rPr>
        <w:t>, the Commitments of all</w:t>
      </w:r>
      <w:r>
        <w:rPr>
          <w:rFonts w:ascii="Arial" w:cs="Arial" w:eastAsia="Arial" w:hAnsi="Arial"/>
          <w:sz w:val="22"/>
          <w:szCs w:val="22"/>
          <w:i w:val="1"/>
          <w:iCs w:val="1"/>
          <w:color w:val="auto"/>
        </w:rPr>
        <w:t xml:space="preserve"> </w:t>
      </w:r>
      <w:r>
        <w:rPr>
          <w:rFonts w:ascii="Arial" w:cs="Arial" w:eastAsia="Arial" w:hAnsi="Arial"/>
          <w:sz w:val="22"/>
          <w:szCs w:val="22"/>
          <w:color w:val="auto"/>
        </w:rPr>
        <w:t>Lenders shall be automatically reduced to zero at 5:00 p.m. on the Commitment Termination Date.</w:t>
      </w:r>
    </w:p>
    <w:p>
      <w:pPr>
        <w:spacing w:after="0" w:line="282" w:lineRule="exact"/>
        <w:rPr>
          <w:rFonts w:ascii="Arial" w:cs="Arial" w:eastAsia="Arial" w:hAnsi="Arial"/>
          <w:sz w:val="22"/>
          <w:szCs w:val="22"/>
          <w:color w:val="auto"/>
        </w:rPr>
      </w:pPr>
    </w:p>
    <w:p>
      <w:pPr>
        <w:jc w:val="both"/>
        <w:ind w:firstLine="794"/>
        <w:spacing w:after="0" w:line="273" w:lineRule="auto"/>
        <w:tabs>
          <w:tab w:leader="none" w:pos="1335" w:val="left"/>
        </w:tabs>
        <w:numPr>
          <w:ilvl w:val="0"/>
          <w:numId w:val="124"/>
        </w:numPr>
        <w:rPr>
          <w:rFonts w:ascii="Arial" w:cs="Arial" w:eastAsia="Arial" w:hAnsi="Arial"/>
          <w:sz w:val="19"/>
          <w:szCs w:val="19"/>
          <w:color w:val="auto"/>
        </w:rPr>
      </w:pPr>
      <w:r>
        <w:rPr>
          <w:rFonts w:ascii="Arial" w:cs="Arial" w:eastAsia="Arial" w:hAnsi="Arial"/>
          <w:sz w:val="19"/>
          <w:szCs w:val="19"/>
          <w:i w:val="1"/>
          <w:iCs w:val="1"/>
          <w:color w:val="auto"/>
        </w:rPr>
        <w:t xml:space="preserve">Optional Reductions. </w:t>
      </w:r>
      <w:r>
        <w:rPr>
          <w:rFonts w:ascii="Arial" w:cs="Arial" w:eastAsia="Arial" w:hAnsi="Arial"/>
          <w:sz w:val="19"/>
          <w:szCs w:val="19"/>
          <w:color w:val="auto"/>
        </w:rPr>
        <w:t>Prior to the Commitment Termination Date, the Borrower shall have the right to terminate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or reduce the unused amount of the Facility Amount at any time or from time to time without any fee or penalty upon not less than five (5) Business Days’ prior notice to the Lenders, Collateral Agent and the Administrative Agent of each such termination or reduction, which notice shall specify the effective date of such termination or reduction and the amount of any such reduction;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 the amount of any such reduction of the Facility Amount shall be equal to at least $500,000 or an integral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multiple of $100,000 in excess thereof or, if less, the remaining unused portion thereof, and (ii) no such reduction will reduce the Facility Amount below the sum of (x) aggregate principal amount of Advances outstanding (including Swingline Advances) at such time and (y) the aggregate unfunded commitments under all of the Borrower’s Revolving Collateral Loans and Delayed Drawdown Collateral Loans. Such notice of termination or reduction shall be irrevocable and effective only upon receipt and shall be applied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reduce the respective Commitments of each Lender.</w:t>
      </w:r>
    </w:p>
    <w:p>
      <w:pPr>
        <w:spacing w:after="0" w:line="268" w:lineRule="exact"/>
        <w:rPr>
          <w:rFonts w:ascii="Arial" w:cs="Arial" w:eastAsia="Arial" w:hAnsi="Arial"/>
          <w:sz w:val="19"/>
          <w:szCs w:val="19"/>
          <w:color w:val="auto"/>
        </w:rPr>
      </w:pPr>
    </w:p>
    <w:p>
      <w:pPr>
        <w:jc w:val="both"/>
        <w:ind w:firstLine="794"/>
        <w:spacing w:after="0"/>
        <w:tabs>
          <w:tab w:leader="none" w:pos="1404" w:val="left"/>
        </w:tabs>
        <w:numPr>
          <w:ilvl w:val="0"/>
          <w:numId w:val="124"/>
        </w:numPr>
        <w:rPr>
          <w:rFonts w:ascii="Arial" w:cs="Arial" w:eastAsia="Arial" w:hAnsi="Arial"/>
          <w:sz w:val="22"/>
          <w:szCs w:val="22"/>
          <w:color w:val="auto"/>
        </w:rPr>
      </w:pPr>
      <w:r>
        <w:rPr>
          <w:rFonts w:ascii="Arial" w:cs="Arial" w:eastAsia="Arial" w:hAnsi="Arial"/>
          <w:sz w:val="22"/>
          <w:szCs w:val="22"/>
          <w:i w:val="1"/>
          <w:iCs w:val="1"/>
          <w:color w:val="auto"/>
        </w:rPr>
        <w:t xml:space="preserve">Effect of Termination or Reduction. </w:t>
      </w:r>
      <w:r>
        <w:rPr>
          <w:rFonts w:ascii="Arial" w:cs="Arial" w:eastAsia="Arial" w:hAnsi="Arial"/>
          <w:sz w:val="22"/>
          <w:szCs w:val="22"/>
          <w:color w:val="auto"/>
        </w:rPr>
        <w:t>The Commitments of the Lenders once terminated or reduced may not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reinstated. Each reduction of the Facility Amount pursuant to this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shall be applied ratably among the Lenders in accordance with their respective Commitments.</w:t>
      </w:r>
    </w:p>
    <w:p>
      <w:pPr>
        <w:spacing w:after="0" w:line="294" w:lineRule="exact"/>
        <w:rPr>
          <w:sz w:val="20"/>
          <w:szCs w:val="20"/>
          <w:color w:val="auto"/>
        </w:rPr>
      </w:pPr>
    </w:p>
    <w:p>
      <w:pPr>
        <w:jc w:val="both"/>
        <w:ind w:firstLine="562"/>
        <w:spacing w:after="0" w:line="234" w:lineRule="auto"/>
        <w:rPr>
          <w:sz w:val="20"/>
          <w:szCs w:val="20"/>
          <w:color w:val="auto"/>
        </w:rPr>
      </w:pPr>
      <w:r>
        <w:rPr>
          <w:rFonts w:ascii="Arial" w:cs="Arial" w:eastAsia="Arial" w:hAnsi="Arial"/>
          <w:sz w:val="22"/>
          <w:szCs w:val="22"/>
          <w:i w:val="1"/>
          <w:iCs w:val="1"/>
          <w:color w:val="auto"/>
        </w:rPr>
        <w:t>Section 2.07. Maximum Lawful Rate</w:t>
      </w:r>
      <w:r>
        <w:rPr>
          <w:rFonts w:ascii="Arial" w:cs="Arial" w:eastAsia="Arial" w:hAnsi="Arial"/>
          <w:sz w:val="22"/>
          <w:szCs w:val="22"/>
          <w:color w:val="auto"/>
        </w:rPr>
        <w:t>. It is the intention of the parties hereto that the interest on the Advances shall not</w:t>
      </w:r>
      <w:r>
        <w:rPr>
          <w:rFonts w:ascii="Arial" w:cs="Arial" w:eastAsia="Arial" w:hAnsi="Arial"/>
          <w:sz w:val="22"/>
          <w:szCs w:val="22"/>
          <w:i w:val="1"/>
          <w:iCs w:val="1"/>
          <w:color w:val="auto"/>
        </w:rPr>
        <w:t xml:space="preserve"> </w:t>
      </w:r>
      <w:r>
        <w:rPr>
          <w:rFonts w:ascii="Arial" w:cs="Arial" w:eastAsia="Arial" w:hAnsi="Arial"/>
          <w:sz w:val="22"/>
          <w:szCs w:val="22"/>
          <w:color w:val="auto"/>
        </w:rPr>
        <w:t>exceed the maximum rate 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299"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22"/>
          <w:szCs w:val="22"/>
          <w:i w:val="1"/>
          <w:iCs w:val="1"/>
          <w:color w:val="auto"/>
        </w:rPr>
        <w:t>Section 2.08. Several Obligations</w:t>
      </w:r>
      <w:r>
        <w:rPr>
          <w:rFonts w:ascii="Arial" w:cs="Arial" w:eastAsia="Arial" w:hAnsi="Arial"/>
          <w:sz w:val="22"/>
          <w:szCs w:val="22"/>
          <w:color w:val="auto"/>
        </w:rPr>
        <w:t>. The failure of any Lender to make any Advance to be made by it on the date</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therefor shall not relieve 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267" w:right="339" w:bottom="1440" w:gutter="0" w:footer="0" w:header="0"/>
        </w:sectPr>
      </w:pPr>
    </w:p>
    <w:bookmarkStart w:id="111" w:name="page112"/>
    <w:bookmarkEnd w:id="111"/>
    <w:p>
      <w:pPr>
        <w:jc w:val="both"/>
        <w:ind w:firstLine="562"/>
        <w:spacing w:after="0" w:line="270"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2.09. Increased Costs</w:t>
      </w:r>
      <w:r>
        <w:rPr>
          <w:rFonts w:ascii="Arial" w:cs="Arial" w:eastAsia="Arial" w:hAnsi="Arial"/>
          <w:sz w:val="19"/>
          <w:szCs w:val="19"/>
          <w:color w:val="auto"/>
        </w:rPr>
        <w:t>. (a) Except with respect to taxes, which shall be governed exclusively by</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15.03</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if, due to either (i) the 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Arial" w:cs="Arial" w:eastAsia="Arial" w:hAnsi="Arial"/>
          <w:sz w:val="19"/>
          <w:szCs w:val="19"/>
          <w:i w:val="1"/>
          <w:iCs w:val="1"/>
          <w:color w:val="auto"/>
        </w:rPr>
        <w:t>“Regulatory Change”</w:t>
      </w:r>
      <w:r>
        <w:rPr>
          <w:rFonts w:ascii="Arial" w:cs="Arial" w:eastAsia="Arial" w:hAnsi="Arial"/>
          <w:sz w:val="19"/>
          <w:szCs w:val="19"/>
          <w:color w:val="auto"/>
        </w:rPr>
        <w:t>), there shall be any increase in the cost to any Affected Person of agreeing to make or making, funding or maintaining Advances to the Borrower, then the Borrower shall from time to time (and, to the extent the funds available for payment thereof by the Borrower are insufficient to pay such amounts in full on the applicable Payment Date, the Collateral Manager, on behalf of the Borrower, shall be obligated to pay such amounts),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shall be conclusive and binding for all purposes, absent manifest error. Notwithstanding anything herein to the contrary, each of (i) the Dodd-Frank Wall Street Reform and Consumer Protection Act and all rules and regulations promulgated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pursuant to Basel II or Basel III, and in each case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200" w:lineRule="exact"/>
        <w:rPr>
          <w:sz w:val="20"/>
          <w:szCs w:val="20"/>
          <w:color w:val="auto"/>
        </w:rPr>
      </w:pPr>
    </w:p>
    <w:p>
      <w:pPr>
        <w:spacing w:after="0" w:line="317" w:lineRule="exact"/>
        <w:rPr>
          <w:sz w:val="20"/>
          <w:szCs w:val="20"/>
          <w:color w:val="auto"/>
        </w:rPr>
      </w:pPr>
    </w:p>
    <w:p>
      <w:pPr>
        <w:jc w:val="both"/>
        <w:ind w:firstLine="794"/>
        <w:spacing w:after="0" w:line="270" w:lineRule="auto"/>
        <w:tabs>
          <w:tab w:leader="none" w:pos="1376"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 (i) affects the amount of capital or liquidity required to be maintained by such Affected Person and that the amount of such capital or liquidity is increased by or based upon the existence of such Affected Person’s Commitment under this Agreement or upon such Affected Person’s making, funding or maintaining Advances or</w:t>
      </w:r>
    </w:p>
    <w:p>
      <w:pPr>
        <w:spacing w:after="0" w:line="4" w:lineRule="exact"/>
        <w:rPr>
          <w:rFonts w:ascii="Arial" w:cs="Arial" w:eastAsia="Arial" w:hAnsi="Arial"/>
          <w:sz w:val="19"/>
          <w:szCs w:val="19"/>
          <w:color w:val="auto"/>
        </w:rPr>
      </w:pPr>
    </w:p>
    <w:p>
      <w:pPr>
        <w:jc w:val="both"/>
        <w:ind w:firstLine="8"/>
        <w:spacing w:after="0" w:line="271" w:lineRule="auto"/>
        <w:tabs>
          <w:tab w:leader="none" w:pos="32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(and, to the extent the funds available for payment thereof by the Borrower are insufficient to pay such amounts in full on the applicable Payment Date, the Collateral Manager, on behalf of the Borrower, shall be obligated to pay such amounts), on the Payment Dates, following such Affected Person’s demand, pay in accordance with the Priority of Payments such additional amounts which are sufficient to compensate such Affected Person for such increase in capital or liquidity or reduced return. If any Affected Person becomes entitled to claim any additional amounts pursuant to this </w:t>
      </w:r>
      <w:r>
        <w:rPr>
          <w:rFonts w:ascii="Arial" w:cs="Arial" w:eastAsia="Arial" w:hAnsi="Arial"/>
          <w:sz w:val="19"/>
          <w:szCs w:val="19"/>
          <w:u w:val="single" w:color="auto"/>
          <w:color w:val="auto"/>
        </w:rPr>
        <w:t>Section 2.09(b)</w:t>
      </w:r>
      <w:r>
        <w:rPr>
          <w:rFonts w:ascii="Arial" w:cs="Arial" w:eastAsia="Arial" w:hAnsi="Arial"/>
          <w:sz w:val="19"/>
          <w:szCs w:val="19"/>
          <w:color w:val="auto"/>
        </w:rPr>
        <w:t>,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267" w:right="339" w:bottom="1440" w:gutter="0" w:footer="0" w:header="0"/>
        </w:sectPr>
      </w:pPr>
    </w:p>
    <w:bookmarkStart w:id="112" w:name="page113"/>
    <w:bookmarkEnd w:id="112"/>
    <w:p>
      <w:pPr>
        <w:jc w:val="both"/>
        <w:ind w:firstLine="794"/>
        <w:spacing w:after="0" w:line="246" w:lineRule="auto"/>
        <w:tabs>
          <w:tab w:leader="none" w:pos="1340" w:val="left"/>
        </w:tabs>
        <w:numPr>
          <w:ilvl w:val="0"/>
          <w:numId w:val="127"/>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the occurrence of any event giving rise to the Borrower’s obligation to pay additional amounts to a Lender pursuant to </w:t>
      </w:r>
      <w:r>
        <w:rPr>
          <w:rFonts w:ascii="Arial" w:cs="Arial" w:eastAsia="Arial" w:hAnsi="Arial"/>
          <w:sz w:val="21"/>
          <w:szCs w:val="21"/>
          <w:u w:val="single" w:color="auto"/>
          <w:color w:val="auto"/>
        </w:rPr>
        <w:t>clauses (a) or (b)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2.09</w:t>
      </w:r>
      <w:r>
        <w:rPr>
          <w:rFonts w:ascii="Arial" w:cs="Arial" w:eastAsia="Arial" w:hAnsi="Arial"/>
          <w:sz w:val="21"/>
          <w:szCs w:val="21"/>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29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9"/>
          <w:szCs w:val="19"/>
          <w:i w:val="1"/>
          <w:iCs w:val="1"/>
          <w:color w:val="auto"/>
        </w:rPr>
        <w:t>Section 2.10. Compensation; Breakage Payments</w:t>
      </w:r>
      <w:r>
        <w:rPr>
          <w:rFonts w:ascii="Arial" w:cs="Arial" w:eastAsia="Arial" w:hAnsi="Arial"/>
          <w:sz w:val="19"/>
          <w:szCs w:val="19"/>
          <w:color w:val="auto"/>
        </w:rPr>
        <w:t>. The Borrower agrees to compensate each Affected Person from time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time, on the Payment 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Arial" w:cs="Arial" w:eastAsia="Arial" w:hAnsi="Arial"/>
          <w:sz w:val="19"/>
          <w:szCs w:val="19"/>
          <w:u w:val="single" w:color="auto"/>
          <w:color w:val="auto"/>
        </w:rPr>
        <w:t>Article</w:t>
      </w:r>
    </w:p>
    <w:p>
      <w:pPr>
        <w:spacing w:after="0" w:line="1" w:lineRule="exact"/>
        <w:rPr>
          <w:sz w:val="20"/>
          <w:szCs w:val="20"/>
          <w:color w:val="auto"/>
        </w:rPr>
      </w:pPr>
    </w:p>
    <w:p>
      <w:pPr>
        <w:jc w:val="both"/>
        <w:ind w:firstLine="8"/>
        <w:spacing w:after="0" w:line="273" w:lineRule="auto"/>
        <w:tabs>
          <w:tab w:leader="none" w:pos="306" w:val="left"/>
        </w:tabs>
        <w:numPr>
          <w:ilvl w:val="0"/>
          <w:numId w:val="128"/>
        </w:numPr>
        <w:rPr>
          <w:rFonts w:ascii="Arial" w:cs="Arial" w:eastAsia="Arial" w:hAnsi="Arial"/>
          <w:sz w:val="19"/>
          <w:szCs w:val="19"/>
          <w:u w:val="single" w:color="auto"/>
          <w:color w:val="auto"/>
        </w:rPr>
      </w:pPr>
      <w:r>
        <w:rPr>
          <w:rFonts w:ascii="Arial" w:cs="Arial" w:eastAsia="Arial" w:hAnsi="Arial"/>
          <w:sz w:val="19"/>
          <w:szCs w:val="19"/>
          <w:color w:val="auto"/>
        </w:rPr>
        <w:t>but excluding a default by the applicable Lender) a Borrowing of any Advance by the Borrower does not occur on the Borrowing Date specified therefor in the applicable Notice of Borrowing delivered by the Borrower, (ii) if any payment, prepayment or conversion of any of the Borrower’s Advances occurs on a date that is not the last day of the relevant Interest Accrual Period, (iii) if any payment or prepayment of any Advance is not made on any date specified in a Notice of Prepayment given by the Borrower or (iv) as a consequence of any other default by the Borrower to repay its Advances when required by the terms of this Agreement. In the case of a Eurocurrency Advance, the loss to any Lender attributable to such event shall be deemed to include an amount determined by such Lender to be equal to the excess, if any, of</w:t>
      </w:r>
    </w:p>
    <w:p>
      <w:pPr>
        <w:spacing w:after="0" w:line="267" w:lineRule="exact"/>
        <w:rPr>
          <w:rFonts w:ascii="Arial" w:cs="Arial" w:eastAsia="Arial" w:hAnsi="Arial"/>
          <w:sz w:val="19"/>
          <w:szCs w:val="19"/>
          <w:u w:val="single" w:color="auto"/>
          <w:color w:val="auto"/>
        </w:rPr>
      </w:pPr>
    </w:p>
    <w:p>
      <w:pPr>
        <w:jc w:val="both"/>
        <w:ind w:firstLine="1468"/>
        <w:spacing w:after="0" w:line="235" w:lineRule="auto"/>
        <w:tabs>
          <w:tab w:leader="none" w:pos="1758" w:val="left"/>
        </w:tabs>
        <w:numPr>
          <w:ilvl w:val="1"/>
          <w:numId w:val="128"/>
        </w:numPr>
        <w:rPr>
          <w:rFonts w:ascii="Arial" w:cs="Arial" w:eastAsia="Arial" w:hAnsi="Arial"/>
          <w:sz w:val="22"/>
          <w:szCs w:val="22"/>
          <w:color w:val="auto"/>
        </w:rPr>
      </w:pPr>
      <w:r>
        <w:rPr>
          <w:rFonts w:ascii="Arial" w:cs="Arial" w:eastAsia="Arial" w:hAnsi="Arial"/>
          <w:sz w:val="22"/>
          <w:szCs w:val="22"/>
          <w:color w:val="auto"/>
        </w:rPr>
        <w:t xml:space="preserve">the amount of interest that such Lender would pay for a deposit equal to the principal amount of such Advance denominated in the Currency of such Advance for the period from the date of such payment, conversion, failure or assignment to the last day of the then current Interest Accrual Period for such Advance (or, in the case of a failure to borrow, convert or continue, the duration of the Interest Accrual Period that would have resulted from such borrowing, conversion or continuation) if the interest rate payable on such deposit were equal to the Adjusted LIBOR Rate for such Currency for such Interest Accrual Period, </w:t>
      </w:r>
      <w:r>
        <w:rPr>
          <w:rFonts w:ascii="Arial" w:cs="Arial" w:eastAsia="Arial" w:hAnsi="Arial"/>
          <w:sz w:val="22"/>
          <w:szCs w:val="22"/>
          <w:i w:val="1"/>
          <w:iCs w:val="1"/>
          <w:color w:val="auto"/>
        </w:rPr>
        <w:t>over</w:t>
      </w:r>
    </w:p>
    <w:p>
      <w:pPr>
        <w:spacing w:after="0" w:line="295" w:lineRule="exact"/>
        <w:rPr>
          <w:rFonts w:ascii="Arial" w:cs="Arial" w:eastAsia="Arial" w:hAnsi="Arial"/>
          <w:sz w:val="22"/>
          <w:szCs w:val="22"/>
          <w:color w:val="auto"/>
        </w:rPr>
      </w:pPr>
    </w:p>
    <w:p>
      <w:pPr>
        <w:jc w:val="both"/>
        <w:ind w:firstLine="1468"/>
        <w:spacing w:after="0" w:line="238" w:lineRule="auto"/>
        <w:tabs>
          <w:tab w:leader="none" w:pos="1785"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267" w:right="339" w:bottom="1440" w:gutter="0" w:footer="0" w:header="0"/>
        </w:sectPr>
      </w:pPr>
    </w:p>
    <w:bookmarkStart w:id="113" w:name="page114"/>
    <w:bookmarkEnd w:id="113"/>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certificate as to any amounts payable pursuant to this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294"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9"/>
          <w:szCs w:val="19"/>
          <w:i w:val="1"/>
          <w:iCs w:val="1"/>
          <w:color w:val="auto"/>
        </w:rPr>
        <w:t>Section 2.11. Illegality; Inability to Determine Rates</w:t>
      </w:r>
      <w:r>
        <w:rPr>
          <w:rFonts w:ascii="Arial" w:cs="Arial" w:eastAsia="Arial" w:hAnsi="Arial"/>
          <w:sz w:val="19"/>
          <w:szCs w:val="19"/>
          <w:color w:val="auto"/>
        </w:rPr>
        <w:t>. (a) Notwithstanding any other provision in this Agreement, in the</w:t>
      </w:r>
      <w:r>
        <w:rPr>
          <w:rFonts w:ascii="Arial" w:cs="Arial" w:eastAsia="Arial" w:hAnsi="Arial"/>
          <w:sz w:val="19"/>
          <w:szCs w:val="19"/>
          <w:i w:val="1"/>
          <w:iCs w:val="1"/>
          <w:color w:val="auto"/>
        </w:rPr>
        <w:t xml:space="preserve"> </w:t>
      </w:r>
      <w:r>
        <w:rPr>
          <w:rFonts w:ascii="Arial" w:cs="Arial" w:eastAsia="Arial" w:hAnsi="Arial"/>
          <w:sz w:val="19"/>
          <w:szCs w:val="19"/>
          <w:color w:val="auto"/>
        </w:rPr>
        <w:t>event of a Eurodollar Disruption Event, then the affected Lender shall promptly notify the Agents and the Borrower thereof, and such Lender’s obligation to make or maintain Advances hereunder based on the Adjusted LIBOR Rate shall be suspended until such time as such Lender may again make and maintain Advances based on the Adjusted LIBOR Rate.</w:t>
      </w:r>
    </w:p>
    <w:p>
      <w:pPr>
        <w:spacing w:after="0" w:line="251" w:lineRule="exact"/>
        <w:rPr>
          <w:sz w:val="20"/>
          <w:szCs w:val="20"/>
          <w:color w:val="auto"/>
        </w:rPr>
      </w:pPr>
    </w:p>
    <w:p>
      <w:pPr>
        <w:jc w:val="both"/>
        <w:ind w:firstLine="794"/>
        <w:spacing w:after="0" w:line="246" w:lineRule="auto"/>
        <w:tabs>
          <w:tab w:leader="none" w:pos="1498" w:val="left"/>
        </w:tabs>
        <w:numPr>
          <w:ilvl w:val="1"/>
          <w:numId w:val="129"/>
        </w:numPr>
        <w:rPr>
          <w:rFonts w:ascii="Arial" w:cs="Arial" w:eastAsia="Arial" w:hAnsi="Arial"/>
          <w:sz w:val="21"/>
          <w:szCs w:val="21"/>
          <w:color w:val="auto"/>
        </w:rPr>
      </w:pPr>
      <w:r>
        <w:rPr>
          <w:rFonts w:ascii="Arial" w:cs="Arial" w:eastAsia="Arial" w:hAnsi="Arial"/>
          <w:sz w:val="21"/>
          <w:szCs w:val="21"/>
          <w:color w:val="auto"/>
        </w:rPr>
        <w:t xml:space="preserve">Upon the occurrence of any event giving rise to a Lender’s suspending its obligation to make or maintain Advances based on the Adjusted LIBOR Rate pursuant to </w:t>
      </w:r>
      <w:r>
        <w:rPr>
          <w:rFonts w:ascii="Arial" w:cs="Arial" w:eastAsia="Arial" w:hAnsi="Arial"/>
          <w:sz w:val="21"/>
          <w:szCs w:val="21"/>
          <w:u w:val="single" w:color="auto"/>
          <w:color w:val="auto"/>
        </w:rPr>
        <w:t>Section 2.11(a)</w:t>
      </w:r>
      <w:r>
        <w:rPr>
          <w:rFonts w:ascii="Arial" w:cs="Arial" w:eastAsia="Arial" w:hAnsi="Arial"/>
          <w:sz w:val="21"/>
          <w:szCs w:val="21"/>
          <w:color w:val="auto"/>
        </w:rPr>
        <w:t xml:space="preserve">, such Lender will, if requested by the Borrower, use reasonable efforts (subject to overall policy considerations of such Lender) to designate a different lending office if such designation would enable such Lender to again make and maintain Advances based on the Adjusted LIBOR Rate;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292" w:lineRule="exact"/>
        <w:rPr>
          <w:rFonts w:ascii="Arial" w:cs="Arial" w:eastAsia="Arial" w:hAnsi="Arial"/>
          <w:sz w:val="21"/>
          <w:szCs w:val="21"/>
          <w:color w:val="auto"/>
        </w:rPr>
      </w:pPr>
    </w:p>
    <w:p>
      <w:pPr>
        <w:ind w:left="1380" w:hanging="586"/>
        <w:spacing w:after="0"/>
        <w:tabs>
          <w:tab w:leader="none" w:pos="138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If, prior to the first day of any Interest Accrual Period or prior to the date of any Advance, as applicable, either</w:t>
      </w:r>
    </w:p>
    <w:p>
      <w:pPr>
        <w:spacing w:after="0" w:line="42" w:lineRule="exact"/>
        <w:rPr>
          <w:rFonts w:ascii="Arial" w:cs="Arial" w:eastAsia="Arial" w:hAnsi="Arial"/>
          <w:sz w:val="19"/>
          <w:szCs w:val="19"/>
          <w:color w:val="auto"/>
        </w:rPr>
      </w:pPr>
    </w:p>
    <w:p>
      <w:pPr>
        <w:jc w:val="both"/>
        <w:ind w:firstLine="8"/>
        <w:spacing w:after="0" w:line="275" w:lineRule="auto"/>
        <w:tabs>
          <w:tab w:leader="none" w:pos="275"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Collateral Administrator determines that for any reason adequate and reasonable means do not exist for determining the LIBOR Rate for the applicable Advances, or (ii) the Required Lenders determine and notify the Administrative Agent that the Adjusted LIBOR Rate with respect to such Advances does not adequately and fairly reflect the cost to such Lenders of funding such Advances, the Administrative Agent will promptly so notify the Borrower, the Collateral Administrator and each Lender. Thereafter, the obligation of the Lenders to make or maintain Advances based on the Adjusted LIBOR Rate shall be suspended until the Administrative Agent (upon the instruction of the Required Lenders) revokes such notice.</w:t>
      </w:r>
    </w:p>
    <w:p>
      <w:pPr>
        <w:spacing w:after="0" w:line="262"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21"/>
          <w:szCs w:val="21"/>
          <w:i w:val="1"/>
          <w:iCs w:val="1"/>
          <w:color w:val="auto"/>
        </w:rPr>
        <w:t>Section 2.12. Rescission or Return of Payment</w:t>
      </w:r>
      <w:r>
        <w:rPr>
          <w:rFonts w:ascii="Arial" w:cs="Arial" w:eastAsia="Arial" w:hAnsi="Arial"/>
          <w:sz w:val="21"/>
          <w:szCs w:val="21"/>
          <w:color w:val="auto"/>
        </w:rPr>
        <w:t>. The Borrower agrees that, if at any time (including after the occurrence</w:t>
      </w:r>
      <w:r>
        <w:rPr>
          <w:rFonts w:ascii="Arial" w:cs="Arial" w:eastAsia="Arial" w:hAnsi="Arial"/>
          <w:sz w:val="21"/>
          <w:szCs w:val="21"/>
          <w:i w:val="1"/>
          <w:iCs w:val="1"/>
          <w:color w:val="auto"/>
        </w:rPr>
        <w:t xml:space="preserve"> </w:t>
      </w:r>
      <w:r>
        <w:rPr>
          <w:rFonts w:ascii="Arial" w:cs="Arial" w:eastAsia="Arial" w:hAnsi="Arial"/>
          <w:sz w:val="21"/>
          <w:szCs w:val="21"/>
          <w:color w:val="auto"/>
        </w:rPr>
        <w:t>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292"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i w:val="1"/>
          <w:iCs w:val="1"/>
          <w:color w:val="auto"/>
        </w:rPr>
        <w:t>Section 2.13. Post-Default Interest</w:t>
      </w:r>
      <w:r>
        <w:rPr>
          <w:rFonts w:ascii="Arial" w:cs="Arial" w:eastAsia="Arial" w:hAnsi="Arial"/>
          <w:sz w:val="21"/>
          <w:szCs w:val="21"/>
          <w:color w:val="auto"/>
        </w:rPr>
        <w:t>. The Borrower shall pay interest on all Obligations (other than principal and interest</w:t>
      </w:r>
      <w:r>
        <w:rPr>
          <w:rFonts w:ascii="Arial" w:cs="Arial" w:eastAsia="Arial" w:hAnsi="Arial"/>
          <w:sz w:val="21"/>
          <w:szCs w:val="21"/>
          <w:i w:val="1"/>
          <w:iCs w:val="1"/>
          <w:color w:val="auto"/>
        </w:rPr>
        <w:t xml:space="preserve"> </w:t>
      </w:r>
      <w:r>
        <w:rPr>
          <w:rFonts w:ascii="Arial" w:cs="Arial" w:eastAsia="Arial" w:hAnsi="Arial"/>
          <w:sz w:val="21"/>
          <w:szCs w:val="21"/>
          <w:color w:val="auto"/>
        </w:rPr>
        <w:t>on the Advances, where the 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267" w:right="339" w:bottom="1440" w:gutter="0" w:footer="0" w:header="0"/>
        </w:sectPr>
      </w:pPr>
    </w:p>
    <w:bookmarkStart w:id="114" w:name="page115"/>
    <w:bookmarkEnd w:id="114"/>
    <w:p>
      <w:pPr>
        <w:jc w:val="both"/>
        <w:ind w:firstLine="562"/>
        <w:spacing w:after="0" w:line="244" w:lineRule="auto"/>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2.14. Payments Generally</w:t>
      </w:r>
      <w:r>
        <w:rPr>
          <w:rFonts w:ascii="Arial" w:cs="Arial" w:eastAsia="Arial" w:hAnsi="Arial"/>
          <w:sz w:val="21"/>
          <w:szCs w:val="21"/>
          <w:color w:val="auto"/>
        </w:rPr>
        <w:t>. (a) Principal and interest on any Advance denominated in any Agreed Foreign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Currency and payments relating to any such Advance required under </w:t>
      </w:r>
      <w:r>
        <w:rPr>
          <w:rFonts w:ascii="Arial" w:cs="Arial" w:eastAsia="Arial" w:hAnsi="Arial"/>
          <w:sz w:val="21"/>
          <w:szCs w:val="21"/>
          <w:u w:val="single" w:color="auto"/>
          <w:color w:val="auto"/>
        </w:rPr>
        <w:t>Section 2.10</w:t>
      </w:r>
      <w:r>
        <w:rPr>
          <w:rFonts w:ascii="Arial" w:cs="Arial" w:eastAsia="Arial" w:hAnsi="Arial"/>
          <w:sz w:val="21"/>
          <w:szCs w:val="21"/>
          <w:color w:val="auto"/>
        </w:rPr>
        <w:t xml:space="preserve"> shall be payable in the applicable Agreed Foreign Currency. All other amounts owing and payable to any Secured Party, any Affected Person or any Indemnified Party, in respect of the Advances and other Obligations, including the principal thereof, interest, fees, indemnities, expenses or other amount payable under this Agreement, shall be paid by the Borrower to the Administrative Agent for the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Administrative Agent and the Collateral Agent. Payments must be received by the Administrative Agent for account of the Lenders on or prior to 12:00 noon on a Business Day;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payments received by the Administrative Agent after 12:00 noon on a Business Day will be deemed to have been paid on the next following Business Day.</w:t>
      </w:r>
    </w:p>
    <w:p>
      <w:pPr>
        <w:spacing w:after="0" w:line="296" w:lineRule="exact"/>
        <w:rPr>
          <w:sz w:val="20"/>
          <w:szCs w:val="20"/>
          <w:color w:val="auto"/>
        </w:rPr>
      </w:pPr>
    </w:p>
    <w:p>
      <w:pPr>
        <w:jc w:val="both"/>
        <w:ind w:firstLine="847"/>
        <w:spacing w:after="0" w:line="277" w:lineRule="auto"/>
        <w:rPr>
          <w:sz w:val="20"/>
          <w:szCs w:val="20"/>
          <w:color w:val="auto"/>
        </w:rPr>
      </w:pPr>
      <w:r>
        <w:rPr>
          <w:rFonts w:ascii="Arial" w:cs="Arial" w:eastAsia="Arial" w:hAnsi="Arial"/>
          <w:sz w:val="19"/>
          <w:szCs w:val="19"/>
          <w:color w:val="auto"/>
        </w:rPr>
        <w:t xml:space="preserve">Notwithstanding the foregoing provisions of this Section, if, after the making of any Borrowing in any Agreed Foreign Currency, currency control or exchange regulations are imposed in the country which issues such currency with the result that the type of currency in which the Borrowing was made (the </w:t>
      </w:r>
      <w:r>
        <w:rPr>
          <w:rFonts w:ascii="Arial" w:cs="Arial" w:eastAsia="Arial" w:hAnsi="Arial"/>
          <w:sz w:val="19"/>
          <w:szCs w:val="19"/>
          <w:i w:val="1"/>
          <w:iCs w:val="1"/>
          <w:color w:val="auto"/>
        </w:rPr>
        <w:t>“Original Currency”</w:t>
      </w:r>
      <w:r>
        <w:rPr>
          <w:rFonts w:ascii="Arial" w:cs="Arial" w:eastAsia="Arial" w:hAnsi="Arial"/>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260" w:lineRule="exact"/>
        <w:rPr>
          <w:sz w:val="20"/>
          <w:szCs w:val="20"/>
          <w:color w:val="auto"/>
        </w:rPr>
      </w:pPr>
    </w:p>
    <w:p>
      <w:pPr>
        <w:jc w:val="both"/>
        <w:ind w:firstLine="794"/>
        <w:spacing w:after="0" w:line="246" w:lineRule="auto"/>
        <w:tabs>
          <w:tab w:leader="none" w:pos="139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Except as otherwise expressly provided herein, all computations of interest, fees and other Obligations shall be made on the basis of a year of 360 days for the actual number of days elapsed in computing interest on any Advance (except that interest computed (i) by reference to the Base Rate at times when the Base Rate is based on the Prime Rate and (ii) on Multicurrency Advances denominated in Canadian Dollars or Pounds Sterling shall be computed on the basis of a year of 365 (or 366 days in a leap year), the date of the making of the Advance shall be included and the date of payment shall be excluded;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if an Advance is repaid on the same day on which it is made, one day’s Interest shall be paid on such Advance. All</w:t>
      </w:r>
      <w:r>
        <w:rPr>
          <w:rFonts w:ascii="Arial" w:cs="Arial" w:eastAsia="Arial" w:hAnsi="Arial"/>
          <w:sz w:val="21"/>
          <w:szCs w:val="21"/>
          <w:i w:val="1"/>
          <w:iCs w:val="1"/>
          <w:color w:val="auto"/>
        </w:rPr>
        <w:t xml:space="preserve"> </w:t>
      </w:r>
      <w:r>
        <w:rPr>
          <w:rFonts w:ascii="Arial" w:cs="Arial" w:eastAsia="Arial" w:hAnsi="Arial"/>
          <w:sz w:val="21"/>
          <w:szCs w:val="21"/>
          <w:color w:val="auto"/>
        </w:rPr>
        <w:t>computations made by a Lender, the Collateral Agent or the Administrative Agent under this Agreement shall be conclusive absent manifest error.</w:t>
      </w:r>
    </w:p>
    <w:p>
      <w:pPr>
        <w:spacing w:after="0" w:line="288"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9"/>
          <w:szCs w:val="19"/>
          <w:i w:val="1"/>
          <w:iCs w:val="1"/>
          <w:color w:val="auto"/>
        </w:rPr>
        <w:t>Section 2.15. Increase in Facility Amount</w:t>
      </w:r>
      <w:r>
        <w:rPr>
          <w:rFonts w:ascii="Arial" w:cs="Arial" w:eastAsia="Arial" w:hAnsi="Arial"/>
          <w:sz w:val="19"/>
          <w:szCs w:val="19"/>
          <w:color w:val="auto"/>
        </w:rPr>
        <w:t>. The Borrower may, on any Business Day prior to the Commitment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Termination Date, increase the Facility Amount by delivering a request substantially in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(each, a </w:t>
      </w:r>
      <w:r>
        <w:rPr>
          <w:rFonts w:ascii="Arial" w:cs="Arial" w:eastAsia="Arial" w:hAnsi="Arial"/>
          <w:sz w:val="19"/>
          <w:szCs w:val="19"/>
          <w:i w:val="1"/>
          <w:iCs w:val="1"/>
          <w:color w:val="auto"/>
        </w:rPr>
        <w:t>“Facility Amount Increase Request”</w:t>
      </w:r>
      <w:r>
        <w:rPr>
          <w:rFonts w:ascii="Arial" w:cs="Arial" w:eastAsia="Arial" w:hAnsi="Arial"/>
          <w:sz w:val="19"/>
          <w:szCs w:val="19"/>
          <w:color w:val="auto"/>
        </w:rPr>
        <w:t>) or in such other form acceptable to the Administrative Agent at least five</w:t>
      </w:r>
    </w:p>
    <w:p>
      <w:pPr>
        <w:spacing w:after="0" w:line="1" w:lineRule="exact"/>
        <w:rPr>
          <w:sz w:val="20"/>
          <w:szCs w:val="20"/>
          <w:color w:val="auto"/>
        </w:rPr>
      </w:pPr>
    </w:p>
    <w:p>
      <w:pPr>
        <w:jc w:val="both"/>
        <w:ind w:firstLine="8"/>
        <w:spacing w:after="0" w:line="234" w:lineRule="auto"/>
        <w:tabs>
          <w:tab w:leader="none" w:pos="31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Business Days prior to the desired effective date of such increase (the </w:t>
      </w:r>
      <w:r>
        <w:rPr>
          <w:rFonts w:ascii="Arial" w:cs="Arial" w:eastAsia="Arial" w:hAnsi="Arial"/>
          <w:sz w:val="22"/>
          <w:szCs w:val="22"/>
          <w:i w:val="1"/>
          <w:iCs w:val="1"/>
          <w:color w:val="auto"/>
        </w:rPr>
        <w:t>“Facility Amount Increase”</w:t>
      </w:r>
      <w:r>
        <w:rPr>
          <w:rFonts w:ascii="Arial" w:cs="Arial" w:eastAsia="Arial" w:hAnsi="Arial"/>
          <w:sz w:val="22"/>
          <w:szCs w:val="22"/>
          <w:color w:val="auto"/>
        </w:rPr>
        <w:t>) identifying an additional Lender that is a Permitted Assignee (or additional Commitments for existing Lender(s)), and the amount of its Commitment (or additional amount of 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267" w:right="339" w:bottom="1440" w:gutter="0" w:footer="0" w:header="0"/>
        </w:sectPr>
      </w:pPr>
    </w:p>
    <w:bookmarkStart w:id="115" w:name="page116"/>
    <w:bookmarkEnd w:id="115"/>
    <w:p>
      <w:pPr>
        <w:jc w:val="both"/>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Commitment(s));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any increase of the Facility Amount to an amount in excess of $600,000,000 will require the approval of all Lenders, (ii) any increase of the aggregate amount of the Facility Amount shall be in an amount not less than $10,000,000, (iii) no Default or Event of Default shall have occurred and be continuing at the time of the request or the effective date of the Facility Amount Increase, (iv) all representations and warranties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hereof (as the same may be amended from time to time) shall be true and correct in all material respects (except for representations and warranties already qualified by materiality or Material Adverse Effect, which shall be true and correct)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LIBOR Rate on the date of such effectiveness, such Advances shall be deemed to be prepaid on such date and the Borrower shall pay any amounts owing to the Lenders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 Facility Amount Increase is made among the existing Lenders and the amount of the increase in each such Lender’s Commitment is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in accordance with the existing Commitments of such Lenders on the date of such Facility Amount Increase, such Advances bearing interest at the Adjusted LIBOR Rate shall not be deemed to be prepaid on such date and (ii) the Borrower shall not have terminated any portion of the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hereof. The Borrower agrees to pay any reasonable expenses of the Administrative Agent relating to any 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 For the avoidance of doubt, each Advance made under a Facility Amount Increase shall be subject to the same terms (including pricing) as Advances under the existing Facility Amount.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III</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ONDITIONS</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RECEDENT</w:t>
      </w:r>
    </w:p>
    <w:p>
      <w:pPr>
        <w:spacing w:after="0" w:line="212" w:lineRule="exact"/>
        <w:rPr>
          <w:sz w:val="20"/>
          <w:szCs w:val="20"/>
          <w:color w:val="auto"/>
        </w:rPr>
      </w:pPr>
    </w:p>
    <w:p>
      <w:pPr>
        <w:ind w:left="560"/>
        <w:spacing w:after="0"/>
        <w:tabs>
          <w:tab w:leader="none" w:pos="1940" w:val="left"/>
        </w:tabs>
        <w:rPr>
          <w:sz w:val="20"/>
          <w:szCs w:val="20"/>
          <w:color w:val="auto"/>
        </w:rPr>
      </w:pPr>
      <w:r>
        <w:rPr>
          <w:rFonts w:ascii="Arial" w:cs="Arial" w:eastAsia="Arial" w:hAnsi="Arial"/>
          <w:sz w:val="22"/>
          <w:szCs w:val="22"/>
          <w:i w:val="1"/>
          <w:iCs w:val="1"/>
          <w:color w:val="auto"/>
        </w:rPr>
        <w:t>Section 3.01.</w:t>
      </w:r>
      <w:r>
        <w:rPr>
          <w:sz w:val="20"/>
          <w:szCs w:val="20"/>
          <w:color w:val="auto"/>
        </w:rPr>
        <w:tab/>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i w:val="1"/>
          <w:iCs w:val="1"/>
          <w:color w:val="auto"/>
        </w:rPr>
        <w:t>Section 3.02. Conditions Precedent to Each Borrowing</w:t>
      </w:r>
      <w:r>
        <w:rPr>
          <w:rFonts w:ascii="Arial" w:cs="Arial" w:eastAsia="Arial" w:hAnsi="Arial"/>
          <w:sz w:val="19"/>
          <w:szCs w:val="19"/>
          <w:color w:val="auto"/>
        </w:rPr>
        <w:t>. The obligation of each Lender to make each Advance to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made by it (including the initial Advance) on each Borrowing Date shall be subject to the fulfillment of the following conditions;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conditions described in clauses (b) and (c) (other than a Default or Event of Default described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6.01(c) or (f)</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Sections 6.02(c), (e) or (f)</w:t>
      </w:r>
      <w:r>
        <w:rPr>
          <w:rFonts w:ascii="Arial" w:cs="Arial" w:eastAsia="Arial" w:hAnsi="Arial"/>
          <w:sz w:val="19"/>
          <w:szCs w:val="19"/>
          <w:color w:val="auto"/>
        </w:rPr>
        <w:t xml:space="preserve">)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shall not apply with respect to any Swingline Refinancing Advances:</w:t>
      </w:r>
    </w:p>
    <w:p>
      <w:pPr>
        <w:spacing w:after="0" w:line="260" w:lineRule="exact"/>
        <w:rPr>
          <w:sz w:val="20"/>
          <w:szCs w:val="20"/>
          <w:color w:val="auto"/>
        </w:rPr>
      </w:pPr>
    </w:p>
    <w:p>
      <w:pPr>
        <w:jc w:val="both"/>
        <w:ind w:left="800" w:firstLine="934"/>
        <w:spacing w:after="0"/>
        <w:tabs>
          <w:tab w:leader="none" w:pos="243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Notice of Borrowing with respect to such Advance (including the Borrowing Base Calculation Statement attached thereto, all duly completed) delivered in accordance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267" w:right="339" w:bottom="1440" w:gutter="0" w:footer="0" w:header="0"/>
        </w:sectPr>
      </w:pPr>
    </w:p>
    <w:bookmarkStart w:id="116" w:name="page117"/>
    <w:bookmarkEnd w:id="116"/>
    <w:p>
      <w:pPr>
        <w:jc w:val="both"/>
        <w:ind w:left="800" w:firstLine="934"/>
        <w:spacing w:after="0" w:line="328" w:lineRule="auto"/>
        <w:tabs>
          <w:tab w:leader="none" w:pos="2344" w:val="left"/>
        </w:tabs>
        <w:numPr>
          <w:ilvl w:val="0"/>
          <w:numId w:val="13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after the making of such Advance on the applicable Borrowing Date, each Coverage Test shall be satisfied (as demonstrated on the Borrowing Base Calculation Statement attached to such Notice of Borrowing);</w:t>
      </w:r>
    </w:p>
    <w:p>
      <w:pPr>
        <w:spacing w:after="0" w:line="212" w:lineRule="exact"/>
        <w:rPr>
          <w:rFonts w:ascii="Arial" w:cs="Arial" w:eastAsia="Arial" w:hAnsi="Arial"/>
          <w:sz w:val="19"/>
          <w:szCs w:val="19"/>
          <w:color w:val="auto"/>
        </w:rPr>
      </w:pPr>
    </w:p>
    <w:p>
      <w:pPr>
        <w:jc w:val="both"/>
        <w:ind w:left="800" w:firstLine="934"/>
        <w:spacing w:after="0" w:line="282" w:lineRule="auto"/>
        <w:tabs>
          <w:tab w:leader="none" w:pos="238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 and</w:t>
      </w:r>
    </w:p>
    <w:p>
      <w:pPr>
        <w:spacing w:after="0" w:line="255" w:lineRule="exact"/>
        <w:rPr>
          <w:rFonts w:ascii="Arial" w:cs="Arial" w:eastAsia="Arial" w:hAnsi="Arial"/>
          <w:sz w:val="19"/>
          <w:szCs w:val="19"/>
          <w:color w:val="auto"/>
        </w:rPr>
      </w:pPr>
    </w:p>
    <w:p>
      <w:pPr>
        <w:ind w:left="800" w:firstLine="934"/>
        <w:spacing w:after="0" w:line="250" w:lineRule="auto"/>
        <w:tabs>
          <w:tab w:leader="none" w:pos="232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at the time of the making of such Advance or shall result upon the making of such Advance.</w:t>
      </w:r>
    </w:p>
    <w:p>
      <w:pPr>
        <w:spacing w:after="0" w:line="283"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22"/>
          <w:szCs w:val="22"/>
          <w:i w:val="1"/>
          <w:iCs w:val="1"/>
          <w:color w:val="auto"/>
        </w:rPr>
        <w:t>Section 3.03. Conditions Precedent to Third Restatement Effective Date</w:t>
      </w:r>
      <w:r>
        <w:rPr>
          <w:rFonts w:ascii="Arial" w:cs="Arial" w:eastAsia="Arial" w:hAnsi="Arial"/>
          <w:sz w:val="22"/>
          <w:szCs w:val="22"/>
          <w:color w:val="auto"/>
        </w:rPr>
        <w:t>. The amendment and restatement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and Restated Agreement on the terms and conditions set forth herein shall be subject to the conditions precedent that the Administrative Agent shall have received on or before the Third Restatement Effective Date the following, each in form and substance reasonably satisfactory to the Administrative Agent:</w:t>
      </w:r>
    </w:p>
    <w:p>
      <w:pPr>
        <w:spacing w:after="0" w:line="293" w:lineRule="exact"/>
        <w:rPr>
          <w:sz w:val="20"/>
          <w:szCs w:val="20"/>
          <w:color w:val="auto"/>
        </w:rPr>
      </w:pPr>
    </w:p>
    <w:p>
      <w:pPr>
        <w:jc w:val="both"/>
        <w:ind w:left="800" w:firstLine="934"/>
        <w:spacing w:after="0"/>
        <w:tabs>
          <w:tab w:leader="none" w:pos="245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fully executed copy of this Agreement and that certain Fifth Amended and Restated Lender Fee Letter dated as of even date herewith, in each case, duly executed and delivered by the parties thereto, which shall each be in full force and effect;</w:t>
      </w:r>
    </w:p>
    <w:p>
      <w:pPr>
        <w:spacing w:after="0" w:line="294" w:lineRule="exact"/>
        <w:rPr>
          <w:rFonts w:ascii="Arial" w:cs="Arial" w:eastAsia="Arial" w:hAnsi="Arial"/>
          <w:sz w:val="22"/>
          <w:szCs w:val="22"/>
          <w:color w:val="auto"/>
        </w:rPr>
      </w:pPr>
    </w:p>
    <w:p>
      <w:pPr>
        <w:ind w:left="2320" w:hanging="586"/>
        <w:spacing w:after="0"/>
        <w:tabs>
          <w:tab w:leader="none" w:pos="23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all fees called for by the Fifth Amended and Restated Lender Fee Letter; and</w:t>
      </w:r>
    </w:p>
    <w:p>
      <w:pPr>
        <w:spacing w:after="0" w:line="314" w:lineRule="exact"/>
        <w:rPr>
          <w:rFonts w:ascii="Arial" w:cs="Arial" w:eastAsia="Arial" w:hAnsi="Arial"/>
          <w:sz w:val="22"/>
          <w:szCs w:val="22"/>
          <w:color w:val="auto"/>
        </w:rPr>
      </w:pPr>
    </w:p>
    <w:p>
      <w:pPr>
        <w:ind w:left="2300" w:hanging="566"/>
        <w:spacing w:after="0"/>
        <w:tabs>
          <w:tab w:leader="none" w:pos="2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a closing certificate from the Borrower substantially in the form set forth on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hereto.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267"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IV</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ARRANTIES</w:t>
      </w:r>
    </w:p>
    <w:p>
      <w:pPr>
        <w:spacing w:after="0" w:line="320" w:lineRule="exact"/>
        <w:rPr>
          <w:sz w:val="20"/>
          <w:szCs w:val="20"/>
          <w:color w:val="auto"/>
        </w:rPr>
      </w:pPr>
    </w:p>
    <w:p>
      <w:pPr>
        <w:jc w:val="both"/>
        <w:ind w:firstLine="562"/>
        <w:spacing w:after="0"/>
        <w:rPr>
          <w:sz w:val="20"/>
          <w:szCs w:val="20"/>
          <w:color w:val="auto"/>
        </w:rPr>
      </w:pPr>
      <w:r>
        <w:rPr>
          <w:rFonts w:ascii="Arial" w:cs="Arial" w:eastAsia="Arial" w:hAnsi="Arial"/>
          <w:sz w:val="22"/>
          <w:szCs w:val="22"/>
          <w:i w:val="1"/>
          <w:iCs w:val="1"/>
          <w:color w:val="auto"/>
        </w:rPr>
        <w:t>Section 4.01. Representations and Warranties of the Borrower</w:t>
      </w:r>
      <w:r>
        <w:rPr>
          <w:rFonts w:ascii="Arial" w:cs="Arial" w:eastAsia="Arial" w:hAnsi="Arial"/>
          <w:sz w:val="22"/>
          <w:szCs w:val="22"/>
          <w:color w:val="auto"/>
        </w:rPr>
        <w:t>. The Borrower represents and warrants to each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Secured Parties on and as of each Measurement Date (and, in respect of clause (i) below, each date such information is provided by or on behalf of it), as follows:</w:t>
      </w:r>
    </w:p>
    <w:p>
      <w:pPr>
        <w:spacing w:after="0" w:line="294" w:lineRule="exact"/>
        <w:rPr>
          <w:sz w:val="20"/>
          <w:szCs w:val="20"/>
          <w:color w:val="auto"/>
        </w:rPr>
      </w:pPr>
    </w:p>
    <w:p>
      <w:pPr>
        <w:jc w:val="both"/>
        <w:ind w:left="800" w:firstLine="934"/>
        <w:spacing w:after="0" w:line="238" w:lineRule="auto"/>
        <w:tabs>
          <w:tab w:leader="none" w:pos="2358"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Due Organization</w:t>
      </w:r>
      <w:r>
        <w:rPr>
          <w:rFonts w:ascii="Arial" w:cs="Arial" w:eastAsia="Arial" w:hAnsi="Arial"/>
          <w:sz w:val="22"/>
          <w:szCs w:val="22"/>
          <w:color w:val="auto"/>
        </w:rPr>
        <w:t>. The Borrower is a limited liability company duly organized and validly existing</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292" w:lineRule="exact"/>
        <w:rPr>
          <w:rFonts w:ascii="Arial" w:cs="Arial" w:eastAsia="Arial" w:hAnsi="Arial"/>
          <w:sz w:val="22"/>
          <w:szCs w:val="22"/>
          <w:color w:val="auto"/>
        </w:rPr>
      </w:pPr>
    </w:p>
    <w:p>
      <w:pPr>
        <w:jc w:val="both"/>
        <w:ind w:left="800" w:firstLine="934"/>
        <w:spacing w:after="0" w:line="235" w:lineRule="auto"/>
        <w:tabs>
          <w:tab w:leader="none" w:pos="2397"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Due Qualification and Good Standing</w:t>
      </w:r>
      <w:r>
        <w:rPr>
          <w:rFonts w:ascii="Arial" w:cs="Arial" w:eastAsia="Arial" w:hAnsi="Arial"/>
          <w:sz w:val="22"/>
          <w:szCs w:val="22"/>
          <w:color w:val="auto"/>
        </w:rPr>
        <w:t>. The Borrower is in good standing in the State of Delaware.</w:t>
      </w:r>
      <w:r>
        <w:rPr>
          <w:rFonts w:ascii="Arial" w:cs="Arial" w:eastAsia="Arial" w:hAnsi="Arial"/>
          <w:sz w:val="22"/>
          <w:szCs w:val="22"/>
          <w:i w:val="1"/>
          <w:iCs w:val="1"/>
          <w:color w:val="auto"/>
        </w:rPr>
        <w:t xml:space="preserve"> </w:t>
      </w:r>
      <w:r>
        <w:rPr>
          <w:rFonts w:ascii="Arial" w:cs="Arial" w:eastAsia="Arial" w:hAnsi="Arial"/>
          <w:sz w:val="22"/>
          <w:szCs w:val="22"/>
          <w:color w:val="auto"/>
        </w:rPr>
        <w:t>The Borrower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295" w:lineRule="exact"/>
        <w:rPr>
          <w:rFonts w:ascii="Arial" w:cs="Arial" w:eastAsia="Arial" w:hAnsi="Arial"/>
          <w:sz w:val="22"/>
          <w:szCs w:val="22"/>
          <w:color w:val="auto"/>
        </w:rPr>
      </w:pPr>
    </w:p>
    <w:p>
      <w:pPr>
        <w:jc w:val="both"/>
        <w:ind w:left="800" w:firstLine="934"/>
        <w:spacing w:after="0" w:line="234" w:lineRule="auto"/>
        <w:tabs>
          <w:tab w:leader="none" w:pos="2358"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Due Authorization</w:t>
      </w:r>
      <w:r>
        <w:rPr>
          <w:rFonts w:ascii="Arial" w:cs="Arial" w:eastAsia="Arial" w:hAnsi="Arial"/>
          <w:sz w:val="22"/>
          <w:szCs w:val="22"/>
          <w:color w:val="auto"/>
        </w:rPr>
        <w:t>;</w:t>
      </w:r>
      <w:r>
        <w:rPr>
          <w:rFonts w:ascii="Arial" w:cs="Arial" w:eastAsia="Arial" w:hAnsi="Arial"/>
          <w:sz w:val="22"/>
          <w:szCs w:val="22"/>
          <w:i w:val="1"/>
          <w:iCs w:val="1"/>
          <w:color w:val="auto"/>
        </w:rPr>
        <w:t xml:space="preserve"> Execution and Delivery; Legal, Valid and Binding; Enforceability</w:t>
      </w:r>
      <w:r>
        <w:rPr>
          <w:rFonts w:ascii="Arial" w:cs="Arial" w:eastAsia="Arial" w:hAnsi="Arial"/>
          <w:sz w:val="22"/>
          <w:szCs w:val="22"/>
          <w:color w:val="auto"/>
        </w:rPr>
        <w:t>. The execution</w:t>
      </w:r>
      <w:r>
        <w:rPr>
          <w:rFonts w:ascii="Arial" w:cs="Arial" w:eastAsia="Arial" w:hAnsi="Arial"/>
          <w:sz w:val="22"/>
          <w:szCs w:val="22"/>
          <w:i w:val="1"/>
          <w:iCs w:val="1"/>
          <w:color w:val="auto"/>
        </w:rPr>
        <w:t xml:space="preserve"> </w:t>
      </w:r>
      <w:r>
        <w:rPr>
          <w:rFonts w:ascii="Arial" w:cs="Arial" w:eastAsia="Arial" w:hAnsi="Arial"/>
          <w:sz w:val="22"/>
          <w:szCs w:val="22"/>
          <w:color w:val="auto"/>
        </w:rPr>
        <w:t>and delivery by the 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294" w:lineRule="exact"/>
        <w:rPr>
          <w:rFonts w:ascii="Arial" w:cs="Arial" w:eastAsia="Arial" w:hAnsi="Arial"/>
          <w:sz w:val="22"/>
          <w:szCs w:val="22"/>
          <w:color w:val="auto"/>
        </w:rPr>
      </w:pPr>
    </w:p>
    <w:p>
      <w:pPr>
        <w:jc w:val="both"/>
        <w:ind w:left="800" w:firstLine="934"/>
        <w:spacing w:after="0" w:line="273" w:lineRule="auto"/>
        <w:tabs>
          <w:tab w:leader="none" w:pos="2424" w:val="left"/>
        </w:tabs>
        <w:numPr>
          <w:ilvl w:val="0"/>
          <w:numId w:val="136"/>
        </w:numPr>
        <w:rPr>
          <w:rFonts w:ascii="Arial" w:cs="Arial" w:eastAsia="Arial" w:hAnsi="Arial"/>
          <w:sz w:val="19"/>
          <w:szCs w:val="19"/>
          <w:color w:val="auto"/>
        </w:rPr>
      </w:pPr>
      <w:r>
        <w:rPr>
          <w:rFonts w:ascii="Arial" w:cs="Arial" w:eastAsia="Arial" w:hAnsi="Arial"/>
          <w:sz w:val="19"/>
          <w:szCs w:val="19"/>
          <w:i w:val="1"/>
          <w:iCs w:val="1"/>
          <w:color w:val="auto"/>
        </w:rPr>
        <w:t>Non-Contravention</w:t>
      </w:r>
      <w:r>
        <w:rPr>
          <w:rFonts w:ascii="Arial" w:cs="Arial" w:eastAsia="Arial" w:hAnsi="Arial"/>
          <w:sz w:val="19"/>
          <w:szCs w:val="19"/>
          <w:color w:val="auto"/>
        </w:rPr>
        <w:t>. None of the execution and delivery by the Borrower of this Agreement or the</w:t>
      </w:r>
      <w:r>
        <w:rPr>
          <w:rFonts w:ascii="Arial" w:cs="Arial" w:eastAsia="Arial" w:hAnsi="Arial"/>
          <w:sz w:val="19"/>
          <w:szCs w:val="19"/>
          <w:i w:val="1"/>
          <w:iCs w:val="1"/>
          <w:color w:val="auto"/>
        </w:rPr>
        <w:t xml:space="preserve"> </w:t>
      </w:r>
      <w:r>
        <w:rPr>
          <w:rFonts w:ascii="Arial" w:cs="Arial" w:eastAsia="Arial" w:hAnsi="Arial"/>
          <w:sz w:val="19"/>
          <w:szCs w:val="19"/>
          <w:color w:val="auto"/>
        </w:rPr>
        <w:t>other Facility Documents to which 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261" w:right="339" w:bottom="1440" w:gutter="0" w:footer="0" w:header="0"/>
        </w:sectPr>
      </w:pPr>
    </w:p>
    <w:bookmarkStart w:id="118" w:name="page119"/>
    <w:bookmarkEnd w:id="118"/>
    <w:p>
      <w:pPr>
        <w:jc w:val="both"/>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242" w:lineRule="exact"/>
        <w:rPr>
          <w:sz w:val="20"/>
          <w:szCs w:val="20"/>
          <w:color w:val="auto"/>
        </w:rPr>
      </w:pPr>
    </w:p>
    <w:p>
      <w:pPr>
        <w:jc w:val="both"/>
        <w:ind w:firstLine="934"/>
        <w:spacing w:after="0" w:line="273" w:lineRule="auto"/>
        <w:tabs>
          <w:tab w:leader="none" w:pos="1679" w:val="left"/>
        </w:tabs>
        <w:numPr>
          <w:ilvl w:val="0"/>
          <w:numId w:val="137"/>
        </w:numPr>
        <w:rPr>
          <w:rFonts w:ascii="Arial" w:cs="Arial" w:eastAsia="Arial" w:hAnsi="Arial"/>
          <w:sz w:val="19"/>
          <w:szCs w:val="19"/>
          <w:color w:val="auto"/>
        </w:rPr>
      </w:pPr>
      <w:r>
        <w:rPr>
          <w:rFonts w:ascii="Arial" w:cs="Arial" w:eastAsia="Arial" w:hAnsi="Arial"/>
          <w:sz w:val="19"/>
          <w:szCs w:val="19"/>
          <w:i w:val="1"/>
          <w:iCs w:val="1"/>
          <w:color w:val="auto"/>
        </w:rPr>
        <w:t>Governmental Authorizations; Private Authorizations; Governmental Filings</w:t>
      </w:r>
      <w:r>
        <w:rPr>
          <w:rFonts w:ascii="Arial" w:cs="Arial" w:eastAsia="Arial" w:hAnsi="Arial"/>
          <w:sz w:val="19"/>
          <w:szCs w:val="19"/>
          <w:color w:val="auto"/>
        </w:rPr>
        <w:t>. The Borrower has</w:t>
      </w:r>
      <w:r>
        <w:rPr>
          <w:rFonts w:ascii="Arial" w:cs="Arial" w:eastAsia="Arial" w:hAnsi="Arial"/>
          <w:sz w:val="19"/>
          <w:szCs w:val="19"/>
          <w:i w:val="1"/>
          <w:iCs w:val="1"/>
          <w:color w:val="auto"/>
        </w:rPr>
        <w:t xml:space="preserve"> </w:t>
      </w:r>
      <w:r>
        <w:rPr>
          <w:rFonts w:ascii="Arial" w:cs="Arial" w:eastAsia="Arial" w:hAnsi="Arial"/>
          <w:sz w:val="19"/>
          <w:szCs w:val="19"/>
          <w:color w:val="auto"/>
        </w:rPr>
        <w:t>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263" w:lineRule="exact"/>
        <w:rPr>
          <w:rFonts w:ascii="Arial" w:cs="Arial" w:eastAsia="Arial" w:hAnsi="Arial"/>
          <w:sz w:val="19"/>
          <w:szCs w:val="19"/>
          <w:color w:val="auto"/>
        </w:rPr>
      </w:pPr>
    </w:p>
    <w:p>
      <w:pPr>
        <w:jc w:val="both"/>
        <w:ind w:firstLine="934"/>
        <w:spacing w:after="0" w:line="272" w:lineRule="auto"/>
        <w:tabs>
          <w:tab w:leader="none" w:pos="1628" w:val="left"/>
        </w:tabs>
        <w:numPr>
          <w:ilvl w:val="0"/>
          <w:numId w:val="137"/>
        </w:numPr>
        <w:rPr>
          <w:rFonts w:ascii="Arial" w:cs="Arial" w:eastAsia="Arial" w:hAnsi="Arial"/>
          <w:sz w:val="19"/>
          <w:szCs w:val="19"/>
          <w:color w:val="auto"/>
        </w:rPr>
      </w:pPr>
      <w:r>
        <w:rPr>
          <w:rFonts w:ascii="Arial" w:cs="Arial" w:eastAsia="Arial" w:hAnsi="Arial"/>
          <w:sz w:val="19"/>
          <w:szCs w:val="19"/>
          <w:i w:val="1"/>
          <w:iCs w:val="1"/>
          <w:color w:val="auto"/>
        </w:rPr>
        <w:t>Compliance with Agreements, Laws, Etc</w:t>
      </w:r>
      <w:r>
        <w:rPr>
          <w:rFonts w:ascii="Arial" w:cs="Arial" w:eastAsia="Arial" w:hAnsi="Arial"/>
          <w:sz w:val="19"/>
          <w:szCs w:val="19"/>
          <w:color w:val="auto"/>
        </w:rPr>
        <w:t>. The Borrower has duly observed and complied in all</w:t>
      </w:r>
      <w:r>
        <w:rPr>
          <w:rFonts w:ascii="Arial" w:cs="Arial" w:eastAsia="Arial" w:hAnsi="Arial"/>
          <w:sz w:val="19"/>
          <w:szCs w:val="19"/>
          <w:i w:val="1"/>
          <w:iCs w:val="1"/>
          <w:color w:val="auto"/>
        </w:rPr>
        <w:t xml:space="preserve"> </w:t>
      </w:r>
      <w:r>
        <w:rPr>
          <w:rFonts w:ascii="Arial" w:cs="Arial" w:eastAsia="Arial" w:hAnsi="Arial"/>
          <w:sz w:val="19"/>
          <w:szCs w:val="19"/>
          <w:color w:val="auto"/>
        </w:rPr>
        <w:t>material respects with all Applicable Laws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the regulations and rules promulgated by the U.S. Department of Treasury and/or administered by the U.S. Office of Foreign Asset Controls (</w:t>
      </w:r>
      <w:r>
        <w:rPr>
          <w:rFonts w:ascii="Arial" w:cs="Arial" w:eastAsia="Arial" w:hAnsi="Arial"/>
          <w:sz w:val="19"/>
          <w:szCs w:val="19"/>
          <w:i w:val="1"/>
          <w:iCs w:val="1"/>
          <w:color w:val="auto"/>
        </w:rPr>
        <w:t>“OFAC”</w:t>
      </w:r>
      <w:r>
        <w:rPr>
          <w:rFonts w:ascii="Arial" w:cs="Arial" w:eastAsia="Arial" w:hAnsi="Arial"/>
          <w:sz w:val="19"/>
          <w:szCs w:val="19"/>
          <w:color w:val="auto"/>
        </w:rPr>
        <w:t xml:space="preserve">), including U.S. Executive Order No. 13224, and other related statutes, laws and regulations (collectively, the </w:t>
      </w:r>
      <w:r>
        <w:rPr>
          <w:rFonts w:ascii="Arial" w:cs="Arial" w:eastAsia="Arial" w:hAnsi="Arial"/>
          <w:sz w:val="19"/>
          <w:szCs w:val="19"/>
          <w:i w:val="1"/>
          <w:iCs w:val="1"/>
          <w:color w:val="auto"/>
        </w:rPr>
        <w:t>“Subject Laws”</w:t>
      </w:r>
      <w:r>
        <w:rPr>
          <w:rFonts w:ascii="Arial" w:cs="Arial" w:eastAsia="Arial" w:hAnsi="Arial"/>
          <w:sz w:val="19"/>
          <w:szCs w:val="19"/>
          <w:color w:val="auto"/>
        </w:rPr>
        <w:t>), (y) the Borrower has adopted internal controls and procedures designed to ensure its continued compliance with the 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200" w:lineRule="exact"/>
        <w:rPr>
          <w:rFonts w:ascii="Arial" w:cs="Arial" w:eastAsia="Arial" w:hAnsi="Arial"/>
          <w:sz w:val="19"/>
          <w:szCs w:val="19"/>
          <w:color w:val="auto"/>
        </w:rPr>
      </w:pPr>
    </w:p>
    <w:p>
      <w:pPr>
        <w:spacing w:after="0" w:line="311" w:lineRule="exact"/>
        <w:rPr>
          <w:rFonts w:ascii="Arial" w:cs="Arial" w:eastAsia="Arial" w:hAnsi="Arial"/>
          <w:sz w:val="19"/>
          <w:szCs w:val="19"/>
          <w:color w:val="auto"/>
        </w:rPr>
      </w:pPr>
    </w:p>
    <w:p>
      <w:pPr>
        <w:jc w:val="both"/>
        <w:ind w:firstLine="934"/>
        <w:spacing w:after="0" w:line="297" w:lineRule="auto"/>
        <w:tabs>
          <w:tab w:leader="none" w:pos="1583" w:val="left"/>
        </w:tabs>
        <w:numPr>
          <w:ilvl w:val="0"/>
          <w:numId w:val="137"/>
        </w:numPr>
        <w:rPr>
          <w:rFonts w:ascii="Arial" w:cs="Arial" w:eastAsia="Arial" w:hAnsi="Arial"/>
          <w:sz w:val="19"/>
          <w:szCs w:val="19"/>
          <w:color w:val="auto"/>
        </w:rPr>
      </w:pPr>
      <w:r>
        <w:rPr>
          <w:rFonts w:ascii="Arial" w:cs="Arial" w:eastAsia="Arial" w:hAnsi="Arial"/>
          <w:sz w:val="19"/>
          <w:szCs w:val="19"/>
          <w:i w:val="1"/>
          <w:iCs w:val="1"/>
          <w:color w:val="auto"/>
        </w:rPr>
        <w:t>Location</w:t>
      </w:r>
      <w:r>
        <w:rPr>
          <w:rFonts w:ascii="Arial" w:cs="Arial" w:eastAsia="Arial" w:hAnsi="Arial"/>
          <w:sz w:val="19"/>
          <w:szCs w:val="19"/>
          <w:color w:val="auto"/>
        </w:rPr>
        <w:t>. The Borrower’s chief place of business, its chief executive office and the office in which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Borrower maintains its books and records are located in the State of New York. The Borrower’s registered office and the jurisdiction of organization of the Borrower is the jurisdiction referred to in </w:t>
      </w:r>
      <w:r>
        <w:rPr>
          <w:rFonts w:ascii="Arial" w:cs="Arial" w:eastAsia="Arial" w:hAnsi="Arial"/>
          <w:sz w:val="19"/>
          <w:szCs w:val="19"/>
          <w:u w:val="single" w:color="auto"/>
          <w:color w:val="auto"/>
        </w:rPr>
        <w:t>Section 4.01(a)</w:t>
      </w:r>
      <w:r>
        <w:rPr>
          <w:rFonts w:ascii="Arial" w:cs="Arial" w:eastAsia="Arial" w:hAnsi="Arial"/>
          <w:sz w:val="19"/>
          <w:szCs w:val="19"/>
          <w:color w:val="auto"/>
        </w:rPr>
        <w:t>.</w:t>
      </w:r>
    </w:p>
    <w:p>
      <w:pPr>
        <w:spacing w:after="0" w:line="6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0440"/>
          </w:cols>
          <w:pgMar w:left="1120" w:top="267" w:right="339" w:bottom="1440" w:gutter="0" w:footer="0" w:header="0"/>
        </w:sectPr>
      </w:pPr>
    </w:p>
    <w:bookmarkStart w:id="119" w:name="page120"/>
    <w:bookmarkEnd w:id="119"/>
    <w:p>
      <w:pPr>
        <w:jc w:val="both"/>
        <w:ind w:left="-320" w:firstLine="1009"/>
        <w:spacing w:after="0"/>
        <w:tabs>
          <w:tab w:leader="none" w:pos="1398" w:val="left"/>
        </w:tabs>
        <w:numPr>
          <w:ilvl w:val="2"/>
          <w:numId w:val="138"/>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Company Act</w:t>
      </w:r>
      <w:r>
        <w:rPr>
          <w:rFonts w:ascii="Arial" w:cs="Arial" w:eastAsia="Arial" w:hAnsi="Arial"/>
          <w:sz w:val="22"/>
          <w:szCs w:val="22"/>
          <w:color w:val="auto"/>
        </w:rPr>
        <w:t>. Assuming compliance by each of the Lenders and any participant with</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15.06(e)</w:t>
      </w:r>
      <w:r>
        <w:rPr>
          <w:rFonts w:ascii="Arial" w:cs="Arial" w:eastAsia="Arial" w:hAnsi="Arial"/>
          <w:sz w:val="22"/>
          <w:szCs w:val="22"/>
          <w:color w:val="auto"/>
        </w:rPr>
        <w:t>, neither the Borrower nor the pool of Collateral is required to register as an “investment company” under the Investment Company Act.</w:t>
      </w:r>
    </w:p>
    <w:p>
      <w:pPr>
        <w:spacing w:after="0" w:line="294" w:lineRule="exact"/>
        <w:rPr>
          <w:rFonts w:ascii="Arial" w:cs="Arial" w:eastAsia="Arial" w:hAnsi="Arial"/>
          <w:sz w:val="22"/>
          <w:szCs w:val="22"/>
          <w:color w:val="auto"/>
        </w:rPr>
      </w:pPr>
    </w:p>
    <w:p>
      <w:pPr>
        <w:jc w:val="both"/>
        <w:ind w:left="-320" w:firstLine="1011"/>
        <w:spacing w:after="0" w:line="246" w:lineRule="auto"/>
        <w:tabs>
          <w:tab w:leader="none" w:pos="1364" w:val="left"/>
        </w:tabs>
        <w:numPr>
          <w:ilvl w:val="2"/>
          <w:numId w:val="138"/>
        </w:numPr>
        <w:rPr>
          <w:rFonts w:ascii="Arial" w:cs="Arial" w:eastAsia="Arial" w:hAnsi="Arial"/>
          <w:sz w:val="21"/>
          <w:szCs w:val="21"/>
          <w:color w:val="auto"/>
        </w:rPr>
      </w:pPr>
      <w:r>
        <w:rPr>
          <w:rFonts w:ascii="Arial" w:cs="Arial" w:eastAsia="Arial" w:hAnsi="Arial"/>
          <w:sz w:val="21"/>
          <w:szCs w:val="21"/>
          <w:i w:val="1"/>
          <w:iCs w:val="1"/>
          <w:color w:val="auto"/>
        </w:rPr>
        <w:t>Information and Reports</w:t>
      </w:r>
      <w:r>
        <w:rPr>
          <w:rFonts w:ascii="Arial" w:cs="Arial" w:eastAsia="Arial" w:hAnsi="Arial"/>
          <w:sz w:val="21"/>
          <w:szCs w:val="21"/>
          <w:color w:val="auto"/>
        </w:rPr>
        <w:t>. Each Notice of Borrowing, each Monthly Report, each Payment Date</w:t>
      </w:r>
      <w:r>
        <w:rPr>
          <w:rFonts w:ascii="Arial" w:cs="Arial" w:eastAsia="Arial" w:hAnsi="Arial"/>
          <w:sz w:val="21"/>
          <w:szCs w:val="21"/>
          <w:i w:val="1"/>
          <w:iCs w:val="1"/>
          <w:color w:val="auto"/>
        </w:rPr>
        <w:t xml:space="preserve"> </w:t>
      </w:r>
      <w:r>
        <w:rPr>
          <w:rFonts w:ascii="Arial" w:cs="Arial" w:eastAsia="Arial" w:hAnsi="Arial"/>
          <w:sz w:val="21"/>
          <w:szCs w:val="21"/>
          <w:color w:val="auto"/>
        </w:rPr>
        <w:t>Report and all other written information, reports, certificates and statements (other than projections and forward-looking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Borrower were prepared reasonably and in good faith as the date stated herein or as of which they were provided.</w:t>
      </w:r>
    </w:p>
    <w:p>
      <w:pPr>
        <w:spacing w:after="0" w:line="292" w:lineRule="exact"/>
        <w:rPr>
          <w:rFonts w:ascii="Arial" w:cs="Arial" w:eastAsia="Arial" w:hAnsi="Arial"/>
          <w:sz w:val="21"/>
          <w:szCs w:val="21"/>
          <w:color w:val="auto"/>
        </w:rPr>
      </w:pPr>
    </w:p>
    <w:p>
      <w:pPr>
        <w:ind w:left="-320" w:firstLine="991"/>
        <w:spacing w:after="0" w:line="250" w:lineRule="auto"/>
        <w:tabs>
          <w:tab w:leader="none" w:pos="1283" w:val="left"/>
        </w:tabs>
        <w:numPr>
          <w:ilvl w:val="1"/>
          <w:numId w:val="139"/>
        </w:numPr>
        <w:rPr>
          <w:rFonts w:ascii="Arial" w:cs="Arial" w:eastAsia="Arial" w:hAnsi="Arial"/>
          <w:sz w:val="22"/>
          <w:szCs w:val="22"/>
          <w:color w:val="auto"/>
        </w:rPr>
      </w:pPr>
      <w:r>
        <w:rPr>
          <w:rFonts w:ascii="Arial" w:cs="Arial" w:eastAsia="Arial" w:hAnsi="Arial"/>
          <w:sz w:val="22"/>
          <w:szCs w:val="22"/>
          <w:i w:val="1"/>
          <w:iCs w:val="1"/>
          <w:color w:val="auto"/>
        </w:rPr>
        <w:t>ERISA</w:t>
      </w:r>
      <w:r>
        <w:rPr>
          <w:rFonts w:ascii="Arial" w:cs="Arial" w:eastAsia="Arial" w:hAnsi="Arial"/>
          <w:sz w:val="22"/>
          <w:szCs w:val="22"/>
          <w:color w:val="auto"/>
        </w:rPr>
        <w:t>. Neither the Borrower nor any member of the ERISA Group has, or during the past five years</w:t>
      </w:r>
      <w:r>
        <w:rPr>
          <w:rFonts w:ascii="Arial" w:cs="Arial" w:eastAsia="Arial" w:hAnsi="Arial"/>
          <w:sz w:val="22"/>
          <w:szCs w:val="22"/>
          <w:i w:val="1"/>
          <w:iCs w:val="1"/>
          <w:color w:val="auto"/>
        </w:rPr>
        <w:t xml:space="preserve"> </w:t>
      </w:r>
      <w:r>
        <w:rPr>
          <w:rFonts w:ascii="Arial" w:cs="Arial" w:eastAsia="Arial" w:hAnsi="Arial"/>
          <w:sz w:val="22"/>
          <w:szCs w:val="22"/>
          <w:color w:val="auto"/>
        </w:rPr>
        <w:t>had, any liability or obligation with respect to any Plan or Multiemployer Plan.</w:t>
      </w:r>
    </w:p>
    <w:p>
      <w:pPr>
        <w:spacing w:after="0" w:line="282" w:lineRule="exact"/>
        <w:rPr>
          <w:rFonts w:ascii="Arial" w:cs="Arial" w:eastAsia="Arial" w:hAnsi="Arial"/>
          <w:sz w:val="22"/>
          <w:szCs w:val="22"/>
          <w:color w:val="auto"/>
        </w:rPr>
      </w:pPr>
    </w:p>
    <w:p>
      <w:pPr>
        <w:jc w:val="both"/>
        <w:ind w:left="-320" w:firstLine="988"/>
        <w:spacing w:after="0"/>
        <w:tabs>
          <w:tab w:leader="none" w:pos="1250" w:val="left"/>
        </w:tabs>
        <w:numPr>
          <w:ilvl w:val="1"/>
          <w:numId w:val="139"/>
        </w:numPr>
        <w:rPr>
          <w:rFonts w:ascii="Arial" w:cs="Arial" w:eastAsia="Arial" w:hAnsi="Arial"/>
          <w:sz w:val="22"/>
          <w:szCs w:val="22"/>
          <w:color w:val="auto"/>
        </w:rPr>
      </w:pPr>
      <w:r>
        <w:rPr>
          <w:rFonts w:ascii="Arial" w:cs="Arial" w:eastAsia="Arial" w:hAnsi="Arial"/>
          <w:sz w:val="22"/>
          <w:szCs w:val="22"/>
          <w:i w:val="1"/>
          <w:iCs w:val="1"/>
          <w:color w:val="auto"/>
        </w:rPr>
        <w:t>Taxes</w:t>
      </w:r>
      <w:r>
        <w:rPr>
          <w:rFonts w:ascii="Arial" w:cs="Arial" w:eastAsia="Arial" w:hAnsi="Arial"/>
          <w:sz w:val="22"/>
          <w:szCs w:val="22"/>
          <w:color w:val="auto"/>
        </w:rPr>
        <w:t>. The Borrower has filed all income tax returns and all other tax returns which are required to be</w:t>
      </w:r>
      <w:r>
        <w:rPr>
          <w:rFonts w:ascii="Arial" w:cs="Arial" w:eastAsia="Arial" w:hAnsi="Arial"/>
          <w:sz w:val="22"/>
          <w:szCs w:val="22"/>
          <w:i w:val="1"/>
          <w:iCs w:val="1"/>
          <w:color w:val="auto"/>
        </w:rPr>
        <w:t xml:space="preserve"> </w:t>
      </w:r>
      <w:r>
        <w:rPr>
          <w:rFonts w:ascii="Arial" w:cs="Arial" w:eastAsia="Arial" w:hAnsi="Arial"/>
          <w:sz w:val="22"/>
          <w:szCs w:val="22"/>
          <w:color w:val="auto"/>
        </w:rPr>
        <w:t>filed by it, if any, and has paid all taxes shown to be due and payable on such returns, if any, or pursuant to any assessment received by any such Person.</w:t>
      </w:r>
    </w:p>
    <w:p>
      <w:pPr>
        <w:spacing w:after="0" w:line="294" w:lineRule="exact"/>
        <w:rPr>
          <w:rFonts w:ascii="Arial" w:cs="Arial" w:eastAsia="Arial" w:hAnsi="Arial"/>
          <w:sz w:val="22"/>
          <w:szCs w:val="22"/>
          <w:color w:val="auto"/>
        </w:rPr>
      </w:pPr>
    </w:p>
    <w:p>
      <w:pPr>
        <w:jc w:val="both"/>
        <w:ind w:left="-320" w:firstLine="998"/>
        <w:spacing w:after="0" w:line="238" w:lineRule="auto"/>
        <w:tabs>
          <w:tab w:leader="none" w:pos="1337" w:val="left"/>
        </w:tabs>
        <w:numPr>
          <w:ilvl w:val="1"/>
          <w:numId w:val="139"/>
        </w:numPr>
        <w:rPr>
          <w:rFonts w:ascii="Arial" w:cs="Arial" w:eastAsia="Arial" w:hAnsi="Arial"/>
          <w:sz w:val="22"/>
          <w:szCs w:val="22"/>
          <w:color w:val="auto"/>
        </w:rPr>
      </w:pPr>
      <w:r>
        <w:rPr>
          <w:rFonts w:ascii="Arial" w:cs="Arial" w:eastAsia="Arial" w:hAnsi="Arial"/>
          <w:sz w:val="22"/>
          <w:szCs w:val="22"/>
          <w:i w:val="1"/>
          <w:iCs w:val="1"/>
          <w:color w:val="auto"/>
        </w:rPr>
        <w:t>Tax Status</w:t>
      </w:r>
      <w:r>
        <w:rPr>
          <w:rFonts w:ascii="Arial" w:cs="Arial" w:eastAsia="Arial" w:hAnsi="Arial"/>
          <w:sz w:val="22"/>
          <w:szCs w:val="22"/>
          <w:color w:val="auto"/>
        </w:rPr>
        <w:t>. For U.S. Federal income tax purposes, assuming that the Advances constitute debt for</w:t>
      </w:r>
      <w:r>
        <w:rPr>
          <w:rFonts w:ascii="Arial" w:cs="Arial" w:eastAsia="Arial" w:hAnsi="Arial"/>
          <w:sz w:val="22"/>
          <w:szCs w:val="22"/>
          <w:i w:val="1"/>
          <w:iCs w:val="1"/>
          <w:color w:val="auto"/>
        </w:rPr>
        <w:t xml:space="preserve"> </w:t>
      </w:r>
      <w:r>
        <w:rPr>
          <w:rFonts w:ascii="Arial" w:cs="Arial" w:eastAsia="Arial" w:hAnsi="Arial"/>
          <w:sz w:val="22"/>
          <w:szCs w:val="22"/>
          <w:color w:val="auto"/>
        </w:rPr>
        <w:t>such purposes, the Borrower is (i) disregarded as an entity separate from its owner and (ii) has not made an election under U.S. Treasury Regulation Section 301.7701 -3 and is not otherwise treated as an association taxable as a corporation.</w:t>
      </w:r>
    </w:p>
    <w:p>
      <w:pPr>
        <w:spacing w:after="0" w:line="292" w:lineRule="exact"/>
        <w:rPr>
          <w:rFonts w:ascii="Arial" w:cs="Arial" w:eastAsia="Arial" w:hAnsi="Arial"/>
          <w:sz w:val="22"/>
          <w:szCs w:val="22"/>
          <w:color w:val="auto"/>
        </w:rPr>
      </w:pPr>
    </w:p>
    <w:p>
      <w:pPr>
        <w:jc w:val="both"/>
        <w:ind w:left="-320" w:firstLine="934"/>
        <w:spacing w:after="0"/>
        <w:tabs>
          <w:tab w:leader="none" w:pos="1377"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Collections</w:t>
      </w:r>
      <w:r>
        <w:rPr>
          <w:rFonts w:ascii="Arial" w:cs="Arial" w:eastAsia="Arial" w:hAnsi="Arial"/>
          <w:sz w:val="22"/>
          <w:szCs w:val="22"/>
          <w:color w:val="auto"/>
        </w:rPr>
        <w:t>. All Collections payable to the Borrower shall be remitted directly to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Collection Subaccount (in the case of Interest Proceeds) or the applicable Principal Collection Subaccount (in the case of Principal Proceeds).</w:t>
      </w:r>
    </w:p>
    <w:p>
      <w:pPr>
        <w:spacing w:after="0" w:line="294" w:lineRule="exact"/>
        <w:rPr>
          <w:rFonts w:ascii="Arial" w:cs="Arial" w:eastAsia="Arial" w:hAnsi="Arial"/>
          <w:sz w:val="22"/>
          <w:szCs w:val="22"/>
          <w:color w:val="auto"/>
        </w:rPr>
      </w:pPr>
    </w:p>
    <w:p>
      <w:pPr>
        <w:jc w:val="both"/>
        <w:ind w:left="-320" w:firstLine="990"/>
        <w:spacing w:after="0" w:line="236" w:lineRule="auto"/>
        <w:tabs>
          <w:tab w:leader="none" w:pos="1263"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Plan Assets</w:t>
      </w:r>
      <w:r>
        <w:rPr>
          <w:rFonts w:ascii="Arial" w:cs="Arial" w:eastAsia="Arial" w:hAnsi="Arial"/>
          <w:sz w:val="22"/>
          <w:szCs w:val="22"/>
          <w:color w:val="auto"/>
        </w:rPr>
        <w:t>. The assets of the Borrower are not treated as “plan assets” for purposes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3(42)</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of ERISA and the Collateral is not deemed to be “plan assets” for purposes of </w:t>
      </w:r>
      <w:r>
        <w:rPr>
          <w:rFonts w:ascii="Arial" w:cs="Arial" w:eastAsia="Arial" w:hAnsi="Arial"/>
          <w:sz w:val="22"/>
          <w:szCs w:val="22"/>
          <w:u w:val="single" w:color="auto"/>
          <w:color w:val="auto"/>
        </w:rPr>
        <w:t>Section 3(42)</w:t>
      </w:r>
      <w:r>
        <w:rPr>
          <w:rFonts w:ascii="Arial" w:cs="Arial" w:eastAsia="Arial" w:hAnsi="Arial"/>
          <w:sz w:val="22"/>
          <w:szCs w:val="22"/>
          <w:color w:val="auto"/>
        </w:rPr>
        <w:t xml:space="preserve"> of ERISA. The Borrower has not taken, or omitted to take, any action which would result in any of the Collateral being treated as “plan assets” for purposes of </w:t>
      </w:r>
      <w:r>
        <w:rPr>
          <w:rFonts w:ascii="Arial" w:cs="Arial" w:eastAsia="Arial" w:hAnsi="Arial"/>
          <w:sz w:val="22"/>
          <w:szCs w:val="22"/>
          <w:u w:val="single" w:color="auto"/>
          <w:color w:val="auto"/>
        </w:rPr>
        <w:t>Section 3(42)</w:t>
      </w:r>
      <w:r>
        <w:rPr>
          <w:rFonts w:ascii="Arial" w:cs="Arial" w:eastAsia="Arial" w:hAnsi="Arial"/>
          <w:sz w:val="22"/>
          <w:szCs w:val="22"/>
          <w:color w:val="auto"/>
        </w:rPr>
        <w:t xml:space="preserve"> of ERISA or the occurrence of any Prohibited Transaction in connection with the transactions contemplated hereunder.</w:t>
      </w:r>
    </w:p>
    <w:p>
      <w:pPr>
        <w:spacing w:after="0" w:line="295" w:lineRule="exact"/>
        <w:rPr>
          <w:rFonts w:ascii="Arial" w:cs="Arial" w:eastAsia="Arial" w:hAnsi="Arial"/>
          <w:sz w:val="22"/>
          <w:szCs w:val="22"/>
          <w:color w:val="auto"/>
        </w:rPr>
      </w:pPr>
    </w:p>
    <w:p>
      <w:pPr>
        <w:ind w:left="-320" w:right="20" w:firstLine="996"/>
        <w:spacing w:after="0" w:line="250" w:lineRule="auto"/>
        <w:tabs>
          <w:tab w:leader="none" w:pos="1304"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Solvency</w:t>
      </w:r>
      <w:r>
        <w:rPr>
          <w:rFonts w:ascii="Arial" w:cs="Arial" w:eastAsia="Arial" w:hAnsi="Arial"/>
          <w:sz w:val="22"/>
          <w:szCs w:val="22"/>
          <w:color w:val="auto"/>
        </w:rPr>
        <w:t>. After giving effect to each Advance hereunder, and the disbursement of the proceeds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Advance, the Borrower is and will be Solvent.</w:t>
      </w:r>
    </w:p>
    <w:p>
      <w:pPr>
        <w:spacing w:after="0" w:line="10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0120"/>
          </w:cols>
          <w:pgMar w:left="1440" w:top="267" w:right="339" w:bottom="1440" w:gutter="0" w:footer="0" w:header="0"/>
        </w:sectPr>
      </w:pPr>
    </w:p>
    <w:bookmarkStart w:id="120" w:name="page121"/>
    <w:bookmarkEnd w:id="120"/>
    <w:p>
      <w:pPr>
        <w:ind w:left="1240" w:hanging="572"/>
        <w:spacing w:after="0"/>
        <w:tabs>
          <w:tab w:leader="none" w:pos="1240" w:val="left"/>
        </w:tabs>
        <w:numPr>
          <w:ilvl w:val="0"/>
          <w:numId w:val="141"/>
        </w:numPr>
        <w:rPr>
          <w:rFonts w:ascii="Arial" w:cs="Arial" w:eastAsia="Arial" w:hAnsi="Arial"/>
          <w:sz w:val="19"/>
          <w:szCs w:val="19"/>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Relating to the Collateral</w:t>
      </w:r>
      <w:r>
        <w:rPr>
          <w:rFonts w:ascii="Arial" w:cs="Arial" w:eastAsia="Arial" w:hAnsi="Arial"/>
          <w:sz w:val="19"/>
          <w:szCs w:val="19"/>
          <w:color w:val="auto"/>
        </w:rPr>
        <w:t>.   The Borrower hereby represents and warrants that:</w:t>
      </w:r>
    </w:p>
    <w:p>
      <w:pPr>
        <w:spacing w:after="0" w:line="348" w:lineRule="exact"/>
        <w:rPr>
          <w:rFonts w:ascii="Arial" w:cs="Arial" w:eastAsia="Arial" w:hAnsi="Arial"/>
          <w:sz w:val="19"/>
          <w:szCs w:val="19"/>
          <w:color w:val="auto"/>
        </w:rPr>
      </w:pPr>
    </w:p>
    <w:p>
      <w:pPr>
        <w:ind w:left="580" w:firstLine="1120"/>
        <w:spacing w:after="0" w:line="274" w:lineRule="auto"/>
        <w:tabs>
          <w:tab w:leader="none" w:pos="2313" w:val="left"/>
        </w:tabs>
        <w:numPr>
          <w:ilvl w:val="2"/>
          <w:numId w:val="141"/>
        </w:numPr>
        <w:rPr>
          <w:rFonts w:ascii="Arial" w:cs="Arial" w:eastAsia="Arial" w:hAnsi="Arial"/>
          <w:sz w:val="21"/>
          <w:szCs w:val="21"/>
          <w:color w:val="auto"/>
        </w:rPr>
      </w:pPr>
      <w:r>
        <w:rPr>
          <w:rFonts w:ascii="Arial" w:cs="Arial" w:eastAsia="Arial" w:hAnsi="Arial"/>
          <w:sz w:val="21"/>
          <w:szCs w:val="21"/>
          <w:color w:val="auto"/>
        </w:rPr>
        <w:t>it owns and has legal and beneficial title to all Collateral Loans and other Collateral free and clear of any Lien, claim or encumbrance of any person, other than Permitted Liens;</w:t>
      </w:r>
    </w:p>
    <w:p>
      <w:pPr>
        <w:spacing w:after="0" w:line="258" w:lineRule="exact"/>
        <w:rPr>
          <w:rFonts w:ascii="Arial" w:cs="Arial" w:eastAsia="Arial" w:hAnsi="Arial"/>
          <w:sz w:val="21"/>
          <w:szCs w:val="21"/>
          <w:color w:val="auto"/>
        </w:rPr>
      </w:pPr>
    </w:p>
    <w:p>
      <w:pPr>
        <w:jc w:val="both"/>
        <w:ind w:left="580" w:firstLine="1016"/>
        <w:spacing w:after="0" w:line="248" w:lineRule="auto"/>
        <w:tabs>
          <w:tab w:leader="none" w:pos="2195" w:val="left"/>
        </w:tabs>
        <w:numPr>
          <w:ilvl w:val="1"/>
          <w:numId w:val="141"/>
        </w:numPr>
        <w:rPr>
          <w:rFonts w:ascii="Arial" w:cs="Arial" w:eastAsia="Arial" w:hAnsi="Arial"/>
          <w:sz w:val="21"/>
          <w:szCs w:val="21"/>
          <w:color w:val="auto"/>
        </w:rPr>
      </w:pPr>
      <w:r>
        <w:rPr>
          <w:rFonts w:ascii="Arial" w:cs="Arial" w:eastAsia="Arial" w:hAnsi="Arial"/>
          <w:sz w:val="21"/>
          <w:szCs w:val="21"/>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285" w:lineRule="exact"/>
        <w:rPr>
          <w:sz w:val="20"/>
          <w:szCs w:val="20"/>
          <w:color w:val="auto"/>
        </w:rPr>
      </w:pPr>
    </w:p>
    <w:p>
      <w:pPr>
        <w:jc w:val="both"/>
        <w:ind w:left="580" w:firstLine="979"/>
        <w:spacing w:after="0" w:line="236" w:lineRule="auto"/>
        <w:tabs>
          <w:tab w:leader="none" w:pos="2271" w:val="left"/>
        </w:tabs>
        <w:numPr>
          <w:ilvl w:val="2"/>
          <w:numId w:val="142"/>
        </w:numPr>
        <w:rPr>
          <w:rFonts w:ascii="Arial" w:cs="Arial" w:eastAsia="Arial" w:hAnsi="Arial"/>
          <w:sz w:val="22"/>
          <w:szCs w:val="22"/>
          <w:color w:val="auto"/>
        </w:rPr>
      </w:pPr>
      <w:r>
        <w:rPr>
          <w:rFonts w:ascii="Arial" w:cs="Arial" w:eastAsia="Arial" w:hAnsi="Arial"/>
          <w:sz w:val="22"/>
          <w:szCs w:val="22"/>
          <w:color w:val="auto"/>
        </w:rPr>
        <w:t xml:space="preserve">the Collateral constitutes Money, Cash, accounts (as defined in </w:t>
      </w:r>
      <w:r>
        <w:rPr>
          <w:rFonts w:ascii="Arial" w:cs="Arial" w:eastAsia="Arial" w:hAnsi="Arial"/>
          <w:sz w:val="22"/>
          <w:szCs w:val="22"/>
          <w:u w:val="single" w:color="auto"/>
          <w:color w:val="auto"/>
        </w:rPr>
        <w:t>Section 9-102(a)(2)</w:t>
      </w:r>
      <w:r>
        <w:rPr>
          <w:rFonts w:ascii="Arial" w:cs="Arial" w:eastAsia="Arial" w:hAnsi="Arial"/>
          <w:sz w:val="22"/>
          <w:szCs w:val="22"/>
          <w:color w:val="auto"/>
        </w:rPr>
        <w:t xml:space="preserve"> of the UCC), Instruments, general intangibles (as defined in </w:t>
      </w:r>
      <w:r>
        <w:rPr>
          <w:rFonts w:ascii="Arial" w:cs="Arial" w:eastAsia="Arial" w:hAnsi="Arial"/>
          <w:sz w:val="22"/>
          <w:szCs w:val="22"/>
          <w:u w:val="single" w:color="auto"/>
          <w:color w:val="auto"/>
        </w:rPr>
        <w:t>Section 9-102(a)(42)</w:t>
      </w:r>
      <w:r>
        <w:rPr>
          <w:rFonts w:ascii="Arial" w:cs="Arial" w:eastAsia="Arial" w:hAnsi="Arial"/>
          <w:sz w:val="22"/>
          <w:szCs w:val="22"/>
          <w:color w:val="auto"/>
        </w:rPr>
        <w:t xml:space="preserve"> of the UCC), uncertificated securities (as defined in </w:t>
      </w:r>
      <w:r>
        <w:rPr>
          <w:rFonts w:ascii="Arial" w:cs="Arial" w:eastAsia="Arial" w:hAnsi="Arial"/>
          <w:sz w:val="22"/>
          <w:szCs w:val="22"/>
          <w:u w:val="single" w:color="auto"/>
          <w:color w:val="auto"/>
        </w:rPr>
        <w:t>Section 8-102(a)(18)</w:t>
      </w:r>
      <w:r>
        <w:rPr>
          <w:rFonts w:ascii="Arial" w:cs="Arial" w:eastAsia="Arial" w:hAnsi="Arial"/>
          <w:sz w:val="22"/>
          <w:szCs w:val="22"/>
          <w:color w:val="auto"/>
        </w:rPr>
        <w:t xml:space="preserve"> of the UCC), Certificated Securities or security entitlements to financial assets resulting from the crediting of financial assets to a “securities account” (as defined in </w:t>
      </w:r>
      <w:r>
        <w:rPr>
          <w:rFonts w:ascii="Arial" w:cs="Arial" w:eastAsia="Arial" w:hAnsi="Arial"/>
          <w:sz w:val="22"/>
          <w:szCs w:val="22"/>
          <w:u w:val="single" w:color="auto"/>
          <w:color w:val="auto"/>
        </w:rPr>
        <w:t>Section 8-501(a)</w:t>
      </w:r>
      <w:r>
        <w:rPr>
          <w:rFonts w:ascii="Arial" w:cs="Arial" w:eastAsia="Arial" w:hAnsi="Arial"/>
          <w:sz w:val="22"/>
          <w:szCs w:val="22"/>
          <w:color w:val="auto"/>
        </w:rPr>
        <w:t xml:space="preserve"> of the UCC);</w:t>
      </w:r>
    </w:p>
    <w:p>
      <w:pPr>
        <w:spacing w:after="0" w:line="295" w:lineRule="exact"/>
        <w:rPr>
          <w:rFonts w:ascii="Arial" w:cs="Arial" w:eastAsia="Arial" w:hAnsi="Arial"/>
          <w:sz w:val="22"/>
          <w:szCs w:val="22"/>
          <w:color w:val="auto"/>
        </w:rPr>
      </w:pPr>
    </w:p>
    <w:p>
      <w:pPr>
        <w:ind w:left="2180" w:hanging="640"/>
        <w:spacing w:after="0"/>
        <w:tabs>
          <w:tab w:leader="none" w:pos="218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all Covered Accounts constitute “securities accounts” under </w:t>
      </w:r>
      <w:r>
        <w:rPr>
          <w:rFonts w:ascii="Arial" w:cs="Arial" w:eastAsia="Arial" w:hAnsi="Arial"/>
          <w:sz w:val="19"/>
          <w:szCs w:val="19"/>
          <w:u w:val="single" w:color="auto"/>
          <w:color w:val="auto"/>
        </w:rPr>
        <w:t>Section 8-501(a)</w:t>
      </w:r>
      <w:r>
        <w:rPr>
          <w:rFonts w:ascii="Arial" w:cs="Arial" w:eastAsia="Arial" w:hAnsi="Arial"/>
          <w:sz w:val="19"/>
          <w:szCs w:val="19"/>
          <w:color w:val="auto"/>
        </w:rPr>
        <w:t xml:space="preserve"> of the UCC;</w:t>
      </w:r>
    </w:p>
    <w:p>
      <w:pPr>
        <w:spacing w:after="0" w:line="348" w:lineRule="exact"/>
        <w:rPr>
          <w:rFonts w:ascii="Arial" w:cs="Arial" w:eastAsia="Arial" w:hAnsi="Arial"/>
          <w:sz w:val="19"/>
          <w:szCs w:val="19"/>
          <w:color w:val="auto"/>
        </w:rPr>
      </w:pPr>
    </w:p>
    <w:p>
      <w:pPr>
        <w:jc w:val="both"/>
        <w:ind w:left="580" w:firstLine="1056"/>
        <w:spacing w:after="0" w:line="235" w:lineRule="auto"/>
        <w:tabs>
          <w:tab w:leader="none" w:pos="2304" w:val="left"/>
        </w:tabs>
        <w:numPr>
          <w:ilvl w:val="2"/>
          <w:numId w:val="143"/>
        </w:numPr>
        <w:rPr>
          <w:rFonts w:ascii="Arial" w:cs="Arial" w:eastAsia="Arial" w:hAnsi="Arial"/>
          <w:sz w:val="22"/>
          <w:szCs w:val="22"/>
          <w:color w:val="auto"/>
        </w:rPr>
      </w:pPr>
      <w:r>
        <w:rPr>
          <w:rFonts w:ascii="Arial" w:cs="Arial" w:eastAsia="Arial" w:hAnsi="Arial"/>
          <w:sz w:val="22"/>
          <w:szCs w:val="22"/>
          <w:color w:val="auto"/>
        </w:rPr>
        <w:t xml:space="preserve">this Agreement creates a valid, continuing and, upon Delivery of Collateral, filing of the financing statement referred to in clause (viii) and execution of the Account Control Agreement, perfected security interest (as defined in </w:t>
      </w:r>
      <w:r>
        <w:rPr>
          <w:rFonts w:ascii="Arial" w:cs="Arial" w:eastAsia="Arial" w:hAnsi="Arial"/>
          <w:sz w:val="22"/>
          <w:szCs w:val="22"/>
          <w:u w:val="single" w:color="auto"/>
          <w:color w:val="auto"/>
        </w:rPr>
        <w:t>Section 1-201(37)</w:t>
      </w:r>
      <w:r>
        <w:rPr>
          <w:rFonts w:ascii="Arial" w:cs="Arial" w:eastAsia="Arial" w:hAnsi="Arial"/>
          <w:sz w:val="22"/>
          <w:szCs w:val="22"/>
          <w:color w:val="auto"/>
        </w:rPr>
        <w:t xml:space="preserve">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295" w:lineRule="exact"/>
        <w:rPr>
          <w:rFonts w:ascii="Arial" w:cs="Arial" w:eastAsia="Arial" w:hAnsi="Arial"/>
          <w:sz w:val="22"/>
          <w:szCs w:val="22"/>
          <w:color w:val="auto"/>
        </w:rPr>
      </w:pPr>
    </w:p>
    <w:p>
      <w:pPr>
        <w:jc w:val="both"/>
        <w:ind w:left="580" w:firstLine="976"/>
        <w:spacing w:after="0"/>
        <w:tabs>
          <w:tab w:leader="none" w:pos="2247"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294" w:lineRule="exact"/>
        <w:rPr>
          <w:rFonts w:ascii="Arial" w:cs="Arial" w:eastAsia="Arial" w:hAnsi="Arial"/>
          <w:sz w:val="22"/>
          <w:szCs w:val="22"/>
          <w:color w:val="auto"/>
        </w:rPr>
      </w:pPr>
    </w:p>
    <w:p>
      <w:pPr>
        <w:ind w:left="580" w:right="20" w:firstLine="913"/>
        <w:spacing w:after="0" w:line="250" w:lineRule="auto"/>
        <w:tabs>
          <w:tab w:leader="none" w:pos="2239" w:val="left"/>
        </w:tabs>
        <w:numPr>
          <w:ilvl w:val="1"/>
          <w:numId w:val="143"/>
        </w:numPr>
        <w:rPr>
          <w:rFonts w:ascii="Arial" w:cs="Arial" w:eastAsia="Arial" w:hAnsi="Arial"/>
          <w:sz w:val="22"/>
          <w:szCs w:val="22"/>
          <w:color w:val="auto"/>
        </w:rPr>
      </w:pPr>
      <w:r>
        <w:rPr>
          <w:rFonts w:ascii="Arial" w:cs="Arial" w:eastAsia="Arial" w:hAnsi="Arial"/>
          <w:sz w:val="22"/>
          <w:szCs w:val="22"/>
          <w:color w:val="auto"/>
        </w:rPr>
        <w:t>with respect to the Collateral that constitutes Security Entitlements, all such Collateral has been and will have been credited to the Custodial Account; and</w:t>
      </w:r>
    </w:p>
    <w:p>
      <w:pPr>
        <w:spacing w:after="0" w:line="282" w:lineRule="exact"/>
        <w:rPr>
          <w:rFonts w:ascii="Arial" w:cs="Arial" w:eastAsia="Arial" w:hAnsi="Arial"/>
          <w:sz w:val="22"/>
          <w:szCs w:val="22"/>
          <w:color w:val="auto"/>
        </w:rPr>
      </w:pPr>
    </w:p>
    <w:p>
      <w:pPr>
        <w:jc w:val="both"/>
        <w:ind w:left="580" w:firstLine="852"/>
        <w:spacing w:after="0"/>
        <w:tabs>
          <w:tab w:leader="none" w:pos="221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with respect to Collateral that constitutes accounts or general intangibles, the Borrower has caused or will have caused, on or prior to the Closing Date, the filing of all appropriate financing statements in the proper filing</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0120"/>
          </w:cols>
          <w:pgMar w:left="1440" w:top="267" w:right="339" w:bottom="1440" w:gutter="0" w:footer="0" w:header="0"/>
        </w:sectPr>
      </w:pPr>
    </w:p>
    <w:bookmarkStart w:id="121" w:name="page122"/>
    <w:bookmarkEnd w:id="121"/>
    <w:p>
      <w:pPr>
        <w:jc w:val="both"/>
        <w:ind w:left="17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294" w:lineRule="exact"/>
        <w:rPr>
          <w:sz w:val="20"/>
          <w:szCs w:val="20"/>
          <w:color w:val="auto"/>
        </w:rPr>
      </w:pPr>
    </w:p>
    <w:p>
      <w:pPr>
        <w:jc w:val="both"/>
        <w:ind w:firstLine="562"/>
        <w:spacing w:after="0"/>
        <w:rPr>
          <w:sz w:val="20"/>
          <w:szCs w:val="20"/>
          <w:color w:val="auto"/>
        </w:rPr>
      </w:pPr>
      <w:r>
        <w:rPr>
          <w:rFonts w:ascii="Arial" w:cs="Arial" w:eastAsia="Arial" w:hAnsi="Arial"/>
          <w:sz w:val="22"/>
          <w:szCs w:val="22"/>
          <w:i w:val="1"/>
          <w:iCs w:val="1"/>
          <w:color w:val="auto"/>
        </w:rPr>
        <w:t>Section 4.02. Representations and Warranties of the Collateral Manager</w:t>
      </w:r>
      <w:r>
        <w:rPr>
          <w:rFonts w:ascii="Arial" w:cs="Arial" w:eastAsia="Arial" w:hAnsi="Arial"/>
          <w:sz w:val="22"/>
          <w:szCs w:val="22"/>
          <w:color w:val="auto"/>
        </w:rPr>
        <w:t>. The Collateral Manager represents and</w:t>
      </w:r>
      <w:r>
        <w:rPr>
          <w:rFonts w:ascii="Arial" w:cs="Arial" w:eastAsia="Arial" w:hAnsi="Arial"/>
          <w:sz w:val="22"/>
          <w:szCs w:val="22"/>
          <w:i w:val="1"/>
          <w:iCs w:val="1"/>
          <w:color w:val="auto"/>
        </w:rPr>
        <w:t xml:space="preserve"> </w:t>
      </w:r>
      <w:r>
        <w:rPr>
          <w:rFonts w:ascii="Arial" w:cs="Arial" w:eastAsia="Arial" w:hAnsi="Arial"/>
          <w:sz w:val="22"/>
          <w:szCs w:val="22"/>
          <w:color w:val="auto"/>
        </w:rPr>
        <w:t>warrants to each of the Secured Parties on and as of each Measurement Date (and in respect of clause (i) below, each date such information is provided by or on behalf of it), as follows:</w:t>
      </w:r>
    </w:p>
    <w:p>
      <w:pPr>
        <w:spacing w:after="0" w:line="294" w:lineRule="exact"/>
        <w:rPr>
          <w:sz w:val="20"/>
          <w:szCs w:val="20"/>
          <w:color w:val="auto"/>
        </w:rPr>
      </w:pPr>
    </w:p>
    <w:p>
      <w:pPr>
        <w:jc w:val="both"/>
        <w:ind w:left="800" w:firstLine="934"/>
        <w:spacing w:after="0" w:line="238" w:lineRule="auto"/>
        <w:tabs>
          <w:tab w:leader="none" w:pos="2358" w:val="left"/>
        </w:tabs>
        <w:numPr>
          <w:ilvl w:val="1"/>
          <w:numId w:val="144"/>
        </w:numPr>
        <w:rPr>
          <w:rFonts w:ascii="Arial" w:cs="Arial" w:eastAsia="Arial" w:hAnsi="Arial"/>
          <w:sz w:val="22"/>
          <w:szCs w:val="22"/>
          <w:color w:val="auto"/>
        </w:rPr>
      </w:pPr>
      <w:r>
        <w:rPr>
          <w:rFonts w:ascii="Arial" w:cs="Arial" w:eastAsia="Arial" w:hAnsi="Arial"/>
          <w:sz w:val="22"/>
          <w:szCs w:val="22"/>
          <w:i w:val="1"/>
          <w:iCs w:val="1"/>
          <w:color w:val="auto"/>
        </w:rPr>
        <w:t>Due Organization</w:t>
      </w:r>
      <w:r>
        <w:rPr>
          <w:rFonts w:ascii="Arial" w:cs="Arial" w:eastAsia="Arial" w:hAnsi="Arial"/>
          <w:sz w:val="22"/>
          <w:szCs w:val="22"/>
          <w:color w:val="auto"/>
        </w:rPr>
        <w:t>. The Collateral Manager is a limited liability company duly organized and validly</w:t>
      </w:r>
      <w:r>
        <w:rPr>
          <w:rFonts w:ascii="Arial" w:cs="Arial" w:eastAsia="Arial" w:hAnsi="Arial"/>
          <w:sz w:val="22"/>
          <w:szCs w:val="22"/>
          <w:i w:val="1"/>
          <w:iCs w:val="1"/>
          <w:color w:val="auto"/>
        </w:rPr>
        <w:t xml:space="preserve"> </w:t>
      </w:r>
      <w:r>
        <w:rPr>
          <w:rFonts w:ascii="Arial" w:cs="Arial" w:eastAsia="Arial" w:hAnsi="Arial"/>
          <w:sz w:val="22"/>
          <w:szCs w:val="22"/>
          <w:color w:val="auto"/>
        </w:rPr>
        <w:t>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292" w:lineRule="exact"/>
        <w:rPr>
          <w:rFonts w:ascii="Arial" w:cs="Arial" w:eastAsia="Arial" w:hAnsi="Arial"/>
          <w:sz w:val="22"/>
          <w:szCs w:val="22"/>
          <w:color w:val="auto"/>
        </w:rPr>
      </w:pPr>
    </w:p>
    <w:p>
      <w:pPr>
        <w:jc w:val="both"/>
        <w:ind w:left="800" w:firstLine="934"/>
        <w:spacing w:after="0" w:line="248" w:lineRule="auto"/>
        <w:tabs>
          <w:tab w:leader="none" w:pos="2437" w:val="left"/>
        </w:tabs>
        <w:numPr>
          <w:ilvl w:val="1"/>
          <w:numId w:val="144"/>
        </w:numPr>
        <w:rPr>
          <w:rFonts w:ascii="Arial" w:cs="Arial" w:eastAsia="Arial" w:hAnsi="Arial"/>
          <w:sz w:val="21"/>
          <w:szCs w:val="21"/>
          <w:color w:val="auto"/>
        </w:rPr>
      </w:pPr>
      <w:r>
        <w:rPr>
          <w:rFonts w:ascii="Arial" w:cs="Arial" w:eastAsia="Arial" w:hAnsi="Arial"/>
          <w:sz w:val="21"/>
          <w:szCs w:val="21"/>
          <w:i w:val="1"/>
          <w:iCs w:val="1"/>
          <w:color w:val="auto"/>
        </w:rPr>
        <w:t>Due Qualification and Good Standing</w:t>
      </w:r>
      <w:r>
        <w:rPr>
          <w:rFonts w:ascii="Arial" w:cs="Arial" w:eastAsia="Arial" w:hAnsi="Arial"/>
          <w:sz w:val="21"/>
          <w:szCs w:val="21"/>
          <w:color w:val="auto"/>
        </w:rPr>
        <w:t>. The Collateral Manager is in good standing in the State of</w:t>
      </w:r>
      <w:r>
        <w:rPr>
          <w:rFonts w:ascii="Arial" w:cs="Arial" w:eastAsia="Arial" w:hAnsi="Arial"/>
          <w:sz w:val="21"/>
          <w:szCs w:val="21"/>
          <w:i w:val="1"/>
          <w:iCs w:val="1"/>
          <w:color w:val="auto"/>
        </w:rPr>
        <w:t xml:space="preserve"> </w:t>
      </w:r>
      <w:r>
        <w:rPr>
          <w:rFonts w:ascii="Arial" w:cs="Arial" w:eastAsia="Arial" w:hAnsi="Arial"/>
          <w:sz w:val="21"/>
          <w:szCs w:val="21"/>
          <w:color w:val="auto"/>
        </w:rPr>
        <w:t>Delaware. The Collateral Manager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284" w:lineRule="exact"/>
        <w:rPr>
          <w:rFonts w:ascii="Arial" w:cs="Arial" w:eastAsia="Arial" w:hAnsi="Arial"/>
          <w:sz w:val="21"/>
          <w:szCs w:val="21"/>
          <w:color w:val="auto"/>
        </w:rPr>
      </w:pPr>
    </w:p>
    <w:p>
      <w:pPr>
        <w:jc w:val="both"/>
        <w:ind w:left="800" w:firstLine="934"/>
        <w:spacing w:after="0" w:line="246" w:lineRule="auto"/>
        <w:tabs>
          <w:tab w:leader="none" w:pos="2344" w:val="left"/>
        </w:tabs>
        <w:numPr>
          <w:ilvl w:val="1"/>
          <w:numId w:val="144"/>
        </w:numPr>
        <w:rPr>
          <w:rFonts w:ascii="Arial" w:cs="Arial" w:eastAsia="Arial" w:hAnsi="Arial"/>
          <w:sz w:val="21"/>
          <w:szCs w:val="21"/>
          <w:color w:val="auto"/>
        </w:rPr>
      </w:pPr>
      <w:r>
        <w:rPr>
          <w:rFonts w:ascii="Arial" w:cs="Arial" w:eastAsia="Arial" w:hAnsi="Arial"/>
          <w:sz w:val="21"/>
          <w:szCs w:val="21"/>
          <w:i w:val="1"/>
          <w:iCs w:val="1"/>
          <w:color w:val="auto"/>
        </w:rPr>
        <w:t>Due Authorization; Execution and Delivery; Legal, Valid and Binding; Enforceability</w:t>
      </w:r>
      <w:r>
        <w:rPr>
          <w:rFonts w:ascii="Arial" w:cs="Arial" w:eastAsia="Arial" w:hAnsi="Arial"/>
          <w:sz w:val="21"/>
          <w:szCs w:val="21"/>
          <w:color w:val="auto"/>
        </w:rPr>
        <w:t>. The execution</w:t>
      </w:r>
      <w:r>
        <w:rPr>
          <w:rFonts w:ascii="Arial" w:cs="Arial" w:eastAsia="Arial" w:hAnsi="Arial"/>
          <w:sz w:val="21"/>
          <w:szCs w:val="21"/>
          <w:i w:val="1"/>
          <w:iCs w:val="1"/>
          <w:color w:val="auto"/>
        </w:rPr>
        <w:t xml:space="preserve"> </w:t>
      </w:r>
      <w:r>
        <w:rPr>
          <w:rFonts w:ascii="Arial" w:cs="Arial" w:eastAsia="Arial" w:hAnsi="Arial"/>
          <w:sz w:val="21"/>
          <w:szCs w:val="21"/>
          <w:color w:val="auto"/>
        </w:rPr>
        <w:t>and delivery by the Collateral Manager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287" w:lineRule="exact"/>
        <w:rPr>
          <w:rFonts w:ascii="Arial" w:cs="Arial" w:eastAsia="Arial" w:hAnsi="Arial"/>
          <w:sz w:val="21"/>
          <w:szCs w:val="21"/>
          <w:color w:val="auto"/>
        </w:rPr>
      </w:pPr>
    </w:p>
    <w:p>
      <w:pPr>
        <w:jc w:val="both"/>
        <w:ind w:left="800" w:firstLine="934"/>
        <w:spacing w:after="0" w:line="271" w:lineRule="auto"/>
        <w:tabs>
          <w:tab w:leader="none" w:pos="2343" w:val="left"/>
        </w:tabs>
        <w:numPr>
          <w:ilvl w:val="1"/>
          <w:numId w:val="144"/>
        </w:numPr>
        <w:rPr>
          <w:rFonts w:ascii="Arial" w:cs="Arial" w:eastAsia="Arial" w:hAnsi="Arial"/>
          <w:sz w:val="19"/>
          <w:szCs w:val="19"/>
          <w:color w:val="auto"/>
        </w:rPr>
      </w:pPr>
      <w:r>
        <w:rPr>
          <w:rFonts w:ascii="Arial" w:cs="Arial" w:eastAsia="Arial" w:hAnsi="Arial"/>
          <w:sz w:val="19"/>
          <w:szCs w:val="19"/>
          <w:i w:val="1"/>
          <w:iCs w:val="1"/>
          <w:color w:val="auto"/>
        </w:rPr>
        <w:t>Non-Contravention</w:t>
      </w:r>
      <w:r>
        <w:rPr>
          <w:rFonts w:ascii="Arial" w:cs="Arial" w:eastAsia="Arial" w:hAnsi="Arial"/>
          <w:sz w:val="19"/>
          <w:szCs w:val="19"/>
          <w:color w:val="auto"/>
        </w:rPr>
        <w:t>. None of the execution and delivery by the Collateral Manager of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or the other Facility Documents 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w:t>
      </w:r>
    </w:p>
    <w:p>
      <w:pPr>
        <w:spacing w:after="0" w:line="3" w:lineRule="exact"/>
        <w:rPr>
          <w:rFonts w:ascii="Arial" w:cs="Arial" w:eastAsia="Arial" w:hAnsi="Arial"/>
          <w:sz w:val="19"/>
          <w:szCs w:val="19"/>
          <w:color w:val="auto"/>
        </w:rPr>
      </w:pPr>
    </w:p>
    <w:p>
      <w:pPr>
        <w:jc w:val="both"/>
        <w:ind w:left="800" w:hanging="6"/>
        <w:spacing w:after="0" w:line="233" w:lineRule="auto"/>
        <w:tabs>
          <w:tab w:leader="none" w:pos="116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267" w:right="339" w:bottom="1440" w:gutter="0" w:footer="0" w:header="0"/>
        </w:sectPr>
      </w:pPr>
    </w:p>
    <w:bookmarkStart w:id="122" w:name="page123"/>
    <w:bookmarkEnd w:id="122"/>
    <w:p>
      <w:pPr>
        <w:jc w:val="both"/>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255" w:lineRule="exact"/>
        <w:rPr>
          <w:sz w:val="20"/>
          <w:szCs w:val="20"/>
          <w:color w:val="auto"/>
        </w:rPr>
      </w:pPr>
    </w:p>
    <w:p>
      <w:pPr>
        <w:jc w:val="both"/>
        <w:ind w:firstLine="934"/>
        <w:spacing w:after="0" w:line="274" w:lineRule="auto"/>
        <w:tabs>
          <w:tab w:leader="none" w:pos="1828" w:val="left"/>
        </w:tabs>
        <w:numPr>
          <w:ilvl w:val="0"/>
          <w:numId w:val="146"/>
        </w:numPr>
        <w:rPr>
          <w:rFonts w:ascii="Arial" w:cs="Arial" w:eastAsia="Arial" w:hAnsi="Arial"/>
          <w:sz w:val="19"/>
          <w:szCs w:val="19"/>
          <w:color w:val="auto"/>
        </w:rPr>
      </w:pPr>
      <w:r>
        <w:rPr>
          <w:rFonts w:ascii="Arial" w:cs="Arial" w:eastAsia="Arial" w:hAnsi="Arial"/>
          <w:sz w:val="19"/>
          <w:szCs w:val="19"/>
          <w:i w:val="1"/>
          <w:iCs w:val="1"/>
          <w:color w:val="auto"/>
        </w:rPr>
        <w:t>Governmental Authorizations; Private Authorizations; Governmental Filings</w:t>
      </w:r>
      <w:r>
        <w:rPr>
          <w:rFonts w:ascii="Arial" w:cs="Arial" w:eastAsia="Arial" w:hAnsi="Arial"/>
          <w:sz w:val="19"/>
          <w:szCs w:val="19"/>
          <w:color w:val="auto"/>
        </w:rPr>
        <w:t>. The Collateral</w:t>
      </w:r>
      <w:r>
        <w:rPr>
          <w:rFonts w:ascii="Arial" w:cs="Arial" w:eastAsia="Arial" w:hAnsi="Arial"/>
          <w:sz w:val="19"/>
          <w:szCs w:val="19"/>
          <w:i w:val="1"/>
          <w:iCs w:val="1"/>
          <w:color w:val="auto"/>
        </w:rPr>
        <w:t xml:space="preserve"> </w:t>
      </w:r>
      <w:r>
        <w:rPr>
          <w:rFonts w:ascii="Arial" w:cs="Arial" w:eastAsia="Arial" w:hAnsi="Arial"/>
          <w:sz w:val="19"/>
          <w:szCs w:val="19"/>
          <w:color w:val="auto"/>
        </w:rPr>
        <w:t>Manager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266" w:lineRule="exact"/>
        <w:rPr>
          <w:rFonts w:ascii="Arial" w:cs="Arial" w:eastAsia="Arial" w:hAnsi="Arial"/>
          <w:sz w:val="19"/>
          <w:szCs w:val="19"/>
          <w:color w:val="auto"/>
        </w:rPr>
      </w:pPr>
    </w:p>
    <w:p>
      <w:pPr>
        <w:jc w:val="both"/>
        <w:ind w:firstLine="934"/>
        <w:spacing w:after="0" w:line="272" w:lineRule="auto"/>
        <w:tabs>
          <w:tab w:leader="none" w:pos="1507" w:val="left"/>
        </w:tabs>
        <w:numPr>
          <w:ilvl w:val="0"/>
          <w:numId w:val="146"/>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Agreements, Laws, Etc. </w:t>
      </w:r>
      <w:r>
        <w:rPr>
          <w:rFonts w:ascii="Arial" w:cs="Arial" w:eastAsia="Arial" w:hAnsi="Arial"/>
          <w:sz w:val="19"/>
          <w:szCs w:val="19"/>
          <w:color w:val="auto"/>
        </w:rPr>
        <w:t>The Collateral Manager has duly observed and complied in</w:t>
      </w:r>
      <w:r>
        <w:rPr>
          <w:rFonts w:ascii="Arial" w:cs="Arial" w:eastAsia="Arial" w:hAnsi="Arial"/>
          <w:sz w:val="19"/>
          <w:szCs w:val="19"/>
          <w:i w:val="1"/>
          <w:iCs w:val="1"/>
          <w:color w:val="auto"/>
        </w:rPr>
        <w:t xml:space="preserve"> </w:t>
      </w:r>
      <w:r>
        <w:rPr>
          <w:rFonts w:ascii="Arial" w:cs="Arial" w:eastAsia="Arial" w:hAnsi="Arial"/>
          <w:sz w:val="19"/>
          <w:szCs w:val="19"/>
          <w:color w:val="auto"/>
        </w:rPr>
        <w:t>all material respects with all Applicable Laws, including the 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 (z) 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spacing w:after="0" w:line="268" w:lineRule="exact"/>
        <w:rPr>
          <w:rFonts w:ascii="Arial" w:cs="Arial" w:eastAsia="Arial" w:hAnsi="Arial"/>
          <w:sz w:val="19"/>
          <w:szCs w:val="19"/>
          <w:color w:val="auto"/>
        </w:rPr>
      </w:pPr>
    </w:p>
    <w:p>
      <w:pPr>
        <w:jc w:val="both"/>
        <w:ind w:firstLine="934"/>
        <w:spacing w:after="0" w:line="238" w:lineRule="auto"/>
        <w:tabs>
          <w:tab w:leader="none" w:pos="1543" w:val="left"/>
        </w:tabs>
        <w:numPr>
          <w:ilvl w:val="0"/>
          <w:numId w:val="146"/>
        </w:numPr>
        <w:rPr>
          <w:rFonts w:ascii="Arial" w:cs="Arial" w:eastAsia="Arial" w:hAnsi="Arial"/>
          <w:sz w:val="22"/>
          <w:szCs w:val="22"/>
          <w:color w:val="auto"/>
        </w:rPr>
      </w:pPr>
      <w:r>
        <w:rPr>
          <w:rFonts w:ascii="Arial" w:cs="Arial" w:eastAsia="Arial" w:hAnsi="Arial"/>
          <w:sz w:val="22"/>
          <w:szCs w:val="22"/>
          <w:i w:val="1"/>
          <w:iCs w:val="1"/>
          <w:color w:val="auto"/>
        </w:rPr>
        <w:t>Location of Records</w:t>
      </w:r>
      <w:r>
        <w:rPr>
          <w:rFonts w:ascii="Arial" w:cs="Arial" w:eastAsia="Arial" w:hAnsi="Arial"/>
          <w:sz w:val="22"/>
          <w:szCs w:val="22"/>
          <w:color w:val="auto"/>
        </w:rPr>
        <w:t>. The Collateral Manager’s chief place of business, its chief executive office 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office in which the Collateral Manager maintains its books and records are located in the State of New York. The Collateral Manager’s registered office and the jurisdiction of organization of the Collateral Manager is the jurisdiction referred to in </w:t>
      </w:r>
      <w:r>
        <w:rPr>
          <w:rFonts w:ascii="Arial" w:cs="Arial" w:eastAsia="Arial" w:hAnsi="Arial"/>
          <w:sz w:val="22"/>
          <w:szCs w:val="22"/>
          <w:u w:val="single" w:color="auto"/>
          <w:color w:val="auto"/>
        </w:rPr>
        <w:t>Section 4.02(a)</w:t>
      </w:r>
      <w:r>
        <w:rPr>
          <w:rFonts w:ascii="Arial" w:cs="Arial" w:eastAsia="Arial" w:hAnsi="Arial"/>
          <w:sz w:val="22"/>
          <w:szCs w:val="22"/>
          <w:color w:val="auto"/>
        </w:rPr>
        <w:t>.</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0440"/>
          </w:cols>
          <w:pgMar w:left="1120" w:top="267" w:right="339" w:bottom="1440" w:gutter="0" w:footer="0" w:header="0"/>
        </w:sectPr>
      </w:pPr>
    </w:p>
    <w:bookmarkStart w:id="123" w:name="page124"/>
    <w:bookmarkEnd w:id="123"/>
    <w:p>
      <w:pPr>
        <w:ind w:left="800" w:firstLine="934"/>
        <w:spacing w:after="0" w:line="250" w:lineRule="auto"/>
        <w:tabs>
          <w:tab w:leader="none" w:pos="2383" w:val="left"/>
        </w:tabs>
        <w:numPr>
          <w:ilvl w:val="0"/>
          <w:numId w:val="147"/>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Company Act</w:t>
      </w:r>
      <w:r>
        <w:rPr>
          <w:rFonts w:ascii="Arial" w:cs="Arial" w:eastAsia="Arial" w:hAnsi="Arial"/>
          <w:sz w:val="22"/>
          <w:szCs w:val="22"/>
          <w:color w:val="auto"/>
        </w:rPr>
        <w:t>. The Collateral Manager is registered as an “investment company”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the Investment Company Act.</w:t>
      </w:r>
    </w:p>
    <w:p>
      <w:pPr>
        <w:spacing w:after="0" w:line="282" w:lineRule="exact"/>
        <w:rPr>
          <w:rFonts w:ascii="Arial" w:cs="Arial" w:eastAsia="Arial" w:hAnsi="Arial"/>
          <w:sz w:val="22"/>
          <w:szCs w:val="22"/>
          <w:color w:val="auto"/>
        </w:rPr>
      </w:pPr>
    </w:p>
    <w:p>
      <w:pPr>
        <w:jc w:val="both"/>
        <w:ind w:left="800" w:firstLine="934"/>
        <w:spacing w:after="0" w:line="246" w:lineRule="auto"/>
        <w:tabs>
          <w:tab w:leader="none" w:pos="2430" w:val="left"/>
        </w:tabs>
        <w:numPr>
          <w:ilvl w:val="0"/>
          <w:numId w:val="147"/>
        </w:numPr>
        <w:rPr>
          <w:rFonts w:ascii="Arial" w:cs="Arial" w:eastAsia="Arial" w:hAnsi="Arial"/>
          <w:sz w:val="21"/>
          <w:szCs w:val="21"/>
          <w:color w:val="auto"/>
        </w:rPr>
      </w:pPr>
      <w:r>
        <w:rPr>
          <w:rFonts w:ascii="Arial" w:cs="Arial" w:eastAsia="Arial" w:hAnsi="Arial"/>
          <w:sz w:val="21"/>
          <w:szCs w:val="21"/>
          <w:i w:val="1"/>
          <w:iCs w:val="1"/>
          <w:color w:val="auto"/>
        </w:rPr>
        <w:t>Information and Reports</w:t>
      </w:r>
      <w:r>
        <w:rPr>
          <w:rFonts w:ascii="Arial" w:cs="Arial" w:eastAsia="Arial" w:hAnsi="Arial"/>
          <w:sz w:val="21"/>
          <w:szCs w:val="21"/>
          <w:color w:val="auto"/>
        </w:rPr>
        <w:t>. Each Notice of Borrowing, each Monthly Report, each Payment Date</w:t>
      </w:r>
      <w:r>
        <w:rPr>
          <w:rFonts w:ascii="Arial" w:cs="Arial" w:eastAsia="Arial" w:hAnsi="Arial"/>
          <w:sz w:val="21"/>
          <w:szCs w:val="21"/>
          <w:i w:val="1"/>
          <w:iCs w:val="1"/>
          <w:color w:val="auto"/>
        </w:rPr>
        <w:t xml:space="preserve"> </w:t>
      </w:r>
      <w:r>
        <w:rPr>
          <w:rFonts w:ascii="Arial" w:cs="Arial" w:eastAsia="Arial" w:hAnsi="Arial"/>
          <w:sz w:val="21"/>
          <w:szCs w:val="21"/>
          <w:color w:val="auto"/>
        </w:rPr>
        <w:t>Report and all other written information, reports, certificates and statements (other than projections and forward-looking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Collateral Manager were prepared reasonably and in good faith as the date stated herein or as of which they were provided.</w:t>
      </w:r>
    </w:p>
    <w:p>
      <w:pPr>
        <w:spacing w:after="0" w:line="292" w:lineRule="exact"/>
        <w:rPr>
          <w:rFonts w:ascii="Arial" w:cs="Arial" w:eastAsia="Arial" w:hAnsi="Arial"/>
          <w:sz w:val="21"/>
          <w:szCs w:val="21"/>
          <w:color w:val="auto"/>
        </w:rPr>
      </w:pPr>
    </w:p>
    <w:p>
      <w:pPr>
        <w:ind w:left="800" w:firstLine="934"/>
        <w:spacing w:after="0" w:line="250" w:lineRule="auto"/>
        <w:tabs>
          <w:tab w:leader="none" w:pos="2295" w:val="left"/>
        </w:tabs>
        <w:numPr>
          <w:ilvl w:val="0"/>
          <w:numId w:val="147"/>
        </w:numPr>
        <w:rPr>
          <w:rFonts w:ascii="Arial" w:cs="Arial" w:eastAsia="Arial" w:hAnsi="Arial"/>
          <w:sz w:val="22"/>
          <w:szCs w:val="22"/>
          <w:color w:val="auto"/>
        </w:rPr>
      </w:pPr>
      <w:r>
        <w:rPr>
          <w:rFonts w:ascii="Arial" w:cs="Arial" w:eastAsia="Arial" w:hAnsi="Arial"/>
          <w:sz w:val="22"/>
          <w:szCs w:val="22"/>
          <w:i w:val="1"/>
          <w:iCs w:val="1"/>
          <w:color w:val="auto"/>
        </w:rPr>
        <w:t>ERISA</w:t>
      </w:r>
      <w:r>
        <w:rPr>
          <w:rFonts w:ascii="Arial" w:cs="Arial" w:eastAsia="Arial" w:hAnsi="Arial"/>
          <w:sz w:val="22"/>
          <w:szCs w:val="22"/>
          <w:color w:val="auto"/>
        </w:rPr>
        <w:t>. Neither the Collateral Manager nor any member of the ERISA Group has, or during the past</w:t>
      </w:r>
      <w:r>
        <w:rPr>
          <w:rFonts w:ascii="Arial" w:cs="Arial" w:eastAsia="Arial" w:hAnsi="Arial"/>
          <w:sz w:val="22"/>
          <w:szCs w:val="22"/>
          <w:i w:val="1"/>
          <w:iCs w:val="1"/>
          <w:color w:val="auto"/>
        </w:rPr>
        <w:t xml:space="preserve"> </w:t>
      </w:r>
      <w:r>
        <w:rPr>
          <w:rFonts w:ascii="Arial" w:cs="Arial" w:eastAsia="Arial" w:hAnsi="Arial"/>
          <w:sz w:val="22"/>
          <w:szCs w:val="22"/>
          <w:color w:val="auto"/>
        </w:rPr>
        <w:t>five years had, any liability or obligation with respect to any Plan or Multiemployer Plan.</w:t>
      </w:r>
    </w:p>
    <w:p>
      <w:pPr>
        <w:spacing w:after="0" w:line="282" w:lineRule="exact"/>
        <w:rPr>
          <w:rFonts w:ascii="Arial" w:cs="Arial" w:eastAsia="Arial" w:hAnsi="Arial"/>
          <w:sz w:val="22"/>
          <w:szCs w:val="22"/>
          <w:color w:val="auto"/>
        </w:rPr>
      </w:pPr>
    </w:p>
    <w:p>
      <w:pPr>
        <w:jc w:val="both"/>
        <w:ind w:left="800" w:firstLine="934"/>
        <w:spacing w:after="0"/>
        <w:tabs>
          <w:tab w:leader="none" w:pos="2397" w:val="left"/>
        </w:tabs>
        <w:numPr>
          <w:ilvl w:val="0"/>
          <w:numId w:val="147"/>
        </w:numPr>
        <w:rPr>
          <w:rFonts w:ascii="Arial" w:cs="Arial" w:eastAsia="Arial" w:hAnsi="Arial"/>
          <w:sz w:val="22"/>
          <w:szCs w:val="22"/>
          <w:color w:val="auto"/>
        </w:rPr>
      </w:pPr>
      <w:r>
        <w:rPr>
          <w:rFonts w:ascii="Arial" w:cs="Arial" w:eastAsia="Arial" w:hAnsi="Arial"/>
          <w:sz w:val="22"/>
          <w:szCs w:val="22"/>
          <w:i w:val="1"/>
          <w:iCs w:val="1"/>
          <w:color w:val="auto"/>
        </w:rPr>
        <w:t>Taxes</w:t>
      </w:r>
      <w:r>
        <w:rPr>
          <w:rFonts w:ascii="Arial" w:cs="Arial" w:eastAsia="Arial" w:hAnsi="Arial"/>
          <w:sz w:val="22"/>
          <w:szCs w:val="22"/>
          <w:color w:val="auto"/>
        </w:rPr>
        <w:t>. The Collateral Manager has filed all income tax returns and all other tax returns which are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to be filed by it, if any, and has paid all taxes shown to be due and payable on such returns, if any, or pursuant to any assessment received by any such Person.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V</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OVENANTS</w:t>
      </w:r>
    </w:p>
    <w:p>
      <w:pPr>
        <w:spacing w:after="0" w:line="320" w:lineRule="exact"/>
        <w:rPr>
          <w:sz w:val="20"/>
          <w:szCs w:val="20"/>
          <w:color w:val="auto"/>
        </w:rPr>
      </w:pPr>
    </w:p>
    <w:p>
      <w:pPr>
        <w:ind w:right="20" w:firstLine="562"/>
        <w:spacing w:after="0" w:line="250" w:lineRule="auto"/>
        <w:rPr>
          <w:sz w:val="20"/>
          <w:szCs w:val="20"/>
          <w:color w:val="auto"/>
        </w:rPr>
      </w:pPr>
      <w:r>
        <w:rPr>
          <w:rFonts w:ascii="Arial" w:cs="Arial" w:eastAsia="Arial" w:hAnsi="Arial"/>
          <w:sz w:val="22"/>
          <w:szCs w:val="22"/>
          <w:i w:val="1"/>
          <w:iCs w:val="1"/>
          <w:color w:val="auto"/>
        </w:rPr>
        <w:t>Section 5.01. Affirmative Covenants of the Borrower</w:t>
      </w:r>
      <w:r>
        <w:rPr>
          <w:rFonts w:ascii="Arial" w:cs="Arial" w:eastAsia="Arial" w:hAnsi="Arial"/>
          <w:sz w:val="22"/>
          <w:szCs w:val="22"/>
          <w:color w:val="auto"/>
        </w:rPr>
        <w:t>. The Borrower covenants and agrees that, until the Final Maturity</w:t>
      </w:r>
      <w:r>
        <w:rPr>
          <w:rFonts w:ascii="Arial" w:cs="Arial" w:eastAsia="Arial" w:hAnsi="Arial"/>
          <w:sz w:val="22"/>
          <w:szCs w:val="22"/>
          <w:i w:val="1"/>
          <w:iCs w:val="1"/>
          <w:color w:val="auto"/>
        </w:rPr>
        <w:t xml:space="preserve"> </w:t>
      </w:r>
      <w:r>
        <w:rPr>
          <w:rFonts w:ascii="Arial" w:cs="Arial" w:eastAsia="Arial" w:hAnsi="Arial"/>
          <w:sz w:val="22"/>
          <w:szCs w:val="22"/>
          <w:color w:val="auto"/>
        </w:rPr>
        <w:t>Date (and thereafter until the date that all Obligations have been paid in full):</w:t>
      </w:r>
    </w:p>
    <w:p>
      <w:pPr>
        <w:spacing w:after="0" w:line="283" w:lineRule="exact"/>
        <w:rPr>
          <w:sz w:val="20"/>
          <w:szCs w:val="20"/>
          <w:color w:val="auto"/>
        </w:rPr>
      </w:pPr>
    </w:p>
    <w:p>
      <w:pPr>
        <w:jc w:val="both"/>
        <w:ind w:left="800" w:firstLine="934"/>
        <w:spacing w:after="0" w:line="245" w:lineRule="auto"/>
        <w:tabs>
          <w:tab w:leader="none" w:pos="2317" w:val="left"/>
        </w:tabs>
        <w:numPr>
          <w:ilvl w:val="0"/>
          <w:numId w:val="148"/>
        </w:numPr>
        <w:rPr>
          <w:rFonts w:ascii="Arial" w:cs="Arial" w:eastAsia="Arial" w:hAnsi="Arial"/>
          <w:sz w:val="21"/>
          <w:szCs w:val="21"/>
          <w:color w:val="auto"/>
        </w:rPr>
      </w:pPr>
      <w:r>
        <w:rPr>
          <w:rFonts w:ascii="Arial" w:cs="Arial" w:eastAsia="Arial" w:hAnsi="Arial"/>
          <w:sz w:val="21"/>
          <w:szCs w:val="21"/>
          <w:i w:val="1"/>
          <w:iCs w:val="1"/>
          <w:color w:val="auto"/>
        </w:rPr>
        <w:t>Compliance with Agreements, Laws, Etc</w:t>
      </w:r>
      <w:r>
        <w:rPr>
          <w:rFonts w:ascii="Arial" w:cs="Arial" w:eastAsia="Arial" w:hAnsi="Arial"/>
          <w:sz w:val="21"/>
          <w:szCs w:val="21"/>
          <w:color w:val="auto"/>
        </w:rPr>
        <w:t>. It shall (i) duly observe, comply in all material respects with</w:t>
      </w:r>
      <w:r>
        <w:rPr>
          <w:rFonts w:ascii="Arial" w:cs="Arial" w:eastAsia="Arial" w:hAnsi="Arial"/>
          <w:sz w:val="21"/>
          <w:szCs w:val="21"/>
          <w:i w:val="1"/>
          <w:iCs w:val="1"/>
          <w:color w:val="auto"/>
        </w:rPr>
        <w:t xml:space="preserve"> </w:t>
      </w:r>
      <w:r>
        <w:rPr>
          <w:rFonts w:ascii="Arial" w:cs="Arial" w:eastAsia="Arial" w:hAnsi="Arial"/>
          <w:sz w:val="21"/>
          <w:szCs w:val="21"/>
          <w:color w:val="auto"/>
        </w:rPr>
        <w:t>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292" w:lineRule="exact"/>
        <w:rPr>
          <w:rFonts w:ascii="Arial" w:cs="Arial" w:eastAsia="Arial" w:hAnsi="Arial"/>
          <w:sz w:val="21"/>
          <w:szCs w:val="21"/>
          <w:color w:val="auto"/>
        </w:rPr>
      </w:pPr>
    </w:p>
    <w:p>
      <w:pPr>
        <w:jc w:val="both"/>
        <w:ind w:left="800" w:firstLine="934"/>
        <w:spacing w:after="0"/>
        <w:tabs>
          <w:tab w:leader="none" w:pos="2464" w:val="left"/>
        </w:tabs>
        <w:numPr>
          <w:ilvl w:val="0"/>
          <w:numId w:val="148"/>
        </w:numPr>
        <w:rPr>
          <w:rFonts w:ascii="Arial" w:cs="Arial" w:eastAsia="Arial" w:hAnsi="Arial"/>
          <w:sz w:val="22"/>
          <w:szCs w:val="22"/>
          <w:color w:val="auto"/>
        </w:rPr>
      </w:pPr>
      <w:r>
        <w:rPr>
          <w:rFonts w:ascii="Arial" w:cs="Arial" w:eastAsia="Arial" w:hAnsi="Arial"/>
          <w:sz w:val="22"/>
          <w:szCs w:val="22"/>
          <w:i w:val="1"/>
          <w:iCs w:val="1"/>
          <w:color w:val="auto"/>
        </w:rPr>
        <w:t>Enforcement</w:t>
      </w:r>
      <w:r>
        <w:rPr>
          <w:rFonts w:ascii="Arial" w:cs="Arial" w:eastAsia="Arial" w:hAnsi="Arial"/>
          <w:sz w:val="22"/>
          <w:szCs w:val="22"/>
          <w:color w:val="auto"/>
        </w:rPr>
        <w:t>. (i) It shall not take any action, and will use commercially reasonable efforts not to</w:t>
      </w:r>
      <w:r>
        <w:rPr>
          <w:rFonts w:ascii="Arial" w:cs="Arial" w:eastAsia="Arial" w:hAnsi="Arial"/>
          <w:sz w:val="22"/>
          <w:szCs w:val="22"/>
          <w:i w:val="1"/>
          <w:iCs w:val="1"/>
          <w:color w:val="auto"/>
        </w:rPr>
        <w:t xml:space="preserve"> </w:t>
      </w:r>
      <w:r>
        <w:rPr>
          <w:rFonts w:ascii="Arial" w:cs="Arial" w:eastAsia="Arial" w:hAnsi="Arial"/>
          <w:sz w:val="22"/>
          <w:szCs w:val="22"/>
          <w:color w:val="auto"/>
        </w:rPr>
        <w:t>permit any action to be taken by others, that would release any Person from any of such Person’s covenants or obligations under any instrument included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267" w:right="339" w:bottom="1440" w:gutter="0" w:footer="0" w:header="0"/>
        </w:sectPr>
      </w:pPr>
    </w:p>
    <w:bookmarkStart w:id="124" w:name="page125"/>
    <w:bookmarkEnd w:id="124"/>
    <w:p>
      <w:pPr>
        <w:jc w:val="both"/>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Collateral, except in the case of (A) repayment of Collateral Loans, (B) subject to </w:t>
      </w:r>
      <w:r>
        <w:rPr>
          <w:rFonts w:ascii="Arial" w:cs="Arial" w:eastAsia="Arial" w:hAnsi="Arial"/>
          <w:sz w:val="19"/>
          <w:szCs w:val="19"/>
          <w:u w:val="single" w:color="auto"/>
          <w:color w:val="auto"/>
        </w:rPr>
        <w:t>Section 5.01(k)</w:t>
      </w:r>
      <w:r>
        <w:rPr>
          <w:rFonts w:ascii="Arial" w:cs="Arial" w:eastAsia="Arial" w:hAnsi="Arial"/>
          <w:sz w:val="19"/>
          <w:szCs w:val="19"/>
          <w:color w:val="auto"/>
        </w:rPr>
        <w:t xml:space="preserve"> hereof and the other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work-outs with respect to any Defaulted Collateral Loan in accordance with the provisions hereof, and (C) actions by the Collateral Manager under this Agreement and in conformity with this Agreement or as otherwise required hereby.</w:t>
      </w:r>
    </w:p>
    <w:p>
      <w:pPr>
        <w:spacing w:after="0" w:line="258" w:lineRule="exact"/>
        <w:rPr>
          <w:sz w:val="20"/>
          <w:szCs w:val="20"/>
          <w:color w:val="auto"/>
        </w:rPr>
      </w:pPr>
    </w:p>
    <w:p>
      <w:pPr>
        <w:jc w:val="both"/>
        <w:ind w:firstLine="934"/>
        <w:spacing w:after="0" w:line="248" w:lineRule="auto"/>
        <w:tabs>
          <w:tab w:leader="none" w:pos="161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285" w:lineRule="exact"/>
        <w:rPr>
          <w:sz w:val="20"/>
          <w:szCs w:val="20"/>
          <w:color w:val="auto"/>
        </w:rPr>
      </w:pPr>
    </w:p>
    <w:p>
      <w:pPr>
        <w:jc w:val="both"/>
        <w:ind w:firstLine="934"/>
        <w:spacing w:after="0" w:line="270" w:lineRule="auto"/>
        <w:tabs>
          <w:tab w:leader="none" w:pos="1639" w:val="left"/>
        </w:tabs>
        <w:numPr>
          <w:ilvl w:val="0"/>
          <w:numId w:val="150"/>
        </w:numPr>
        <w:rPr>
          <w:rFonts w:ascii="Arial" w:cs="Arial" w:eastAsia="Arial" w:hAnsi="Arial"/>
          <w:sz w:val="19"/>
          <w:szCs w:val="19"/>
          <w:color w:val="auto"/>
        </w:rPr>
      </w:pPr>
      <w:r>
        <w:rPr>
          <w:rFonts w:ascii="Arial" w:cs="Arial" w:eastAsia="Arial" w:hAnsi="Arial"/>
          <w:sz w:val="19"/>
          <w:szCs w:val="19"/>
          <w:i w:val="1"/>
          <w:iCs w:val="1"/>
          <w:color w:val="auto"/>
        </w:rPr>
        <w:t>Further Assurances</w:t>
      </w:r>
      <w:r>
        <w:rPr>
          <w:rFonts w:ascii="Arial" w:cs="Arial" w:eastAsia="Arial" w:hAnsi="Arial"/>
          <w:sz w:val="19"/>
          <w:szCs w:val="19"/>
          <w:color w:val="auto"/>
        </w:rPr>
        <w:t>. It shall promptly upon the reasonable request of either Agent or the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Lenders (through the Administrative 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Collateral Agent does not hereby assume any obligation of the Borrower to maintain and protect its security interest under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7.07</w:t>
      </w:r>
      <w:r>
        <w:rPr>
          <w:rFonts w:ascii="Arial" w:cs="Arial" w:eastAsia="Arial" w:hAnsi="Arial"/>
          <w:sz w:val="19"/>
          <w:szCs w:val="19"/>
          <w:color w:val="auto"/>
        </w:rPr>
        <w:t>.</w:t>
      </w:r>
    </w:p>
    <w:p>
      <w:pPr>
        <w:spacing w:after="0" w:line="200" w:lineRule="exact"/>
        <w:rPr>
          <w:sz w:val="20"/>
          <w:szCs w:val="20"/>
          <w:color w:val="auto"/>
        </w:rPr>
      </w:pPr>
    </w:p>
    <w:p>
      <w:pPr>
        <w:spacing w:after="0" w:line="322" w:lineRule="exact"/>
        <w:rPr>
          <w:sz w:val="20"/>
          <w:szCs w:val="20"/>
          <w:color w:val="auto"/>
        </w:rPr>
      </w:pPr>
    </w:p>
    <w:p>
      <w:pPr>
        <w:jc w:val="both"/>
        <w:ind w:right="20" w:firstLine="902"/>
        <w:spacing w:after="0" w:line="297" w:lineRule="auto"/>
        <w:rPr>
          <w:sz w:val="20"/>
          <w:szCs w:val="20"/>
          <w:color w:val="auto"/>
        </w:rPr>
      </w:pPr>
      <w:r>
        <w:rPr>
          <w:rFonts w:ascii="Arial" w:cs="Arial" w:eastAsia="Arial" w:hAnsi="Arial"/>
          <w:sz w:val="19"/>
          <w:szCs w:val="19"/>
          <w:color w:val="auto"/>
        </w:rPr>
        <w:t>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w:t>
      </w:r>
    </w:p>
    <w:p>
      <w:pPr>
        <w:spacing w:after="0" w:line="6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0440"/>
          </w:cols>
          <w:pgMar w:left="1120" w:top="267" w:right="339" w:bottom="1440" w:gutter="0" w:footer="0" w:header="0"/>
        </w:sectPr>
      </w:pPr>
    </w:p>
    <w:bookmarkStart w:id="125" w:name="page126"/>
    <w:bookmarkEnd w:id="125"/>
    <w:p>
      <w:pPr>
        <w:jc w:val="both"/>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on the Funding Effective Date or as either Agent or the Required Lenders (through the Administrative Agent) shall have reasonably requested.</w:t>
      </w:r>
    </w:p>
    <w:p>
      <w:pPr>
        <w:spacing w:after="0" w:line="285" w:lineRule="exact"/>
        <w:rPr>
          <w:sz w:val="20"/>
          <w:szCs w:val="20"/>
          <w:color w:val="auto"/>
        </w:rPr>
      </w:pPr>
    </w:p>
    <w:p>
      <w:pPr>
        <w:jc w:val="both"/>
        <w:ind w:firstLine="934"/>
        <w:spacing w:after="0"/>
        <w:tabs>
          <w:tab w:leader="none" w:pos="1570" w:val="left"/>
        </w:tabs>
        <w:numPr>
          <w:ilvl w:val="0"/>
          <w:numId w:val="151"/>
        </w:numPr>
        <w:rPr>
          <w:rFonts w:ascii="Arial" w:cs="Arial" w:eastAsia="Arial" w:hAnsi="Arial"/>
          <w:sz w:val="22"/>
          <w:szCs w:val="22"/>
          <w:color w:val="auto"/>
        </w:rPr>
      </w:pPr>
      <w:r>
        <w:rPr>
          <w:rFonts w:ascii="Arial" w:cs="Arial" w:eastAsia="Arial" w:hAnsi="Arial"/>
          <w:sz w:val="22"/>
          <w:szCs w:val="22"/>
          <w:i w:val="1"/>
          <w:iCs w:val="1"/>
          <w:color w:val="auto"/>
        </w:rPr>
        <w:t>Financial Statements; Other Information</w:t>
      </w:r>
      <w:r>
        <w:rPr>
          <w:rFonts w:ascii="Arial" w:cs="Arial" w:eastAsia="Arial" w:hAnsi="Arial"/>
          <w:sz w:val="22"/>
          <w:szCs w:val="22"/>
          <w:color w:val="auto"/>
        </w:rPr>
        <w:t>. It shall provide to the Administrative Agent or cause to</w:t>
      </w:r>
      <w:r>
        <w:rPr>
          <w:rFonts w:ascii="Arial" w:cs="Arial" w:eastAsia="Arial" w:hAnsi="Arial"/>
          <w:sz w:val="22"/>
          <w:szCs w:val="22"/>
          <w:i w:val="1"/>
          <w:iCs w:val="1"/>
          <w:color w:val="auto"/>
        </w:rPr>
        <w:t xml:space="preserve"> </w:t>
      </w:r>
      <w:r>
        <w:rPr>
          <w:rFonts w:ascii="Arial" w:cs="Arial" w:eastAsia="Arial" w:hAnsi="Arial"/>
          <w:sz w:val="22"/>
          <w:szCs w:val="22"/>
          <w:color w:val="auto"/>
        </w:rPr>
        <w:t>be provided to the Administrative Agent (with enough additional copies for each Lender) with a copy to the Collateral Agent and the Backup Collateral Manager:</w:t>
      </w:r>
    </w:p>
    <w:p>
      <w:pPr>
        <w:spacing w:after="0" w:line="294" w:lineRule="exact"/>
        <w:rPr>
          <w:rFonts w:ascii="Arial" w:cs="Arial" w:eastAsia="Arial" w:hAnsi="Arial"/>
          <w:sz w:val="22"/>
          <w:szCs w:val="22"/>
          <w:color w:val="auto"/>
        </w:rPr>
      </w:pPr>
    </w:p>
    <w:p>
      <w:pPr>
        <w:jc w:val="both"/>
        <w:ind w:left="900" w:firstLine="966"/>
        <w:spacing w:after="0" w:line="233" w:lineRule="auto"/>
        <w:tabs>
          <w:tab w:leader="none" w:pos="2417" w:val="left"/>
        </w:tabs>
        <w:numPr>
          <w:ilvl w:val="1"/>
          <w:numId w:val="151"/>
        </w:numPr>
        <w:rPr>
          <w:rFonts w:ascii="Arial" w:cs="Arial" w:eastAsia="Arial" w:hAnsi="Arial"/>
          <w:sz w:val="22"/>
          <w:szCs w:val="22"/>
          <w:color w:val="auto"/>
        </w:rPr>
      </w:pPr>
      <w:r>
        <w:rPr>
          <w:rFonts w:ascii="Arial" w:cs="Arial" w:eastAsia="Arial" w:hAnsi="Arial"/>
          <w:sz w:val="22"/>
          <w:szCs w:val="22"/>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BDC and its consolidated subsidiaries on a consolidated basis in accordance with GAAP consistently applied;</w:t>
      </w:r>
    </w:p>
    <w:p>
      <w:pPr>
        <w:spacing w:after="0" w:line="300" w:lineRule="exact"/>
        <w:rPr>
          <w:rFonts w:ascii="Arial" w:cs="Arial" w:eastAsia="Arial" w:hAnsi="Arial"/>
          <w:sz w:val="22"/>
          <w:szCs w:val="22"/>
          <w:color w:val="auto"/>
        </w:rPr>
      </w:pPr>
    </w:p>
    <w:p>
      <w:pPr>
        <w:jc w:val="both"/>
        <w:ind w:left="900" w:firstLine="906"/>
        <w:spacing w:after="0" w:line="274" w:lineRule="auto"/>
        <w:tabs>
          <w:tab w:leader="none" w:pos="2405" w:val="left"/>
        </w:tabs>
        <w:numPr>
          <w:ilvl w:val="1"/>
          <w:numId w:val="151"/>
        </w:numPr>
        <w:rPr>
          <w:rFonts w:ascii="Arial" w:cs="Arial" w:eastAsia="Arial" w:hAnsi="Arial"/>
          <w:sz w:val="19"/>
          <w:szCs w:val="19"/>
          <w:color w:val="auto"/>
        </w:rPr>
      </w:pPr>
      <w:r>
        <w:rPr>
          <w:rFonts w:ascii="Arial" w:cs="Arial" w:eastAsia="Arial" w:hAnsi="Arial"/>
          <w:sz w:val="19"/>
          <w:szCs w:val="19"/>
          <w:color w:val="auto"/>
        </w:rPr>
        <w:t>within forty-five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year-end audit adjustments and the absence of footnotes;</w:t>
      </w:r>
    </w:p>
    <w:p>
      <w:pPr>
        <w:spacing w:after="0" w:line="266" w:lineRule="exact"/>
        <w:rPr>
          <w:rFonts w:ascii="Arial" w:cs="Arial" w:eastAsia="Arial" w:hAnsi="Arial"/>
          <w:sz w:val="19"/>
          <w:szCs w:val="19"/>
          <w:color w:val="auto"/>
        </w:rPr>
      </w:pPr>
    </w:p>
    <w:p>
      <w:pPr>
        <w:jc w:val="both"/>
        <w:ind w:left="900" w:firstLine="852"/>
        <w:spacing w:after="0"/>
        <w:tabs>
          <w:tab w:leader="none" w:pos="2461" w:val="left"/>
        </w:tabs>
        <w:numPr>
          <w:ilvl w:val="1"/>
          <w:numId w:val="151"/>
        </w:numPr>
        <w:rPr>
          <w:rFonts w:ascii="Arial" w:cs="Arial" w:eastAsia="Arial" w:hAnsi="Arial"/>
          <w:sz w:val="22"/>
          <w:szCs w:val="22"/>
          <w:color w:val="auto"/>
        </w:rPr>
      </w:pPr>
      <w:r>
        <w:rPr>
          <w:rFonts w:ascii="Arial" w:cs="Arial" w:eastAsia="Arial" w:hAnsi="Arial"/>
          <w:sz w:val="22"/>
          <w:szCs w:val="22"/>
          <w:color w:val="auto"/>
        </w:rPr>
        <w:t>within forty-five (45) days after the end of each fiscal quarter (other than a fiscal year-end) and ninety (90) days after the end of each fiscal year, copies of the quarterly valuation statements for the BDC in accordance with Applicable Law;</w:t>
      </w:r>
    </w:p>
    <w:p>
      <w:pPr>
        <w:spacing w:after="0" w:line="294" w:lineRule="exact"/>
        <w:rPr>
          <w:rFonts w:ascii="Arial" w:cs="Arial" w:eastAsia="Arial" w:hAnsi="Arial"/>
          <w:sz w:val="22"/>
          <w:szCs w:val="22"/>
          <w:color w:val="auto"/>
        </w:rPr>
      </w:pPr>
    </w:p>
    <w:p>
      <w:pPr>
        <w:ind w:left="900" w:firstLine="852"/>
        <w:spacing w:after="0" w:line="250" w:lineRule="auto"/>
        <w:tabs>
          <w:tab w:leader="none" w:pos="2449"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as soon as possible, and in any event within two Business Days after a Responsible Officer of the Collateral Manager or a Responsible Officer of</w:t>
      </w:r>
    </w:p>
    <w:p>
      <w:pPr>
        <w:spacing w:after="0" w:line="10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0440"/>
          </w:cols>
          <w:pgMar w:left="1120" w:top="267" w:right="339" w:bottom="1440" w:gutter="0" w:footer="0" w:header="0"/>
        </w:sectPr>
      </w:pPr>
    </w:p>
    <w:bookmarkStart w:id="126" w:name="page127"/>
    <w:bookmarkEnd w:id="126"/>
    <w:p>
      <w:pPr>
        <w:jc w:val="both"/>
        <w:ind w:left="906"/>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294" w:lineRule="exact"/>
        <w:rPr>
          <w:sz w:val="20"/>
          <w:szCs w:val="20"/>
          <w:color w:val="auto"/>
        </w:rPr>
      </w:pPr>
    </w:p>
    <w:p>
      <w:pPr>
        <w:jc w:val="both"/>
        <w:ind w:left="906" w:firstLine="1042"/>
        <w:spacing w:after="0" w:line="236" w:lineRule="auto"/>
        <w:tabs>
          <w:tab w:leader="none" w:pos="2588" w:val="left"/>
        </w:tabs>
        <w:numPr>
          <w:ilvl w:val="1"/>
          <w:numId w:val="152"/>
        </w:numPr>
        <w:rPr>
          <w:rFonts w:ascii="Arial" w:cs="Arial" w:eastAsia="Arial" w:hAnsi="Arial"/>
          <w:sz w:val="22"/>
          <w:szCs w:val="22"/>
          <w:color w:val="auto"/>
        </w:rPr>
      </w:pPr>
      <w:r>
        <w:rPr>
          <w:rFonts w:ascii="Arial" w:cs="Arial" w:eastAsia="Arial" w:hAnsi="Arial"/>
          <w:sz w:val="22"/>
          <w:szCs w:val="22"/>
          <w:color w:val="auto"/>
        </w:rPr>
        <w:t>from time to time such additional information regarding the Borrower’s financial position or business and the Collateral (including reasonably detailed calculations of each Coverage Test, the Weighted Average Floating Spread, the Weighted Average Coupon, and the Weighted Average Life) as the Administrative Agent or the Required Lenders (through the Administrative Agent) may request if reasonably available to the Borrower;</w:t>
      </w:r>
    </w:p>
    <w:p>
      <w:pPr>
        <w:spacing w:after="0" w:line="295" w:lineRule="exact"/>
        <w:rPr>
          <w:rFonts w:ascii="Arial" w:cs="Arial" w:eastAsia="Arial" w:hAnsi="Arial"/>
          <w:sz w:val="22"/>
          <w:szCs w:val="22"/>
          <w:color w:val="auto"/>
        </w:rPr>
      </w:pPr>
    </w:p>
    <w:p>
      <w:pPr>
        <w:jc w:val="both"/>
        <w:ind w:left="906" w:firstLine="961"/>
        <w:spacing w:after="0"/>
        <w:tabs>
          <w:tab w:leader="none" w:pos="251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promptly after the occurrence of any ERISA Event, notice of such ERISA Event and copies of any communications with all Governmental Authorities or any Multiemployer Plan with respect to such ERISA Event;</w:t>
      </w:r>
    </w:p>
    <w:p>
      <w:pPr>
        <w:spacing w:after="0" w:line="294" w:lineRule="exact"/>
        <w:rPr>
          <w:sz w:val="20"/>
          <w:szCs w:val="20"/>
          <w:color w:val="auto"/>
        </w:rPr>
      </w:pPr>
    </w:p>
    <w:p>
      <w:pPr>
        <w:ind w:left="906" w:firstLine="935"/>
        <w:spacing w:after="0" w:line="250" w:lineRule="auto"/>
        <w:tabs>
          <w:tab w:leader="none" w:pos="2720" w:val="left"/>
        </w:tabs>
        <w:numPr>
          <w:ilvl w:val="3"/>
          <w:numId w:val="154"/>
        </w:numPr>
        <w:rPr>
          <w:rFonts w:ascii="Arial" w:cs="Arial" w:eastAsia="Arial" w:hAnsi="Arial"/>
          <w:sz w:val="22"/>
          <w:szCs w:val="22"/>
          <w:color w:val="auto"/>
        </w:rPr>
      </w:pPr>
      <w:r>
        <w:rPr>
          <w:rFonts w:ascii="Arial" w:cs="Arial" w:eastAsia="Arial" w:hAnsi="Arial"/>
          <w:sz w:val="22"/>
          <w:szCs w:val="22"/>
          <w:color w:val="auto"/>
        </w:rPr>
        <w:t>promptly after the occurrence of any change in the Borrower’s taxpayer identification number, notice of such change on an IRS Form W-9;</w:t>
      </w:r>
    </w:p>
    <w:p>
      <w:pPr>
        <w:spacing w:after="0" w:line="282" w:lineRule="exact"/>
        <w:rPr>
          <w:rFonts w:ascii="Arial" w:cs="Arial" w:eastAsia="Arial" w:hAnsi="Arial"/>
          <w:sz w:val="22"/>
          <w:szCs w:val="22"/>
          <w:color w:val="auto"/>
        </w:rPr>
      </w:pPr>
    </w:p>
    <w:p>
      <w:pPr>
        <w:jc w:val="both"/>
        <w:ind w:left="906" w:right="20" w:firstLine="852"/>
        <w:spacing w:after="0"/>
        <w:tabs>
          <w:tab w:leader="none" w:pos="2592" w:val="left"/>
        </w:tabs>
        <w:numPr>
          <w:ilvl w:val="2"/>
          <w:numId w:val="155"/>
        </w:numPr>
        <w:rPr>
          <w:rFonts w:ascii="Arial" w:cs="Arial" w:eastAsia="Arial" w:hAnsi="Arial"/>
          <w:sz w:val="22"/>
          <w:szCs w:val="22"/>
          <w:color w:val="auto"/>
        </w:rPr>
      </w:pPr>
      <w:r>
        <w:rPr>
          <w:rFonts w:ascii="Arial" w:cs="Arial" w:eastAsia="Arial" w:hAnsi="Arial"/>
          <w:sz w:val="22"/>
          <w:szCs w:val="22"/>
          <w:color w:val="auto"/>
        </w:rPr>
        <w:t>as soon as possible and in any event at least two (2) Business Days prior to doing so, the Borrower shall provide notice of any change in its chief place of business, its chief executive office or the office in which the Borrower maintains its books and records; and</w:t>
      </w:r>
    </w:p>
    <w:p>
      <w:pPr>
        <w:spacing w:after="0" w:line="294" w:lineRule="exact"/>
        <w:rPr>
          <w:rFonts w:ascii="Arial" w:cs="Arial" w:eastAsia="Arial" w:hAnsi="Arial"/>
          <w:sz w:val="22"/>
          <w:szCs w:val="22"/>
          <w:color w:val="auto"/>
        </w:rPr>
      </w:pPr>
    </w:p>
    <w:p>
      <w:pPr>
        <w:jc w:val="both"/>
        <w:ind w:left="906" w:firstLine="967"/>
        <w:spacing w:after="0" w:line="238" w:lineRule="auto"/>
        <w:tabs>
          <w:tab w:leader="none" w:pos="2537" w:val="left"/>
        </w:tabs>
        <w:numPr>
          <w:ilvl w:val="2"/>
          <w:numId w:val="155"/>
        </w:numPr>
        <w:rPr>
          <w:rFonts w:ascii="Arial" w:cs="Arial" w:eastAsia="Arial" w:hAnsi="Arial"/>
          <w:sz w:val="22"/>
          <w:szCs w:val="22"/>
          <w:color w:val="auto"/>
        </w:rPr>
      </w:pPr>
      <w:r>
        <w:rPr>
          <w:rFonts w:ascii="Arial" w:cs="Arial" w:eastAsia="Arial" w:hAnsi="Arial"/>
          <w:sz w:val="22"/>
          <w:szCs w:val="22"/>
          <w:color w:val="auto"/>
        </w:rPr>
        <w:t>as soon as possible, and in any event within two Business Days after a Responsible Officer of the Collateral Manager or a Responsible Officer of the Borrower obtains actual knowledge of the occurrence and continuance of any Currency Valuation Trigger Event, notice of such Currency Valuation Trigger Event.</w:t>
      </w:r>
    </w:p>
    <w:p>
      <w:pPr>
        <w:spacing w:after="0" w:line="292" w:lineRule="exact"/>
        <w:rPr>
          <w:rFonts w:ascii="Arial" w:cs="Arial" w:eastAsia="Arial" w:hAnsi="Arial"/>
          <w:sz w:val="22"/>
          <w:szCs w:val="22"/>
          <w:color w:val="auto"/>
        </w:rPr>
      </w:pPr>
    </w:p>
    <w:p>
      <w:pPr>
        <w:jc w:val="both"/>
        <w:ind w:left="6" w:firstLine="934"/>
        <w:spacing w:after="0" w:line="269" w:lineRule="auto"/>
        <w:tabs>
          <w:tab w:leader="none" w:pos="1536" w:val="left"/>
        </w:tabs>
        <w:numPr>
          <w:ilvl w:val="1"/>
          <w:numId w:val="156"/>
        </w:numPr>
        <w:rPr>
          <w:rFonts w:ascii="Arial" w:cs="Arial" w:eastAsia="Arial" w:hAnsi="Arial"/>
          <w:sz w:val="19"/>
          <w:szCs w:val="19"/>
          <w:color w:val="auto"/>
        </w:rPr>
      </w:pPr>
      <w:r>
        <w:rPr>
          <w:rFonts w:ascii="Arial" w:cs="Arial" w:eastAsia="Arial" w:hAnsi="Arial"/>
          <w:sz w:val="19"/>
          <w:szCs w:val="19"/>
          <w:i w:val="1"/>
          <w:iCs w:val="1"/>
          <w:color w:val="auto"/>
        </w:rPr>
        <w:t>Access to Records and Documents</w:t>
      </w:r>
      <w:r>
        <w:rPr>
          <w:rFonts w:ascii="Arial" w:cs="Arial" w:eastAsia="Arial" w:hAnsi="Arial"/>
          <w:sz w:val="19"/>
          <w:szCs w:val="19"/>
          <w:color w:val="auto"/>
        </w:rPr>
        <w:t>. It shall permit the Administrative Agent and each Lender (or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Person designated by the 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so long as no Event of Default has occurred and is continuing, each Person entitled to so visit and inspect the Borrower’s records under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may only exercise its rights under this </w:t>
      </w:r>
      <w:r>
        <w:rPr>
          <w:rFonts w:ascii="Arial" w:cs="Arial" w:eastAsia="Arial" w:hAnsi="Arial"/>
          <w:sz w:val="19"/>
          <w:szCs w:val="19"/>
          <w:u w:val="single" w:color="auto"/>
          <w:color w:val="auto"/>
        </w:rPr>
        <w:t>clause</w:t>
      </w:r>
    </w:p>
    <w:p>
      <w:pPr>
        <w:spacing w:after="0" w:line="2" w:lineRule="exact"/>
        <w:rPr>
          <w:rFonts w:ascii="Arial" w:cs="Arial" w:eastAsia="Arial" w:hAnsi="Arial"/>
          <w:sz w:val="19"/>
          <w:szCs w:val="19"/>
          <w:color w:val="auto"/>
        </w:rPr>
      </w:pPr>
    </w:p>
    <w:p>
      <w:pPr>
        <w:jc w:val="both"/>
        <w:ind w:left="6" w:hanging="6"/>
        <w:spacing w:after="0" w:line="266" w:lineRule="auto"/>
        <w:tabs>
          <w:tab w:leader="none" w:pos="305" w:val="left"/>
        </w:tabs>
        <w:numPr>
          <w:ilvl w:val="0"/>
          <w:numId w:val="157"/>
        </w:numPr>
        <w:rPr>
          <w:rFonts w:ascii="Arial" w:cs="Arial" w:eastAsia="Arial" w:hAnsi="Arial"/>
          <w:sz w:val="19"/>
          <w:szCs w:val="19"/>
          <w:u w:val="single" w:color="auto"/>
          <w:color w:val="auto"/>
        </w:rPr>
      </w:pPr>
      <w:r>
        <w:rPr>
          <w:rFonts w:ascii="Arial" w:cs="Arial" w:eastAsia="Arial" w:hAnsi="Arial"/>
          <w:sz w:val="19"/>
          <w:szCs w:val="19"/>
          <w:color w:val="auto"/>
        </w:rPr>
        <w:t xml:space="preserve">twice during any fiscal year of the Borrower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paragraph</w:t>
      </w:r>
    </w:p>
    <w:p>
      <w:pPr>
        <w:spacing w:after="0" w:line="2" w:lineRule="exact"/>
        <w:rPr>
          <w:rFonts w:ascii="Arial" w:cs="Arial" w:eastAsia="Arial" w:hAnsi="Arial"/>
          <w:sz w:val="19"/>
          <w:szCs w:val="19"/>
          <w:u w:val="single" w:color="auto"/>
          <w:color w:val="auto"/>
        </w:rPr>
      </w:pPr>
    </w:p>
    <w:p>
      <w:pPr>
        <w:ind w:left="306" w:hanging="306"/>
        <w:spacing w:after="0"/>
        <w:tabs>
          <w:tab w:leader="none" w:pos="306" w:val="left"/>
        </w:tabs>
        <w:numPr>
          <w:ilvl w:val="0"/>
          <w:numId w:val="158"/>
        </w:numPr>
        <w:rPr>
          <w:rFonts w:ascii="Arial" w:cs="Arial" w:eastAsia="Arial" w:hAnsi="Arial"/>
          <w:sz w:val="22"/>
          <w:szCs w:val="22"/>
          <w:u w:val="single" w:color="auto"/>
          <w:color w:val="auto"/>
        </w:rPr>
      </w:pPr>
      <w:r>
        <w:rPr>
          <w:rFonts w:ascii="Arial" w:cs="Arial" w:eastAsia="Arial" w:hAnsi="Arial"/>
          <w:sz w:val="22"/>
          <w:szCs w:val="22"/>
          <w:color w:val="auto"/>
        </w:rPr>
        <w:t>below with a view to minimizing duplication of effort and expense by the Borrower.</w:t>
      </w:r>
    </w:p>
    <w:p>
      <w:pPr>
        <w:spacing w:after="0" w:line="121" w:lineRule="exact"/>
        <w:rPr>
          <w:sz w:val="20"/>
          <w:szCs w:val="20"/>
          <w:color w:val="auto"/>
        </w:rPr>
      </w:pPr>
    </w:p>
    <w:p>
      <w:pPr>
        <w:ind w:left="4646"/>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0446"/>
          </w:cols>
          <w:pgMar w:left="1114" w:top="267" w:right="339" w:bottom="1440" w:gutter="0" w:footer="0" w:header="0"/>
        </w:sectPr>
      </w:pPr>
    </w:p>
    <w:bookmarkStart w:id="127" w:name="page128"/>
    <w:bookmarkEnd w:id="127"/>
    <w:p>
      <w:pPr>
        <w:ind w:left="1480" w:hanging="546"/>
        <w:spacing w:after="0"/>
        <w:tabs>
          <w:tab w:leader="none" w:pos="1480" w:val="left"/>
        </w:tabs>
        <w:numPr>
          <w:ilvl w:val="0"/>
          <w:numId w:val="159"/>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of Proceeds</w:t>
      </w:r>
      <w:r>
        <w:rPr>
          <w:rFonts w:ascii="Arial" w:cs="Arial" w:eastAsia="Arial" w:hAnsi="Arial"/>
          <w:sz w:val="22"/>
          <w:szCs w:val="22"/>
          <w:color w:val="auto"/>
        </w:rPr>
        <w:t>.  It shall use the proceeds of each Advance made hereunder solely:</w:t>
      </w:r>
    </w:p>
    <w:p>
      <w:pPr>
        <w:spacing w:after="0" w:line="314" w:lineRule="exact"/>
        <w:rPr>
          <w:rFonts w:ascii="Arial" w:cs="Arial" w:eastAsia="Arial" w:hAnsi="Arial"/>
          <w:sz w:val="22"/>
          <w:szCs w:val="22"/>
          <w:color w:val="auto"/>
        </w:rPr>
      </w:pPr>
    </w:p>
    <w:p>
      <w:pPr>
        <w:jc w:val="both"/>
        <w:ind w:left="900" w:firstLine="964"/>
        <w:spacing w:after="0"/>
        <w:tabs>
          <w:tab w:leader="none" w:pos="241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294" w:lineRule="exact"/>
        <w:rPr>
          <w:sz w:val="20"/>
          <w:szCs w:val="20"/>
          <w:color w:val="auto"/>
        </w:rPr>
      </w:pPr>
    </w:p>
    <w:p>
      <w:pPr>
        <w:ind w:left="900" w:firstLine="941"/>
        <w:spacing w:after="0" w:line="250" w:lineRule="auto"/>
        <w:tabs>
          <w:tab w:leader="none" w:pos="2648" w:val="left"/>
        </w:tabs>
        <w:numPr>
          <w:ilvl w:val="2"/>
          <w:numId w:val="160"/>
        </w:numPr>
        <w:rPr>
          <w:rFonts w:ascii="Arial" w:cs="Arial" w:eastAsia="Arial" w:hAnsi="Arial"/>
          <w:sz w:val="22"/>
          <w:szCs w:val="22"/>
          <w:color w:val="auto"/>
        </w:rPr>
      </w:pPr>
      <w:r>
        <w:rPr>
          <w:rFonts w:ascii="Arial" w:cs="Arial" w:eastAsia="Arial" w:hAnsi="Arial"/>
          <w:sz w:val="22"/>
          <w:szCs w:val="22"/>
          <w:color w:val="auto"/>
        </w:rPr>
        <w:t>to fund additional extensions of credit under Revolving Collateral Loans and Delayed Drawdown Collateral Loans purchased in accordance with the terms of this Agreement;</w:t>
      </w:r>
    </w:p>
    <w:p>
      <w:pPr>
        <w:spacing w:after="0" w:line="282" w:lineRule="exact"/>
        <w:rPr>
          <w:rFonts w:ascii="Arial" w:cs="Arial" w:eastAsia="Arial" w:hAnsi="Arial"/>
          <w:sz w:val="22"/>
          <w:szCs w:val="22"/>
          <w:color w:val="auto"/>
        </w:rPr>
      </w:pPr>
    </w:p>
    <w:p>
      <w:pPr>
        <w:ind w:left="2400" w:hanging="648"/>
        <w:spacing w:after="0"/>
        <w:tabs>
          <w:tab w:leader="none" w:pos="240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to repay outstanding Swingline Advances;</w:t>
      </w:r>
    </w:p>
    <w:p>
      <w:pPr>
        <w:spacing w:after="0" w:line="314" w:lineRule="exact"/>
        <w:rPr>
          <w:rFonts w:ascii="Arial" w:cs="Arial" w:eastAsia="Arial" w:hAnsi="Arial"/>
          <w:sz w:val="22"/>
          <w:szCs w:val="22"/>
          <w:color w:val="auto"/>
        </w:rPr>
      </w:pPr>
    </w:p>
    <w:p>
      <w:pPr>
        <w:jc w:val="both"/>
        <w:ind w:left="900" w:firstLine="852"/>
        <w:spacing w:after="0" w:line="282" w:lineRule="auto"/>
        <w:tabs>
          <w:tab w:leader="none" w:pos="2431"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to fund the Revolving Reserve Account on or prior to the Commitment Termination Date to the extent the Revolving Reserve Account is required to be funded pursuant to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 </w:t>
      </w:r>
      <w:r>
        <w:rPr>
          <w:rFonts w:ascii="Arial" w:cs="Arial" w:eastAsia="Arial" w:hAnsi="Arial"/>
          <w:sz w:val="19"/>
          <w:szCs w:val="19"/>
          <w:u w:val="single" w:color="auto"/>
          <w:color w:val="auto"/>
        </w:rPr>
        <w:t>Section 8.04</w:t>
      </w:r>
      <w:r>
        <w:rPr>
          <w:rFonts w:ascii="Arial" w:cs="Arial" w:eastAsia="Arial" w:hAnsi="Arial"/>
          <w:sz w:val="19"/>
          <w:szCs w:val="19"/>
          <w:color w:val="auto"/>
        </w:rPr>
        <w:t>); and</w:t>
      </w:r>
    </w:p>
    <w:p>
      <w:pPr>
        <w:spacing w:after="0" w:line="255" w:lineRule="exact"/>
        <w:rPr>
          <w:rFonts w:ascii="Arial" w:cs="Arial" w:eastAsia="Arial" w:hAnsi="Arial"/>
          <w:sz w:val="19"/>
          <w:szCs w:val="19"/>
          <w:color w:val="auto"/>
        </w:rPr>
      </w:pPr>
    </w:p>
    <w:p>
      <w:pPr>
        <w:ind w:left="900" w:right="20" w:firstLine="927"/>
        <w:spacing w:after="0" w:line="328" w:lineRule="auto"/>
        <w:tabs>
          <w:tab w:leader="none" w:pos="2535" w:val="left"/>
        </w:tabs>
        <w:numPr>
          <w:ilvl w:val="1"/>
          <w:numId w:val="162"/>
        </w:numPr>
        <w:rPr>
          <w:rFonts w:ascii="Arial" w:cs="Arial" w:eastAsia="Arial" w:hAnsi="Arial"/>
          <w:sz w:val="19"/>
          <w:szCs w:val="19"/>
          <w:color w:val="auto"/>
        </w:rPr>
      </w:pPr>
      <w:r>
        <w:rPr>
          <w:rFonts w:ascii="Arial" w:cs="Arial" w:eastAsia="Arial" w:hAnsi="Arial"/>
          <w:sz w:val="19"/>
          <w:szCs w:val="19"/>
          <w:color w:val="auto"/>
        </w:rPr>
        <w:t>for such other legal and proper purposes as are consistent with all applicable laws to the extent the Borrower has received the prior written consent of the Administrative Agent in its sole discretion.</w:t>
      </w:r>
    </w:p>
    <w:p>
      <w:pPr>
        <w:spacing w:after="0" w:line="213" w:lineRule="exact"/>
        <w:rPr>
          <w:sz w:val="20"/>
          <w:szCs w:val="20"/>
          <w:color w:val="auto"/>
        </w:rPr>
      </w:pPr>
    </w:p>
    <w:p>
      <w:pPr>
        <w:jc w:val="both"/>
        <w:ind w:firstLine="839"/>
        <w:spacing w:after="0"/>
        <w:rPr>
          <w:sz w:val="20"/>
          <w:szCs w:val="20"/>
          <w:color w:val="auto"/>
        </w:rPr>
      </w:pPr>
      <w:r>
        <w:rPr>
          <w:rFonts w:ascii="Arial" w:cs="Arial" w:eastAsia="Arial" w:hAnsi="Arial"/>
          <w:sz w:val="22"/>
          <w:szCs w:val="22"/>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294" w:lineRule="exact"/>
        <w:rPr>
          <w:sz w:val="20"/>
          <w:szCs w:val="20"/>
          <w:color w:val="auto"/>
        </w:rPr>
      </w:pPr>
    </w:p>
    <w:p>
      <w:pPr>
        <w:jc w:val="both"/>
        <w:ind w:firstLine="934"/>
        <w:spacing w:after="0" w:line="273" w:lineRule="auto"/>
        <w:tabs>
          <w:tab w:leader="none" w:pos="1570" w:val="left"/>
        </w:tabs>
        <w:numPr>
          <w:ilvl w:val="0"/>
          <w:numId w:val="163"/>
        </w:numPr>
        <w:rPr>
          <w:rFonts w:ascii="Arial" w:cs="Arial" w:eastAsia="Arial" w:hAnsi="Arial"/>
          <w:sz w:val="19"/>
          <w:szCs w:val="19"/>
          <w:color w:val="auto"/>
        </w:rPr>
      </w:pPr>
      <w:r>
        <w:rPr>
          <w:rFonts w:ascii="Arial" w:cs="Arial" w:eastAsia="Arial" w:hAnsi="Arial"/>
          <w:sz w:val="19"/>
          <w:szCs w:val="19"/>
          <w:i w:val="1"/>
          <w:iCs w:val="1"/>
          <w:color w:val="auto"/>
        </w:rPr>
        <w:t>Audit Rights</w:t>
      </w:r>
      <w:r>
        <w:rPr>
          <w:rFonts w:ascii="Arial" w:cs="Arial" w:eastAsia="Arial" w:hAnsi="Arial"/>
          <w:sz w:val="19"/>
          <w:szCs w:val="19"/>
          <w:color w:val="auto"/>
        </w:rPr>
        <w:t>. It will permit the Administrative Agent and any Lender (or any representatives thereof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(including any consultants, accountants, lawyers and appraisers)) to conduct evaluations and appraisals of the Borrower’s computation of the Borrowing Base and the assets included in the Borrowing Base no more than twice during any fiscal year of the Borrower. The Borrower shall pay the reasonable fees and expenses of any representatives retained by the Administrative Agent or any Lender to conduct any such evaluation or appraisal;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Borrower shall not be required to pay such fees and expenses for more than one such evaluation or appraisal during any calendar year unless an Event of Default has occurred and (ii) such evaluation or appraisal shall not be duplicative of the report required under </w:t>
      </w:r>
      <w:r>
        <w:rPr>
          <w:rFonts w:ascii="Arial" w:cs="Arial" w:eastAsia="Arial" w:hAnsi="Arial"/>
          <w:sz w:val="19"/>
          <w:szCs w:val="19"/>
          <w:u w:val="single" w:color="auto"/>
          <w:color w:val="auto"/>
        </w:rPr>
        <w:t>Section 8.08(b)</w:t>
      </w:r>
      <w:r>
        <w:rPr>
          <w:rFonts w:ascii="Arial" w:cs="Arial" w:eastAsia="Arial" w:hAnsi="Arial"/>
          <w:sz w:val="19"/>
          <w:szCs w:val="19"/>
          <w:color w:val="auto"/>
        </w:rPr>
        <w:t xml:space="preserve">. Each Lender agrees to use commercially reasonable efforts to coordinate with the other Lenders in exercising their respective rights under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above with a view to minimizing duplication of effort and expense by the Borrower.</w:t>
      </w:r>
    </w:p>
    <w:p>
      <w:pPr>
        <w:spacing w:after="0" w:line="9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0440"/>
          </w:cols>
          <w:pgMar w:left="1120" w:top="267" w:right="339" w:bottom="1440" w:gutter="0" w:footer="0" w:header="0"/>
        </w:sectPr>
      </w:pPr>
    </w:p>
    <w:bookmarkStart w:id="128" w:name="page129"/>
    <w:bookmarkEnd w:id="128"/>
    <w:p>
      <w:pPr>
        <w:jc w:val="both"/>
        <w:ind w:left="-320" w:firstLine="934"/>
        <w:spacing w:after="0" w:line="257" w:lineRule="auto"/>
        <w:tabs>
          <w:tab w:leader="none" w:pos="1371" w:val="left"/>
        </w:tabs>
        <w:numPr>
          <w:ilvl w:val="0"/>
          <w:numId w:val="164"/>
        </w:numPr>
        <w:rPr>
          <w:rFonts w:ascii="Arial" w:cs="Arial" w:eastAsia="Arial" w:hAnsi="Arial"/>
          <w:sz w:val="21"/>
          <w:szCs w:val="21"/>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Opinions as to Collateral</w:t>
      </w:r>
      <w:r>
        <w:rPr>
          <w:rFonts w:ascii="Arial" w:cs="Arial" w:eastAsia="Arial" w:hAnsi="Arial"/>
          <w:sz w:val="21"/>
          <w:szCs w:val="21"/>
          <w:color w:val="auto"/>
        </w:rPr>
        <w:t>. On or before each five (5) year anniversary of the Closing Date,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shall furnish to the Agents an opinion of counsel, addressed to the Borrower and the Agents, relating to the continued perfection of the security interest granted by the Borrower to the Collateral Agent hereunder.</w:t>
      </w:r>
    </w:p>
    <w:p>
      <w:pPr>
        <w:spacing w:after="0" w:line="277" w:lineRule="exact"/>
        <w:rPr>
          <w:rFonts w:ascii="Arial" w:cs="Arial" w:eastAsia="Arial" w:hAnsi="Arial"/>
          <w:sz w:val="21"/>
          <w:szCs w:val="21"/>
          <w:color w:val="auto"/>
        </w:rPr>
      </w:pPr>
    </w:p>
    <w:p>
      <w:pPr>
        <w:jc w:val="both"/>
        <w:ind w:left="-320" w:firstLine="934"/>
        <w:spacing w:after="0" w:line="246" w:lineRule="auto"/>
        <w:tabs>
          <w:tab w:leader="none" w:pos="1229" w:val="left"/>
        </w:tabs>
        <w:numPr>
          <w:ilvl w:val="0"/>
          <w:numId w:val="164"/>
        </w:numPr>
        <w:rPr>
          <w:rFonts w:ascii="Arial" w:cs="Arial" w:eastAsia="Arial" w:hAnsi="Arial"/>
          <w:sz w:val="21"/>
          <w:szCs w:val="21"/>
          <w:color w:val="auto"/>
        </w:rPr>
      </w:pPr>
      <w:r>
        <w:rPr>
          <w:rFonts w:ascii="Arial" w:cs="Arial" w:eastAsia="Arial" w:hAnsi="Arial"/>
          <w:sz w:val="21"/>
          <w:szCs w:val="21"/>
          <w:i w:val="1"/>
          <w:iCs w:val="1"/>
          <w:color w:val="auto"/>
        </w:rPr>
        <w:t>No Other Business</w:t>
      </w:r>
      <w:r>
        <w:rPr>
          <w:rFonts w:ascii="Arial" w:cs="Arial" w:eastAsia="Arial" w:hAnsi="Arial"/>
          <w:sz w:val="21"/>
          <w:szCs w:val="21"/>
          <w:color w:val="auto"/>
        </w:rPr>
        <w:t>. The Borrower shall not engage in any business or activity other than borrowing</w:t>
      </w:r>
      <w:r>
        <w:rPr>
          <w:rFonts w:ascii="Arial" w:cs="Arial" w:eastAsia="Arial" w:hAnsi="Arial"/>
          <w:sz w:val="21"/>
          <w:szCs w:val="21"/>
          <w:i w:val="1"/>
          <w:iCs w:val="1"/>
          <w:color w:val="auto"/>
        </w:rPr>
        <w:t xml:space="preserve"> </w:t>
      </w:r>
      <w:r>
        <w:rPr>
          <w:rFonts w:ascii="Arial" w:cs="Arial" w:eastAsia="Arial" w:hAnsi="Arial"/>
          <w:sz w:val="21"/>
          <w:szCs w:val="21"/>
          <w:color w:val="auto"/>
        </w:rPr>
        <w:t>Advances pursuant to this Agreement, 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292" w:lineRule="exact"/>
        <w:rPr>
          <w:rFonts w:ascii="Arial" w:cs="Arial" w:eastAsia="Arial" w:hAnsi="Arial"/>
          <w:sz w:val="21"/>
          <w:szCs w:val="21"/>
          <w:color w:val="auto"/>
        </w:rPr>
      </w:pPr>
    </w:p>
    <w:p>
      <w:pPr>
        <w:jc w:val="both"/>
        <w:ind w:left="-320" w:firstLine="934"/>
        <w:spacing w:after="0" w:line="272" w:lineRule="auto"/>
        <w:tabs>
          <w:tab w:leader="none" w:pos="1242" w:val="left"/>
        </w:tabs>
        <w:numPr>
          <w:ilvl w:val="0"/>
          <w:numId w:val="164"/>
        </w:numPr>
        <w:rPr>
          <w:rFonts w:ascii="Arial" w:cs="Arial" w:eastAsia="Arial" w:hAnsi="Arial"/>
          <w:sz w:val="19"/>
          <w:szCs w:val="19"/>
          <w:color w:val="auto"/>
        </w:rPr>
      </w:pPr>
      <w:r>
        <w:rPr>
          <w:rFonts w:ascii="Arial" w:cs="Arial" w:eastAsia="Arial" w:hAnsi="Arial"/>
          <w:sz w:val="19"/>
          <w:szCs w:val="19"/>
          <w:i w:val="1"/>
          <w:iCs w:val="1"/>
          <w:color w:val="auto"/>
        </w:rPr>
        <w:t xml:space="preserve">Tax Matters. </w:t>
      </w:r>
      <w:r>
        <w:rPr>
          <w:rFonts w:ascii="Arial" w:cs="Arial" w:eastAsia="Arial" w:hAnsi="Arial"/>
          <w:sz w:val="19"/>
          <w:szCs w:val="19"/>
          <w:color w:val="auto"/>
        </w:rPr>
        <w:t>The Borrower shall (and each Lender hereby agrees to) treat the Advances as debt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U.S. Federal income tax purposes and will take no contrary 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w:t>
      </w:r>
      <w:r>
        <w:rPr>
          <w:rFonts w:ascii="Arial" w:cs="Arial" w:eastAsia="Arial" w:hAnsi="Arial"/>
          <w:sz w:val="19"/>
          <w:szCs w:val="19"/>
          <w:u w:val="single" w:color="auto"/>
          <w:color w:val="auto"/>
        </w:rPr>
        <w:t>Section 7701(a)(30)</w:t>
      </w:r>
      <w:r>
        <w:rPr>
          <w:rFonts w:ascii="Arial" w:cs="Arial" w:eastAsia="Arial" w:hAnsi="Arial"/>
          <w:sz w:val="19"/>
          <w:szCs w:val="19"/>
          <w:color w:val="auto"/>
        </w:rPr>
        <w:t xml:space="preserve"> of the Code.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263" w:lineRule="exact"/>
        <w:rPr>
          <w:rFonts w:ascii="Arial" w:cs="Arial" w:eastAsia="Arial" w:hAnsi="Arial"/>
          <w:sz w:val="19"/>
          <w:szCs w:val="19"/>
          <w:color w:val="auto"/>
        </w:rPr>
      </w:pPr>
    </w:p>
    <w:p>
      <w:pPr>
        <w:jc w:val="both"/>
        <w:ind w:left="-320" w:firstLine="934"/>
        <w:spacing w:after="0" w:line="238" w:lineRule="auto"/>
        <w:tabs>
          <w:tab w:leader="none" w:pos="1196" w:val="left"/>
        </w:tabs>
        <w:numPr>
          <w:ilvl w:val="0"/>
          <w:numId w:val="164"/>
        </w:numPr>
        <w:rPr>
          <w:rFonts w:ascii="Arial" w:cs="Arial" w:eastAsia="Arial" w:hAnsi="Arial"/>
          <w:sz w:val="22"/>
          <w:szCs w:val="22"/>
          <w:color w:val="auto"/>
        </w:rPr>
      </w:pPr>
      <w:r>
        <w:rPr>
          <w:rFonts w:ascii="Arial" w:cs="Arial" w:eastAsia="Arial" w:hAnsi="Arial"/>
          <w:sz w:val="22"/>
          <w:szCs w:val="22"/>
          <w:i w:val="1"/>
          <w:iCs w:val="1"/>
          <w:color w:val="auto"/>
        </w:rPr>
        <w:t>Changes to Related Documents</w:t>
      </w:r>
      <w:r>
        <w:rPr>
          <w:rFonts w:ascii="Arial" w:cs="Arial" w:eastAsia="Arial" w:hAnsi="Arial"/>
          <w:sz w:val="22"/>
          <w:szCs w:val="22"/>
          <w:color w:val="auto"/>
        </w:rPr>
        <w:t>. If any amendment, consent, waiver or other modification with respect</w:t>
      </w:r>
      <w:r>
        <w:rPr>
          <w:rFonts w:ascii="Arial" w:cs="Arial" w:eastAsia="Arial" w:hAnsi="Arial"/>
          <w:sz w:val="22"/>
          <w:szCs w:val="22"/>
          <w:i w:val="1"/>
          <w:iCs w:val="1"/>
          <w:color w:val="auto"/>
        </w:rPr>
        <w:t xml:space="preserve"> </w:t>
      </w:r>
      <w:r>
        <w:rPr>
          <w:rFonts w:ascii="Arial" w:cs="Arial" w:eastAsia="Arial" w:hAnsi="Arial"/>
          <w:sz w:val="22"/>
          <w:szCs w:val="22"/>
          <w:color w:val="auto"/>
        </w:rPr>
        <w:t>to a Related Document (other than a Defaulted Collateral Loan or an Ineligible Collateral Loan) would effect a Material Modification, then the Borrower shall not cause or vote in favor of any such Material Modification without the written consent of the Administrative Agent and the Required Lenders.</w:t>
      </w:r>
    </w:p>
    <w:p>
      <w:pPr>
        <w:spacing w:after="0" w:line="292" w:lineRule="exact"/>
        <w:rPr>
          <w:rFonts w:ascii="Arial" w:cs="Arial" w:eastAsia="Arial" w:hAnsi="Arial"/>
          <w:sz w:val="22"/>
          <w:szCs w:val="22"/>
          <w:color w:val="auto"/>
        </w:rPr>
      </w:pPr>
    </w:p>
    <w:p>
      <w:pPr>
        <w:jc w:val="both"/>
        <w:ind w:left="-320" w:firstLine="934"/>
        <w:spacing w:after="0" w:line="252" w:lineRule="auto"/>
        <w:tabs>
          <w:tab w:leader="none" w:pos="1269" w:val="left"/>
        </w:tabs>
        <w:numPr>
          <w:ilvl w:val="0"/>
          <w:numId w:val="164"/>
        </w:numPr>
        <w:rPr>
          <w:rFonts w:ascii="Arial" w:cs="Arial" w:eastAsia="Arial" w:hAnsi="Arial"/>
          <w:sz w:val="21"/>
          <w:szCs w:val="21"/>
          <w:color w:val="auto"/>
        </w:rPr>
      </w:pPr>
      <w:r>
        <w:rPr>
          <w:rFonts w:ascii="Arial" w:cs="Arial" w:eastAsia="Arial" w:hAnsi="Arial"/>
          <w:sz w:val="21"/>
          <w:szCs w:val="21"/>
          <w:i w:val="1"/>
          <w:iCs w:val="1"/>
          <w:color w:val="auto"/>
        </w:rPr>
        <w:t>Hedge Agreements</w:t>
      </w:r>
      <w:r>
        <w:rPr>
          <w:rFonts w:ascii="Arial" w:cs="Arial" w:eastAsia="Arial" w:hAnsi="Arial"/>
          <w:sz w:val="21"/>
          <w:szCs w:val="21"/>
          <w:color w:val="auto"/>
        </w:rPr>
        <w:t>. The Borrower shall be permitted to enter into interest rate hedging agreements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with respect to its Fixed Rate Obligations;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the notional amount of such hedging arrangements may not exceed the outstanding principal amount of the related Collateral Obligations and (ii) the counterparty with respect to such hedging agreement is a qualified Hedge Counterparty.</w:t>
      </w:r>
    </w:p>
    <w:p>
      <w:pPr>
        <w:spacing w:after="0" w:line="1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0120"/>
          </w:cols>
          <w:pgMar w:left="1440" w:top="267" w:right="339" w:bottom="1440" w:gutter="0" w:footer="0" w:header="0"/>
        </w:sectPr>
      </w:pPr>
    </w:p>
    <w:bookmarkStart w:id="129" w:name="page130"/>
    <w:bookmarkEnd w:id="129"/>
    <w:p>
      <w:pPr>
        <w:jc w:val="both"/>
        <w:ind w:left="800" w:firstLine="934"/>
        <w:spacing w:after="0"/>
        <w:tabs>
          <w:tab w:leader="none" w:pos="2349" w:val="left"/>
        </w:tabs>
        <w:numPr>
          <w:ilvl w:val="0"/>
          <w:numId w:val="165"/>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Collections</w:t>
      </w:r>
      <w:r>
        <w:rPr>
          <w:rFonts w:ascii="Arial" w:cs="Arial" w:eastAsia="Arial" w:hAnsi="Arial"/>
          <w:sz w:val="22"/>
          <w:szCs w:val="22"/>
          <w:color w:val="auto"/>
        </w:rPr>
        <w:t>. The Borrower shall direct all Obligors (and related paying agents) to pay all Collections</w:t>
      </w:r>
      <w:r>
        <w:rPr>
          <w:rFonts w:ascii="Arial" w:cs="Arial" w:eastAsia="Arial" w:hAnsi="Arial"/>
          <w:sz w:val="22"/>
          <w:szCs w:val="22"/>
          <w:i w:val="1"/>
          <w:iCs w:val="1"/>
          <w:color w:val="auto"/>
        </w:rPr>
        <w:t xml:space="preserve"> </w:t>
      </w:r>
      <w:r>
        <w:rPr>
          <w:rFonts w:ascii="Arial" w:cs="Arial" w:eastAsia="Arial" w:hAnsi="Arial"/>
          <w:sz w:val="22"/>
          <w:szCs w:val="22"/>
          <w:color w:val="auto"/>
        </w:rPr>
        <w:t>directly to the applicable Interest Collection Subaccount (in the case of Interest Proceeds) or the applicable Principal Collection Subaccount (in the case of Principal Proceeds).</w:t>
      </w:r>
    </w:p>
    <w:p>
      <w:pPr>
        <w:spacing w:after="0" w:line="294" w:lineRule="exact"/>
        <w:rPr>
          <w:rFonts w:ascii="Arial" w:cs="Arial" w:eastAsia="Arial" w:hAnsi="Arial"/>
          <w:sz w:val="22"/>
          <w:szCs w:val="22"/>
          <w:color w:val="auto"/>
        </w:rPr>
      </w:pPr>
    </w:p>
    <w:p>
      <w:pPr>
        <w:ind w:left="800" w:firstLine="934"/>
        <w:spacing w:after="0" w:line="250" w:lineRule="auto"/>
        <w:tabs>
          <w:tab w:leader="none" w:pos="2464" w:val="left"/>
        </w:tabs>
        <w:numPr>
          <w:ilvl w:val="0"/>
          <w:numId w:val="165"/>
        </w:numPr>
        <w:rPr>
          <w:rFonts w:ascii="Arial" w:cs="Arial" w:eastAsia="Arial" w:hAnsi="Arial"/>
          <w:sz w:val="22"/>
          <w:szCs w:val="22"/>
          <w:color w:val="auto"/>
        </w:rPr>
      </w:pPr>
      <w:r>
        <w:rPr>
          <w:rFonts w:ascii="Arial" w:cs="Arial" w:eastAsia="Arial" w:hAnsi="Arial"/>
          <w:sz w:val="22"/>
          <w:szCs w:val="22"/>
          <w:i w:val="1"/>
          <w:iCs w:val="1"/>
          <w:color w:val="auto"/>
        </w:rPr>
        <w:t xml:space="preserve">Priority of Payments. </w:t>
      </w:r>
      <w:r>
        <w:rPr>
          <w:rFonts w:ascii="Arial" w:cs="Arial" w:eastAsia="Arial" w:hAnsi="Arial"/>
          <w:sz w:val="22"/>
          <w:szCs w:val="22"/>
          <w:color w:val="auto"/>
        </w:rPr>
        <w:t>The Borrower shall ensure all Interest Proceeds and Principal Proceeds are</w:t>
      </w:r>
      <w:r>
        <w:rPr>
          <w:rFonts w:ascii="Arial" w:cs="Arial" w:eastAsia="Arial" w:hAnsi="Arial"/>
          <w:sz w:val="22"/>
          <w:szCs w:val="22"/>
          <w:i w:val="1"/>
          <w:iCs w:val="1"/>
          <w:color w:val="auto"/>
        </w:rPr>
        <w:t xml:space="preserve"> </w:t>
      </w:r>
      <w:r>
        <w:rPr>
          <w:rFonts w:ascii="Arial" w:cs="Arial" w:eastAsia="Arial" w:hAnsi="Arial"/>
          <w:sz w:val="22"/>
          <w:szCs w:val="22"/>
          <w:color w:val="auto"/>
        </w:rPr>
        <w:t>applied solely in accordance with the provisions of this Agreement.</w:t>
      </w:r>
    </w:p>
    <w:p>
      <w:pPr>
        <w:spacing w:after="0" w:line="283" w:lineRule="exact"/>
        <w:rPr>
          <w:sz w:val="20"/>
          <w:szCs w:val="20"/>
          <w:color w:val="auto"/>
        </w:rPr>
      </w:pPr>
    </w:p>
    <w:p>
      <w:pPr>
        <w:ind w:firstLine="562"/>
        <w:spacing w:after="0" w:line="250" w:lineRule="auto"/>
        <w:rPr>
          <w:sz w:val="20"/>
          <w:szCs w:val="20"/>
          <w:color w:val="auto"/>
        </w:rPr>
      </w:pPr>
      <w:r>
        <w:rPr>
          <w:rFonts w:ascii="Arial" w:cs="Arial" w:eastAsia="Arial" w:hAnsi="Arial"/>
          <w:sz w:val="22"/>
          <w:szCs w:val="22"/>
          <w:i w:val="1"/>
          <w:iCs w:val="1"/>
          <w:color w:val="auto"/>
        </w:rPr>
        <w:t>Section 5.02. Negative Covenants of the Borrower</w:t>
      </w:r>
      <w:r>
        <w:rPr>
          <w:rFonts w:ascii="Arial" w:cs="Arial" w:eastAsia="Arial" w:hAnsi="Arial"/>
          <w:sz w:val="22"/>
          <w:szCs w:val="22"/>
          <w:color w:val="auto"/>
        </w:rPr>
        <w:t>. The Borrower covenants and agrees that, until the Final Maturity</w:t>
      </w:r>
      <w:r>
        <w:rPr>
          <w:rFonts w:ascii="Arial" w:cs="Arial" w:eastAsia="Arial" w:hAnsi="Arial"/>
          <w:sz w:val="22"/>
          <w:szCs w:val="22"/>
          <w:i w:val="1"/>
          <w:iCs w:val="1"/>
          <w:color w:val="auto"/>
        </w:rPr>
        <w:t xml:space="preserve"> </w:t>
      </w:r>
      <w:r>
        <w:rPr>
          <w:rFonts w:ascii="Arial" w:cs="Arial" w:eastAsia="Arial" w:hAnsi="Arial"/>
          <w:sz w:val="22"/>
          <w:szCs w:val="22"/>
          <w:color w:val="auto"/>
        </w:rPr>
        <w:t>Date (and thereafter until the date that all Obligations have been paid in full):</w:t>
      </w:r>
    </w:p>
    <w:p>
      <w:pPr>
        <w:spacing w:after="0" w:line="283" w:lineRule="exact"/>
        <w:rPr>
          <w:sz w:val="20"/>
          <w:szCs w:val="20"/>
          <w:color w:val="auto"/>
        </w:rPr>
      </w:pPr>
    </w:p>
    <w:p>
      <w:pPr>
        <w:jc w:val="both"/>
        <w:ind w:left="800" w:firstLine="934"/>
        <w:spacing w:after="0" w:line="287" w:lineRule="auto"/>
        <w:tabs>
          <w:tab w:leader="none" w:pos="2317" w:val="left"/>
        </w:tabs>
        <w:numPr>
          <w:ilvl w:val="1"/>
          <w:numId w:val="166"/>
        </w:numPr>
        <w:rPr>
          <w:rFonts w:ascii="Arial" w:cs="Arial" w:eastAsia="Arial" w:hAnsi="Arial"/>
          <w:sz w:val="19"/>
          <w:szCs w:val="19"/>
          <w:color w:val="auto"/>
        </w:rPr>
      </w:pPr>
      <w:r>
        <w:rPr>
          <w:rFonts w:ascii="Arial" w:cs="Arial" w:eastAsia="Arial" w:hAnsi="Arial"/>
          <w:sz w:val="19"/>
          <w:szCs w:val="19"/>
          <w:i w:val="1"/>
          <w:iCs w:val="1"/>
          <w:color w:val="auto"/>
        </w:rPr>
        <w:t>Restrictive Agreements</w:t>
      </w:r>
      <w:r>
        <w:rPr>
          <w:rFonts w:ascii="Arial" w:cs="Arial" w:eastAsia="Arial" w:hAnsi="Arial"/>
          <w:sz w:val="19"/>
          <w:szCs w:val="19"/>
          <w:color w:val="auto"/>
        </w:rPr>
        <w:t>. It shall not enter into or suffer to exist or become effective any agreement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prohibits, limits 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250" w:lineRule="exact"/>
        <w:rPr>
          <w:rFonts w:ascii="Arial" w:cs="Arial" w:eastAsia="Arial" w:hAnsi="Arial"/>
          <w:sz w:val="19"/>
          <w:szCs w:val="19"/>
          <w:color w:val="auto"/>
        </w:rPr>
      </w:pPr>
    </w:p>
    <w:p>
      <w:pPr>
        <w:jc w:val="both"/>
        <w:ind w:left="800" w:firstLine="934"/>
        <w:spacing w:after="0" w:line="282" w:lineRule="auto"/>
        <w:tabs>
          <w:tab w:leader="none" w:pos="2356" w:val="left"/>
        </w:tabs>
        <w:numPr>
          <w:ilvl w:val="1"/>
          <w:numId w:val="166"/>
        </w:numPr>
        <w:rPr>
          <w:rFonts w:ascii="Arial" w:cs="Arial" w:eastAsia="Arial" w:hAnsi="Arial"/>
          <w:sz w:val="19"/>
          <w:szCs w:val="19"/>
          <w:color w:val="auto"/>
        </w:rPr>
      </w:pPr>
      <w:r>
        <w:rPr>
          <w:rFonts w:ascii="Arial" w:cs="Arial" w:eastAsia="Arial" w:hAnsi="Arial"/>
          <w:sz w:val="19"/>
          <w:szCs w:val="19"/>
          <w:i w:val="1"/>
          <w:iCs w:val="1"/>
          <w:color w:val="auto"/>
        </w:rPr>
        <w:t>Liquidation; Merger; Sale of Collateral</w:t>
      </w:r>
      <w:r>
        <w:rPr>
          <w:rFonts w:ascii="Arial" w:cs="Arial" w:eastAsia="Arial" w:hAnsi="Arial"/>
          <w:sz w:val="19"/>
          <w:szCs w:val="19"/>
          <w:color w:val="auto"/>
        </w:rPr>
        <w:t>. It shall not consummate any plan of liquidation, dissolution,</w:t>
      </w:r>
      <w:r>
        <w:rPr>
          <w:rFonts w:ascii="Arial" w:cs="Arial" w:eastAsia="Arial" w:hAnsi="Arial"/>
          <w:sz w:val="19"/>
          <w:szCs w:val="19"/>
          <w:i w:val="1"/>
          <w:iCs w:val="1"/>
          <w:color w:val="auto"/>
        </w:rPr>
        <w:t xml:space="preserve"> </w:t>
      </w:r>
      <w:r>
        <w:rPr>
          <w:rFonts w:ascii="Arial" w:cs="Arial" w:eastAsia="Arial" w:hAnsi="Arial"/>
          <w:sz w:val="19"/>
          <w:szCs w:val="19"/>
          <w:color w:val="auto"/>
        </w:rPr>
        <w:t>partial liquidation, merger or consolidation (or suffer any liquidation, dissolution or partial liquidation) nor sell, transfer, exchange or otherwise dispose of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255" w:lineRule="exact"/>
        <w:rPr>
          <w:rFonts w:ascii="Arial" w:cs="Arial" w:eastAsia="Arial" w:hAnsi="Arial"/>
          <w:sz w:val="19"/>
          <w:szCs w:val="19"/>
          <w:color w:val="auto"/>
        </w:rPr>
      </w:pPr>
    </w:p>
    <w:p>
      <w:pPr>
        <w:jc w:val="both"/>
        <w:ind w:left="800" w:firstLine="934"/>
        <w:spacing w:after="0" w:line="276" w:lineRule="auto"/>
        <w:tabs>
          <w:tab w:leader="none" w:pos="2412" w:val="left"/>
        </w:tabs>
        <w:numPr>
          <w:ilvl w:val="1"/>
          <w:numId w:val="166"/>
        </w:numPr>
        <w:rPr>
          <w:rFonts w:ascii="Arial" w:cs="Arial" w:eastAsia="Arial" w:hAnsi="Arial"/>
          <w:sz w:val="19"/>
          <w:szCs w:val="19"/>
          <w:color w:val="auto"/>
        </w:rPr>
      </w:pPr>
      <w:r>
        <w:rPr>
          <w:rFonts w:ascii="Arial" w:cs="Arial" w:eastAsia="Arial" w:hAnsi="Arial"/>
          <w:sz w:val="19"/>
          <w:szCs w:val="19"/>
          <w:i w:val="1"/>
          <w:iCs w:val="1"/>
          <w:color w:val="auto"/>
        </w:rPr>
        <w:t>Amendments to Constituent Documents, etc</w:t>
      </w:r>
      <w:r>
        <w:rPr>
          <w:rFonts w:ascii="Arial" w:cs="Arial" w:eastAsia="Arial" w:hAnsi="Arial"/>
          <w:sz w:val="19"/>
          <w:szCs w:val="19"/>
          <w:color w:val="auto"/>
        </w:rPr>
        <w:t>. Without the consent of the Administrative Agent and</w:t>
      </w:r>
      <w:r>
        <w:rPr>
          <w:rFonts w:ascii="Arial" w:cs="Arial" w:eastAsia="Arial" w:hAnsi="Arial"/>
          <w:sz w:val="19"/>
          <w:szCs w:val="19"/>
          <w:i w:val="1"/>
          <w:iCs w:val="1"/>
          <w:color w:val="auto"/>
        </w:rPr>
        <w:t xml:space="preserve"> </w:t>
      </w:r>
      <w:r>
        <w:rPr>
          <w:rFonts w:ascii="Arial" w:cs="Arial" w:eastAsia="Arial" w:hAnsi="Arial"/>
          <w:sz w:val="19"/>
          <w:szCs w:val="19"/>
          <w:color w:val="auto"/>
        </w:rPr>
        <w:t>each of the Lenders, (i) it shall not amend, modify or take any action inconsistent with its Constituent Documents and</w:t>
      </w:r>
    </w:p>
    <w:p>
      <w:pPr>
        <w:spacing w:after="0" w:line="1" w:lineRule="exact"/>
        <w:rPr>
          <w:rFonts w:ascii="Arial" w:cs="Arial" w:eastAsia="Arial" w:hAnsi="Arial"/>
          <w:sz w:val="19"/>
          <w:szCs w:val="19"/>
          <w:color w:val="auto"/>
        </w:rPr>
      </w:pPr>
    </w:p>
    <w:p>
      <w:pPr>
        <w:ind w:left="800" w:hanging="6"/>
        <w:spacing w:after="0" w:line="308" w:lineRule="auto"/>
        <w:tabs>
          <w:tab w:leader="none" w:pos="113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it will not amend, modify or waive any term or provision in any Facility Document (other than in accordance with any provision thereof requiring the consent of the Administrative Agent or all or a specified percentage of the Lenders).</w:t>
      </w:r>
    </w:p>
    <w:p>
      <w:pPr>
        <w:spacing w:after="0" w:line="231" w:lineRule="exact"/>
        <w:rPr>
          <w:rFonts w:ascii="Arial" w:cs="Arial" w:eastAsia="Arial" w:hAnsi="Arial"/>
          <w:sz w:val="19"/>
          <w:szCs w:val="19"/>
          <w:color w:val="auto"/>
        </w:rPr>
      </w:pPr>
    </w:p>
    <w:p>
      <w:pPr>
        <w:ind w:left="2400" w:hanging="666"/>
        <w:spacing w:after="0"/>
        <w:tabs>
          <w:tab w:leader="none" w:pos="2400" w:val="left"/>
        </w:tabs>
        <w:numPr>
          <w:ilvl w:val="1"/>
          <w:numId w:val="167"/>
        </w:numPr>
        <w:rPr>
          <w:rFonts w:ascii="Arial" w:cs="Arial" w:eastAsia="Arial" w:hAnsi="Arial"/>
          <w:sz w:val="19"/>
          <w:szCs w:val="19"/>
          <w:color w:val="auto"/>
        </w:rPr>
      </w:pPr>
      <w:r>
        <w:rPr>
          <w:rFonts w:ascii="Arial" w:cs="Arial" w:eastAsia="Arial" w:hAnsi="Arial"/>
          <w:sz w:val="19"/>
          <w:szCs w:val="19"/>
          <w:i w:val="1"/>
          <w:iCs w:val="1"/>
          <w:color w:val="auto"/>
        </w:rPr>
        <w:t>ERISA</w:t>
      </w:r>
      <w:r>
        <w:rPr>
          <w:rFonts w:ascii="Arial" w:cs="Arial" w:eastAsia="Arial" w:hAnsi="Arial"/>
          <w:sz w:val="19"/>
          <w:szCs w:val="19"/>
          <w:color w:val="auto"/>
        </w:rPr>
        <w:t>.  Neither it nor any member of the ERISA Group shall establish any Plan or Multiemployer</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96" w:lineRule="exact"/>
        <w:rPr>
          <w:rFonts w:ascii="Arial" w:cs="Arial" w:eastAsia="Arial" w:hAnsi="Arial"/>
          <w:sz w:val="19"/>
          <w:szCs w:val="19"/>
          <w:color w:val="auto"/>
        </w:rPr>
      </w:pPr>
    </w:p>
    <w:p>
      <w:pPr>
        <w:jc w:val="both"/>
        <w:ind w:left="800" w:firstLine="934"/>
        <w:spacing w:after="0"/>
        <w:tabs>
          <w:tab w:leader="none" w:pos="2479" w:val="left"/>
        </w:tabs>
        <w:numPr>
          <w:ilvl w:val="1"/>
          <w:numId w:val="167"/>
        </w:numPr>
        <w:rPr>
          <w:rFonts w:ascii="Arial" w:cs="Arial" w:eastAsia="Arial" w:hAnsi="Arial"/>
          <w:sz w:val="22"/>
          <w:szCs w:val="22"/>
          <w:color w:val="auto"/>
        </w:rPr>
      </w:pPr>
      <w:r>
        <w:rPr>
          <w:rFonts w:ascii="Arial" w:cs="Arial" w:eastAsia="Arial" w:hAnsi="Arial"/>
          <w:sz w:val="22"/>
          <w:szCs w:val="22"/>
          <w:i w:val="1"/>
          <w:iCs w:val="1"/>
          <w:color w:val="auto"/>
        </w:rPr>
        <w:t>Liens</w:t>
      </w:r>
      <w:r>
        <w:rPr>
          <w:rFonts w:ascii="Arial" w:cs="Arial" w:eastAsia="Arial" w:hAnsi="Arial"/>
          <w:sz w:val="22"/>
          <w:szCs w:val="22"/>
          <w:color w:val="auto"/>
        </w:rPr>
        <w:t>. It shall not create, assume or suffer to exist any Lien on any of its assets now owned or</w:t>
      </w:r>
      <w:r>
        <w:rPr>
          <w:rFonts w:ascii="Arial" w:cs="Arial" w:eastAsia="Arial" w:hAnsi="Arial"/>
          <w:sz w:val="22"/>
          <w:szCs w:val="22"/>
          <w:i w:val="1"/>
          <w:iCs w:val="1"/>
          <w:color w:val="auto"/>
        </w:rPr>
        <w:t xml:space="preserve"> </w:t>
      </w:r>
      <w:r>
        <w:rPr>
          <w:rFonts w:ascii="Arial" w:cs="Arial" w:eastAsia="Arial" w:hAnsi="Arial"/>
          <w:sz w:val="22"/>
          <w:szCs w:val="22"/>
          <w:color w:val="auto"/>
        </w:rPr>
        <w:t>hereafter acquired by it at any time, except for Permitted Liens or as otherwise expressly permitted by this Agreement and the other Facility Documents.</w:t>
      </w:r>
    </w:p>
    <w:p>
      <w:pPr>
        <w:spacing w:after="0" w:line="294" w:lineRule="exact"/>
        <w:rPr>
          <w:rFonts w:ascii="Arial" w:cs="Arial" w:eastAsia="Arial" w:hAnsi="Arial"/>
          <w:sz w:val="22"/>
          <w:szCs w:val="22"/>
          <w:color w:val="auto"/>
        </w:rPr>
      </w:pPr>
    </w:p>
    <w:p>
      <w:pPr>
        <w:jc w:val="both"/>
        <w:ind w:left="800" w:firstLine="934"/>
        <w:spacing w:after="0" w:line="236" w:lineRule="auto"/>
        <w:tabs>
          <w:tab w:leader="none" w:pos="2280" w:val="left"/>
        </w:tabs>
        <w:numPr>
          <w:ilvl w:val="1"/>
          <w:numId w:val="167"/>
        </w:numPr>
        <w:rPr>
          <w:rFonts w:ascii="Arial" w:cs="Arial" w:eastAsia="Arial" w:hAnsi="Arial"/>
          <w:sz w:val="22"/>
          <w:szCs w:val="22"/>
          <w:color w:val="auto"/>
        </w:rPr>
      </w:pPr>
      <w:r>
        <w:rPr>
          <w:rFonts w:ascii="Arial" w:cs="Arial" w:eastAsia="Arial" w:hAnsi="Arial"/>
          <w:sz w:val="22"/>
          <w:szCs w:val="22"/>
          <w:i w:val="1"/>
          <w:iCs w:val="1"/>
          <w:color w:val="auto"/>
        </w:rPr>
        <w:t>Margin Requirements</w:t>
      </w:r>
      <w:r>
        <w:rPr>
          <w:rFonts w:ascii="Arial" w:cs="Arial" w:eastAsia="Arial" w:hAnsi="Arial"/>
          <w:sz w:val="22"/>
          <w:szCs w:val="22"/>
          <w:color w:val="auto"/>
        </w:rPr>
        <w:t>. It shall not (i) extend credit to others for the purpose of buying or carrying any</w:t>
      </w:r>
      <w:r>
        <w:rPr>
          <w:rFonts w:ascii="Arial" w:cs="Arial" w:eastAsia="Arial" w:hAnsi="Arial"/>
          <w:sz w:val="22"/>
          <w:szCs w:val="22"/>
          <w:i w:val="1"/>
          <w:iCs w:val="1"/>
          <w:color w:val="auto"/>
        </w:rPr>
        <w:t xml:space="preserve"> </w:t>
      </w:r>
      <w:r>
        <w:rPr>
          <w:rFonts w:ascii="Arial" w:cs="Arial" w:eastAsia="Arial" w:hAnsi="Arial"/>
          <w:sz w:val="22"/>
          <w:szCs w:val="22"/>
          <w:color w:val="auto"/>
        </w:rPr>
        <w:t>Margin Stock in such a manner 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267" w:right="339" w:bottom="1440" w:gutter="0" w:footer="0" w:header="0"/>
        </w:sectPr>
      </w:pPr>
    </w:p>
    <w:bookmarkStart w:id="130" w:name="page131"/>
    <w:bookmarkEnd w:id="130"/>
    <w:p>
      <w:pPr>
        <w:jc w:val="both"/>
        <w:ind w:left="-320" w:firstLine="990"/>
        <w:spacing w:after="0"/>
        <w:tabs>
          <w:tab w:leader="none" w:pos="1209"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Payments</w:t>
      </w:r>
      <w:r>
        <w:rPr>
          <w:rFonts w:ascii="Arial" w:cs="Arial" w:eastAsia="Arial" w:hAnsi="Arial"/>
          <w:sz w:val="22"/>
          <w:szCs w:val="22"/>
          <w:color w:val="auto"/>
        </w:rPr>
        <w:t>. It shall not make, directly or indirectly, any Restricted Payment (whether in the</w:t>
      </w:r>
      <w:r>
        <w:rPr>
          <w:rFonts w:ascii="Arial" w:cs="Arial" w:eastAsia="Arial" w:hAnsi="Arial"/>
          <w:sz w:val="22"/>
          <w:szCs w:val="22"/>
          <w:i w:val="1"/>
          <w:iCs w:val="1"/>
          <w:color w:val="auto"/>
        </w:rPr>
        <w:t xml:space="preserve"> </w:t>
      </w:r>
      <w:r>
        <w:rPr>
          <w:rFonts w:ascii="Arial" w:cs="Arial" w:eastAsia="Arial" w:hAnsi="Arial"/>
          <w:sz w:val="22"/>
          <w:szCs w:val="22"/>
          <w:color w:val="auto"/>
        </w:rPr>
        <w:t>form of cash or other assets) or incur any obligation (contingent or otherwise) to do so (other than payments made pursuant to the Priority of Payments).</w:t>
      </w:r>
    </w:p>
    <w:p>
      <w:pPr>
        <w:spacing w:after="0" w:line="294" w:lineRule="exact"/>
        <w:rPr>
          <w:rFonts w:ascii="Arial" w:cs="Arial" w:eastAsia="Arial" w:hAnsi="Arial"/>
          <w:sz w:val="22"/>
          <w:szCs w:val="22"/>
          <w:color w:val="auto"/>
        </w:rPr>
      </w:pPr>
    </w:p>
    <w:p>
      <w:pPr>
        <w:jc w:val="both"/>
        <w:ind w:left="-320" w:firstLine="999"/>
        <w:spacing w:after="0" w:line="234" w:lineRule="auto"/>
        <w:tabs>
          <w:tab w:leader="none" w:pos="1263"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Changes to Filing Information</w:t>
      </w:r>
      <w:r>
        <w:rPr>
          <w:rFonts w:ascii="Arial" w:cs="Arial" w:eastAsia="Arial" w:hAnsi="Arial"/>
          <w:sz w:val="22"/>
          <w:szCs w:val="22"/>
          <w:color w:val="auto"/>
        </w:rPr>
        <w:t>. It shall not change its name or its jurisdiction of organization from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that referred to in </w:t>
      </w:r>
      <w:r>
        <w:rPr>
          <w:rFonts w:ascii="Arial" w:cs="Arial" w:eastAsia="Arial" w:hAnsi="Arial"/>
          <w:sz w:val="22"/>
          <w:szCs w:val="22"/>
          <w:u w:val="single" w:color="auto"/>
          <w:color w:val="auto"/>
        </w:rPr>
        <w:t>Section 4.01(a)</w:t>
      </w:r>
      <w:r>
        <w:rPr>
          <w:rFonts w:ascii="Arial" w:cs="Arial" w:eastAsia="Arial" w:hAnsi="Arial"/>
          <w:sz w:val="22"/>
          <w:szCs w:val="22"/>
          <w:color w:val="auto"/>
        </w:rPr>
        <w:t>, unless it gives thirty (30) 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298" w:lineRule="exact"/>
        <w:rPr>
          <w:rFonts w:ascii="Arial" w:cs="Arial" w:eastAsia="Arial" w:hAnsi="Arial"/>
          <w:sz w:val="22"/>
          <w:szCs w:val="22"/>
          <w:color w:val="auto"/>
        </w:rPr>
      </w:pPr>
    </w:p>
    <w:p>
      <w:pPr>
        <w:jc w:val="both"/>
        <w:ind w:left="-320" w:firstLine="996"/>
        <w:spacing w:after="0" w:line="235" w:lineRule="auto"/>
        <w:tabs>
          <w:tab w:leader="none" w:pos="1256"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Transactions with Affiliates</w:t>
      </w:r>
      <w:r>
        <w:rPr>
          <w:rFonts w:ascii="Arial" w:cs="Arial" w:eastAsia="Arial" w:hAnsi="Arial"/>
          <w:sz w:val="22"/>
          <w:szCs w:val="22"/>
          <w:color w:val="auto"/>
        </w:rPr>
        <w:t>. It shall not sell, lease or otherwise transfer any property or assets to, or</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 lease or otherwise acquire any 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295" w:lineRule="exact"/>
        <w:rPr>
          <w:rFonts w:ascii="Arial" w:cs="Arial" w:eastAsia="Arial" w:hAnsi="Arial"/>
          <w:sz w:val="22"/>
          <w:szCs w:val="22"/>
          <w:color w:val="auto"/>
        </w:rPr>
      </w:pPr>
    </w:p>
    <w:p>
      <w:pPr>
        <w:ind w:left="-320" w:right="20" w:firstLine="990"/>
        <w:spacing w:after="0" w:line="250" w:lineRule="auto"/>
        <w:tabs>
          <w:tab w:leader="none" w:pos="1215"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Investment Company Restriction</w:t>
      </w:r>
      <w:r>
        <w:rPr>
          <w:rFonts w:ascii="Arial" w:cs="Arial" w:eastAsia="Arial" w:hAnsi="Arial"/>
          <w:sz w:val="22"/>
          <w:szCs w:val="22"/>
          <w:color w:val="auto"/>
        </w:rPr>
        <w:t>. It shall not become required to register as an “investment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Investment Company Act.</w:t>
      </w:r>
    </w:p>
    <w:p>
      <w:pPr>
        <w:spacing w:after="0" w:line="282" w:lineRule="exact"/>
        <w:rPr>
          <w:rFonts w:ascii="Arial" w:cs="Arial" w:eastAsia="Arial" w:hAnsi="Arial"/>
          <w:sz w:val="22"/>
          <w:szCs w:val="22"/>
          <w:color w:val="auto"/>
        </w:rPr>
      </w:pPr>
    </w:p>
    <w:p>
      <w:pPr>
        <w:jc w:val="both"/>
        <w:ind w:left="-320" w:firstLine="994"/>
        <w:spacing w:after="0" w:line="238" w:lineRule="auto"/>
        <w:tabs>
          <w:tab w:leader="none" w:pos="1290"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Subject Laws</w:t>
      </w:r>
      <w:r>
        <w:rPr>
          <w:rFonts w:ascii="Arial" w:cs="Arial" w:eastAsia="Arial" w:hAnsi="Arial"/>
          <w:sz w:val="22"/>
          <w:szCs w:val="22"/>
          <w:color w:val="auto"/>
        </w:rPr>
        <w:t>. It shall not utilize directly or indirectly the proceeds of any Advance for the benefit of</w:t>
      </w:r>
      <w:r>
        <w:rPr>
          <w:rFonts w:ascii="Arial" w:cs="Arial" w:eastAsia="Arial" w:hAnsi="Arial"/>
          <w:sz w:val="22"/>
          <w:szCs w:val="22"/>
          <w:i w:val="1"/>
          <w:iCs w:val="1"/>
          <w:color w:val="auto"/>
        </w:rPr>
        <w:t xml:space="preserve"> </w:t>
      </w:r>
      <w:r>
        <w:rPr>
          <w:rFonts w:ascii="Arial" w:cs="Arial" w:eastAsia="Arial" w:hAnsi="Arial"/>
          <w:sz w:val="22"/>
          <w:szCs w:val="22"/>
          <w:color w:val="auto"/>
        </w:rPr>
        <w:t>any Person controlling, controlled by, or under common control with any other Person, whose name appears on the List of Specially Designated Nationals and Blocked Persons maintained by OFAC or otherwise in violation of any Subject Laws.</w:t>
      </w:r>
    </w:p>
    <w:p>
      <w:pPr>
        <w:spacing w:after="0" w:line="292" w:lineRule="exact"/>
        <w:rPr>
          <w:rFonts w:ascii="Arial" w:cs="Arial" w:eastAsia="Arial" w:hAnsi="Arial"/>
          <w:sz w:val="22"/>
          <w:szCs w:val="22"/>
          <w:color w:val="auto"/>
        </w:rPr>
      </w:pPr>
    </w:p>
    <w:p>
      <w:pPr>
        <w:jc w:val="both"/>
        <w:ind w:left="-320" w:firstLine="994"/>
        <w:spacing w:after="0" w:line="238" w:lineRule="auto"/>
        <w:tabs>
          <w:tab w:leader="none" w:pos="1242"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No Claims Against Advances</w:t>
      </w:r>
      <w:r>
        <w:rPr>
          <w:rFonts w:ascii="Arial" w:cs="Arial" w:eastAsia="Arial" w:hAnsi="Arial"/>
          <w:sz w:val="22"/>
          <w:szCs w:val="22"/>
          <w:color w:val="auto"/>
        </w:rPr>
        <w:t>. Subject to Applicable Law, it shall not claim any credit on, make any</w:t>
      </w:r>
      <w:r>
        <w:rPr>
          <w:rFonts w:ascii="Arial" w:cs="Arial" w:eastAsia="Arial" w:hAnsi="Arial"/>
          <w:sz w:val="22"/>
          <w:szCs w:val="22"/>
          <w:i w:val="1"/>
          <w:iCs w:val="1"/>
          <w:color w:val="auto"/>
        </w:rPr>
        <w:t xml:space="preserve"> </w:t>
      </w:r>
      <w:r>
        <w:rPr>
          <w:rFonts w:ascii="Arial" w:cs="Arial" w:eastAsia="Arial" w:hAnsi="Arial"/>
          <w:sz w:val="22"/>
          <w:szCs w:val="22"/>
          <w:color w:val="auto"/>
        </w:rPr>
        <w:t>deduction from, or dispute the 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293" w:lineRule="exact"/>
        <w:rPr>
          <w:sz w:val="20"/>
          <w:szCs w:val="20"/>
          <w:color w:val="auto"/>
        </w:rPr>
      </w:pPr>
    </w:p>
    <w:p>
      <w:pPr>
        <w:jc w:val="both"/>
        <w:ind w:left="-320" w:firstLine="934"/>
        <w:spacing w:after="0" w:line="297" w:lineRule="auto"/>
        <w:tabs>
          <w:tab w:leader="none" w:pos="1296" w:val="left"/>
        </w:tabs>
        <w:numPr>
          <w:ilvl w:val="0"/>
          <w:numId w:val="169"/>
        </w:numPr>
        <w:rPr>
          <w:rFonts w:ascii="Arial" w:cs="Arial" w:eastAsia="Arial" w:hAnsi="Arial"/>
          <w:sz w:val="19"/>
          <w:szCs w:val="19"/>
          <w:color w:val="auto"/>
        </w:rPr>
      </w:pPr>
      <w:r>
        <w:rPr>
          <w:rFonts w:ascii="Arial" w:cs="Arial" w:eastAsia="Arial" w:hAnsi="Arial"/>
          <w:sz w:val="19"/>
          <w:szCs w:val="19"/>
          <w:i w:val="1"/>
          <w:iCs w:val="1"/>
          <w:color w:val="auto"/>
        </w:rPr>
        <w:t>Indebtedness; Guarantees; Securities; Other Assets</w:t>
      </w:r>
      <w:r>
        <w:rPr>
          <w:rFonts w:ascii="Arial" w:cs="Arial" w:eastAsia="Arial" w:hAnsi="Arial"/>
          <w:sz w:val="19"/>
          <w:szCs w:val="19"/>
          <w:color w:val="auto"/>
        </w:rPr>
        <w:t>. It shall not incur or assume or guarantee any</w:t>
      </w:r>
      <w:r>
        <w:rPr>
          <w:rFonts w:ascii="Arial" w:cs="Arial" w:eastAsia="Arial" w:hAnsi="Arial"/>
          <w:sz w:val="19"/>
          <w:szCs w:val="19"/>
          <w:i w:val="1"/>
          <w:iCs w:val="1"/>
          <w:color w:val="auto"/>
        </w:rPr>
        <w:t xml:space="preserve"> </w:t>
      </w:r>
      <w:r>
        <w:rPr>
          <w:rFonts w:ascii="Arial" w:cs="Arial" w:eastAsia="Arial" w:hAnsi="Arial"/>
          <w:sz w:val="19"/>
          <w:szCs w:val="19"/>
          <w:color w:val="auto"/>
        </w:rPr>
        <w:t>indebtedness, obligations (including contingent obligations) or other liabilities, or issue any additional securities, whether debt or equity, in each case other than (i) pursuant to or as expressly permitted by this Agreement and the other</w:t>
      </w:r>
    </w:p>
    <w:p>
      <w:pPr>
        <w:spacing w:after="0" w:line="6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0120"/>
          </w:cols>
          <w:pgMar w:left="1440" w:top="267" w:right="339" w:bottom="1440" w:gutter="0" w:footer="0" w:header="0"/>
        </w:sectPr>
      </w:pPr>
    </w:p>
    <w:bookmarkStart w:id="131" w:name="page132"/>
    <w:bookmarkEnd w:id="131"/>
    <w:p>
      <w:pPr>
        <w:jc w:val="both"/>
        <w:spacing w:after="0" w:line="25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277" w:lineRule="exact"/>
        <w:rPr>
          <w:sz w:val="20"/>
          <w:szCs w:val="20"/>
          <w:color w:val="auto"/>
        </w:rPr>
      </w:pPr>
    </w:p>
    <w:p>
      <w:pPr>
        <w:jc w:val="both"/>
        <w:ind w:firstLine="934"/>
        <w:spacing w:after="0" w:line="282" w:lineRule="auto"/>
        <w:tabs>
          <w:tab w:leader="none" w:pos="1570"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Validity of this Agreement</w:t>
      </w:r>
      <w:r>
        <w:rPr>
          <w:rFonts w:ascii="Arial" w:cs="Arial" w:eastAsia="Arial" w:hAnsi="Arial"/>
          <w:sz w:val="19"/>
          <w:szCs w:val="19"/>
          <w:color w:val="auto"/>
        </w:rPr>
        <w:t>. It shall not (i) permit the validity or effectiveness of this Agreement or</w:t>
      </w:r>
      <w:r>
        <w:rPr>
          <w:rFonts w:ascii="Arial" w:cs="Arial" w:eastAsia="Arial" w:hAnsi="Arial"/>
          <w:sz w:val="19"/>
          <w:szCs w:val="19"/>
          <w:i w:val="1"/>
          <w:iCs w:val="1"/>
          <w:color w:val="auto"/>
        </w:rPr>
        <w:t xml:space="preserve"> </w:t>
      </w:r>
      <w:r>
        <w:rPr>
          <w:rFonts w:ascii="Arial" w:cs="Arial" w:eastAsia="Arial" w:hAnsi="Arial"/>
          <w:sz w:val="19"/>
          <w:szCs w:val="19"/>
          <w:color w:val="auto"/>
        </w:rPr>
        <w:t>any grant of Collateral 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255" w:lineRule="exact"/>
        <w:rPr>
          <w:rFonts w:ascii="Arial" w:cs="Arial" w:eastAsia="Arial" w:hAnsi="Arial"/>
          <w:sz w:val="19"/>
          <w:szCs w:val="19"/>
          <w:color w:val="auto"/>
        </w:rPr>
      </w:pPr>
    </w:p>
    <w:p>
      <w:pPr>
        <w:jc w:val="both"/>
        <w:ind w:firstLine="934"/>
        <w:spacing w:after="0"/>
        <w:tabs>
          <w:tab w:leader="none" w:pos="1556"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Priority of Payments</w:t>
      </w:r>
      <w:r>
        <w:rPr>
          <w:rFonts w:ascii="Arial" w:cs="Arial" w:eastAsia="Arial" w:hAnsi="Arial"/>
          <w:sz w:val="22"/>
          <w:szCs w:val="22"/>
          <w:color w:val="auto"/>
        </w:rPr>
        <w:t>. It shall not pay any distributions other than in accordance with the Priority of</w:t>
      </w:r>
      <w:r>
        <w:rPr>
          <w:rFonts w:ascii="Arial" w:cs="Arial" w:eastAsia="Arial" w:hAnsi="Arial"/>
          <w:sz w:val="22"/>
          <w:szCs w:val="22"/>
          <w:i w:val="1"/>
          <w:iCs w:val="1"/>
          <w:color w:val="auto"/>
        </w:rPr>
        <w:t xml:space="preserve"> </w:t>
      </w:r>
      <w:r>
        <w:rPr>
          <w:rFonts w:ascii="Arial" w:cs="Arial" w:eastAsia="Arial" w:hAnsi="Arial"/>
          <w:sz w:val="22"/>
          <w:szCs w:val="22"/>
          <w:color w:val="auto"/>
        </w:rPr>
        <w:t>Payments (it being understood that any amounts paid to the Borrower pursuant to the Priority of Payments may be distributed to the BDC).</w:t>
      </w:r>
    </w:p>
    <w:p>
      <w:pPr>
        <w:spacing w:after="0" w:line="294" w:lineRule="exact"/>
        <w:rPr>
          <w:rFonts w:ascii="Arial" w:cs="Arial" w:eastAsia="Arial" w:hAnsi="Arial"/>
          <w:sz w:val="22"/>
          <w:szCs w:val="22"/>
          <w:color w:val="auto"/>
        </w:rPr>
      </w:pPr>
    </w:p>
    <w:p>
      <w:pPr>
        <w:ind w:left="1520" w:hanging="586"/>
        <w:spacing w:after="0"/>
        <w:tabs>
          <w:tab w:leader="none" w:pos="1520"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Subsidiaries</w:t>
      </w:r>
      <w:r>
        <w:rPr>
          <w:rFonts w:ascii="Arial" w:cs="Arial" w:eastAsia="Arial" w:hAnsi="Arial"/>
          <w:sz w:val="22"/>
          <w:szCs w:val="22"/>
          <w:color w:val="auto"/>
        </w:rPr>
        <w:t>. It shall not have or permit the formation of any subsidiaries.</w:t>
      </w:r>
    </w:p>
    <w:p>
      <w:pPr>
        <w:spacing w:after="0" w:line="314" w:lineRule="exact"/>
        <w:rPr>
          <w:rFonts w:ascii="Arial" w:cs="Arial" w:eastAsia="Arial" w:hAnsi="Arial"/>
          <w:sz w:val="22"/>
          <w:szCs w:val="22"/>
          <w:color w:val="auto"/>
        </w:rPr>
      </w:pPr>
    </w:p>
    <w:p>
      <w:pPr>
        <w:ind w:left="1520" w:hanging="586"/>
        <w:spacing w:after="0"/>
        <w:tabs>
          <w:tab w:leader="none" w:pos="1520"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Name</w:t>
      </w:r>
      <w:r>
        <w:rPr>
          <w:rFonts w:ascii="Arial" w:cs="Arial" w:eastAsia="Arial" w:hAnsi="Arial"/>
          <w:sz w:val="22"/>
          <w:szCs w:val="22"/>
          <w:color w:val="auto"/>
        </w:rPr>
        <w:t>. It shall not conduct business under any name other than its own.</w:t>
      </w:r>
    </w:p>
    <w:p>
      <w:pPr>
        <w:spacing w:after="0" w:line="314" w:lineRule="exact"/>
        <w:rPr>
          <w:rFonts w:ascii="Arial" w:cs="Arial" w:eastAsia="Arial" w:hAnsi="Arial"/>
          <w:sz w:val="22"/>
          <w:szCs w:val="22"/>
          <w:color w:val="auto"/>
        </w:rPr>
      </w:pPr>
    </w:p>
    <w:p>
      <w:pPr>
        <w:ind w:left="1540" w:hanging="606"/>
        <w:spacing w:after="0"/>
        <w:tabs>
          <w:tab w:leader="none" w:pos="1540"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Employees</w:t>
      </w:r>
      <w:r>
        <w:rPr>
          <w:rFonts w:ascii="Arial" w:cs="Arial" w:eastAsia="Arial" w:hAnsi="Arial"/>
          <w:sz w:val="19"/>
          <w:szCs w:val="19"/>
          <w:color w:val="auto"/>
        </w:rPr>
        <w:t>.   It shall not have any employees (other than officers and directors to the extent they are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employees).</w:t>
      </w:r>
    </w:p>
    <w:p>
      <w:pPr>
        <w:spacing w:after="0" w:line="296" w:lineRule="exact"/>
        <w:rPr>
          <w:rFonts w:ascii="Arial" w:cs="Arial" w:eastAsia="Arial" w:hAnsi="Arial"/>
          <w:sz w:val="19"/>
          <w:szCs w:val="19"/>
          <w:color w:val="auto"/>
        </w:rPr>
      </w:pPr>
    </w:p>
    <w:p>
      <w:pPr>
        <w:jc w:val="both"/>
        <w:ind w:firstLine="934"/>
        <w:spacing w:after="0" w:line="275" w:lineRule="auto"/>
        <w:tabs>
          <w:tab w:leader="none" w:pos="1600"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Non-Petition</w:t>
      </w:r>
      <w:r>
        <w:rPr>
          <w:rFonts w:ascii="Arial" w:cs="Arial" w:eastAsia="Arial" w:hAnsi="Arial"/>
          <w:sz w:val="19"/>
          <w:szCs w:val="19"/>
          <w:color w:val="auto"/>
        </w:rPr>
        <w:t>. The Borrower shall not be party to any agreements under which it has any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or liability (direct or contingent) 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265" w:lineRule="exact"/>
        <w:rPr>
          <w:rFonts w:ascii="Arial" w:cs="Arial" w:eastAsia="Arial" w:hAnsi="Arial"/>
          <w:sz w:val="19"/>
          <w:szCs w:val="19"/>
          <w:color w:val="auto"/>
        </w:rPr>
      </w:pPr>
    </w:p>
    <w:p>
      <w:pPr>
        <w:jc w:val="both"/>
        <w:ind w:firstLine="934"/>
        <w:spacing w:after="0" w:line="238" w:lineRule="auto"/>
        <w:tabs>
          <w:tab w:leader="none" w:pos="1522"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Certificated Securities</w:t>
      </w:r>
      <w:r>
        <w:rPr>
          <w:rFonts w:ascii="Arial" w:cs="Arial" w:eastAsia="Arial" w:hAnsi="Arial"/>
          <w:sz w:val="22"/>
          <w:szCs w:val="22"/>
          <w:color w:val="auto"/>
        </w:rPr>
        <w:t>. The Borrower shall not acquire or hold any Certificated Securities in bearer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form (other than securities not required to be in registered form under </w:t>
      </w:r>
      <w:r>
        <w:rPr>
          <w:rFonts w:ascii="Arial" w:cs="Arial" w:eastAsia="Arial" w:hAnsi="Arial"/>
          <w:sz w:val="22"/>
          <w:szCs w:val="22"/>
          <w:u w:val="single" w:color="auto"/>
          <w:color w:val="auto"/>
        </w:rPr>
        <w:t>Section 163(f)(2)(A)</w:t>
      </w:r>
      <w:r>
        <w:rPr>
          <w:rFonts w:ascii="Arial" w:cs="Arial" w:eastAsia="Arial" w:hAnsi="Arial"/>
          <w:sz w:val="22"/>
          <w:szCs w:val="22"/>
          <w:color w:val="auto"/>
        </w:rPr>
        <w:t xml:space="preserve"> of the Code) in a manner that does not satisfy the requirements of United States Treasury Regulations </w:t>
      </w:r>
      <w:r>
        <w:rPr>
          <w:rFonts w:ascii="Arial" w:cs="Arial" w:eastAsia="Arial" w:hAnsi="Arial"/>
          <w:sz w:val="22"/>
          <w:szCs w:val="22"/>
          <w:u w:val="single" w:color="auto"/>
          <w:color w:val="auto"/>
        </w:rPr>
        <w:t>section 1.165-12(c)</w:t>
      </w:r>
      <w:r>
        <w:rPr>
          <w:rFonts w:ascii="Arial" w:cs="Arial" w:eastAsia="Arial" w:hAnsi="Arial"/>
          <w:sz w:val="22"/>
          <w:szCs w:val="22"/>
          <w:color w:val="auto"/>
        </w:rPr>
        <w:t xml:space="preserve"> (as determined by the Collateral Manager).</w:t>
      </w:r>
    </w:p>
    <w:p>
      <w:pPr>
        <w:spacing w:after="0" w:line="292" w:lineRule="exact"/>
        <w:rPr>
          <w:rFonts w:ascii="Arial" w:cs="Arial" w:eastAsia="Arial" w:hAnsi="Arial"/>
          <w:sz w:val="22"/>
          <w:szCs w:val="22"/>
          <w:color w:val="auto"/>
        </w:rPr>
      </w:pPr>
    </w:p>
    <w:p>
      <w:pPr>
        <w:jc w:val="both"/>
        <w:ind w:firstLine="934"/>
        <w:spacing w:after="0" w:line="238" w:lineRule="auto"/>
        <w:tabs>
          <w:tab w:leader="none" w:pos="1637"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Independent Manager</w:t>
      </w:r>
      <w:r>
        <w:rPr>
          <w:rFonts w:ascii="Arial" w:cs="Arial" w:eastAsia="Arial" w:hAnsi="Arial"/>
          <w:sz w:val="22"/>
          <w:szCs w:val="22"/>
          <w:color w:val="auto"/>
        </w:rPr>
        <w:t>. Without limiting anything in the Borrower LLC Agreement, the Borrower</w:t>
      </w:r>
      <w:r>
        <w:rPr>
          <w:rFonts w:ascii="Arial" w:cs="Arial" w:eastAsia="Arial" w:hAnsi="Arial"/>
          <w:sz w:val="22"/>
          <w:szCs w:val="22"/>
          <w:i w:val="1"/>
          <w:iCs w:val="1"/>
          <w:color w:val="auto"/>
        </w:rPr>
        <w:t xml:space="preserve"> </w:t>
      </w:r>
      <w:r>
        <w:rPr>
          <w:rFonts w:ascii="Arial" w:cs="Arial" w:eastAsia="Arial" w:hAnsi="Arial"/>
          <w:sz w:val="22"/>
          <w:szCs w:val="22"/>
          <w:color w:val="auto"/>
        </w:rPr>
        <w:t>shall at all times maintain at least one independent manager who (A) for the five year period prior to his or her appointment as independent manager has not been, and during the continuation of his or her service as independent manager, is</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0440"/>
          </w:cols>
          <w:pgMar w:left="1120" w:top="267" w:right="339" w:bottom="1440" w:gutter="0" w:footer="0" w:header="0"/>
        </w:sectPr>
      </w:pPr>
    </w:p>
    <w:bookmarkStart w:id="132" w:name="page133"/>
    <w:bookmarkEnd w:id="132"/>
    <w:p>
      <w:pPr>
        <w:jc w:val="both"/>
        <w:ind w:left="800"/>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w:t>
      </w:r>
      <w:r>
        <w:rPr>
          <w:rFonts w:ascii="Arial" w:cs="Arial" w:eastAsia="Arial" w:hAnsi="Arial"/>
          <w:sz w:val="19"/>
          <w:szCs w:val="19"/>
          <w:u w:val="single" w:color="auto"/>
          <w:color w:val="auto"/>
        </w:rPr>
        <w:t>clause (i), (ii) or (iii)</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independent manager may serve in similar capacities for other special purpose entities established from time to time by Affiliates of the Borrower and (B) is a Professional Independent Manager. The criteria set forth above in this </w:t>
      </w:r>
      <w:r>
        <w:rPr>
          <w:rFonts w:ascii="Arial" w:cs="Arial" w:eastAsia="Arial" w:hAnsi="Arial"/>
          <w:sz w:val="19"/>
          <w:szCs w:val="19"/>
          <w:u w:val="single" w:color="auto"/>
          <w:color w:val="auto"/>
        </w:rPr>
        <w:t>Section 5.02(u)</w:t>
      </w:r>
      <w:r>
        <w:rPr>
          <w:rFonts w:ascii="Arial" w:cs="Arial" w:eastAsia="Arial" w:hAnsi="Arial"/>
          <w:sz w:val="19"/>
          <w:szCs w:val="19"/>
          <w:color w:val="auto"/>
        </w:rPr>
        <w:t xml:space="preserve"> are referred to herein as the </w:t>
      </w:r>
      <w:r>
        <w:rPr>
          <w:rFonts w:ascii="Arial" w:cs="Arial" w:eastAsia="Arial" w:hAnsi="Arial"/>
          <w:sz w:val="19"/>
          <w:szCs w:val="19"/>
          <w:i w:val="1"/>
          <w:iCs w:val="1"/>
          <w:color w:val="auto"/>
        </w:rPr>
        <w:t>“Independent Manager Criteria”</w:t>
      </w:r>
      <w:r>
        <w:rPr>
          <w:rFonts w:ascii="Arial" w:cs="Arial" w:eastAsia="Arial" w:hAnsi="Arial"/>
          <w:sz w:val="19"/>
          <w:szCs w:val="19"/>
          <w:color w:val="auto"/>
        </w:rPr>
        <w:t>. Each of the Collateral Manager and the Borrower shall notify the Administrative Agent of any decision to appoint a new manager of the Borrower as the “independent manager” for purposes of this Agreement, such notice shall be delivered not less than ten (10) days prior to the proposed effective date of such appointment and shall certify that the designated Person satisfies the Independent Manager Criteria. If the Administrative Agent shall object within ten (10) days of receipt of notice of such proposed new independent manager, the Borrower shall not appoint such new manager as the independent manager until the Administrative Agent and the Borrower shall have reasonably agreed that such proposed new independent manager or another proposed new independent manager satisfies the Independent Manager Criteria. In no event shall any Independent Manager be removed or expelled except for Cause.</w:t>
      </w:r>
    </w:p>
    <w:p>
      <w:pPr>
        <w:spacing w:after="0" w:line="200" w:lineRule="exact"/>
        <w:rPr>
          <w:sz w:val="20"/>
          <w:szCs w:val="20"/>
          <w:color w:val="auto"/>
        </w:rPr>
      </w:pPr>
    </w:p>
    <w:p>
      <w:pPr>
        <w:spacing w:after="0" w:line="311" w:lineRule="exact"/>
        <w:rPr>
          <w:sz w:val="20"/>
          <w:szCs w:val="20"/>
          <w:color w:val="auto"/>
        </w:rPr>
      </w:pPr>
    </w:p>
    <w:p>
      <w:pPr>
        <w:ind w:right="20" w:firstLine="562"/>
        <w:spacing w:after="0" w:line="250" w:lineRule="auto"/>
        <w:rPr>
          <w:sz w:val="20"/>
          <w:szCs w:val="20"/>
          <w:color w:val="auto"/>
        </w:rPr>
      </w:pPr>
      <w:r>
        <w:rPr>
          <w:rFonts w:ascii="Arial" w:cs="Arial" w:eastAsia="Arial" w:hAnsi="Arial"/>
          <w:sz w:val="22"/>
          <w:szCs w:val="22"/>
          <w:i w:val="1"/>
          <w:iCs w:val="1"/>
          <w:color w:val="auto"/>
        </w:rPr>
        <w:t>Section 5.03. Affirmative Covenants of the Collateral Manager</w:t>
      </w:r>
      <w:r>
        <w:rPr>
          <w:rFonts w:ascii="Arial" w:cs="Arial" w:eastAsia="Arial" w:hAnsi="Arial"/>
          <w:sz w:val="22"/>
          <w:szCs w:val="22"/>
          <w:color w:val="auto"/>
        </w:rPr>
        <w:t>. The Collateral Manager covenants and agrees that, until</w:t>
      </w:r>
      <w:r>
        <w:rPr>
          <w:rFonts w:ascii="Arial" w:cs="Arial" w:eastAsia="Arial" w:hAnsi="Arial"/>
          <w:sz w:val="22"/>
          <w:szCs w:val="22"/>
          <w:i w:val="1"/>
          <w:iCs w:val="1"/>
          <w:color w:val="auto"/>
        </w:rPr>
        <w:t xml:space="preserve"> </w:t>
      </w:r>
      <w:r>
        <w:rPr>
          <w:rFonts w:ascii="Arial" w:cs="Arial" w:eastAsia="Arial" w:hAnsi="Arial"/>
          <w:sz w:val="22"/>
          <w:szCs w:val="22"/>
          <w:color w:val="auto"/>
        </w:rPr>
        <w:t>the Final Maturity Date (and thereafter until the date that all Obligations have been paid in full):</w:t>
      </w:r>
    </w:p>
    <w:p>
      <w:pPr>
        <w:spacing w:after="0" w:line="283" w:lineRule="exact"/>
        <w:rPr>
          <w:sz w:val="20"/>
          <w:szCs w:val="20"/>
          <w:color w:val="auto"/>
        </w:rPr>
      </w:pPr>
    </w:p>
    <w:p>
      <w:pPr>
        <w:jc w:val="both"/>
        <w:ind w:left="800" w:firstLine="934"/>
        <w:spacing w:after="0" w:line="245" w:lineRule="auto"/>
        <w:tabs>
          <w:tab w:leader="none" w:pos="2317" w:val="left"/>
        </w:tabs>
        <w:numPr>
          <w:ilvl w:val="1"/>
          <w:numId w:val="171"/>
        </w:numPr>
        <w:rPr>
          <w:rFonts w:ascii="Arial" w:cs="Arial" w:eastAsia="Arial" w:hAnsi="Arial"/>
          <w:sz w:val="21"/>
          <w:szCs w:val="21"/>
          <w:color w:val="auto"/>
        </w:rPr>
      </w:pPr>
      <w:r>
        <w:rPr>
          <w:rFonts w:ascii="Arial" w:cs="Arial" w:eastAsia="Arial" w:hAnsi="Arial"/>
          <w:sz w:val="21"/>
          <w:szCs w:val="21"/>
          <w:i w:val="1"/>
          <w:iCs w:val="1"/>
          <w:color w:val="auto"/>
        </w:rPr>
        <w:t>Compliance with Agreements, Laws, Etc</w:t>
      </w:r>
      <w:r>
        <w:rPr>
          <w:rFonts w:ascii="Arial" w:cs="Arial" w:eastAsia="Arial" w:hAnsi="Arial"/>
          <w:sz w:val="21"/>
          <w:szCs w:val="21"/>
          <w:color w:val="auto"/>
        </w:rPr>
        <w:t>. It shall (i) duly observe, comply in all material respects with</w:t>
      </w:r>
      <w:r>
        <w:rPr>
          <w:rFonts w:ascii="Arial" w:cs="Arial" w:eastAsia="Arial" w:hAnsi="Arial"/>
          <w:sz w:val="21"/>
          <w:szCs w:val="21"/>
          <w:i w:val="1"/>
          <w:iCs w:val="1"/>
          <w:color w:val="auto"/>
        </w:rPr>
        <w:t xml:space="preserve"> </w:t>
      </w:r>
      <w:r>
        <w:rPr>
          <w:rFonts w:ascii="Arial" w:cs="Arial" w:eastAsia="Arial" w:hAnsi="Arial"/>
          <w:sz w:val="21"/>
          <w:szCs w:val="21"/>
          <w:color w:val="auto"/>
        </w:rPr>
        <w:t>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292" w:lineRule="exact"/>
        <w:rPr>
          <w:rFonts w:ascii="Arial" w:cs="Arial" w:eastAsia="Arial" w:hAnsi="Arial"/>
          <w:sz w:val="21"/>
          <w:szCs w:val="21"/>
          <w:color w:val="auto"/>
        </w:rPr>
      </w:pPr>
    </w:p>
    <w:p>
      <w:pPr>
        <w:jc w:val="both"/>
        <w:ind w:left="800" w:firstLine="934"/>
        <w:spacing w:after="0" w:line="273" w:lineRule="auto"/>
        <w:tabs>
          <w:tab w:leader="none" w:pos="2451" w:val="left"/>
        </w:tabs>
        <w:numPr>
          <w:ilvl w:val="1"/>
          <w:numId w:val="171"/>
        </w:numPr>
        <w:rPr>
          <w:rFonts w:ascii="Arial" w:cs="Arial" w:eastAsia="Arial" w:hAnsi="Arial"/>
          <w:sz w:val="19"/>
          <w:szCs w:val="19"/>
          <w:color w:val="auto"/>
        </w:rPr>
      </w:pPr>
      <w:r>
        <w:rPr>
          <w:rFonts w:ascii="Arial" w:cs="Arial" w:eastAsia="Arial" w:hAnsi="Arial"/>
          <w:sz w:val="19"/>
          <w:szCs w:val="19"/>
          <w:i w:val="1"/>
          <w:iCs w:val="1"/>
          <w:color w:val="auto"/>
        </w:rPr>
        <w:t>Enforcement</w:t>
      </w:r>
      <w:r>
        <w:rPr>
          <w:rFonts w:ascii="Arial" w:cs="Arial" w:eastAsia="Arial" w:hAnsi="Arial"/>
          <w:sz w:val="19"/>
          <w:szCs w:val="19"/>
          <w:color w:val="auto"/>
        </w:rPr>
        <w:t>. (i) It shall not take any action, and will use commercially reasonable efforts not to</w:t>
      </w:r>
      <w:r>
        <w:rPr>
          <w:rFonts w:ascii="Arial" w:cs="Arial" w:eastAsia="Arial" w:hAnsi="Arial"/>
          <w:sz w:val="19"/>
          <w:szCs w:val="19"/>
          <w:i w:val="1"/>
          <w:iCs w:val="1"/>
          <w:color w:val="auto"/>
        </w:rPr>
        <w:t xml:space="preserve"> </w:t>
      </w:r>
      <w:r>
        <w:rPr>
          <w:rFonts w:ascii="Arial" w:cs="Arial" w:eastAsia="Arial" w:hAnsi="Arial"/>
          <w:sz w:val="19"/>
          <w:szCs w:val="19"/>
          <w:color w:val="auto"/>
        </w:rPr>
        <w:t>permit any action to be taken by others, that would release any Person from any of such Person’s covenants or obligations under any instrument included in the Collateral, except in the case of (A) repayment of Collateral Loans,</w:t>
      </w:r>
    </w:p>
    <w:p>
      <w:pPr>
        <w:spacing w:after="0" w:line="1" w:lineRule="exact"/>
        <w:rPr>
          <w:rFonts w:ascii="Arial" w:cs="Arial" w:eastAsia="Arial" w:hAnsi="Arial"/>
          <w:sz w:val="19"/>
          <w:szCs w:val="19"/>
          <w:color w:val="auto"/>
        </w:rPr>
      </w:pPr>
    </w:p>
    <w:p>
      <w:pPr>
        <w:jc w:val="both"/>
        <w:ind w:left="800" w:hanging="6"/>
        <w:spacing w:after="0" w:line="234" w:lineRule="auto"/>
        <w:tabs>
          <w:tab w:leader="none" w:pos="117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subject to the terms of this Agreement, (i) amendments to Related Documents that govern Defaulted Collateral Loans or Ineligible Collateral Loans or that are otherwise reasonably deemed by the Collateral Manager to be necessary, immaterial, or beneficial, taken as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266" w:right="339" w:bottom="1440" w:gutter="0" w:footer="0" w:header="0"/>
        </w:sectPr>
      </w:pPr>
    </w:p>
    <w:bookmarkStart w:id="133" w:name="page134"/>
    <w:bookmarkEnd w:id="133"/>
    <w:p>
      <w:pPr>
        <w:jc w:val="both"/>
        <w:ind w:left="6"/>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whole, to the Borrower and (ii) enforcement action taken or work-out with respect to any Defaulted Collateral Loan in accordance with the provisions hereof, and (C) actions by the Collateral Manager under this Agreement and in conformity with this Agreement or as otherwise required hereby.</w:t>
      </w:r>
    </w:p>
    <w:p>
      <w:pPr>
        <w:spacing w:after="0" w:line="294" w:lineRule="exact"/>
        <w:rPr>
          <w:sz w:val="20"/>
          <w:szCs w:val="20"/>
          <w:color w:val="auto"/>
        </w:rPr>
      </w:pPr>
    </w:p>
    <w:p>
      <w:pPr>
        <w:jc w:val="both"/>
        <w:ind w:left="6" w:firstLine="934"/>
        <w:spacing w:after="0" w:line="279" w:lineRule="auto"/>
        <w:tabs>
          <w:tab w:leader="none" w:pos="162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258" w:lineRule="exact"/>
        <w:rPr>
          <w:sz w:val="20"/>
          <w:szCs w:val="20"/>
          <w:color w:val="auto"/>
        </w:rPr>
      </w:pPr>
    </w:p>
    <w:p>
      <w:pPr>
        <w:jc w:val="both"/>
        <w:ind w:left="6" w:firstLine="934"/>
        <w:spacing w:after="0" w:line="269" w:lineRule="auto"/>
        <w:tabs>
          <w:tab w:leader="none" w:pos="1631" w:val="left"/>
        </w:tabs>
        <w:numPr>
          <w:ilvl w:val="1"/>
          <w:numId w:val="174"/>
        </w:numPr>
        <w:rPr>
          <w:rFonts w:ascii="Arial" w:cs="Arial" w:eastAsia="Arial" w:hAnsi="Arial"/>
          <w:sz w:val="19"/>
          <w:szCs w:val="19"/>
          <w:color w:val="auto"/>
        </w:rPr>
      </w:pPr>
      <w:r>
        <w:rPr>
          <w:rFonts w:ascii="Arial" w:cs="Arial" w:eastAsia="Arial" w:hAnsi="Arial"/>
          <w:sz w:val="19"/>
          <w:szCs w:val="19"/>
          <w:i w:val="1"/>
          <w:iCs w:val="1"/>
          <w:color w:val="auto"/>
        </w:rPr>
        <w:t>Further Assurances</w:t>
      </w:r>
      <w:r>
        <w:rPr>
          <w:rFonts w:ascii="Arial" w:cs="Arial" w:eastAsia="Arial" w:hAnsi="Arial"/>
          <w:sz w:val="19"/>
          <w:szCs w:val="19"/>
          <w:color w:val="auto"/>
        </w:rPr>
        <w:t>. It shall promptly at the Borrower’s expense, execute and deliver such further</w:t>
      </w:r>
      <w:r>
        <w:rPr>
          <w:rFonts w:ascii="Arial" w:cs="Arial" w:eastAsia="Arial" w:hAnsi="Arial"/>
          <w:sz w:val="19"/>
          <w:szCs w:val="19"/>
          <w:i w:val="1"/>
          <w:iCs w:val="1"/>
          <w:color w:val="auto"/>
        </w:rPr>
        <w:t xml:space="preserve"> </w:t>
      </w:r>
      <w:r>
        <w:rPr>
          <w:rFonts w:ascii="Arial" w:cs="Arial" w:eastAsia="Arial" w:hAnsi="Arial"/>
          <w:sz w:val="19"/>
          <w:szCs w:val="19"/>
          <w:color w:val="auto"/>
        </w:rPr>
        <w:t>instruments and take such further action in order to maintain and protect the Collateral Agent’s first-priority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w:t>
      </w:r>
    </w:p>
    <w:p>
      <w:pPr>
        <w:spacing w:after="0" w:line="4" w:lineRule="exact"/>
        <w:rPr>
          <w:rFonts w:ascii="Arial" w:cs="Arial" w:eastAsia="Arial" w:hAnsi="Arial"/>
          <w:sz w:val="19"/>
          <w:szCs w:val="19"/>
          <w:color w:val="auto"/>
        </w:rPr>
      </w:pPr>
    </w:p>
    <w:p>
      <w:pPr>
        <w:ind w:left="306" w:hanging="306"/>
        <w:spacing w:after="0"/>
        <w:tabs>
          <w:tab w:leader="none" w:pos="30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effectuate the intent and purpose of, and to carry out the terms of, the Facility Documents.</w:t>
      </w:r>
    </w:p>
    <w:p>
      <w:pPr>
        <w:spacing w:after="0" w:line="296" w:lineRule="exact"/>
        <w:rPr>
          <w:sz w:val="20"/>
          <w:szCs w:val="20"/>
          <w:color w:val="auto"/>
        </w:rPr>
      </w:pPr>
    </w:p>
    <w:p>
      <w:pPr>
        <w:jc w:val="both"/>
        <w:ind w:left="6" w:firstLine="862"/>
        <w:spacing w:after="0" w:line="235" w:lineRule="auto"/>
        <w:rPr>
          <w:sz w:val="20"/>
          <w:szCs w:val="20"/>
          <w:color w:val="auto"/>
        </w:rPr>
      </w:pPr>
      <w:r>
        <w:rPr>
          <w:rFonts w:ascii="Arial" w:cs="Arial" w:eastAsia="Arial" w:hAnsi="Arial"/>
          <w:sz w:val="22"/>
          <w:szCs w:val="22"/>
          <w:color w:val="auto"/>
        </w:rPr>
        <w:t>In addition, the Collateral Manager will take such reasonable action from time to time as shall be necessary to ensure that all assets (including all Covered Accounts) of the Borrower constitute “</w:t>
      </w:r>
      <w:r>
        <w:rPr>
          <w:rFonts w:ascii="Arial" w:cs="Arial" w:eastAsia="Arial" w:hAnsi="Arial"/>
          <w:sz w:val="22"/>
          <w:szCs w:val="22"/>
          <w:i w:val="1"/>
          <w:iCs w:val="1"/>
          <w:color w:val="auto"/>
        </w:rPr>
        <w:t>Collateral</w:t>
      </w:r>
      <w:r>
        <w:rPr>
          <w:rFonts w:ascii="Arial" w:cs="Arial" w:eastAsia="Arial" w:hAnsi="Arial"/>
          <w:sz w:val="22"/>
          <w:szCs w:val="22"/>
          <w:color w:val="auto"/>
        </w:rPr>
        <w:t>”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w:t>
      </w:r>
    </w:p>
    <w:p>
      <w:pPr>
        <w:spacing w:after="0" w:line="296" w:lineRule="exact"/>
        <w:rPr>
          <w:sz w:val="20"/>
          <w:szCs w:val="20"/>
          <w:color w:val="auto"/>
        </w:rPr>
      </w:pPr>
    </w:p>
    <w:p>
      <w:pPr>
        <w:jc w:val="both"/>
        <w:ind w:left="6" w:firstLine="934"/>
        <w:spacing w:after="0" w:line="252" w:lineRule="auto"/>
        <w:tabs>
          <w:tab w:leader="none" w:pos="1711" w:val="left"/>
        </w:tabs>
        <w:numPr>
          <w:ilvl w:val="0"/>
          <w:numId w:val="176"/>
        </w:numPr>
        <w:rPr>
          <w:rFonts w:ascii="Arial" w:cs="Arial" w:eastAsia="Arial" w:hAnsi="Arial"/>
          <w:sz w:val="21"/>
          <w:szCs w:val="21"/>
          <w:color w:val="auto"/>
        </w:rPr>
      </w:pPr>
      <w:r>
        <w:rPr>
          <w:rFonts w:ascii="Arial" w:cs="Arial" w:eastAsia="Arial" w:hAnsi="Arial"/>
          <w:sz w:val="21"/>
          <w:szCs w:val="21"/>
          <w:i w:val="1"/>
          <w:iCs w:val="1"/>
          <w:color w:val="auto"/>
        </w:rPr>
        <w:t>Changes to Related Documents</w:t>
      </w:r>
      <w:r>
        <w:rPr>
          <w:rFonts w:ascii="Arial" w:cs="Arial" w:eastAsia="Arial" w:hAnsi="Arial"/>
          <w:sz w:val="21"/>
          <w:szCs w:val="21"/>
          <w:color w:val="auto"/>
        </w:rPr>
        <w:t>. If any amendment, consent, waiver or other modification with</w:t>
      </w:r>
      <w:r>
        <w:rPr>
          <w:rFonts w:ascii="Arial" w:cs="Arial" w:eastAsia="Arial" w:hAnsi="Arial"/>
          <w:sz w:val="21"/>
          <w:szCs w:val="21"/>
          <w:i w:val="1"/>
          <w:iCs w:val="1"/>
          <w:color w:val="auto"/>
        </w:rPr>
        <w:t xml:space="preserve"> </w:t>
      </w:r>
      <w:r>
        <w:rPr>
          <w:rFonts w:ascii="Arial" w:cs="Arial" w:eastAsia="Arial" w:hAnsi="Arial"/>
          <w:sz w:val="21"/>
          <w:szCs w:val="21"/>
          <w:color w:val="auto"/>
        </w:rPr>
        <w:t>respect to a Related Document (other than a Defaulted Collateral 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281" w:lineRule="exact"/>
        <w:rPr>
          <w:rFonts w:ascii="Arial" w:cs="Arial" w:eastAsia="Arial" w:hAnsi="Arial"/>
          <w:sz w:val="21"/>
          <w:szCs w:val="21"/>
          <w:color w:val="auto"/>
        </w:rPr>
      </w:pPr>
    </w:p>
    <w:p>
      <w:pPr>
        <w:jc w:val="both"/>
        <w:ind w:left="6" w:firstLine="934"/>
        <w:spacing w:after="0" w:line="249" w:lineRule="auto"/>
        <w:tabs>
          <w:tab w:leader="none" w:pos="1536" w:val="left"/>
        </w:tabs>
        <w:numPr>
          <w:ilvl w:val="0"/>
          <w:numId w:val="176"/>
        </w:numPr>
        <w:rPr>
          <w:rFonts w:ascii="Arial" w:cs="Arial" w:eastAsia="Arial" w:hAnsi="Arial"/>
          <w:sz w:val="21"/>
          <w:szCs w:val="21"/>
          <w:color w:val="auto"/>
        </w:rPr>
      </w:pPr>
      <w:r>
        <w:rPr>
          <w:rFonts w:ascii="Arial" w:cs="Arial" w:eastAsia="Arial" w:hAnsi="Arial"/>
          <w:sz w:val="21"/>
          <w:szCs w:val="21"/>
          <w:i w:val="1"/>
          <w:iCs w:val="1"/>
          <w:color w:val="auto"/>
        </w:rPr>
        <w:t>Access to Records and Documents</w:t>
      </w:r>
      <w:r>
        <w:rPr>
          <w:rFonts w:ascii="Arial" w:cs="Arial" w:eastAsia="Arial" w:hAnsi="Arial"/>
          <w:sz w:val="21"/>
          <w:szCs w:val="21"/>
          <w:color w:val="auto"/>
        </w:rPr>
        <w:t>. It shall permit the Administrative Agent and each Lender (or any</w:t>
      </w:r>
      <w:r>
        <w:rPr>
          <w:rFonts w:ascii="Arial" w:cs="Arial" w:eastAsia="Arial" w:hAnsi="Arial"/>
          <w:sz w:val="21"/>
          <w:szCs w:val="21"/>
          <w:i w:val="1"/>
          <w:iCs w:val="1"/>
          <w:color w:val="auto"/>
        </w:rPr>
        <w:t xml:space="preserve"> </w:t>
      </w:r>
      <w:r>
        <w:rPr>
          <w:rFonts w:ascii="Arial" w:cs="Arial" w:eastAsia="Arial" w:hAnsi="Arial"/>
          <w:sz w:val="21"/>
          <w:szCs w:val="21"/>
          <w:color w:val="auto"/>
        </w:rPr>
        <w:t>Person designated by the 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w:t>
      </w:r>
    </w:p>
    <w:p>
      <w:pPr>
        <w:spacing w:after="0" w:line="111" w:lineRule="exact"/>
        <w:rPr>
          <w:sz w:val="20"/>
          <w:szCs w:val="20"/>
          <w:color w:val="auto"/>
        </w:rPr>
      </w:pPr>
    </w:p>
    <w:p>
      <w:pPr>
        <w:ind w:left="4646"/>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0446"/>
          </w:cols>
          <w:pgMar w:left="1114" w:top="266" w:right="339" w:bottom="1440" w:gutter="0" w:footer="0" w:header="0"/>
        </w:sectPr>
      </w:pPr>
    </w:p>
    <w:bookmarkStart w:id="134" w:name="page135"/>
    <w:bookmarkEnd w:id="134"/>
    <w:p>
      <w:pPr>
        <w:jc w:val="both"/>
        <w:ind w:left="800"/>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such Person’s officers, partners, employees and accountants, and (ii) all of its Related Documents, in each case all as often as the Administrative Agent or the Lenders may reasonably request;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so long as no Event of Default has occurred, each Person entitled to so visit and inspect the Collateral Manager’s records under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may only exercise its rights under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Arial" w:cs="Arial" w:eastAsia="Arial" w:hAnsi="Arial"/>
          <w:sz w:val="21"/>
          <w:szCs w:val="21"/>
          <w:u w:val="single" w:color="auto"/>
          <w:color w:val="auto"/>
        </w:rPr>
        <w:t>paragraph (e)</w:t>
      </w:r>
      <w:r>
        <w:rPr>
          <w:rFonts w:ascii="Arial" w:cs="Arial" w:eastAsia="Arial" w:hAnsi="Arial"/>
          <w:sz w:val="21"/>
          <w:szCs w:val="21"/>
          <w:color w:val="auto"/>
        </w:rPr>
        <w:t xml:space="preserve"> and under </w:t>
      </w:r>
      <w:r>
        <w:rPr>
          <w:rFonts w:ascii="Arial" w:cs="Arial" w:eastAsia="Arial" w:hAnsi="Arial"/>
          <w:sz w:val="21"/>
          <w:szCs w:val="21"/>
          <w:u w:val="single" w:color="auto"/>
          <w:color w:val="auto"/>
        </w:rPr>
        <w:t>paragraph (f)</w:t>
      </w:r>
      <w:r>
        <w:rPr>
          <w:rFonts w:ascii="Arial" w:cs="Arial" w:eastAsia="Arial" w:hAnsi="Arial"/>
          <w:sz w:val="21"/>
          <w:szCs w:val="21"/>
          <w:color w:val="auto"/>
        </w:rPr>
        <w:t xml:space="preserve"> below with a view to minimizing duplication of effort and expense by the Borrower and the Collateral Manager.</w:t>
      </w:r>
    </w:p>
    <w:p>
      <w:pPr>
        <w:spacing w:after="0" w:line="288" w:lineRule="exact"/>
        <w:rPr>
          <w:sz w:val="20"/>
          <w:szCs w:val="20"/>
          <w:color w:val="auto"/>
        </w:rPr>
      </w:pPr>
    </w:p>
    <w:p>
      <w:pPr>
        <w:jc w:val="both"/>
        <w:ind w:left="800" w:firstLine="934"/>
        <w:spacing w:after="0" w:line="244" w:lineRule="auto"/>
        <w:tabs>
          <w:tab w:leader="none" w:pos="2347" w:val="left"/>
        </w:tabs>
        <w:numPr>
          <w:ilvl w:val="0"/>
          <w:numId w:val="177"/>
        </w:numPr>
        <w:rPr>
          <w:rFonts w:ascii="Arial" w:cs="Arial" w:eastAsia="Arial" w:hAnsi="Arial"/>
          <w:sz w:val="21"/>
          <w:szCs w:val="21"/>
          <w:color w:val="auto"/>
        </w:rPr>
      </w:pPr>
      <w:r>
        <w:rPr>
          <w:rFonts w:ascii="Arial" w:cs="Arial" w:eastAsia="Arial" w:hAnsi="Arial"/>
          <w:sz w:val="21"/>
          <w:szCs w:val="21"/>
          <w:i w:val="1"/>
          <w:iCs w:val="1"/>
          <w:color w:val="auto"/>
        </w:rPr>
        <w:t>Audit Rights</w:t>
      </w:r>
      <w:r>
        <w:rPr>
          <w:rFonts w:ascii="Arial" w:cs="Arial" w:eastAsia="Arial" w:hAnsi="Arial"/>
          <w:sz w:val="21"/>
          <w:szCs w:val="21"/>
          <w:color w:val="auto"/>
        </w:rPr>
        <w:t>. It will permit the Administrative Agent and any Lender (or any representatives thereof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(including any consultants, accountants, lawyers and 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 the Borrower shall not be required to pay such fees and expenses for more than one such evaluation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appraisal during any calendar year unless an Event of Default has occurred and (ii) such evaluation or appraisal shall not be duplicative of the report required under </w:t>
      </w:r>
      <w:r>
        <w:rPr>
          <w:rFonts w:ascii="Arial" w:cs="Arial" w:eastAsia="Arial" w:hAnsi="Arial"/>
          <w:sz w:val="21"/>
          <w:szCs w:val="21"/>
          <w:u w:val="single" w:color="auto"/>
          <w:color w:val="auto"/>
        </w:rPr>
        <w:t>Section 8.08(b)</w:t>
      </w:r>
      <w:r>
        <w:rPr>
          <w:rFonts w:ascii="Arial" w:cs="Arial" w:eastAsia="Arial" w:hAnsi="Arial"/>
          <w:sz w:val="21"/>
          <w:szCs w:val="21"/>
          <w:color w:val="auto"/>
        </w:rPr>
        <w:t xml:space="preserve"> or any audit pursuant to </w:t>
      </w:r>
      <w:r>
        <w:rPr>
          <w:rFonts w:ascii="Arial" w:cs="Arial" w:eastAsia="Arial" w:hAnsi="Arial"/>
          <w:sz w:val="21"/>
          <w:szCs w:val="21"/>
          <w:u w:val="single" w:color="auto"/>
          <w:color w:val="auto"/>
        </w:rPr>
        <w:t>Section 5.01(g)</w:t>
      </w:r>
      <w:r>
        <w:rPr>
          <w:rFonts w:ascii="Arial" w:cs="Arial" w:eastAsia="Arial" w:hAnsi="Arial"/>
          <w:sz w:val="21"/>
          <w:szCs w:val="21"/>
          <w:color w:val="auto"/>
        </w:rPr>
        <w:t xml:space="preserve">. Each Lender agrees to use commercially reasonable efforts to coordinate with the other Lenders in exercising their respective rights under this </w:t>
      </w:r>
      <w:r>
        <w:rPr>
          <w:rFonts w:ascii="Arial" w:cs="Arial" w:eastAsia="Arial" w:hAnsi="Arial"/>
          <w:sz w:val="21"/>
          <w:szCs w:val="21"/>
          <w:u w:val="single" w:color="auto"/>
          <w:color w:val="auto"/>
        </w:rPr>
        <w:t>paragraph (f)</w:t>
      </w:r>
      <w:r>
        <w:rPr>
          <w:rFonts w:ascii="Arial" w:cs="Arial" w:eastAsia="Arial" w:hAnsi="Arial"/>
          <w:sz w:val="21"/>
          <w:szCs w:val="21"/>
          <w:color w:val="auto"/>
        </w:rPr>
        <w:t xml:space="preserve"> and under </w:t>
      </w:r>
      <w:r>
        <w:rPr>
          <w:rFonts w:ascii="Arial" w:cs="Arial" w:eastAsia="Arial" w:hAnsi="Arial"/>
          <w:sz w:val="21"/>
          <w:szCs w:val="21"/>
          <w:u w:val="single" w:color="auto"/>
          <w:color w:val="auto"/>
        </w:rPr>
        <w:t>paragraph (e)</w:t>
      </w:r>
      <w:r>
        <w:rPr>
          <w:rFonts w:ascii="Arial" w:cs="Arial" w:eastAsia="Arial" w:hAnsi="Arial"/>
          <w:sz w:val="21"/>
          <w:szCs w:val="21"/>
          <w:color w:val="auto"/>
        </w:rPr>
        <w:t xml:space="preserve"> above with a view to minimizing duplication of effort and expense by the Borrower.</w:t>
      </w:r>
    </w:p>
    <w:p>
      <w:pPr>
        <w:spacing w:after="0" w:line="296" w:lineRule="exact"/>
        <w:rPr>
          <w:sz w:val="20"/>
          <w:szCs w:val="20"/>
          <w:color w:val="auto"/>
        </w:rPr>
      </w:pPr>
    </w:p>
    <w:p>
      <w:pPr>
        <w:ind w:firstLine="562"/>
        <w:spacing w:after="0" w:line="250" w:lineRule="auto"/>
        <w:rPr>
          <w:sz w:val="20"/>
          <w:szCs w:val="20"/>
          <w:color w:val="auto"/>
        </w:rPr>
      </w:pPr>
      <w:r>
        <w:rPr>
          <w:rFonts w:ascii="Arial" w:cs="Arial" w:eastAsia="Arial" w:hAnsi="Arial"/>
          <w:sz w:val="22"/>
          <w:szCs w:val="22"/>
          <w:i w:val="1"/>
          <w:iCs w:val="1"/>
          <w:color w:val="auto"/>
        </w:rPr>
        <w:t>Section 5.04. Negative Covenants of the Collateral Manager</w:t>
      </w:r>
      <w:r>
        <w:rPr>
          <w:rFonts w:ascii="Arial" w:cs="Arial" w:eastAsia="Arial" w:hAnsi="Arial"/>
          <w:sz w:val="22"/>
          <w:szCs w:val="22"/>
          <w:color w:val="auto"/>
        </w:rPr>
        <w:t>. The Collateral Manager covenants and agrees that, until</w:t>
      </w:r>
      <w:r>
        <w:rPr>
          <w:rFonts w:ascii="Arial" w:cs="Arial" w:eastAsia="Arial" w:hAnsi="Arial"/>
          <w:sz w:val="22"/>
          <w:szCs w:val="22"/>
          <w:i w:val="1"/>
          <w:iCs w:val="1"/>
          <w:color w:val="auto"/>
        </w:rPr>
        <w:t xml:space="preserve"> </w:t>
      </w:r>
      <w:r>
        <w:rPr>
          <w:rFonts w:ascii="Arial" w:cs="Arial" w:eastAsia="Arial" w:hAnsi="Arial"/>
          <w:sz w:val="22"/>
          <w:szCs w:val="22"/>
          <w:color w:val="auto"/>
        </w:rPr>
        <w:t>the Final Maturity Date (and thereafter until the date that all Obligations have been paid in full):</w:t>
      </w:r>
    </w:p>
    <w:p>
      <w:pPr>
        <w:spacing w:after="0" w:line="283" w:lineRule="exact"/>
        <w:rPr>
          <w:sz w:val="20"/>
          <w:szCs w:val="20"/>
          <w:color w:val="auto"/>
        </w:rPr>
      </w:pPr>
    </w:p>
    <w:p>
      <w:pPr>
        <w:ind w:left="800" w:firstLine="934"/>
        <w:spacing w:after="0" w:line="328" w:lineRule="auto"/>
        <w:tabs>
          <w:tab w:leader="none" w:pos="2317"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Restrictive Agreements</w:t>
      </w:r>
      <w:r>
        <w:rPr>
          <w:rFonts w:ascii="Arial" w:cs="Arial" w:eastAsia="Arial" w:hAnsi="Arial"/>
          <w:sz w:val="19"/>
          <w:szCs w:val="19"/>
          <w:color w:val="auto"/>
        </w:rPr>
        <w:t>. It shall not enter into or suffer to exist or become effective any agreement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prohibits, limits or imposes any condition upon its ability to perform its obligations under the Facility Documents.</w:t>
      </w:r>
    </w:p>
    <w:p>
      <w:pPr>
        <w:spacing w:after="0" w:line="212" w:lineRule="exact"/>
        <w:rPr>
          <w:rFonts w:ascii="Arial" w:cs="Arial" w:eastAsia="Arial" w:hAnsi="Arial"/>
          <w:sz w:val="19"/>
          <w:szCs w:val="19"/>
          <w:color w:val="auto"/>
        </w:rPr>
      </w:pPr>
    </w:p>
    <w:p>
      <w:pPr>
        <w:jc w:val="both"/>
        <w:ind w:left="800" w:firstLine="934"/>
        <w:spacing w:after="0" w:line="282" w:lineRule="auto"/>
        <w:tabs>
          <w:tab w:leader="none" w:pos="2370"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Validity of this Agreement</w:t>
      </w:r>
      <w:r>
        <w:rPr>
          <w:rFonts w:ascii="Arial" w:cs="Arial" w:eastAsia="Arial" w:hAnsi="Arial"/>
          <w:sz w:val="19"/>
          <w:szCs w:val="19"/>
          <w:color w:val="auto"/>
        </w:rPr>
        <w:t>. It shall not (i) permit the validity or effectiveness of this Agreement or</w:t>
      </w:r>
      <w:r>
        <w:rPr>
          <w:rFonts w:ascii="Arial" w:cs="Arial" w:eastAsia="Arial" w:hAnsi="Arial"/>
          <w:sz w:val="19"/>
          <w:szCs w:val="19"/>
          <w:i w:val="1"/>
          <w:iCs w:val="1"/>
          <w:color w:val="auto"/>
        </w:rPr>
        <w:t xml:space="preserve"> </w:t>
      </w:r>
      <w:r>
        <w:rPr>
          <w:rFonts w:ascii="Arial" w:cs="Arial" w:eastAsia="Arial" w:hAnsi="Arial"/>
          <w:sz w:val="19"/>
          <w:szCs w:val="19"/>
          <w:color w:val="auto"/>
        </w:rPr>
        <w:t>any grant of Collateral 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255" w:lineRule="exact"/>
        <w:rPr>
          <w:rFonts w:ascii="Arial" w:cs="Arial" w:eastAsia="Arial" w:hAnsi="Arial"/>
          <w:sz w:val="19"/>
          <w:szCs w:val="19"/>
          <w:color w:val="auto"/>
        </w:rPr>
      </w:pPr>
    </w:p>
    <w:p>
      <w:pPr>
        <w:jc w:val="both"/>
        <w:ind w:left="800" w:firstLine="934"/>
        <w:spacing w:after="0" w:line="238" w:lineRule="auto"/>
        <w:tabs>
          <w:tab w:leader="none" w:pos="2587"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 xml:space="preserve">Liquidation; Merger; Disposition of Assets. </w:t>
      </w:r>
      <w:r>
        <w:rPr>
          <w:rFonts w:ascii="Arial" w:cs="Arial" w:eastAsia="Arial" w:hAnsi="Arial"/>
          <w:sz w:val="22"/>
          <w:szCs w:val="22"/>
          <w:color w:val="auto"/>
        </w:rPr>
        <w:t>It shall not consummate any plan of liquidation,</w:t>
      </w:r>
      <w:r>
        <w:rPr>
          <w:rFonts w:ascii="Arial" w:cs="Arial" w:eastAsia="Arial" w:hAnsi="Arial"/>
          <w:sz w:val="22"/>
          <w:szCs w:val="22"/>
          <w:i w:val="1"/>
          <w:iCs w:val="1"/>
          <w:color w:val="auto"/>
        </w:rPr>
        <w:t xml:space="preserve"> </w:t>
      </w:r>
      <w:r>
        <w:rPr>
          <w:rFonts w:ascii="Arial" w:cs="Arial" w:eastAsia="Arial" w:hAnsi="Arial"/>
          <w:sz w:val="22"/>
          <w:szCs w:val="22"/>
          <w:color w:val="auto"/>
        </w:rPr>
        <w:t>dissolution, partial liquidation, merger or consolidation (or suffer any liquidation, dissolution or partial liquidation) nor sell, transfer, exchange or otherwise dispose of all or substantially all of its assets or enter into any agreement or commitment to do so.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266" w:right="339" w:bottom="1440" w:gutter="0" w:footer="0" w:header="0"/>
        </w:sectPr>
      </w:pPr>
    </w:p>
    <w:bookmarkStart w:id="135" w:name="page136"/>
    <w:bookmarkEnd w:id="135"/>
    <w:p>
      <w:pPr>
        <w:ind w:left="560"/>
        <w:spacing w:after="0"/>
        <w:tabs>
          <w:tab w:leader="none" w:pos="2160" w:val="left"/>
          <w:tab w:leader="none" w:pos="672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5.05.</w:t>
      </w:r>
      <w:r>
        <w:rPr>
          <w:sz w:val="20"/>
          <w:szCs w:val="20"/>
          <w:color w:val="auto"/>
        </w:rPr>
        <w:tab/>
      </w:r>
      <w:r>
        <w:rPr>
          <w:rFonts w:ascii="Arial" w:cs="Arial" w:eastAsia="Arial" w:hAnsi="Arial"/>
          <w:sz w:val="22"/>
          <w:szCs w:val="22"/>
          <w:i w:val="1"/>
          <w:iCs w:val="1"/>
          <w:color w:val="auto"/>
        </w:rPr>
        <w:t>Certain Undertakings Relating to Separateness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 Without limiting any, and subject to all, other</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covenants of the Borrower contained in 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295" w:lineRule="exact"/>
        <w:rPr>
          <w:sz w:val="20"/>
          <w:szCs w:val="20"/>
          <w:color w:val="auto"/>
        </w:rPr>
      </w:pPr>
    </w:p>
    <w:p>
      <w:pPr>
        <w:jc w:val="both"/>
        <w:ind w:left="800" w:firstLine="934"/>
        <w:spacing w:after="0"/>
        <w:tabs>
          <w:tab w:leader="none" w:pos="239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The Borrower shall maintain its accounts, financial statements, books, accounting and other records, and other Borrower documents separate from those of any other Person,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Borrower may be consolidated into the BDC solely for tax and accounting purposes.</w:t>
      </w:r>
    </w:p>
    <w:p>
      <w:pPr>
        <w:spacing w:after="0" w:line="294" w:lineRule="exact"/>
        <w:rPr>
          <w:rFonts w:ascii="Arial" w:cs="Arial" w:eastAsia="Arial" w:hAnsi="Arial"/>
          <w:sz w:val="22"/>
          <w:szCs w:val="22"/>
          <w:color w:val="auto"/>
        </w:rPr>
      </w:pPr>
    </w:p>
    <w:p>
      <w:pPr>
        <w:jc w:val="both"/>
        <w:ind w:left="800" w:firstLine="934"/>
        <w:spacing w:after="0"/>
        <w:tabs>
          <w:tab w:leader="none" w:pos="233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294" w:lineRule="exact"/>
        <w:rPr>
          <w:rFonts w:ascii="Arial" w:cs="Arial" w:eastAsia="Arial" w:hAnsi="Arial"/>
          <w:sz w:val="22"/>
          <w:szCs w:val="22"/>
          <w:color w:val="auto"/>
        </w:rPr>
      </w:pPr>
    </w:p>
    <w:p>
      <w:pPr>
        <w:ind w:left="800" w:firstLine="934"/>
        <w:spacing w:after="0" w:line="328" w:lineRule="auto"/>
        <w:tabs>
          <w:tab w:leader="none" w:pos="2365"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Borrower shall conduct its own business in its own name and, for all purposes, shall not operate, or purport to operate, collectively as a single or consolidated business entity with respect to any Person.</w:t>
      </w:r>
    </w:p>
    <w:p>
      <w:pPr>
        <w:spacing w:after="0" w:line="212" w:lineRule="exact"/>
        <w:rPr>
          <w:rFonts w:ascii="Arial" w:cs="Arial" w:eastAsia="Arial" w:hAnsi="Arial"/>
          <w:sz w:val="19"/>
          <w:szCs w:val="19"/>
          <w:color w:val="auto"/>
        </w:rPr>
      </w:pPr>
    </w:p>
    <w:p>
      <w:pPr>
        <w:ind w:left="800" w:firstLine="934"/>
        <w:spacing w:after="0" w:line="250" w:lineRule="auto"/>
        <w:tabs>
          <w:tab w:leader="none" w:pos="239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Borrower shall pay its own debts, liabilities and expenses (including overhead expenses, if any) only out of its own assets as the same shall become due.</w:t>
      </w:r>
    </w:p>
    <w:p>
      <w:pPr>
        <w:spacing w:after="0" w:line="282" w:lineRule="exact"/>
        <w:rPr>
          <w:rFonts w:ascii="Arial" w:cs="Arial" w:eastAsia="Arial" w:hAnsi="Arial"/>
          <w:sz w:val="22"/>
          <w:szCs w:val="22"/>
          <w:color w:val="auto"/>
        </w:rPr>
      </w:pPr>
    </w:p>
    <w:p>
      <w:pPr>
        <w:jc w:val="both"/>
        <w:ind w:left="800" w:firstLine="934"/>
        <w:spacing w:after="0" w:line="249" w:lineRule="auto"/>
        <w:tabs>
          <w:tab w:leader="none" w:pos="2372"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286" w:lineRule="exact"/>
        <w:rPr>
          <w:rFonts w:ascii="Arial" w:cs="Arial" w:eastAsia="Arial" w:hAnsi="Arial"/>
          <w:sz w:val="21"/>
          <w:szCs w:val="21"/>
          <w:color w:val="auto"/>
        </w:rPr>
      </w:pPr>
    </w:p>
    <w:p>
      <w:pPr>
        <w:jc w:val="both"/>
        <w:ind w:left="800" w:firstLine="934"/>
        <w:spacing w:after="0" w:line="297" w:lineRule="auto"/>
        <w:tabs>
          <w:tab w:leader="none" w:pos="2474"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241" w:lineRule="exact"/>
        <w:rPr>
          <w:rFonts w:ascii="Arial" w:cs="Arial" w:eastAsia="Arial" w:hAnsi="Arial"/>
          <w:sz w:val="19"/>
          <w:szCs w:val="19"/>
          <w:color w:val="auto"/>
        </w:rPr>
      </w:pPr>
    </w:p>
    <w:p>
      <w:pPr>
        <w:jc w:val="both"/>
        <w:ind w:left="800" w:firstLine="934"/>
        <w:spacing w:after="0"/>
        <w:tabs>
          <w:tab w:leader="none" w:pos="232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The Borrower shall, at all times, hold itself out to the public as a legal entity separate and distinct from any other Person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assets of the Borrower may be consolidated into the BDC for accounting purposes and included in publicly filed financial statements of the BDC.</w:t>
      </w:r>
    </w:p>
    <w:p>
      <w:pPr>
        <w:spacing w:after="0" w:line="294" w:lineRule="exact"/>
        <w:rPr>
          <w:rFonts w:ascii="Arial" w:cs="Arial" w:eastAsia="Arial" w:hAnsi="Arial"/>
          <w:sz w:val="22"/>
          <w:szCs w:val="22"/>
          <w:color w:val="auto"/>
        </w:rPr>
      </w:pPr>
    </w:p>
    <w:p>
      <w:pPr>
        <w:ind w:left="2300" w:hanging="566"/>
        <w:spacing w:after="0"/>
        <w:tabs>
          <w:tab w:leader="none" w:pos="23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Borrower shall not identify itself as a division of any other Person.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266" w:right="339" w:bottom="1440" w:gutter="0" w:footer="0" w:header="0"/>
        </w:sectPr>
      </w:pPr>
    </w:p>
    <w:bookmarkStart w:id="136" w:name="page137"/>
    <w:bookmarkEnd w:id="136"/>
    <w:p>
      <w:pPr>
        <w:ind w:firstLine="1095"/>
        <w:spacing w:after="0" w:line="274" w:lineRule="auto"/>
        <w:tabs>
          <w:tab w:leader="none" w:pos="1832" w:val="left"/>
        </w:tabs>
        <w:numPr>
          <w:ilvl w:val="1"/>
          <w:numId w:val="180"/>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maintain its assets in such a manner that it will not be costly or difficult to segregate, ascertain or identify its individual assets from those of any Affiliate or any other Person.</w:t>
      </w:r>
    </w:p>
    <w:p>
      <w:pPr>
        <w:spacing w:after="0" w:line="258" w:lineRule="exact"/>
        <w:rPr>
          <w:rFonts w:ascii="Arial" w:cs="Arial" w:eastAsia="Arial" w:hAnsi="Arial"/>
          <w:sz w:val="21"/>
          <w:szCs w:val="21"/>
          <w:color w:val="auto"/>
        </w:rPr>
      </w:pPr>
    </w:p>
    <w:p>
      <w:pPr>
        <w:ind w:left="1620" w:hanging="686"/>
        <w:spacing w:after="0"/>
        <w:tabs>
          <w:tab w:leader="none" w:pos="162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Borrower shall not use its separate existence to perpetrate a fraud in violation of Applicable Law.</w:t>
      </w:r>
    </w:p>
    <w:p>
      <w:pPr>
        <w:spacing w:after="0" w:line="348" w:lineRule="exact"/>
        <w:rPr>
          <w:rFonts w:ascii="Arial" w:cs="Arial" w:eastAsia="Arial" w:hAnsi="Arial"/>
          <w:sz w:val="19"/>
          <w:szCs w:val="19"/>
          <w:color w:val="auto"/>
        </w:rPr>
      </w:pPr>
    </w:p>
    <w:p>
      <w:pPr>
        <w:ind w:firstLine="934"/>
        <w:spacing w:after="0" w:line="250" w:lineRule="auto"/>
        <w:tabs>
          <w:tab w:leader="none" w:pos="162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shall not, in connection with the Facility Documents, act with an intent to hinder, delay or defraud any of its creditors in violation of Applicable Law.</w:t>
      </w:r>
    </w:p>
    <w:p>
      <w:pPr>
        <w:spacing w:after="0" w:line="282" w:lineRule="exact"/>
        <w:rPr>
          <w:rFonts w:ascii="Arial" w:cs="Arial" w:eastAsia="Arial" w:hAnsi="Arial"/>
          <w:sz w:val="22"/>
          <w:szCs w:val="22"/>
          <w:color w:val="auto"/>
        </w:rPr>
      </w:pPr>
    </w:p>
    <w:p>
      <w:pPr>
        <w:ind w:left="1840" w:hanging="906"/>
        <w:spacing w:after="0"/>
        <w:tabs>
          <w:tab w:leader="none" w:pos="184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Borrower shall maintain an arm’s length relationship with its Affiliates and the Collateral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Manager.</w:t>
      </w:r>
    </w:p>
    <w:p>
      <w:pPr>
        <w:spacing w:after="0" w:line="296" w:lineRule="exact"/>
        <w:rPr>
          <w:rFonts w:ascii="Arial" w:cs="Arial" w:eastAsia="Arial" w:hAnsi="Arial"/>
          <w:sz w:val="21"/>
          <w:szCs w:val="21"/>
          <w:color w:val="auto"/>
        </w:rPr>
      </w:pPr>
    </w:p>
    <w:p>
      <w:pPr>
        <w:ind w:firstLine="934"/>
        <w:spacing w:after="0" w:line="250" w:lineRule="auto"/>
        <w:tabs>
          <w:tab w:leader="none" w:pos="164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Except as permitted by or pursuant to the Facility Documents, the Borrower shall not grant a security interest or otherwise pledge its assets for the benefit of any other Person.</w:t>
      </w:r>
    </w:p>
    <w:p>
      <w:pPr>
        <w:spacing w:after="0" w:line="282" w:lineRule="exact"/>
        <w:rPr>
          <w:rFonts w:ascii="Arial" w:cs="Arial" w:eastAsia="Arial" w:hAnsi="Arial"/>
          <w:sz w:val="22"/>
          <w:szCs w:val="22"/>
          <w:color w:val="auto"/>
        </w:rPr>
      </w:pPr>
    </w:p>
    <w:p>
      <w:pPr>
        <w:ind w:firstLine="934"/>
        <w:spacing w:after="0" w:line="250" w:lineRule="auto"/>
        <w:tabs>
          <w:tab w:leader="none" w:pos="1693" w:val="left"/>
        </w:tabs>
        <w:numPr>
          <w:ilvl w:val="0"/>
          <w:numId w:val="181"/>
        </w:numPr>
        <w:rPr>
          <w:rFonts w:ascii="Arial" w:cs="Arial" w:eastAsia="Arial" w:hAnsi="Arial"/>
          <w:sz w:val="22"/>
          <w:szCs w:val="22"/>
          <w:color w:val="auto"/>
        </w:rPr>
      </w:pPr>
      <w:r>
        <w:rPr>
          <w:rFonts w:ascii="Arial" w:cs="Arial" w:eastAsia="Arial" w:hAnsi="Arial"/>
          <w:sz w:val="22"/>
          <w:szCs w:val="22"/>
          <w:color w:val="auto"/>
        </w:rPr>
        <w:t>Except as provided in the Facility Documents, the Borrower shall not acquire any securities or debt instruments of the Collateral Manager, its Affiliates or any other Person.</w:t>
      </w:r>
    </w:p>
    <w:p>
      <w:pPr>
        <w:spacing w:after="0" w:line="282" w:lineRule="exact"/>
        <w:rPr>
          <w:rFonts w:ascii="Arial" w:cs="Arial" w:eastAsia="Arial" w:hAnsi="Arial"/>
          <w:sz w:val="22"/>
          <w:szCs w:val="22"/>
          <w:color w:val="auto"/>
        </w:rPr>
      </w:pPr>
    </w:p>
    <w:p>
      <w:pPr>
        <w:ind w:right="20" w:firstLine="934"/>
        <w:spacing w:after="0" w:line="250" w:lineRule="auto"/>
        <w:tabs>
          <w:tab w:leader="none" w:pos="164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shall not make loans or advances to any Person, except for the Collateral Loans and as permitted by or pursuant to the Facility Documents.</w:t>
      </w:r>
    </w:p>
    <w:p>
      <w:pPr>
        <w:spacing w:after="0" w:line="282" w:lineRule="exact"/>
        <w:rPr>
          <w:rFonts w:ascii="Arial" w:cs="Arial" w:eastAsia="Arial" w:hAnsi="Arial"/>
          <w:sz w:val="22"/>
          <w:szCs w:val="22"/>
          <w:color w:val="auto"/>
        </w:rPr>
      </w:pPr>
    </w:p>
    <w:p>
      <w:pPr>
        <w:ind w:left="1700" w:hanging="766"/>
        <w:spacing w:after="0"/>
        <w:tabs>
          <w:tab w:leader="none" w:pos="170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Borrower shall make no transfer of its assets except as permitted by or pursuant to the Facility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Documents.</w:t>
      </w:r>
    </w:p>
    <w:p>
      <w:pPr>
        <w:spacing w:after="0" w:line="296" w:lineRule="exact"/>
        <w:rPr>
          <w:rFonts w:ascii="Arial" w:cs="Arial" w:eastAsia="Arial" w:hAnsi="Arial"/>
          <w:sz w:val="19"/>
          <w:szCs w:val="19"/>
          <w:color w:val="auto"/>
        </w:rPr>
      </w:pPr>
    </w:p>
    <w:p>
      <w:pPr>
        <w:jc w:val="both"/>
        <w:ind w:firstLine="934"/>
        <w:spacing w:after="0"/>
        <w:tabs>
          <w:tab w:leader="none" w:pos="16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294" w:lineRule="exact"/>
        <w:rPr>
          <w:rFonts w:ascii="Arial" w:cs="Arial" w:eastAsia="Arial" w:hAnsi="Arial"/>
          <w:sz w:val="22"/>
          <w:szCs w:val="22"/>
          <w:color w:val="auto"/>
        </w:rPr>
      </w:pPr>
    </w:p>
    <w:p>
      <w:pPr>
        <w:ind w:left="1620" w:hanging="686"/>
        <w:spacing w:after="0"/>
        <w:tabs>
          <w:tab w:leader="none" w:pos="16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shall not acquire obligations or securities of its members.</w:t>
      </w:r>
    </w:p>
    <w:p>
      <w:pPr>
        <w:spacing w:after="0" w:line="314" w:lineRule="exact"/>
        <w:rPr>
          <w:rFonts w:ascii="Arial" w:cs="Arial" w:eastAsia="Arial" w:hAnsi="Arial"/>
          <w:sz w:val="22"/>
          <w:szCs w:val="22"/>
          <w:color w:val="auto"/>
        </w:rPr>
      </w:pPr>
    </w:p>
    <w:p>
      <w:pPr>
        <w:ind w:left="1620" w:hanging="686"/>
        <w:spacing w:after="0"/>
        <w:tabs>
          <w:tab w:leader="none" w:pos="16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shall use separate stationary, invoices and checks.</w:t>
      </w:r>
    </w:p>
    <w:p>
      <w:pPr>
        <w:spacing w:after="0" w:line="314" w:lineRule="exact"/>
        <w:rPr>
          <w:rFonts w:ascii="Arial" w:cs="Arial" w:eastAsia="Arial" w:hAnsi="Arial"/>
          <w:sz w:val="22"/>
          <w:szCs w:val="22"/>
          <w:color w:val="auto"/>
        </w:rPr>
      </w:pPr>
    </w:p>
    <w:p>
      <w:pPr>
        <w:ind w:left="1620" w:hanging="686"/>
        <w:spacing w:after="0"/>
        <w:tabs>
          <w:tab w:leader="none" w:pos="16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shall correct any known misunderstanding regarding its separate identity.</w:t>
      </w:r>
    </w:p>
    <w:p>
      <w:pPr>
        <w:spacing w:after="0" w:line="314" w:lineRule="exact"/>
        <w:rPr>
          <w:rFonts w:ascii="Arial" w:cs="Arial" w:eastAsia="Arial" w:hAnsi="Arial"/>
          <w:sz w:val="22"/>
          <w:szCs w:val="22"/>
          <w:color w:val="auto"/>
        </w:rPr>
      </w:pPr>
    </w:p>
    <w:p>
      <w:pPr>
        <w:ind w:left="1620" w:hanging="686"/>
        <w:spacing w:after="0"/>
        <w:tabs>
          <w:tab w:leader="none" w:pos="162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Borrower shall maintain adequate capital in light of its contemplated business operations.</w:t>
      </w:r>
    </w:p>
    <w:p>
      <w:pPr>
        <w:spacing w:after="0" w:line="325" w:lineRule="exact"/>
        <w:rPr>
          <w:rFonts w:ascii="Arial" w:cs="Arial" w:eastAsia="Arial" w:hAnsi="Arial"/>
          <w:sz w:val="21"/>
          <w:szCs w:val="21"/>
          <w:color w:val="auto"/>
        </w:rPr>
      </w:pPr>
    </w:p>
    <w:p>
      <w:pPr>
        <w:ind w:firstLine="934"/>
        <w:spacing w:after="0" w:line="250" w:lineRule="auto"/>
        <w:tabs>
          <w:tab w:leader="none" w:pos="162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shall at all times be organized as a single-purpose entity with organizational documents substantially similar to those in effect on the Closing Date.</w:t>
      </w:r>
    </w:p>
    <w:p>
      <w:pPr>
        <w:spacing w:after="0" w:line="282" w:lineRule="exact"/>
        <w:rPr>
          <w:rFonts w:ascii="Arial" w:cs="Arial" w:eastAsia="Arial" w:hAnsi="Arial"/>
          <w:sz w:val="22"/>
          <w:szCs w:val="22"/>
          <w:color w:val="auto"/>
        </w:rPr>
      </w:pPr>
    </w:p>
    <w:p>
      <w:pPr>
        <w:jc w:val="both"/>
        <w:ind w:firstLine="934"/>
        <w:spacing w:after="0"/>
        <w:tabs>
          <w:tab w:leader="none" w:pos="164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Borrower shall at all times conduct its business so that any assumptions made with respect to the Borrower in any “substantive non-consolidation” opinion letter delivered in connection with the Facility Documents will continue to be true and correct in all respects.</w:t>
      </w:r>
    </w:p>
    <w:p>
      <w:pPr>
        <w:spacing w:after="0" w:line="119"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0440"/>
          </w:cols>
          <w:pgMar w:left="1120" w:top="266"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VI</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VENTS OF</w:t>
      </w:r>
      <w:r>
        <w:rPr>
          <w:rFonts w:ascii="Arial" w:cs="Arial" w:eastAsia="Arial" w:hAnsi="Arial"/>
          <w:sz w:val="22"/>
          <w:szCs w:val="22"/>
          <w:b w:val="1"/>
          <w:bCs w:val="1"/>
          <w:color w:val="auto"/>
        </w:rPr>
        <w:t xml:space="preserve"> D</w:t>
      </w:r>
      <w:r>
        <w:rPr>
          <w:rFonts w:ascii="Arial" w:cs="Arial" w:eastAsia="Arial" w:hAnsi="Arial"/>
          <w:sz w:val="17"/>
          <w:szCs w:val="17"/>
          <w:b w:val="1"/>
          <w:bCs w:val="1"/>
          <w:color w:val="auto"/>
        </w:rPr>
        <w:t>EFAULT</w:t>
      </w:r>
    </w:p>
    <w:p>
      <w:pPr>
        <w:spacing w:after="0" w:line="320"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22"/>
          <w:szCs w:val="22"/>
          <w:i w:val="1"/>
          <w:iCs w:val="1"/>
          <w:color w:val="auto"/>
        </w:rPr>
        <w:t>Section 6.01. Events of Default</w:t>
      </w:r>
      <w:r>
        <w:rPr>
          <w:rFonts w:ascii="Arial" w:cs="Arial" w:eastAsia="Arial" w:hAnsi="Arial"/>
          <w:sz w:val="22"/>
          <w:szCs w:val="22"/>
          <w:color w:val="auto"/>
        </w:rPr>
        <w:t>. “</w:t>
      </w:r>
      <w:r>
        <w:rPr>
          <w:rFonts w:ascii="Arial" w:cs="Arial" w:eastAsia="Arial" w:hAnsi="Arial"/>
          <w:sz w:val="22"/>
          <w:szCs w:val="22"/>
          <w:i w:val="1"/>
          <w:iCs w:val="1"/>
          <w:color w:val="auto"/>
        </w:rPr>
        <w:t>Event of Default</w:t>
      </w:r>
      <w:r>
        <w:rPr>
          <w:rFonts w:ascii="Arial" w:cs="Arial" w:eastAsia="Arial" w:hAnsi="Arial"/>
          <w:sz w:val="22"/>
          <w:szCs w:val="22"/>
          <w:color w:val="auto"/>
        </w:rPr>
        <w:t>”, wherever used herein, means any one of the following events</w:t>
      </w:r>
      <w:r>
        <w:rPr>
          <w:rFonts w:ascii="Arial" w:cs="Arial" w:eastAsia="Arial" w:hAnsi="Arial"/>
          <w:sz w:val="22"/>
          <w:szCs w:val="22"/>
          <w:i w:val="1"/>
          <w:iCs w:val="1"/>
          <w:color w:val="auto"/>
        </w:rPr>
        <w:t xml:space="preserve"> </w:t>
      </w:r>
      <w:r>
        <w:rPr>
          <w:rFonts w:ascii="Arial" w:cs="Arial" w:eastAsia="Arial" w:hAnsi="Arial"/>
          <w:sz w:val="22"/>
          <w:szCs w:val="22"/>
          <w:color w:val="auto"/>
        </w:rPr>
        <w:t>(whatever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293" w:lineRule="exact"/>
        <w:rPr>
          <w:sz w:val="20"/>
          <w:szCs w:val="20"/>
          <w:color w:val="auto"/>
        </w:rPr>
      </w:pPr>
    </w:p>
    <w:p>
      <w:pPr>
        <w:ind w:left="800" w:firstLine="934"/>
        <w:spacing w:after="0" w:line="250" w:lineRule="auto"/>
        <w:tabs>
          <w:tab w:leader="none" w:pos="2375"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 default in the payment, when due and payable, of any interest on or Commitment Fee in respect of the Advances and such default is not cured within two (2) Business Days; or</w:t>
      </w:r>
    </w:p>
    <w:p>
      <w:pPr>
        <w:spacing w:after="0" w:line="282" w:lineRule="exact"/>
        <w:rPr>
          <w:rFonts w:ascii="Arial" w:cs="Arial" w:eastAsia="Arial" w:hAnsi="Arial"/>
          <w:sz w:val="22"/>
          <w:szCs w:val="22"/>
          <w:color w:val="auto"/>
        </w:rPr>
      </w:pPr>
    </w:p>
    <w:p>
      <w:pPr>
        <w:ind w:left="2320" w:hanging="586"/>
        <w:spacing w:after="0"/>
        <w:tabs>
          <w:tab w:leader="none" w:pos="232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failure to reduce the Advances to $0 on the Final Maturity Date; or</w:t>
      </w:r>
    </w:p>
    <w:p>
      <w:pPr>
        <w:spacing w:after="0" w:line="314" w:lineRule="exact"/>
        <w:rPr>
          <w:rFonts w:ascii="Arial" w:cs="Arial" w:eastAsia="Arial" w:hAnsi="Arial"/>
          <w:sz w:val="22"/>
          <w:szCs w:val="22"/>
          <w:color w:val="auto"/>
        </w:rPr>
      </w:pPr>
    </w:p>
    <w:p>
      <w:pPr>
        <w:jc w:val="both"/>
        <w:ind w:left="800" w:firstLine="934"/>
        <w:spacing w:after="0"/>
        <w:tabs>
          <w:tab w:leader="none" w:pos="2487"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 the Borrower becomes an investment company required to be registered under the Investment Company Act or (ii) the BDC is required to be registered under the Investment Company Act and is not otherwise registered; or</w:t>
      </w:r>
    </w:p>
    <w:p>
      <w:pPr>
        <w:spacing w:after="0" w:line="294" w:lineRule="exact"/>
        <w:rPr>
          <w:rFonts w:ascii="Arial" w:cs="Arial" w:eastAsia="Arial" w:hAnsi="Arial"/>
          <w:sz w:val="22"/>
          <w:szCs w:val="22"/>
          <w:color w:val="auto"/>
        </w:rPr>
      </w:pPr>
    </w:p>
    <w:p>
      <w:pPr>
        <w:jc w:val="both"/>
        <w:ind w:left="800" w:firstLine="934"/>
        <w:spacing w:after="0" w:line="275" w:lineRule="auto"/>
        <w:tabs>
          <w:tab w:leader="none" w:pos="233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except as otherwise provided in this </w:t>
      </w:r>
      <w:r>
        <w:rPr>
          <w:rFonts w:ascii="Arial" w:cs="Arial" w:eastAsia="Arial" w:hAnsi="Arial"/>
          <w:sz w:val="19"/>
          <w:szCs w:val="19"/>
          <w:u w:val="single" w:color="auto"/>
          <w:color w:val="auto"/>
        </w:rPr>
        <w:t>Section 6.01</w:t>
      </w:r>
      <w:r>
        <w:rPr>
          <w:rFonts w:ascii="Arial" w:cs="Arial" w:eastAsia="Arial" w:hAnsi="Arial"/>
          <w:sz w:val="19"/>
          <w:szCs w:val="19"/>
          <w:color w:val="auto"/>
        </w:rPr>
        <w:t>,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Borrower or the Collateral Manager (which may be by email) by either Agent or the Collateral Manager (as the case may be), and (y) actual knowledge of the Borrower or the Collateral Manager; or</w:t>
      </w:r>
    </w:p>
    <w:p>
      <w:pPr>
        <w:spacing w:after="0" w:line="265" w:lineRule="exact"/>
        <w:rPr>
          <w:rFonts w:ascii="Arial" w:cs="Arial" w:eastAsia="Arial" w:hAnsi="Arial"/>
          <w:sz w:val="19"/>
          <w:szCs w:val="19"/>
          <w:color w:val="auto"/>
        </w:rPr>
      </w:pPr>
    </w:p>
    <w:p>
      <w:pPr>
        <w:jc w:val="both"/>
        <w:ind w:left="800" w:firstLine="934"/>
        <w:spacing w:after="0" w:line="277" w:lineRule="auto"/>
        <w:tabs>
          <w:tab w:leader="none" w:pos="237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260" w:right="339" w:bottom="1440" w:gutter="0" w:footer="0" w:header="0"/>
        </w:sectPr>
      </w:pPr>
    </w:p>
    <w:bookmarkStart w:id="138" w:name="page139"/>
    <w:bookmarkEnd w:id="138"/>
    <w:p>
      <w:pPr>
        <w:ind w:left="2320" w:hanging="478"/>
        <w:spacing w:after="0"/>
        <w:tabs>
          <w:tab w:leader="none" w:pos="2320" w:val="left"/>
        </w:tabs>
        <w:numPr>
          <w:ilvl w:val="2"/>
          <w:numId w:val="18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Insolvency Event relating to the Borrower or the BDC occurs; or</w:t>
      </w:r>
    </w:p>
    <w:p>
      <w:pPr>
        <w:spacing w:after="0" w:line="314" w:lineRule="exact"/>
        <w:rPr>
          <w:rFonts w:ascii="Arial" w:cs="Arial" w:eastAsia="Arial" w:hAnsi="Arial"/>
          <w:sz w:val="22"/>
          <w:szCs w:val="22"/>
          <w:color w:val="auto"/>
        </w:rPr>
      </w:pPr>
    </w:p>
    <w:p>
      <w:pPr>
        <w:ind w:left="2320" w:hanging="532"/>
        <w:spacing w:after="0"/>
        <w:tabs>
          <w:tab w:leader="none" w:pos="232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any Collateral Manager Event of Default shall have occurred and be continuing; or</w:t>
      </w:r>
    </w:p>
    <w:p>
      <w:pPr>
        <w:spacing w:after="0" w:line="314" w:lineRule="exact"/>
        <w:rPr>
          <w:rFonts w:ascii="Arial" w:cs="Arial" w:eastAsia="Arial" w:hAnsi="Arial"/>
          <w:sz w:val="22"/>
          <w:szCs w:val="22"/>
          <w:color w:val="auto"/>
        </w:rPr>
      </w:pPr>
    </w:p>
    <w:p>
      <w:pPr>
        <w:jc w:val="both"/>
        <w:ind w:left="800" w:firstLine="998"/>
        <w:spacing w:after="0" w:line="279" w:lineRule="auto"/>
        <w:tabs>
          <w:tab w:leader="none" w:pos="2375" w:val="left"/>
        </w:tabs>
        <w:numPr>
          <w:ilvl w:val="1"/>
          <w:numId w:val="184"/>
        </w:numPr>
        <w:rPr>
          <w:rFonts w:ascii="Arial" w:cs="Arial" w:eastAsia="Arial" w:hAnsi="Arial"/>
          <w:sz w:val="19"/>
          <w:szCs w:val="19"/>
          <w:color w:val="auto"/>
        </w:rPr>
      </w:pPr>
      <w:r>
        <w:rPr>
          <w:rFonts w:ascii="Arial" w:cs="Arial" w:eastAsia="Arial" w:hAnsi="Arial"/>
          <w:sz w:val="19"/>
          <w:szCs w:val="19"/>
          <w:color w:val="auto"/>
        </w:rPr>
        <w:t xml:space="preserve">(i) the Internal Revenue Service shall file notice of a Lien pursuant to </w:t>
      </w:r>
      <w:r>
        <w:rPr>
          <w:rFonts w:ascii="Arial" w:cs="Arial" w:eastAsia="Arial" w:hAnsi="Arial"/>
          <w:sz w:val="19"/>
          <w:szCs w:val="19"/>
          <w:u w:val="single" w:color="auto"/>
          <w:color w:val="auto"/>
        </w:rPr>
        <w:t>Section 6323</w:t>
      </w:r>
      <w:r>
        <w:rPr>
          <w:rFonts w:ascii="Arial" w:cs="Arial" w:eastAsia="Arial" w:hAnsi="Arial"/>
          <w:sz w:val="19"/>
          <w:szCs w:val="19"/>
          <w:color w:val="auto"/>
        </w:rPr>
        <w:t xml:space="preserve"> of the Code with regard to any assets of the Borrower and such Lien shall not have been released within five (5) Business Days or (ii) the PBGC shall file notice of a Lien pursuant to </w:t>
      </w:r>
      <w:r>
        <w:rPr>
          <w:rFonts w:ascii="Arial" w:cs="Arial" w:eastAsia="Arial" w:hAnsi="Arial"/>
          <w:sz w:val="19"/>
          <w:szCs w:val="19"/>
          <w:u w:val="single" w:color="auto"/>
          <w:color w:val="auto"/>
        </w:rPr>
        <w:t>Section 4068</w:t>
      </w:r>
      <w:r>
        <w:rPr>
          <w:rFonts w:ascii="Arial" w:cs="Arial" w:eastAsia="Arial" w:hAnsi="Arial"/>
          <w:sz w:val="19"/>
          <w:szCs w:val="19"/>
          <w:color w:val="auto"/>
        </w:rPr>
        <w:t xml:space="preserve">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258" w:lineRule="exact"/>
        <w:rPr>
          <w:rFonts w:ascii="Arial" w:cs="Arial" w:eastAsia="Arial" w:hAnsi="Arial"/>
          <w:sz w:val="19"/>
          <w:szCs w:val="19"/>
          <w:color w:val="auto"/>
        </w:rPr>
      </w:pPr>
    </w:p>
    <w:p>
      <w:pPr>
        <w:ind w:left="800" w:firstLine="1045"/>
        <w:spacing w:after="0" w:line="328" w:lineRule="auto"/>
        <w:tabs>
          <w:tab w:leader="none" w:pos="2333"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 a Change of Control occurs with respect to the Borrower, or (ii) the BDC shall merge into any other Person or more than 50.0% of the Voting Shares of the BDC are sold to any Person and/or such Person’s Affiliates; or</w:t>
      </w:r>
    </w:p>
    <w:p>
      <w:pPr>
        <w:spacing w:after="0" w:line="212" w:lineRule="exact"/>
        <w:rPr>
          <w:rFonts w:ascii="Arial" w:cs="Arial" w:eastAsia="Arial" w:hAnsi="Arial"/>
          <w:sz w:val="19"/>
          <w:szCs w:val="19"/>
          <w:color w:val="auto"/>
        </w:rPr>
      </w:pPr>
    </w:p>
    <w:p>
      <w:pPr>
        <w:ind w:left="2320" w:hanging="478"/>
        <w:spacing w:after="0"/>
        <w:tabs>
          <w:tab w:leader="none" w:pos="232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occurrence of a Material Adverse Effect with respect to the BDC or the Borrower; or</w:t>
      </w:r>
    </w:p>
    <w:p>
      <w:pPr>
        <w:spacing w:after="0" w:line="314" w:lineRule="exact"/>
        <w:rPr>
          <w:rFonts w:ascii="Arial" w:cs="Arial" w:eastAsia="Arial" w:hAnsi="Arial"/>
          <w:sz w:val="22"/>
          <w:szCs w:val="22"/>
          <w:color w:val="auto"/>
        </w:rPr>
      </w:pPr>
    </w:p>
    <w:p>
      <w:pPr>
        <w:jc w:val="both"/>
        <w:ind w:left="800" w:firstLine="1009"/>
        <w:spacing w:after="0" w:line="238" w:lineRule="auto"/>
        <w:tabs>
          <w:tab w:leader="none" w:pos="2444" w:val="left"/>
        </w:tabs>
        <w:numPr>
          <w:ilvl w:val="2"/>
          <w:numId w:val="184"/>
        </w:numPr>
        <w:rPr>
          <w:rFonts w:ascii="Arial" w:cs="Arial" w:eastAsia="Arial" w:hAnsi="Arial"/>
          <w:sz w:val="22"/>
          <w:szCs w:val="22"/>
          <w:color w:val="auto"/>
        </w:rPr>
      </w:pPr>
      <w:r>
        <w:rPr>
          <w:rFonts w:ascii="Arial" w:cs="Arial" w:eastAsia="Arial" w:hAnsi="Arial"/>
          <w:sz w:val="22"/>
          <w:szCs w:val="22"/>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292" w:lineRule="exact"/>
        <w:rPr>
          <w:rFonts w:ascii="Arial" w:cs="Arial" w:eastAsia="Arial" w:hAnsi="Arial"/>
          <w:sz w:val="22"/>
          <w:szCs w:val="22"/>
          <w:color w:val="auto"/>
        </w:rPr>
      </w:pPr>
    </w:p>
    <w:p>
      <w:pPr>
        <w:ind w:left="2320" w:hanging="477"/>
        <w:spacing w:after="0"/>
        <w:tabs>
          <w:tab w:leader="none" w:pos="232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the BDC shall fail to maintain “business development company” status under the Investment Company</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Act; or</w:t>
      </w:r>
    </w:p>
    <w:p>
      <w:pPr>
        <w:spacing w:after="0" w:line="296" w:lineRule="exact"/>
        <w:rPr>
          <w:rFonts w:ascii="Arial" w:cs="Arial" w:eastAsia="Arial" w:hAnsi="Arial"/>
          <w:sz w:val="19"/>
          <w:szCs w:val="19"/>
          <w:color w:val="auto"/>
        </w:rPr>
      </w:pPr>
    </w:p>
    <w:p>
      <w:pPr>
        <w:ind w:left="2320" w:hanging="586"/>
        <w:spacing w:after="0"/>
        <w:tabs>
          <w:tab w:leader="none" w:pos="23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failure to maintain the Interest Coverage Ratio Test for five (5) Business Days; or</w:t>
      </w:r>
    </w:p>
    <w:p>
      <w:pPr>
        <w:spacing w:after="0" w:line="314" w:lineRule="exact"/>
        <w:rPr>
          <w:rFonts w:ascii="Arial" w:cs="Arial" w:eastAsia="Arial" w:hAnsi="Arial"/>
          <w:sz w:val="22"/>
          <w:szCs w:val="22"/>
          <w:color w:val="auto"/>
        </w:rPr>
      </w:pPr>
    </w:p>
    <w:p>
      <w:pPr>
        <w:ind w:left="2320" w:hanging="532"/>
        <w:spacing w:after="0"/>
        <w:tabs>
          <w:tab w:leader="none" w:pos="23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failure to maintain the Maximum Advance Rate Test for five (5) Business Days; or</w:t>
      </w:r>
    </w:p>
    <w:p>
      <w:pPr>
        <w:spacing w:after="0" w:line="314" w:lineRule="exact"/>
        <w:rPr>
          <w:rFonts w:ascii="Arial" w:cs="Arial" w:eastAsia="Arial" w:hAnsi="Arial"/>
          <w:sz w:val="22"/>
          <w:szCs w:val="22"/>
          <w:color w:val="auto"/>
        </w:rPr>
      </w:pPr>
    </w:p>
    <w:p>
      <w:pPr>
        <w:ind w:left="2320" w:hanging="532"/>
        <w:spacing w:after="0"/>
        <w:tabs>
          <w:tab w:leader="none" w:pos="23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failure to maintain any Currency Borrowing Base Test for five (5) Business Days.</w:t>
      </w:r>
    </w:p>
    <w:p>
      <w:pPr>
        <w:spacing w:after="0" w:line="314" w:lineRule="exact"/>
        <w:rPr>
          <w:sz w:val="20"/>
          <w:szCs w:val="20"/>
          <w:color w:val="auto"/>
        </w:rPr>
      </w:pPr>
    </w:p>
    <w:p>
      <w:pPr>
        <w:jc w:val="both"/>
        <w:ind w:firstLine="786"/>
        <w:spacing w:after="0" w:line="238" w:lineRule="auto"/>
        <w:rPr>
          <w:sz w:val="20"/>
          <w:szCs w:val="20"/>
          <w:color w:val="auto"/>
        </w:rPr>
      </w:pPr>
      <w:r>
        <w:rPr>
          <w:rFonts w:ascii="Arial" w:cs="Arial" w:eastAsia="Arial" w:hAnsi="Arial"/>
          <w:sz w:val="22"/>
          <w:szCs w:val="22"/>
          <w:color w:val="auto"/>
        </w:rPr>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266" w:right="339" w:bottom="1440" w:gutter="0" w:footer="0" w:header="0"/>
        </w:sectPr>
      </w:pPr>
    </w:p>
    <w:bookmarkStart w:id="139" w:name="page140"/>
    <w:bookmarkEnd w:id="139"/>
    <w:p>
      <w:pPr>
        <w:jc w:val="both"/>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Event of Default known to a Responsible Officer of the Collateral Agent, the Collateral Agent shall promptly notify the Administrative Agent (which will notify the Lenders promptly) of such Event of Default in writing.</w:t>
      </w:r>
    </w:p>
    <w:p>
      <w:pPr>
        <w:spacing w:after="0" w:line="283"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color w:val="auto"/>
        </w:rPr>
        <w:t xml:space="preserve">Upon the occurrence and during the continuance of any Event of Default, in addition to all rights and remedies specified in this Agreement and the other Facility Documents, including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the rights and remedies of a secured party under Applicable Law, including the UCC, the Administrative Agent or the Majority Lenders, by notice to the Borrower (with a copy to the Collateral Agent), may do any one or more of the following: (1) declare the Commitments to be terminated forthwith, whereupon the Commitments shall forthwith terminate, and (2)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occurrence of any Event of Default described in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6.02</w:t>
      </w:r>
      <w:r>
        <w:rPr>
          <w:rFonts w:ascii="Arial" w:cs="Arial" w:eastAsia="Arial" w:hAnsi="Arial"/>
          <w:sz w:val="19"/>
          <w:szCs w:val="19"/>
          <w:color w:val="auto"/>
        </w:rPr>
        <w:t>, the Commitments shall automatically terminate and the Advances and all such other amounts shall automatically become due and payable, without any further action by any party.</w:t>
      </w:r>
    </w:p>
    <w:p>
      <w:pPr>
        <w:spacing w:after="0" w:line="269" w:lineRule="exact"/>
        <w:rPr>
          <w:sz w:val="20"/>
          <w:szCs w:val="20"/>
          <w:color w:val="auto"/>
        </w:rPr>
      </w:pPr>
    </w:p>
    <w:p>
      <w:pPr>
        <w:jc w:val="both"/>
        <w:ind w:firstLine="786"/>
        <w:spacing w:after="0" w:line="234" w:lineRule="auto"/>
        <w:rPr>
          <w:sz w:val="20"/>
          <w:szCs w:val="20"/>
          <w:color w:val="auto"/>
        </w:rPr>
      </w:pPr>
      <w:r>
        <w:rPr>
          <w:rFonts w:ascii="Arial" w:cs="Arial" w:eastAsia="Arial" w:hAnsi="Arial"/>
          <w:sz w:val="22"/>
          <w:szCs w:val="22"/>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 (w) 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295"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22"/>
          <w:szCs w:val="22"/>
          <w:i w:val="1"/>
          <w:iCs w:val="1"/>
          <w:color w:val="auto"/>
        </w:rPr>
        <w:t>Section 6.02. Collateral Manager Events of Default</w:t>
      </w:r>
      <w:r>
        <w:rPr>
          <w:rFonts w:ascii="Arial" w:cs="Arial" w:eastAsia="Arial" w:hAnsi="Arial"/>
          <w:sz w:val="22"/>
          <w:szCs w:val="22"/>
          <w:color w:val="auto"/>
        </w:rPr>
        <w:t>. “</w:t>
      </w:r>
      <w:r>
        <w:rPr>
          <w:rFonts w:ascii="Arial" w:cs="Arial" w:eastAsia="Arial" w:hAnsi="Arial"/>
          <w:sz w:val="22"/>
          <w:szCs w:val="22"/>
          <w:i w:val="1"/>
          <w:iCs w:val="1"/>
          <w:color w:val="auto"/>
        </w:rPr>
        <w:t>Collateral Manager Event of Default</w:t>
      </w:r>
      <w:r>
        <w:rPr>
          <w:rFonts w:ascii="Arial" w:cs="Arial" w:eastAsia="Arial" w:hAnsi="Arial"/>
          <w:sz w:val="22"/>
          <w:szCs w:val="22"/>
          <w:color w:val="auto"/>
        </w:rPr>
        <w:t>”, wherever used herein,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one of the following 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293" w:lineRule="exact"/>
        <w:rPr>
          <w:sz w:val="20"/>
          <w:szCs w:val="20"/>
          <w:color w:val="auto"/>
        </w:rPr>
      </w:pPr>
    </w:p>
    <w:p>
      <w:pPr>
        <w:ind w:left="800" w:firstLine="934"/>
        <w:spacing w:after="0" w:line="328" w:lineRule="auto"/>
        <w:tabs>
          <w:tab w:leader="none" w:pos="2405"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 default in the payment by the Collateral Manager, when due and payable, of (i) any interest on or Commitment Fee in respect of the Advances or (ii) any principal of any Advance on the Final Maturity Date; or</w:t>
      </w:r>
    </w:p>
    <w:p>
      <w:pPr>
        <w:spacing w:after="0" w:line="212" w:lineRule="exact"/>
        <w:rPr>
          <w:rFonts w:ascii="Arial" w:cs="Arial" w:eastAsia="Arial" w:hAnsi="Arial"/>
          <w:sz w:val="19"/>
          <w:szCs w:val="19"/>
          <w:color w:val="auto"/>
        </w:rPr>
      </w:pPr>
    </w:p>
    <w:p>
      <w:pPr>
        <w:ind w:left="800" w:right="20" w:firstLine="934"/>
        <w:spacing w:after="0" w:line="250" w:lineRule="auto"/>
        <w:tabs>
          <w:tab w:leader="none" w:pos="247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Collateral Manager is required to be registered under the Investment Company Act and is not otherwise registered; or</w:t>
      </w:r>
    </w:p>
    <w:p>
      <w:pPr>
        <w:spacing w:after="0" w:line="282" w:lineRule="exact"/>
        <w:rPr>
          <w:rFonts w:ascii="Arial" w:cs="Arial" w:eastAsia="Arial" w:hAnsi="Arial"/>
          <w:sz w:val="22"/>
          <w:szCs w:val="22"/>
          <w:color w:val="auto"/>
        </w:rPr>
      </w:pPr>
    </w:p>
    <w:p>
      <w:pPr>
        <w:jc w:val="both"/>
        <w:ind w:left="800" w:firstLine="934"/>
        <w:spacing w:after="0"/>
        <w:tabs>
          <w:tab w:leader="none" w:pos="232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Section 6.02</w:t>
      </w:r>
      <w:r>
        <w:rPr>
          <w:rFonts w:ascii="Arial" w:cs="Arial" w:eastAsia="Arial" w:hAnsi="Arial"/>
          <w:sz w:val="22"/>
          <w:szCs w:val="22"/>
          <w:color w:val="auto"/>
        </w:rPr>
        <w:t>, a default in any material respect in the performance, or breach in any material respect, of any other covenant or other agreement of the Collateral Manager under this Agreement or the other Facility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266" w:right="339" w:bottom="1440" w:gutter="0" w:footer="0" w:header="0"/>
        </w:sectPr>
      </w:pPr>
    </w:p>
    <w:bookmarkStart w:id="140" w:name="page141"/>
    <w:bookmarkEnd w:id="140"/>
    <w:p>
      <w:pPr>
        <w:jc w:val="both"/>
        <w:ind w:left="6"/>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(which may be by email) by the Agent, and (y) actual knowledge of the Collateral Manager; or</w:t>
      </w:r>
    </w:p>
    <w:p>
      <w:pPr>
        <w:spacing w:after="0" w:line="255" w:lineRule="exact"/>
        <w:rPr>
          <w:sz w:val="20"/>
          <w:szCs w:val="20"/>
          <w:color w:val="auto"/>
        </w:rPr>
      </w:pPr>
    </w:p>
    <w:p>
      <w:pPr>
        <w:jc w:val="both"/>
        <w:ind w:left="6" w:firstLine="934"/>
        <w:spacing w:after="0" w:line="273" w:lineRule="auto"/>
        <w:tabs>
          <w:tab w:leader="none" w:pos="1588"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w:t>
      </w:r>
    </w:p>
    <w:p>
      <w:pPr>
        <w:spacing w:after="0" w:line="1" w:lineRule="exact"/>
        <w:rPr>
          <w:rFonts w:ascii="Arial" w:cs="Arial" w:eastAsia="Arial" w:hAnsi="Arial"/>
          <w:sz w:val="19"/>
          <w:szCs w:val="19"/>
          <w:color w:val="auto"/>
        </w:rPr>
      </w:pPr>
    </w:p>
    <w:p>
      <w:pPr>
        <w:ind w:left="346" w:hanging="346"/>
        <w:spacing w:after="0"/>
        <w:tabs>
          <w:tab w:leader="none" w:pos="34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discharged or provided for the discharge of any such judgment, decree or order in accordance with its terms or</w:t>
      </w:r>
    </w:p>
    <w:p>
      <w:pPr>
        <w:spacing w:after="0" w:line="24" w:lineRule="exact"/>
        <w:rPr>
          <w:rFonts w:ascii="Arial" w:cs="Arial" w:eastAsia="Arial" w:hAnsi="Arial"/>
          <w:sz w:val="19"/>
          <w:szCs w:val="19"/>
          <w:color w:val="auto"/>
        </w:rPr>
      </w:pPr>
    </w:p>
    <w:p>
      <w:pPr>
        <w:jc w:val="both"/>
        <w:ind w:left="6" w:hanging="6"/>
        <w:spacing w:after="0" w:line="234" w:lineRule="auto"/>
        <w:tabs>
          <w:tab w:leader="none" w:pos="31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295" w:lineRule="exact"/>
        <w:rPr>
          <w:rFonts w:ascii="Arial" w:cs="Arial" w:eastAsia="Arial" w:hAnsi="Arial"/>
          <w:sz w:val="22"/>
          <w:szCs w:val="22"/>
          <w:color w:val="auto"/>
        </w:rPr>
      </w:pPr>
    </w:p>
    <w:p>
      <w:pPr>
        <w:ind w:left="1506" w:hanging="566"/>
        <w:spacing w:after="0"/>
        <w:tabs>
          <w:tab w:leader="none" w:pos="150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 Insolvency Event relating to the Collateral Manager occurs; or</w:t>
      </w:r>
    </w:p>
    <w:p>
      <w:pPr>
        <w:spacing w:after="0" w:line="314" w:lineRule="exact"/>
        <w:rPr>
          <w:rFonts w:ascii="Arial" w:cs="Arial" w:eastAsia="Arial" w:hAnsi="Arial"/>
          <w:sz w:val="22"/>
          <w:szCs w:val="22"/>
          <w:color w:val="auto"/>
        </w:rPr>
      </w:pPr>
    </w:p>
    <w:p>
      <w:pPr>
        <w:jc w:val="both"/>
        <w:ind w:left="6" w:firstLine="934"/>
        <w:spacing w:after="0" w:line="234" w:lineRule="auto"/>
        <w:tabs>
          <w:tab w:leader="none" w:pos="1489" w:val="left"/>
        </w:tabs>
        <w:numPr>
          <w:ilvl w:val="1"/>
          <w:numId w:val="188"/>
        </w:numPr>
        <w:rPr>
          <w:rFonts w:ascii="Arial" w:cs="Arial" w:eastAsia="Arial" w:hAnsi="Arial"/>
          <w:sz w:val="22"/>
          <w:szCs w:val="22"/>
          <w:color w:val="auto"/>
        </w:rPr>
      </w:pPr>
      <w:r>
        <w:rPr>
          <w:rFonts w:ascii="Arial" w:cs="Arial" w:eastAsia="Arial" w:hAnsi="Arial"/>
          <w:sz w:val="22"/>
          <w:szCs w:val="22"/>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294" w:lineRule="exact"/>
        <w:rPr>
          <w:rFonts w:ascii="Arial" w:cs="Arial" w:eastAsia="Arial" w:hAnsi="Arial"/>
          <w:sz w:val="22"/>
          <w:szCs w:val="22"/>
          <w:color w:val="auto"/>
        </w:rPr>
      </w:pPr>
    </w:p>
    <w:p>
      <w:pPr>
        <w:jc w:val="both"/>
        <w:ind w:left="6" w:firstLine="934"/>
        <w:spacing w:after="0"/>
        <w:tabs>
          <w:tab w:leader="none" w:pos="178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 xml:space="preserve">(i) the Collateral Manager shall fail to comply with </w:t>
      </w:r>
      <w:r>
        <w:rPr>
          <w:rFonts w:ascii="Arial" w:cs="Arial" w:eastAsia="Arial" w:hAnsi="Arial"/>
          <w:sz w:val="22"/>
          <w:szCs w:val="22"/>
          <w:u w:val="single" w:color="auto"/>
          <w:color w:val="auto"/>
        </w:rPr>
        <w:t>Section 5.04(c)</w:t>
      </w:r>
      <w:r>
        <w:rPr>
          <w:rFonts w:ascii="Arial" w:cs="Arial" w:eastAsia="Arial" w:hAnsi="Arial"/>
          <w:sz w:val="22"/>
          <w:szCs w:val="22"/>
          <w:color w:val="auto"/>
        </w:rPr>
        <w:t>, or (ii) the owners of the outstanding equity interests in the Collateral Manager as of the date hereof cease to own 51% of the equity interests in the Collateral Manager at any time; or</w:t>
      </w:r>
    </w:p>
    <w:p>
      <w:pPr>
        <w:spacing w:after="0" w:line="294" w:lineRule="exact"/>
        <w:rPr>
          <w:rFonts w:ascii="Arial" w:cs="Arial" w:eastAsia="Arial" w:hAnsi="Arial"/>
          <w:sz w:val="22"/>
          <w:szCs w:val="22"/>
          <w:color w:val="auto"/>
        </w:rPr>
      </w:pPr>
    </w:p>
    <w:p>
      <w:pPr>
        <w:ind w:left="1526" w:hanging="586"/>
        <w:spacing w:after="0"/>
        <w:tabs>
          <w:tab w:leader="none" w:pos="1526" w:val="left"/>
        </w:tabs>
        <w:numPr>
          <w:ilvl w:val="1"/>
          <w:numId w:val="188"/>
        </w:numPr>
        <w:rPr>
          <w:rFonts w:ascii="Arial" w:cs="Arial" w:eastAsia="Arial" w:hAnsi="Arial"/>
          <w:sz w:val="22"/>
          <w:szCs w:val="22"/>
          <w:color w:val="auto"/>
        </w:rPr>
      </w:pPr>
      <w:r>
        <w:rPr>
          <w:rFonts w:ascii="Arial" w:cs="Arial" w:eastAsia="Arial" w:hAnsi="Arial"/>
          <w:sz w:val="22"/>
          <w:szCs w:val="22"/>
          <w:i w:val="1"/>
          <w:iCs w:val="1"/>
          <w:color w:val="auto"/>
        </w:rPr>
        <w:t>Reserved.</w:t>
      </w:r>
    </w:p>
    <w:p>
      <w:pPr>
        <w:spacing w:after="0" w:line="314" w:lineRule="exact"/>
        <w:rPr>
          <w:rFonts w:ascii="Arial" w:cs="Arial" w:eastAsia="Arial" w:hAnsi="Arial"/>
          <w:sz w:val="22"/>
          <w:szCs w:val="22"/>
          <w:color w:val="auto"/>
        </w:rPr>
      </w:pPr>
    </w:p>
    <w:p>
      <w:pPr>
        <w:jc w:val="both"/>
        <w:ind w:left="6" w:firstLine="934"/>
        <w:spacing w:after="0"/>
        <w:tabs>
          <w:tab w:leader="none" w:pos="153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294" w:lineRule="exact"/>
        <w:rPr>
          <w:rFonts w:ascii="Arial" w:cs="Arial" w:eastAsia="Arial" w:hAnsi="Arial"/>
          <w:sz w:val="22"/>
          <w:szCs w:val="22"/>
          <w:color w:val="auto"/>
        </w:rPr>
      </w:pPr>
    </w:p>
    <w:p>
      <w:pPr>
        <w:ind w:left="1466" w:hanging="526"/>
        <w:spacing w:after="0"/>
        <w:tabs>
          <w:tab w:leader="none" w:pos="146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the occurrence of a Material Adverse Effect with respect to the Collateral Manager; or</w:t>
      </w:r>
    </w:p>
    <w:p>
      <w:pPr>
        <w:spacing w:after="0" w:line="314" w:lineRule="exact"/>
        <w:rPr>
          <w:rFonts w:ascii="Arial" w:cs="Arial" w:eastAsia="Arial" w:hAnsi="Arial"/>
          <w:sz w:val="22"/>
          <w:szCs w:val="22"/>
          <w:color w:val="auto"/>
        </w:rPr>
      </w:pPr>
    </w:p>
    <w:p>
      <w:pPr>
        <w:ind w:left="6" w:firstLine="934"/>
        <w:spacing w:after="0" w:line="250" w:lineRule="auto"/>
        <w:tabs>
          <w:tab w:leader="none" w:pos="1584" w:val="left"/>
        </w:tabs>
        <w:numPr>
          <w:ilvl w:val="1"/>
          <w:numId w:val="188"/>
        </w:numPr>
        <w:rPr>
          <w:rFonts w:ascii="Arial" w:cs="Arial" w:eastAsia="Arial" w:hAnsi="Arial"/>
          <w:sz w:val="22"/>
          <w:szCs w:val="22"/>
          <w:color w:val="auto"/>
        </w:rPr>
      </w:pPr>
      <w:r>
        <w:rPr>
          <w:rFonts w:ascii="Arial" w:cs="Arial" w:eastAsia="Arial" w:hAnsi="Arial"/>
          <w:sz w:val="22"/>
          <w:szCs w:val="22"/>
          <w:color w:val="auto"/>
        </w:rPr>
        <w:t>(i) the failure of the Collateral Manager to make any payment when due (after giving effect to any related grace period), whether or not waived, under one or</w:t>
      </w:r>
    </w:p>
    <w:p>
      <w:pPr>
        <w:spacing w:after="0" w:line="107" w:lineRule="exact"/>
        <w:rPr>
          <w:sz w:val="20"/>
          <w:szCs w:val="20"/>
          <w:color w:val="auto"/>
        </w:rPr>
      </w:pPr>
    </w:p>
    <w:p>
      <w:pPr>
        <w:ind w:left="4606"/>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0446"/>
          </w:cols>
          <w:pgMar w:left="1114" w:top="266" w:right="339" w:bottom="1440" w:gutter="0" w:footer="0" w:header="0"/>
        </w:sectPr>
      </w:pPr>
    </w:p>
    <w:bookmarkStart w:id="141" w:name="page142"/>
    <w:bookmarkEnd w:id="141"/>
    <w:p>
      <w:pPr>
        <w:jc w:val="both"/>
        <w:ind w:left="800" w:righ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294" w:lineRule="exact"/>
        <w:rPr>
          <w:sz w:val="20"/>
          <w:szCs w:val="20"/>
          <w:color w:val="auto"/>
        </w:rPr>
      </w:pPr>
    </w:p>
    <w:p>
      <w:pPr>
        <w:jc w:val="both"/>
        <w:ind w:left="800" w:firstLine="1074"/>
        <w:spacing w:after="0"/>
        <w:tabs>
          <w:tab w:leader="none" w:pos="2503"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the Collateral Manager shall fail to maintain at least $350,000,000 of assets (including cash) under management (which shall be reported in the Monthly Report occurring on the first Monthly Reporting Date to occur after the delivery of the statements required pursuant to </w:t>
      </w:r>
      <w:r>
        <w:rPr>
          <w:rFonts w:ascii="Arial" w:cs="Arial" w:eastAsia="Arial" w:hAnsi="Arial"/>
          <w:sz w:val="22"/>
          <w:szCs w:val="22"/>
          <w:u w:val="single" w:color="auto"/>
          <w:color w:val="auto"/>
        </w:rPr>
        <w:t>Section 5.01(d)(iii)</w:t>
      </w:r>
      <w:r>
        <w:rPr>
          <w:rFonts w:ascii="Arial" w:cs="Arial" w:eastAsia="Arial" w:hAnsi="Arial"/>
          <w:sz w:val="22"/>
          <w:szCs w:val="22"/>
          <w:color w:val="auto"/>
        </w:rPr>
        <w:t>); or</w:t>
      </w:r>
    </w:p>
    <w:p>
      <w:pPr>
        <w:spacing w:after="0" w:line="294" w:lineRule="exact"/>
        <w:rPr>
          <w:rFonts w:ascii="Arial" w:cs="Arial" w:eastAsia="Arial" w:hAnsi="Arial"/>
          <w:sz w:val="22"/>
          <w:szCs w:val="22"/>
          <w:color w:val="auto"/>
        </w:rPr>
      </w:pPr>
    </w:p>
    <w:p>
      <w:pPr>
        <w:ind w:left="2380" w:hanging="646"/>
        <w:spacing w:after="0"/>
        <w:tabs>
          <w:tab w:leader="none" w:pos="238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Collateral Manager shall have a Consolidated Leverage Ratio in excess of 4.0x.</w:t>
      </w:r>
    </w:p>
    <w:p>
      <w:pPr>
        <w:spacing w:after="0" w:line="314" w:lineRule="exact"/>
        <w:rPr>
          <w:sz w:val="20"/>
          <w:szCs w:val="20"/>
          <w:color w:val="auto"/>
        </w:rPr>
      </w:pPr>
    </w:p>
    <w:p>
      <w:pPr>
        <w:jc w:val="both"/>
        <w:ind w:firstLine="786"/>
        <w:spacing w:after="0" w:line="282" w:lineRule="auto"/>
        <w:rPr>
          <w:sz w:val="20"/>
          <w:szCs w:val="20"/>
          <w:color w:val="auto"/>
        </w:rPr>
      </w:pPr>
      <w:r>
        <w:rPr>
          <w:rFonts w:ascii="Arial" w:cs="Arial" w:eastAsia="Arial" w:hAnsi="Arial"/>
          <w:sz w:val="19"/>
          <w:szCs w:val="19"/>
          <w:color w:val="auto"/>
        </w:rPr>
        <w:t xml:space="preserve">Upon the occurrence and during the continuance of a Collateral Manager Event of Default or a Collateral Manager Replacement Event, the Administrative Agent, by written notice (provided in its sole discretion or at the direction of the Majority Lenders) to the Collateral Manager (with a copy to the Backup Collateral Manager, the Custodian, the Collateral Administrator and the Collateral Agent) (a </w:t>
      </w:r>
      <w:r>
        <w:rPr>
          <w:rFonts w:ascii="Arial" w:cs="Arial" w:eastAsia="Arial" w:hAnsi="Arial"/>
          <w:sz w:val="19"/>
          <w:szCs w:val="19"/>
          <w:i w:val="1"/>
          <w:iCs w:val="1"/>
          <w:color w:val="auto"/>
        </w:rPr>
        <w:t>“Collateral Manager Termination Notice”</w:t>
      </w:r>
      <w:r>
        <w:rPr>
          <w:rFonts w:ascii="Arial" w:cs="Arial" w:eastAsia="Arial" w:hAnsi="Arial"/>
          <w:sz w:val="19"/>
          <w:szCs w:val="19"/>
          <w:color w:val="auto"/>
        </w:rPr>
        <w:t xml:space="preserve">), may terminate all of the rights and obligations of the Collateral Manager as Collateral Manager under this Agreement in accordance with </w:t>
      </w:r>
      <w:r>
        <w:rPr>
          <w:rFonts w:ascii="Arial" w:cs="Arial" w:eastAsia="Arial" w:hAnsi="Arial"/>
          <w:sz w:val="19"/>
          <w:szCs w:val="19"/>
          <w:u w:val="single" w:color="auto"/>
          <w:color w:val="auto"/>
        </w:rPr>
        <w:t>Section 11.09</w:t>
      </w:r>
      <w:r>
        <w:rPr>
          <w:rFonts w:ascii="Arial" w:cs="Arial" w:eastAsia="Arial" w:hAnsi="Arial"/>
          <w:sz w:val="19"/>
          <w:szCs w:val="19"/>
          <w:color w:val="auto"/>
        </w:rPr>
        <w:t>.</w:t>
      </w:r>
    </w:p>
    <w:p>
      <w:pPr>
        <w:spacing w:after="0" w:line="255" w:lineRule="exact"/>
        <w:rPr>
          <w:sz w:val="20"/>
          <w:szCs w:val="20"/>
          <w:color w:val="auto"/>
        </w:rPr>
      </w:pPr>
    </w:p>
    <w:p>
      <w:pPr>
        <w:jc w:val="both"/>
        <w:ind w:firstLine="786"/>
        <w:spacing w:after="0" w:line="236" w:lineRule="auto"/>
        <w:rPr>
          <w:sz w:val="20"/>
          <w:szCs w:val="20"/>
          <w:color w:val="auto"/>
        </w:rPr>
      </w:pPr>
      <w:r>
        <w:rPr>
          <w:rFonts w:ascii="Arial" w:cs="Arial" w:eastAsia="Arial" w:hAnsi="Arial"/>
          <w:sz w:val="22"/>
          <w:szCs w:val="22"/>
          <w:color w:val="auto"/>
        </w:rPr>
        <w:t xml:space="preserve">Upon the occurrence and during the continuance of a Collateral Manager Event of Default or a Collateral Manager Replacement Event, the Administrative Agent, by written notice to the Collateral Manager (with a copy to the Backup Collateral Manager, the Custodian, the Collateral Administrator and the Collateral Agent) (a </w:t>
      </w:r>
      <w:r>
        <w:rPr>
          <w:rFonts w:ascii="Arial" w:cs="Arial" w:eastAsia="Arial" w:hAnsi="Arial"/>
          <w:sz w:val="22"/>
          <w:szCs w:val="22"/>
          <w:i w:val="1"/>
          <w:iCs w:val="1"/>
          <w:color w:val="auto"/>
        </w:rPr>
        <w:t>“Collateral Manager Termination Notice”</w:t>
      </w:r>
      <w:r>
        <w:rPr>
          <w:rFonts w:ascii="Arial" w:cs="Arial" w:eastAsia="Arial" w:hAnsi="Arial"/>
          <w:sz w:val="22"/>
          <w:szCs w:val="22"/>
          <w:color w:val="auto"/>
        </w:rPr>
        <w:t xml:space="preserve">), may terminate all of the rights and obligations of the Collateral Manager as Collateral Manager under this Agreement in accordance with </w:t>
      </w:r>
      <w:r>
        <w:rPr>
          <w:rFonts w:ascii="Arial" w:cs="Arial" w:eastAsia="Arial" w:hAnsi="Arial"/>
          <w:sz w:val="22"/>
          <w:szCs w:val="22"/>
          <w:u w:val="single" w:color="auto"/>
          <w:color w:val="auto"/>
        </w:rPr>
        <w:t>Section 11.09</w:t>
      </w:r>
      <w:r>
        <w:rPr>
          <w:rFonts w:ascii="Arial" w:cs="Arial" w:eastAsia="Arial" w:hAnsi="Arial"/>
          <w:sz w:val="22"/>
          <w:szCs w:val="22"/>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VII</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LEDGE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OLLATERAL</w:t>
      </w:r>
      <w:r>
        <w:rPr>
          <w:rFonts w:ascii="Arial" w:cs="Arial" w:eastAsia="Arial" w:hAnsi="Arial"/>
          <w:sz w:val="22"/>
          <w:szCs w:val="22"/>
          <w:b w:val="1"/>
          <w:bCs w:val="1"/>
          <w:color w:val="auto"/>
        </w:rPr>
        <w:t>; R</w:t>
      </w:r>
      <w:r>
        <w:rPr>
          <w:rFonts w:ascii="Arial" w:cs="Arial" w:eastAsia="Arial" w:hAnsi="Arial"/>
          <w:sz w:val="17"/>
          <w:szCs w:val="17"/>
          <w:b w:val="1"/>
          <w:bCs w:val="1"/>
          <w:color w:val="auto"/>
        </w:rPr>
        <w:t>IGHTS OF THE</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OLLATERAL</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GENT</w:t>
      </w:r>
    </w:p>
    <w:p>
      <w:pPr>
        <w:spacing w:after="0" w:line="320" w:lineRule="exact"/>
        <w:rPr>
          <w:sz w:val="20"/>
          <w:szCs w:val="20"/>
          <w:color w:val="auto"/>
        </w:rPr>
      </w:pPr>
    </w:p>
    <w:p>
      <w:pPr>
        <w:jc w:val="both"/>
        <w:ind w:firstLine="562"/>
        <w:spacing w:after="0" w:line="235" w:lineRule="auto"/>
        <w:rPr>
          <w:sz w:val="20"/>
          <w:szCs w:val="20"/>
          <w:color w:val="auto"/>
        </w:rPr>
      </w:pPr>
      <w:r>
        <w:rPr>
          <w:rFonts w:ascii="Arial" w:cs="Arial" w:eastAsia="Arial" w:hAnsi="Arial"/>
          <w:sz w:val="22"/>
          <w:szCs w:val="22"/>
          <w:i w:val="1"/>
          <w:iCs w:val="1"/>
          <w:color w:val="auto"/>
        </w:rPr>
        <w:t>Section 7.01. Grant of Security</w:t>
      </w:r>
      <w:r>
        <w:rPr>
          <w:rFonts w:ascii="Arial" w:cs="Arial" w:eastAsia="Arial" w:hAnsi="Arial"/>
          <w:sz w:val="22"/>
          <w:szCs w:val="22"/>
          <w:color w:val="auto"/>
        </w:rPr>
        <w:t>. (a) The Borrower hereby grants, pledges, transfers and collaterally assigns 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Collateral Agent, for the 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being collectively referred to herein as the </w:t>
      </w:r>
      <w:r>
        <w:rPr>
          <w:rFonts w:ascii="Arial" w:cs="Arial" w:eastAsia="Arial" w:hAnsi="Arial"/>
          <w:sz w:val="22"/>
          <w:szCs w:val="22"/>
          <w:i w:val="1"/>
          <w:iCs w:val="1"/>
          <w:color w:val="auto"/>
        </w:rPr>
        <w:t>“Collateral”</w:t>
      </w:r>
      <w:r>
        <w:rPr>
          <w:rFonts w:ascii="Arial" w:cs="Arial" w:eastAsia="Arial" w:hAnsi="Arial"/>
          <w:sz w:val="22"/>
          <w:szCs w:val="22"/>
          <w:color w:val="auto"/>
        </w:rPr>
        <w:t>):</w:t>
      </w:r>
    </w:p>
    <w:p>
      <w:pPr>
        <w:spacing w:after="0" w:line="296" w:lineRule="exact"/>
        <w:rPr>
          <w:sz w:val="20"/>
          <w:szCs w:val="20"/>
          <w:color w:val="auto"/>
        </w:rPr>
      </w:pPr>
    </w:p>
    <w:p>
      <w:pPr>
        <w:ind w:left="800" w:firstLine="989"/>
        <w:spacing w:after="0" w:line="328" w:lineRule="auto"/>
        <w:tabs>
          <w:tab w:leader="none" w:pos="233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all Collateral Loans and Related Documents (listed, as of the Closing Date, in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hereto), both now and hereafter owned, including all collections and other proceeds thereon or with respect thereto;</w:t>
      </w:r>
    </w:p>
    <w:p>
      <w:pPr>
        <w:spacing w:after="0" w:line="212" w:lineRule="exact"/>
        <w:rPr>
          <w:rFonts w:ascii="Arial" w:cs="Arial" w:eastAsia="Arial" w:hAnsi="Arial"/>
          <w:sz w:val="19"/>
          <w:szCs w:val="19"/>
          <w:color w:val="auto"/>
        </w:rPr>
      </w:pPr>
    </w:p>
    <w:p>
      <w:pPr>
        <w:jc w:val="both"/>
        <w:ind w:left="800" w:right="20" w:firstLine="934"/>
        <w:spacing w:after="0"/>
        <w:tabs>
          <w:tab w:leader="none" w:pos="2356" w:val="left"/>
        </w:tabs>
        <w:numPr>
          <w:ilvl w:val="0"/>
          <w:numId w:val="191"/>
        </w:numPr>
        <w:rPr>
          <w:rFonts w:ascii="Arial" w:cs="Arial" w:eastAsia="Arial" w:hAnsi="Arial"/>
          <w:sz w:val="22"/>
          <w:szCs w:val="22"/>
          <w:color w:val="auto"/>
        </w:rPr>
      </w:pPr>
      <w:r>
        <w:rPr>
          <w:rFonts w:ascii="Arial" w:cs="Arial" w:eastAsia="Arial" w:hAnsi="Arial"/>
          <w:sz w:val="22"/>
          <w:szCs w:val="22"/>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266" w:right="339" w:bottom="1440" w:gutter="0" w:footer="0" w:header="0"/>
        </w:sectPr>
      </w:pPr>
    </w:p>
    <w:bookmarkStart w:id="142" w:name="page143"/>
    <w:bookmarkEnd w:id="142"/>
    <w:p>
      <w:pPr>
        <w:jc w:val="both"/>
        <w:ind w:left="800" w:right="20" w:firstLine="1046"/>
        <w:spacing w:after="0"/>
        <w:tabs>
          <w:tab w:leader="none" w:pos="2511" w:val="left"/>
        </w:tabs>
        <w:numPr>
          <w:ilvl w:val="0"/>
          <w:numId w:val="192"/>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294" w:lineRule="exact"/>
        <w:rPr>
          <w:rFonts w:ascii="Arial" w:cs="Arial" w:eastAsia="Arial" w:hAnsi="Arial"/>
          <w:sz w:val="22"/>
          <w:szCs w:val="22"/>
          <w:color w:val="auto"/>
        </w:rPr>
      </w:pPr>
    </w:p>
    <w:p>
      <w:pPr>
        <w:jc w:val="both"/>
        <w:ind w:left="800" w:firstLine="1069"/>
        <w:spacing w:after="0" w:line="282" w:lineRule="auto"/>
        <w:tabs>
          <w:tab w:leader="none" w:pos="2575" w:val="left"/>
        </w:tabs>
        <w:numPr>
          <w:ilvl w:val="2"/>
          <w:numId w:val="192"/>
        </w:numPr>
        <w:rPr>
          <w:rFonts w:ascii="Arial" w:cs="Arial" w:eastAsia="Arial" w:hAnsi="Arial"/>
          <w:sz w:val="19"/>
          <w:szCs w:val="19"/>
          <w:color w:val="auto"/>
        </w:rPr>
      </w:pPr>
      <w:r>
        <w:rPr>
          <w:rFonts w:ascii="Arial" w:cs="Arial" w:eastAsia="Arial" w:hAnsi="Arial"/>
          <w:sz w:val="19"/>
          <w:szCs w:val="19"/>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255" w:lineRule="exact"/>
        <w:rPr>
          <w:rFonts w:ascii="Arial" w:cs="Arial" w:eastAsia="Arial" w:hAnsi="Arial"/>
          <w:sz w:val="19"/>
          <w:szCs w:val="19"/>
          <w:color w:val="auto"/>
        </w:rPr>
      </w:pPr>
    </w:p>
    <w:p>
      <w:pPr>
        <w:ind w:left="2420" w:hanging="578"/>
        <w:spacing w:after="0"/>
        <w:tabs>
          <w:tab w:leader="none" w:pos="242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all Cash or Money in possession of the Borrower or delivered to the Collateral Agent (or its bailee);</w:t>
      </w:r>
    </w:p>
    <w:p>
      <w:pPr>
        <w:spacing w:after="0" w:line="349" w:lineRule="exact"/>
        <w:rPr>
          <w:sz w:val="20"/>
          <w:szCs w:val="20"/>
          <w:color w:val="auto"/>
        </w:rPr>
      </w:pPr>
    </w:p>
    <w:p>
      <w:pPr>
        <w:jc w:val="both"/>
        <w:ind w:left="800" w:firstLine="1029"/>
        <w:spacing w:after="0"/>
        <w:tabs>
          <w:tab w:leader="none" w:pos="2719" w:val="left"/>
        </w:tabs>
        <w:numPr>
          <w:ilvl w:val="3"/>
          <w:numId w:val="193"/>
        </w:numPr>
        <w:rPr>
          <w:rFonts w:ascii="Arial" w:cs="Arial" w:eastAsia="Arial" w:hAnsi="Arial"/>
          <w:sz w:val="22"/>
          <w:szCs w:val="22"/>
          <w:color w:val="auto"/>
        </w:rPr>
      </w:pPr>
      <w:r>
        <w:rPr>
          <w:rFonts w:ascii="Arial" w:cs="Arial" w:eastAsia="Arial" w:hAnsi="Arial"/>
          <w:sz w:val="22"/>
          <w:szCs w:val="22"/>
          <w:color w:val="auto"/>
        </w:rPr>
        <w:t>all accounts, chattel paper, deposit accounts, financial assets, general intangibles, instruments, investment property, letter-of-credit rights and other supporting obligations relating to the foregoing (in each case as defined in the UCC);</w:t>
      </w:r>
    </w:p>
    <w:p>
      <w:pPr>
        <w:spacing w:after="0" w:line="294" w:lineRule="exact"/>
        <w:rPr>
          <w:rFonts w:ascii="Arial" w:cs="Arial" w:eastAsia="Arial" w:hAnsi="Arial"/>
          <w:sz w:val="22"/>
          <w:szCs w:val="22"/>
          <w:color w:val="auto"/>
        </w:rPr>
      </w:pPr>
    </w:p>
    <w:p>
      <w:pPr>
        <w:jc w:val="both"/>
        <w:ind w:left="800" w:firstLine="934"/>
        <w:spacing w:after="0"/>
        <w:tabs>
          <w:tab w:leader="none" w:pos="2664" w:val="left"/>
        </w:tabs>
        <w:numPr>
          <w:ilvl w:val="2"/>
          <w:numId w:val="194"/>
        </w:numPr>
        <w:rPr>
          <w:rFonts w:ascii="Arial" w:cs="Arial" w:eastAsia="Arial" w:hAnsi="Arial"/>
          <w:sz w:val="22"/>
          <w:szCs w:val="22"/>
          <w:color w:val="auto"/>
        </w:rPr>
      </w:pPr>
      <w:r>
        <w:rPr>
          <w:rFonts w:ascii="Arial" w:cs="Arial" w:eastAsia="Arial" w:hAnsi="Arial"/>
          <w:sz w:val="22"/>
          <w:szCs w:val="22"/>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294" w:lineRule="exact"/>
        <w:rPr>
          <w:rFonts w:ascii="Arial" w:cs="Arial" w:eastAsia="Arial" w:hAnsi="Arial"/>
          <w:sz w:val="22"/>
          <w:szCs w:val="22"/>
          <w:color w:val="auto"/>
        </w:rPr>
      </w:pPr>
    </w:p>
    <w:p>
      <w:pPr>
        <w:jc w:val="both"/>
        <w:ind w:left="800" w:firstLine="934"/>
        <w:spacing w:after="0"/>
        <w:tabs>
          <w:tab w:leader="none" w:pos="2641" w:val="left"/>
        </w:tabs>
        <w:numPr>
          <w:ilvl w:val="1"/>
          <w:numId w:val="195"/>
        </w:numPr>
        <w:rPr>
          <w:rFonts w:ascii="Arial" w:cs="Arial" w:eastAsia="Arial" w:hAnsi="Arial"/>
          <w:sz w:val="22"/>
          <w:szCs w:val="22"/>
          <w:color w:val="auto"/>
        </w:rPr>
      </w:pPr>
      <w:r>
        <w:rPr>
          <w:rFonts w:ascii="Arial" w:cs="Arial" w:eastAsia="Arial" w:hAnsi="Arial"/>
          <w:sz w:val="22"/>
          <w:szCs w:val="22"/>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294" w:lineRule="exact"/>
        <w:rPr>
          <w:rFonts w:ascii="Arial" w:cs="Arial" w:eastAsia="Arial" w:hAnsi="Arial"/>
          <w:sz w:val="22"/>
          <w:szCs w:val="22"/>
          <w:color w:val="auto"/>
        </w:rPr>
      </w:pPr>
    </w:p>
    <w:p>
      <w:pPr>
        <w:ind w:left="2420" w:hanging="632"/>
        <w:spacing w:after="0"/>
        <w:tabs>
          <w:tab w:leader="none" w:pos="2420" w:val="left"/>
        </w:tabs>
        <w:numPr>
          <w:ilvl w:val="2"/>
          <w:numId w:val="195"/>
        </w:numPr>
        <w:rPr>
          <w:rFonts w:ascii="Arial" w:cs="Arial" w:eastAsia="Arial" w:hAnsi="Arial"/>
          <w:sz w:val="22"/>
          <w:szCs w:val="22"/>
          <w:color w:val="auto"/>
        </w:rPr>
      </w:pPr>
      <w:r>
        <w:rPr>
          <w:rFonts w:ascii="Arial" w:cs="Arial" w:eastAsia="Arial" w:hAnsi="Arial"/>
          <w:sz w:val="22"/>
          <w:szCs w:val="22"/>
          <w:color w:val="auto"/>
        </w:rPr>
        <w:t>all Proceeds of any and all of the foregoing.</w:t>
      </w:r>
    </w:p>
    <w:p>
      <w:pPr>
        <w:spacing w:after="0" w:line="314" w:lineRule="exact"/>
        <w:rPr>
          <w:rFonts w:ascii="Arial" w:cs="Arial" w:eastAsia="Arial" w:hAnsi="Arial"/>
          <w:sz w:val="22"/>
          <w:szCs w:val="22"/>
          <w:color w:val="auto"/>
        </w:rPr>
      </w:pPr>
    </w:p>
    <w:p>
      <w:pPr>
        <w:ind w:right="20" w:firstLine="794"/>
        <w:spacing w:after="0" w:line="250" w:lineRule="auto"/>
        <w:tabs>
          <w:tab w:leader="none" w:pos="138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All terms used in this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that are defined in the UCC but are not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shall have the respective meanings assigned to such terms in the UCC.</w:t>
      </w:r>
    </w:p>
    <w:p>
      <w:pPr>
        <w:spacing w:after="0" w:line="283"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i w:val="1"/>
          <w:iCs w:val="1"/>
          <w:color w:val="auto"/>
        </w:rPr>
        <w:t>Section 7.02. Release of Security Interest</w:t>
      </w:r>
      <w:r>
        <w:rPr>
          <w:rFonts w:ascii="Arial" w:cs="Arial" w:eastAsia="Arial" w:hAnsi="Arial"/>
          <w:sz w:val="19"/>
          <w:szCs w:val="19"/>
          <w:color w:val="auto"/>
        </w:rPr>
        <w:t>. If and only if all Obligations have been paid in full and all Commitments</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terminated, the Collateral Agent (for itself and on behalf of the other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(for itself and on behalf of the other Secured Parties) shall, at the expense of the Borrower, execute,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266" w:right="33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deliver and file or authorize for filing such instrument as the Borrower shall reasonably request to reflect or evidence such termination. Any and all actions under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in respect of the Collateral shall be without any recourse to, or representation or warranty by any Secured Party and shall be at the sole cost and expense of the Borrower.</w:t>
      </w:r>
    </w:p>
    <w:p>
      <w:pPr>
        <w:spacing w:after="0" w:line="277"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9"/>
          <w:szCs w:val="19"/>
          <w:i w:val="1"/>
          <w:iCs w:val="1"/>
          <w:color w:val="auto"/>
        </w:rPr>
        <w:t>Section 7.03. Rights and Remedies</w:t>
      </w:r>
      <w:r>
        <w:rPr>
          <w:rFonts w:ascii="Arial" w:cs="Arial" w:eastAsia="Arial" w:hAnsi="Arial"/>
          <w:sz w:val="19"/>
          <w:szCs w:val="19"/>
          <w:color w:val="auto"/>
        </w:rPr>
        <w:t>. The Collateral Agent (for itself and on behalf of the other Secured Parties) shall</w:t>
      </w:r>
      <w:r>
        <w:rPr>
          <w:rFonts w:ascii="Arial" w:cs="Arial" w:eastAsia="Arial" w:hAnsi="Arial"/>
          <w:sz w:val="19"/>
          <w:szCs w:val="19"/>
          <w:i w:val="1"/>
          <w:iCs w:val="1"/>
          <w:color w:val="auto"/>
        </w:rPr>
        <w:t xml:space="preserve"> </w:t>
      </w:r>
      <w:r>
        <w:rPr>
          <w:rFonts w:ascii="Arial" w:cs="Arial" w:eastAsia="Arial" w:hAnsi="Arial"/>
          <w:sz w:val="19"/>
          <w:szCs w:val="19"/>
          <w:color w:val="auto"/>
        </w:rPr>
        <w:t>have all of the rights and 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276" w:lineRule="exact"/>
        <w:rPr>
          <w:sz w:val="20"/>
          <w:szCs w:val="20"/>
          <w:color w:val="auto"/>
        </w:rPr>
      </w:pPr>
    </w:p>
    <w:p>
      <w:pPr>
        <w:jc w:val="both"/>
        <w:ind w:firstLine="786"/>
        <w:spacing w:after="0" w:line="275" w:lineRule="auto"/>
        <w:rPr>
          <w:sz w:val="20"/>
          <w:szCs w:val="20"/>
          <w:color w:val="auto"/>
        </w:rPr>
      </w:pPr>
      <w:r>
        <w:rPr>
          <w:rFonts w:ascii="Arial" w:cs="Arial" w:eastAsia="Arial" w:hAnsi="Arial"/>
          <w:sz w:val="19"/>
          <w:szCs w:val="19"/>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Arial" w:cs="Arial" w:eastAsia="Arial" w:hAnsi="Arial"/>
          <w:sz w:val="19"/>
          <w:szCs w:val="19"/>
          <w:u w:val="single" w:color="auto"/>
          <w:color w:val="auto"/>
        </w:rPr>
        <w:t>clauses (i) through (xi)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the Borrower hereby irrevocably appoints the Collateral Agent as its attorney-in-fact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265"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i w:val="1"/>
          <w:iCs w:val="1"/>
          <w:color w:val="auto"/>
        </w:rPr>
        <w:t>Section 7.04. Remedies Cumulative</w:t>
      </w:r>
      <w:r>
        <w:rPr>
          <w:rFonts w:ascii="Arial" w:cs="Arial" w:eastAsia="Arial" w:hAnsi="Arial"/>
          <w:sz w:val="21"/>
          <w:szCs w:val="21"/>
          <w:color w:val="auto"/>
        </w:rPr>
        <w:t>. Each right, power, and remedy of the Agents and the other Secured Parties, or any</w:t>
      </w:r>
      <w:r>
        <w:rPr>
          <w:rFonts w:ascii="Arial" w:cs="Arial" w:eastAsia="Arial" w:hAnsi="Arial"/>
          <w:sz w:val="21"/>
          <w:szCs w:val="21"/>
          <w:i w:val="1"/>
          <w:iCs w:val="1"/>
          <w:color w:val="auto"/>
        </w:rPr>
        <w:t xml:space="preserve"> </w:t>
      </w:r>
      <w:r>
        <w:rPr>
          <w:rFonts w:ascii="Arial" w:cs="Arial" w:eastAsia="Arial" w:hAnsi="Arial"/>
          <w:sz w:val="21"/>
          <w:szCs w:val="21"/>
          <w:color w:val="auto"/>
        </w:rPr>
        <w:t>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266" w:right="339" w:bottom="1440" w:gutter="0" w:footer="0" w:header="0"/>
        </w:sectPr>
      </w:pPr>
    </w:p>
    <w:bookmarkStart w:id="144" w:name="page145"/>
    <w:bookmarkEnd w:id="144"/>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294" w:lineRule="exact"/>
        <w:rPr>
          <w:sz w:val="20"/>
          <w:szCs w:val="20"/>
          <w:color w:val="auto"/>
        </w:rPr>
      </w:pPr>
    </w:p>
    <w:p>
      <w:pPr>
        <w:jc w:val="both"/>
        <w:ind w:firstLine="562"/>
        <w:spacing w:after="0" w:line="234" w:lineRule="auto"/>
        <w:rPr>
          <w:sz w:val="20"/>
          <w:szCs w:val="20"/>
          <w:color w:val="auto"/>
        </w:rPr>
      </w:pPr>
      <w:r>
        <w:rPr>
          <w:rFonts w:ascii="Arial" w:cs="Arial" w:eastAsia="Arial" w:hAnsi="Arial"/>
          <w:sz w:val="22"/>
          <w:szCs w:val="22"/>
          <w:i w:val="1"/>
          <w:iCs w:val="1"/>
          <w:color w:val="auto"/>
        </w:rPr>
        <w:t>Section 7.05. Related Documents</w:t>
      </w:r>
      <w:r>
        <w:rPr>
          <w:rFonts w:ascii="Arial" w:cs="Arial" w:eastAsia="Arial" w:hAnsi="Arial"/>
          <w:sz w:val="22"/>
          <w:szCs w:val="22"/>
          <w:color w:val="auto"/>
        </w:rPr>
        <w:t>. (a) Each of the Borrower and the Collateral Manager hereby agrees that,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not expressly prohibited by 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299" w:lineRule="exact"/>
        <w:rPr>
          <w:sz w:val="20"/>
          <w:szCs w:val="20"/>
          <w:color w:val="auto"/>
        </w:rPr>
      </w:pPr>
    </w:p>
    <w:p>
      <w:pPr>
        <w:jc w:val="both"/>
        <w:ind w:firstLine="794"/>
        <w:spacing w:after="0" w:line="234" w:lineRule="auto"/>
        <w:tabs>
          <w:tab w:leader="none" w:pos="1391"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(including the Custodian). In addition, in accordance with </w:t>
      </w:r>
      <w:r>
        <w:rPr>
          <w:rFonts w:ascii="Arial" w:cs="Arial" w:eastAsia="Arial" w:hAnsi="Arial"/>
          <w:sz w:val="22"/>
          <w:szCs w:val="22"/>
          <w:u w:val="single" w:color="auto"/>
          <w:color w:val="auto"/>
        </w:rPr>
        <w:t>Article XIV</w:t>
      </w:r>
      <w:r>
        <w:rPr>
          <w:rFonts w:ascii="Arial" w:cs="Arial" w:eastAsia="Arial" w:hAnsi="Arial"/>
          <w:sz w:val="22"/>
          <w:szCs w:val="22"/>
          <w:color w:val="auto"/>
        </w:rPr>
        <w:t>,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299" w:lineRule="exact"/>
        <w:rPr>
          <w:sz w:val="20"/>
          <w:szCs w:val="20"/>
          <w:color w:val="auto"/>
        </w:rPr>
      </w:pPr>
    </w:p>
    <w:p>
      <w:pPr>
        <w:jc w:val="both"/>
        <w:ind w:firstLine="562"/>
        <w:spacing w:after="0" w:line="282" w:lineRule="auto"/>
        <w:rPr>
          <w:sz w:val="20"/>
          <w:szCs w:val="20"/>
          <w:color w:val="auto"/>
        </w:rPr>
      </w:pPr>
      <w:r>
        <w:rPr>
          <w:rFonts w:ascii="Arial" w:cs="Arial" w:eastAsia="Arial" w:hAnsi="Arial"/>
          <w:sz w:val="19"/>
          <w:szCs w:val="19"/>
          <w:i w:val="1"/>
          <w:iCs w:val="1"/>
          <w:color w:val="auto"/>
        </w:rPr>
        <w:t>Section 7.06. Borrower Remains Liable</w:t>
      </w:r>
      <w:r>
        <w:rPr>
          <w:rFonts w:ascii="Arial" w:cs="Arial" w:eastAsia="Arial" w:hAnsi="Arial"/>
          <w:sz w:val="19"/>
          <w:szCs w:val="19"/>
          <w:color w:val="auto"/>
        </w:rPr>
        <w:t>. (a) Notwithstanding anything herein to the contrary, (i) the Borrower shall</w:t>
      </w:r>
      <w:r>
        <w:rPr>
          <w:rFonts w:ascii="Arial" w:cs="Arial" w:eastAsia="Arial" w:hAnsi="Arial"/>
          <w:sz w:val="19"/>
          <w:szCs w:val="19"/>
          <w:i w:val="1"/>
          <w:iCs w:val="1"/>
          <w:color w:val="auto"/>
        </w:rPr>
        <w:t xml:space="preserve"> </w:t>
      </w:r>
      <w:r>
        <w:rPr>
          <w:rFonts w:ascii="Arial" w:cs="Arial" w:eastAsia="Arial" w:hAnsi="Arial"/>
          <w:sz w:val="19"/>
          <w:szCs w:val="19"/>
          <w:color w:val="auto"/>
        </w:rPr>
        <w:t>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255" w:lineRule="exact"/>
        <w:rPr>
          <w:sz w:val="20"/>
          <w:szCs w:val="20"/>
          <w:color w:val="auto"/>
        </w:rPr>
      </w:pPr>
    </w:p>
    <w:p>
      <w:pPr>
        <w:jc w:val="both"/>
        <w:ind w:firstLine="794"/>
        <w:spacing w:after="0" w:line="236" w:lineRule="auto"/>
        <w:tabs>
          <w:tab w:leader="none" w:pos="1405" w:val="left"/>
        </w:tabs>
        <w:numPr>
          <w:ilvl w:val="0"/>
          <w:numId w:val="198"/>
        </w:numPr>
        <w:rPr>
          <w:rFonts w:ascii="Arial" w:cs="Arial" w:eastAsia="Arial" w:hAnsi="Arial"/>
          <w:sz w:val="22"/>
          <w:szCs w:val="22"/>
          <w:color w:val="auto"/>
        </w:rPr>
      </w:pPr>
      <w:r>
        <w:rPr>
          <w:rFonts w:ascii="Arial" w:cs="Arial" w:eastAsia="Arial" w:hAnsi="Arial"/>
          <w:sz w:val="22"/>
          <w:szCs w:val="22"/>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266" w:right="339" w:bottom="1440" w:gutter="0" w:footer="0" w:header="0"/>
        </w:sectPr>
      </w:pPr>
    </w:p>
    <w:bookmarkStart w:id="145" w:name="page146"/>
    <w:bookmarkEnd w:id="145"/>
    <w:p>
      <w:pPr>
        <w:jc w:val="both"/>
        <w:ind w:firstLine="562"/>
        <w:spacing w:after="0" w:line="252" w:lineRule="auto"/>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7.07. Protection of Collateral</w:t>
      </w:r>
      <w:r>
        <w:rPr>
          <w:rFonts w:ascii="Arial" w:cs="Arial" w:eastAsia="Arial" w:hAnsi="Arial"/>
          <w:sz w:val="21"/>
          <w:szCs w:val="21"/>
          <w:color w:val="auto"/>
        </w:rPr>
        <w:t>. The Borrower shall from time to time execute and deliver all such supplements</w:t>
      </w:r>
      <w:r>
        <w:rPr>
          <w:rFonts w:ascii="Arial" w:cs="Arial" w:eastAsia="Arial" w:hAnsi="Arial"/>
          <w:sz w:val="21"/>
          <w:szCs w:val="21"/>
          <w:i w:val="1"/>
          <w:iCs w:val="1"/>
          <w:color w:val="auto"/>
        </w:rPr>
        <w:t xml:space="preserve"> </w:t>
      </w:r>
      <w:r>
        <w:rPr>
          <w:rFonts w:ascii="Arial" w:cs="Arial" w:eastAsia="Arial" w:hAnsi="Arial"/>
          <w:sz w:val="21"/>
          <w:szCs w:val="21"/>
          <w:color w:val="auto"/>
        </w:rPr>
        <w:t>and amendments hereto and file or authorize the filing of all such UCC-1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282" w:lineRule="exact"/>
        <w:rPr>
          <w:sz w:val="20"/>
          <w:szCs w:val="20"/>
          <w:color w:val="auto"/>
        </w:rPr>
      </w:pPr>
    </w:p>
    <w:p>
      <w:pPr>
        <w:ind w:left="2060" w:hanging="531"/>
        <w:spacing w:after="0"/>
        <w:tabs>
          <w:tab w:leader="none" w:pos="206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grant security more effectively on all or any portion of the Collateral;</w:t>
      </w:r>
    </w:p>
    <w:p>
      <w:pPr>
        <w:spacing w:after="0" w:line="314" w:lineRule="exact"/>
        <w:rPr>
          <w:sz w:val="20"/>
          <w:szCs w:val="20"/>
          <w:color w:val="auto"/>
        </w:rPr>
      </w:pPr>
    </w:p>
    <w:p>
      <w:pPr>
        <w:ind w:left="800" w:firstLine="692"/>
        <w:spacing w:after="0" w:line="274" w:lineRule="auto"/>
        <w:tabs>
          <w:tab w:leader="none" w:pos="2188" w:val="left"/>
        </w:tabs>
        <w:numPr>
          <w:ilvl w:val="1"/>
          <w:numId w:val="200"/>
        </w:numPr>
        <w:rPr>
          <w:rFonts w:ascii="Arial" w:cs="Arial" w:eastAsia="Arial" w:hAnsi="Arial"/>
          <w:sz w:val="21"/>
          <w:szCs w:val="21"/>
          <w:color w:val="auto"/>
        </w:rPr>
      </w:pPr>
      <w:r>
        <w:rPr>
          <w:rFonts w:ascii="Arial" w:cs="Arial" w:eastAsia="Arial" w:hAnsi="Arial"/>
          <w:sz w:val="21"/>
          <w:szCs w:val="21"/>
          <w:color w:val="auto"/>
        </w:rPr>
        <w:t>maintain, preserve and perfect any grant of security made or to be made by this Agreement including, without limitation, the first priority nature of the lien or carry out more effectively the purposes hereof;</w:t>
      </w:r>
    </w:p>
    <w:p>
      <w:pPr>
        <w:spacing w:after="0" w:line="258" w:lineRule="exact"/>
        <w:rPr>
          <w:rFonts w:ascii="Arial" w:cs="Arial" w:eastAsia="Arial" w:hAnsi="Arial"/>
          <w:sz w:val="21"/>
          <w:szCs w:val="21"/>
          <w:color w:val="auto"/>
        </w:rPr>
      </w:pPr>
    </w:p>
    <w:p>
      <w:pPr>
        <w:ind w:left="800" w:firstLine="621"/>
        <w:spacing w:after="0" w:line="328" w:lineRule="auto"/>
        <w:tabs>
          <w:tab w:leader="none" w:pos="222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perfect, publish notice of or protect the validity of any grant made or to be made by this Agreement (including, without limitation, any and all actions necessary or desirable as a result of changes in law or regulations);</w:t>
      </w:r>
    </w:p>
    <w:p>
      <w:pPr>
        <w:spacing w:after="0" w:line="212" w:lineRule="exact"/>
        <w:rPr>
          <w:rFonts w:ascii="Arial" w:cs="Arial" w:eastAsia="Arial" w:hAnsi="Arial"/>
          <w:sz w:val="19"/>
          <w:szCs w:val="19"/>
          <w:color w:val="auto"/>
        </w:rPr>
      </w:pPr>
    </w:p>
    <w:p>
      <w:pPr>
        <w:ind w:left="2060" w:hanging="639"/>
        <w:spacing w:after="0"/>
        <w:tabs>
          <w:tab w:leader="none" w:pos="20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enforce any of the Collateral or other instruments or property included in the Collateral;</w:t>
      </w:r>
    </w:p>
    <w:p>
      <w:pPr>
        <w:spacing w:after="0" w:line="314" w:lineRule="exact"/>
        <w:rPr>
          <w:rFonts w:ascii="Arial" w:cs="Arial" w:eastAsia="Arial" w:hAnsi="Arial"/>
          <w:sz w:val="22"/>
          <w:szCs w:val="22"/>
          <w:color w:val="auto"/>
        </w:rPr>
      </w:pPr>
    </w:p>
    <w:p>
      <w:pPr>
        <w:ind w:left="800" w:firstLine="686"/>
        <w:spacing w:after="0" w:line="250" w:lineRule="auto"/>
        <w:tabs>
          <w:tab w:leader="none" w:pos="2131" w:val="left"/>
        </w:tabs>
        <w:numPr>
          <w:ilvl w:val="1"/>
          <w:numId w:val="201"/>
        </w:numPr>
        <w:rPr>
          <w:rFonts w:ascii="Arial" w:cs="Arial" w:eastAsia="Arial" w:hAnsi="Arial"/>
          <w:sz w:val="22"/>
          <w:szCs w:val="22"/>
          <w:color w:val="auto"/>
        </w:rPr>
      </w:pPr>
      <w:r>
        <w:rPr>
          <w:rFonts w:ascii="Arial" w:cs="Arial" w:eastAsia="Arial" w:hAnsi="Arial"/>
          <w:sz w:val="22"/>
          <w:szCs w:val="22"/>
          <w:color w:val="auto"/>
        </w:rPr>
        <w:t>preserve and defend title to the Collateral and the rights therein of the Collateral Agent and the Secured Parties in the Collateral against the claims of all third parties; and</w:t>
      </w:r>
    </w:p>
    <w:p>
      <w:pPr>
        <w:spacing w:after="0" w:line="283" w:lineRule="exact"/>
        <w:rPr>
          <w:sz w:val="20"/>
          <w:szCs w:val="20"/>
          <w:color w:val="auto"/>
        </w:rPr>
      </w:pPr>
    </w:p>
    <w:p>
      <w:pPr>
        <w:ind w:left="2060" w:hanging="639"/>
        <w:spacing w:after="0"/>
        <w:tabs>
          <w:tab w:leader="none" w:pos="206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pay or cause to be paid any and all taxes levied or assessed upon all or any part of the Collateral.</w:t>
      </w:r>
    </w:p>
    <w:p>
      <w:pPr>
        <w:spacing w:after="0" w:line="326" w:lineRule="exact"/>
        <w:rPr>
          <w:sz w:val="20"/>
          <w:szCs w:val="20"/>
          <w:color w:val="auto"/>
        </w:rPr>
      </w:pPr>
    </w:p>
    <w:p>
      <w:pPr>
        <w:jc w:val="both"/>
        <w:ind w:firstLine="786"/>
        <w:spacing w:after="0" w:line="234" w:lineRule="auto"/>
        <w:rPr>
          <w:sz w:val="20"/>
          <w:szCs w:val="20"/>
          <w:color w:val="auto"/>
        </w:rPr>
      </w:pPr>
      <w:r>
        <w:rPr>
          <w:rFonts w:ascii="Arial" w:cs="Arial" w:eastAsia="Arial" w:hAnsi="Arial"/>
          <w:sz w:val="22"/>
          <w:szCs w:val="22"/>
          <w:color w:val="auto"/>
        </w:rPr>
        <w:t xml:space="preserve">The Borrower hereby designates the Collateral Agent as its agent and attorney in fact to prepare and file any UCC-1 financing statement, continuation statement and all other instruments, and take all other actions, required pursuant to this </w:t>
      </w:r>
      <w:r>
        <w:rPr>
          <w:rFonts w:ascii="Arial" w:cs="Arial" w:eastAsia="Arial" w:hAnsi="Arial"/>
          <w:sz w:val="22"/>
          <w:szCs w:val="22"/>
          <w:u w:val="single" w:color="auto"/>
          <w:color w:val="auto"/>
        </w:rPr>
        <w:t>Section 7.07.</w:t>
      </w:r>
      <w:r>
        <w:rPr>
          <w:rFonts w:ascii="Arial" w:cs="Arial" w:eastAsia="Arial" w:hAnsi="Arial"/>
          <w:sz w:val="22"/>
          <w:szCs w:val="22"/>
          <w:color w:val="auto"/>
        </w:rPr>
        <w:t xml:space="preserve"> Such designation shall not impose upon the Collateral Agent, or release or diminish, the Borrower’s obligations under this </w:t>
      </w:r>
      <w:r>
        <w:rPr>
          <w:rFonts w:ascii="Arial" w:cs="Arial" w:eastAsia="Arial" w:hAnsi="Arial"/>
          <w:sz w:val="22"/>
          <w:szCs w:val="22"/>
          <w:u w:val="single" w:color="auto"/>
          <w:color w:val="auto"/>
        </w:rPr>
        <w:t>Section 7.07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5.01(c)</w:t>
      </w:r>
      <w:r>
        <w:rPr>
          <w:rFonts w:ascii="Arial" w:cs="Arial" w:eastAsia="Arial" w:hAnsi="Arial"/>
          <w:sz w:val="22"/>
          <w:szCs w:val="22"/>
          <w:color w:val="auto"/>
        </w:rPr>
        <w:t>. The Borrower further authorizes and shall cause the Borrower’s counsel to file, without the Borrower’s signature, UCC- 1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VIII</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CCOUNTS</w:t>
      </w:r>
      <w:r>
        <w:rPr>
          <w:rFonts w:ascii="Arial" w:cs="Arial" w:eastAsia="Arial" w:hAnsi="Arial"/>
          <w:sz w:val="22"/>
          <w:szCs w:val="22"/>
          <w:b w:val="1"/>
          <w:bCs w:val="1"/>
          <w:color w:val="auto"/>
        </w:rPr>
        <w:t>, A</w:t>
      </w:r>
      <w:r>
        <w:rPr>
          <w:rFonts w:ascii="Arial" w:cs="Arial" w:eastAsia="Arial" w:hAnsi="Arial"/>
          <w:sz w:val="17"/>
          <w:szCs w:val="17"/>
          <w:b w:val="1"/>
          <w:bCs w:val="1"/>
          <w:color w:val="auto"/>
        </w:rPr>
        <w:t>CCOUNTINGS AND</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ELEASES</w:t>
      </w:r>
    </w:p>
    <w:p>
      <w:pPr>
        <w:spacing w:after="0" w:line="320"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i w:val="1"/>
          <w:iCs w:val="1"/>
          <w:color w:val="auto"/>
        </w:rPr>
        <w:t>Section 8.01. Collection of Money</w:t>
      </w:r>
      <w:r>
        <w:rPr>
          <w:rFonts w:ascii="Arial" w:cs="Arial" w:eastAsia="Arial" w:hAnsi="Arial"/>
          <w:sz w:val="21"/>
          <w:szCs w:val="21"/>
          <w:color w:val="auto"/>
        </w:rPr>
        <w:t>. Except as otherwise expressly provided herein, the Collateral Agent may demand</w:t>
      </w:r>
      <w:r>
        <w:rPr>
          <w:rFonts w:ascii="Arial" w:cs="Arial" w:eastAsia="Arial" w:hAnsi="Arial"/>
          <w:sz w:val="21"/>
          <w:szCs w:val="21"/>
          <w:i w:val="1"/>
          <w:iCs w:val="1"/>
          <w:color w:val="auto"/>
        </w:rPr>
        <w:t xml:space="preserve"> </w:t>
      </w:r>
      <w:r>
        <w:rPr>
          <w:rFonts w:ascii="Arial" w:cs="Arial" w:eastAsia="Arial" w:hAnsi="Arial"/>
          <w:sz w:val="21"/>
          <w:szCs w:val="21"/>
          <w:color w:val="auto"/>
        </w:rPr>
        <w:t>payment or delivery of, and 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266" w:right="339" w:bottom="1440" w:gutter="0" w:footer="0" w:header="0"/>
        </w:sectPr>
      </w:pPr>
    </w:p>
    <w:bookmarkStart w:id="146" w:name="page147"/>
    <w:bookmarkEnd w:id="146"/>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295"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9"/>
          <w:szCs w:val="19"/>
          <w:i w:val="1"/>
          <w:iCs w:val="1"/>
          <w:color w:val="auto"/>
        </w:rPr>
        <w:t>Section 8.02. Collection Account</w:t>
      </w:r>
      <w:r>
        <w:rPr>
          <w:rFonts w:ascii="Arial" w:cs="Arial" w:eastAsia="Arial" w:hAnsi="Arial"/>
          <w:sz w:val="19"/>
          <w:szCs w:val="19"/>
          <w:color w:val="auto"/>
        </w:rPr>
        <w:t>. (a) In accordance with this Agreement and the Account Control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Collateral Agent shall, on or prior 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 Account Control Agreement and which shall be subject to the lien of the Collateral Agent. In addition, the Collateral Agent shall establish two segregated accounts which for perfection purposes will be treated as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w:t>
      </w:r>
      <w:r>
        <w:rPr>
          <w:rFonts w:ascii="Arial" w:cs="Arial" w:eastAsia="Arial" w:hAnsi="Arial"/>
          <w:sz w:val="19"/>
          <w:szCs w:val="19"/>
          <w:u w:val="single" w:color="auto"/>
          <w:color w:val="auto"/>
        </w:rPr>
        <w:t>Section 8.05(a)</w:t>
      </w:r>
      <w:r>
        <w:rPr>
          <w:rFonts w:ascii="Arial" w:cs="Arial" w:eastAsia="Arial" w:hAnsi="Arial"/>
          <w:sz w:val="19"/>
          <w:szCs w:val="19"/>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Arial" w:cs="Arial" w:eastAsia="Arial" w:hAnsi="Arial"/>
          <w:sz w:val="19"/>
          <w:szCs w:val="19"/>
          <w:u w:val="single" w:color="auto"/>
          <w:color w:val="auto"/>
        </w:rPr>
        <w:t>Section 8.05(a)</w:t>
      </w:r>
      <w:r>
        <w:rPr>
          <w:rFonts w:ascii="Arial" w:cs="Arial" w:eastAsia="Arial" w:hAnsi="Arial"/>
          <w:sz w:val="19"/>
          <w:szCs w:val="19"/>
          <w:color w:val="auto"/>
        </w:rPr>
        <w:t xml:space="preserve">, all Principal Proceeds (unless simultaneously reinvested in additional Collateral Loans in accordance with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in Eligible Investments or required to be deposited in the Revolving Reserve Account pursuant to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received by the Collateral Agent. In addition, for each Agreed Foreign Currency, the Collateral Agent shall establish segregated accounts that each constitute a Principal Collection Subaccount and Interest Collection Subaccount for each Agreed Foreign Currency. Any amounts received by the Collateral Agent that are denominated in an Agreed Foreign Currency that are required to be deposited into the Principal Collection Subaccount or the Interest Collection Subaccount shall be deposited by the Collateral Agent into the applicable Principal Collection Subaccount or Interest Collection Subaccount, as applicable, for such Agreed Foreign Currency. All Monies deposited from time to time in the Collection Account pursuant to this Agreement shall be held by the Collateral Agent as part of the Collateral and shall be applied to the purposes herein provided. Subject to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amounts in the Collection Account shall be reinvested pursuant to </w:t>
      </w:r>
      <w:r>
        <w:rPr>
          <w:rFonts w:ascii="Arial" w:cs="Arial" w:eastAsia="Arial" w:hAnsi="Arial"/>
          <w:sz w:val="19"/>
          <w:szCs w:val="19"/>
          <w:u w:val="single" w:color="auto"/>
          <w:color w:val="auto"/>
        </w:rPr>
        <w:t>Section 8.05(a)</w:t>
      </w:r>
      <w:r>
        <w:rPr>
          <w:rFonts w:ascii="Arial" w:cs="Arial" w:eastAsia="Arial" w:hAnsi="Arial"/>
          <w:sz w:val="19"/>
          <w:szCs w:val="19"/>
          <w:color w:val="auto"/>
        </w:rPr>
        <w:t>.</w:t>
      </w:r>
    </w:p>
    <w:p>
      <w:pPr>
        <w:spacing w:after="0" w:line="200" w:lineRule="exact"/>
        <w:rPr>
          <w:sz w:val="20"/>
          <w:szCs w:val="20"/>
          <w:color w:val="auto"/>
        </w:rPr>
      </w:pPr>
    </w:p>
    <w:p>
      <w:pPr>
        <w:spacing w:after="0" w:line="311" w:lineRule="exact"/>
        <w:rPr>
          <w:sz w:val="20"/>
          <w:szCs w:val="20"/>
          <w:color w:val="auto"/>
        </w:rPr>
      </w:pPr>
    </w:p>
    <w:p>
      <w:pPr>
        <w:jc w:val="both"/>
        <w:ind w:firstLine="794"/>
        <w:spacing w:after="0" w:line="246" w:lineRule="auto"/>
        <w:tabs>
          <w:tab w:leader="none" w:pos="1465" w:val="left"/>
        </w:tabs>
        <w:numPr>
          <w:ilvl w:val="0"/>
          <w:numId w:val="203"/>
        </w:numPr>
        <w:rPr>
          <w:rFonts w:ascii="Arial" w:cs="Arial" w:eastAsia="Arial" w:hAnsi="Arial"/>
          <w:sz w:val="21"/>
          <w:szCs w:val="21"/>
          <w:color w:val="auto"/>
        </w:rPr>
      </w:pPr>
      <w:r>
        <w:rPr>
          <w:rFonts w:ascii="Arial" w:cs="Arial" w:eastAsia="Arial" w:hAnsi="Arial"/>
          <w:sz w:val="21"/>
          <w:szCs w:val="21"/>
          <w:color w:val="auto"/>
        </w:rPr>
        <w:t xml:space="preserve">At any time when reinvestment is permitted pursuant to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the Collateral Manager on behalf of the Borrower may by delivery of a certificate of a Responsible Officer direct the Collateral Agent to, and upon receipt of such certificate the Collateral Agent shall, withdraw funds on deposit in the Principal Collection Subaccounts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and such certificate. At any time as of which no funds are on deposit in the Revolving Reserve Account, the Collateral Manager on behalf of the Borrower may by delivery of a certificate of a Responsible Officer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266" w:right="339" w:bottom="1440" w:gutter="0" w:footer="0" w:header="0"/>
        </w:sectPr>
      </w:pPr>
    </w:p>
    <w:bookmarkStart w:id="147" w:name="page148"/>
    <w:bookmarkEnd w:id="147"/>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 the Collateral Agent to, and upon receipt of such certificate the Collateral Agent shall, withdraw funds on deposit in the applicable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293" w:lineRule="exact"/>
        <w:rPr>
          <w:sz w:val="20"/>
          <w:szCs w:val="20"/>
          <w:color w:val="auto"/>
        </w:rPr>
      </w:pPr>
    </w:p>
    <w:p>
      <w:pPr>
        <w:jc w:val="both"/>
        <w:ind w:firstLine="794"/>
        <w:spacing w:after="0"/>
        <w:tabs>
          <w:tab w:leader="none" w:pos="154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The Collateral Agent shall transfer to the applicable Payment Account, from the Collection Account for application pursuant to </w:t>
      </w:r>
      <w:r>
        <w:rPr>
          <w:rFonts w:ascii="Arial" w:cs="Arial" w:eastAsia="Arial" w:hAnsi="Arial"/>
          <w:sz w:val="22"/>
          <w:szCs w:val="22"/>
          <w:u w:val="single" w:color="auto"/>
          <w:color w:val="auto"/>
        </w:rPr>
        <w:t>Section 9.01(a)</w:t>
      </w:r>
      <w:r>
        <w:rPr>
          <w:rFonts w:ascii="Arial" w:cs="Arial" w:eastAsia="Arial" w:hAnsi="Arial"/>
          <w:sz w:val="22"/>
          <w:szCs w:val="22"/>
          <w:color w:val="auto"/>
        </w:rPr>
        <w:t>, on each Payment Date, the amount set forth to be so transferred in the Payment Date Report for such Payment Date.</w:t>
      </w:r>
    </w:p>
    <w:p>
      <w:pPr>
        <w:spacing w:after="0" w:line="294"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9"/>
          <w:szCs w:val="19"/>
          <w:i w:val="1"/>
          <w:iCs w:val="1"/>
          <w:color w:val="auto"/>
        </w:rPr>
        <w:t>Section 8.03. Transaction Accounts</w:t>
      </w:r>
      <w:r>
        <w:rPr>
          <w:rFonts w:ascii="Arial" w:cs="Arial" w:eastAsia="Arial" w:hAnsi="Arial"/>
          <w:sz w:val="19"/>
          <w:szCs w:val="19"/>
          <w:color w:val="auto"/>
        </w:rPr>
        <w:t>. (a)</w:t>
      </w:r>
      <w:r>
        <w:rPr>
          <w:rFonts w:ascii="Arial" w:cs="Arial" w:eastAsia="Arial" w:hAnsi="Arial"/>
          <w:sz w:val="19"/>
          <w:szCs w:val="19"/>
          <w:i w:val="1"/>
          <w:iCs w:val="1"/>
          <w:color w:val="auto"/>
        </w:rPr>
        <w:t xml:space="preserve"> Payment Account</w:t>
      </w:r>
      <w:r>
        <w:rPr>
          <w:rFonts w:ascii="Arial" w:cs="Arial" w:eastAsia="Arial" w:hAnsi="Arial"/>
          <w:sz w:val="19"/>
          <w:szCs w:val="19"/>
          <w:color w:val="auto"/>
        </w:rPr>
        <w:t>. In accordance with this Agreement and the Account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Control Agreement, the Borrower shall, 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In addition, for each Agreed Foreign Currency, the Collateral Agent shall establish segregated accounts that each constitute a Payment Account for such Agreed Foreign Currency. Any amounts received by the Collateral Agent that are denominated in an Agreed Foreign Currency that are required to be deposited into the Payment Account shall be deposited by the Collateral Agent into the applicable Payment Account for such Agreed Foreign Currency. Except as provided in </w:t>
      </w:r>
      <w:r>
        <w:rPr>
          <w:rFonts w:ascii="Arial" w:cs="Arial" w:eastAsia="Arial" w:hAnsi="Arial"/>
          <w:sz w:val="19"/>
          <w:szCs w:val="19"/>
          <w:u w:val="single" w:color="auto"/>
          <w:color w:val="auto"/>
        </w:rPr>
        <w:t>Section 9.01</w:t>
      </w:r>
      <w:r>
        <w:rPr>
          <w:rFonts w:ascii="Arial" w:cs="Arial" w:eastAsia="Arial" w:hAnsi="Arial"/>
          <w:sz w:val="19"/>
          <w:szCs w:val="19"/>
          <w:color w:val="auto"/>
        </w:rPr>
        <w:t>, the only permitted withdrawal from or application of funds on deposit in, or otherwise to the credit of, the Payment Accounts shall be to pay amounts due and payable under the Priority of Payments on the Payment Dates in accordance with their terms and the provisions of this Agreement. The Borrower shall not have any legal, equitable or beneficial interest in the Payment Accounts other than in accordance with this Agreement and the Priority of Payments.</w:t>
      </w:r>
    </w:p>
    <w:p>
      <w:pPr>
        <w:spacing w:after="0" w:line="200" w:lineRule="exact"/>
        <w:rPr>
          <w:sz w:val="20"/>
          <w:szCs w:val="20"/>
          <w:color w:val="auto"/>
        </w:rPr>
      </w:pPr>
    </w:p>
    <w:p>
      <w:pPr>
        <w:spacing w:after="0" w:line="312" w:lineRule="exact"/>
        <w:rPr>
          <w:sz w:val="20"/>
          <w:szCs w:val="20"/>
          <w:color w:val="auto"/>
        </w:rPr>
      </w:pPr>
    </w:p>
    <w:p>
      <w:pPr>
        <w:jc w:val="both"/>
        <w:ind w:firstLine="794"/>
        <w:spacing w:after="0" w:line="273" w:lineRule="auto"/>
        <w:tabs>
          <w:tab w:leader="none" w:pos="1335" w:val="left"/>
        </w:tabs>
        <w:numPr>
          <w:ilvl w:val="0"/>
          <w:numId w:val="205"/>
        </w:numPr>
        <w:rPr>
          <w:rFonts w:ascii="Arial" w:cs="Arial" w:eastAsia="Arial" w:hAnsi="Arial"/>
          <w:sz w:val="19"/>
          <w:szCs w:val="19"/>
          <w:color w:val="auto"/>
        </w:rPr>
      </w:pPr>
      <w:r>
        <w:rPr>
          <w:rFonts w:ascii="Arial" w:cs="Arial" w:eastAsia="Arial" w:hAnsi="Arial"/>
          <w:sz w:val="19"/>
          <w:szCs w:val="19"/>
          <w:i w:val="1"/>
          <w:iCs w:val="1"/>
          <w:color w:val="auto"/>
        </w:rPr>
        <w:t>Custodial Account</w:t>
      </w:r>
      <w:r>
        <w:rPr>
          <w:rFonts w:ascii="Arial" w:cs="Arial" w:eastAsia="Arial" w:hAnsi="Arial"/>
          <w:sz w:val="19"/>
          <w:szCs w:val="19"/>
          <w:color w:val="auto"/>
        </w:rPr>
        <w:t>. In accordance with this Agreement and the Account Control Agreement, the Borrower shall,</w:t>
      </w:r>
      <w:r>
        <w:rPr>
          <w:rFonts w:ascii="Arial" w:cs="Arial" w:eastAsia="Arial" w:hAnsi="Arial"/>
          <w:sz w:val="19"/>
          <w:szCs w:val="19"/>
          <w:i w:val="1"/>
          <w:iCs w:val="1"/>
          <w:color w:val="auto"/>
        </w:rPr>
        <w:t xml:space="preserve"> </w:t>
      </w:r>
      <w:r>
        <w:rPr>
          <w:rFonts w:ascii="Arial" w:cs="Arial" w:eastAsia="Arial" w:hAnsi="Arial"/>
          <w:sz w:val="19"/>
          <w:szCs w:val="19"/>
          <w:color w:val="auto"/>
        </w:rPr>
        <w:t>on or prior to the Closing 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 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269" w:lineRule="exact"/>
        <w:rPr>
          <w:sz w:val="20"/>
          <w:szCs w:val="20"/>
          <w:color w:val="auto"/>
        </w:rPr>
      </w:pPr>
    </w:p>
    <w:p>
      <w:pPr>
        <w:jc w:val="both"/>
        <w:ind w:firstLine="562"/>
        <w:spacing w:after="0"/>
        <w:rPr>
          <w:sz w:val="20"/>
          <w:szCs w:val="20"/>
          <w:color w:val="auto"/>
        </w:rPr>
      </w:pPr>
      <w:r>
        <w:rPr>
          <w:rFonts w:ascii="Arial" w:cs="Arial" w:eastAsia="Arial" w:hAnsi="Arial"/>
          <w:sz w:val="22"/>
          <w:szCs w:val="22"/>
          <w:i w:val="1"/>
          <w:iCs w:val="1"/>
          <w:color w:val="auto"/>
        </w:rPr>
        <w:t>Section 8.04. The Revolving Reserve Account; Fundings</w:t>
      </w:r>
      <w:r>
        <w:rPr>
          <w:rFonts w:ascii="Arial" w:cs="Arial" w:eastAsia="Arial" w:hAnsi="Arial"/>
          <w:sz w:val="22"/>
          <w:szCs w:val="22"/>
          <w:color w:val="auto"/>
        </w:rPr>
        <w:t>. (a) In accordance with this Agreement and the Account</w:t>
      </w:r>
      <w:r>
        <w:rPr>
          <w:rFonts w:ascii="Arial" w:cs="Arial" w:eastAsia="Arial" w:hAnsi="Arial"/>
          <w:sz w:val="22"/>
          <w:szCs w:val="22"/>
          <w:i w:val="1"/>
          <w:iCs w:val="1"/>
          <w:color w:val="auto"/>
        </w:rPr>
        <w:t xml:space="preserve"> </w:t>
      </w:r>
      <w:r>
        <w:rPr>
          <w:rFonts w:ascii="Arial" w:cs="Arial" w:eastAsia="Arial" w:hAnsi="Arial"/>
          <w:sz w:val="22"/>
          <w:szCs w:val="22"/>
          <w:color w:val="auto"/>
        </w:rPr>
        <w:t>Control Agreement, the Borrower shall, on or prior to the Closing Date, establish at the Custodian a single, segregated trust account in the name “PennantPark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266" w:right="339" w:bottom="1440" w:gutter="0" w:footer="0" w:header="0"/>
        </w:sectPr>
      </w:pPr>
    </w:p>
    <w:bookmarkStart w:id="148" w:name="page149"/>
    <w:bookmarkEnd w:id="148"/>
    <w:p>
      <w:pPr>
        <w:jc w:val="both"/>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Floating Rate Funding I, LLC Revolving Reserve Account, subject to the lien of the Collateral Agent”, which shall be designated as the </w:t>
      </w:r>
      <w:r>
        <w:rPr>
          <w:rFonts w:ascii="Arial" w:cs="Arial" w:eastAsia="Arial" w:hAnsi="Arial"/>
          <w:sz w:val="22"/>
          <w:szCs w:val="22"/>
          <w:i w:val="1"/>
          <w:iCs w:val="1"/>
          <w:color w:val="auto"/>
        </w:rPr>
        <w:t>“Revolving Reserve Account”,</w:t>
      </w:r>
      <w:r>
        <w:rPr>
          <w:rFonts w:ascii="Arial" w:cs="Arial" w:eastAsia="Arial" w:hAnsi="Arial"/>
          <w:sz w:val="22"/>
          <w:szCs w:val="22"/>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296" w:lineRule="exact"/>
        <w:rPr>
          <w:sz w:val="20"/>
          <w:szCs w:val="20"/>
          <w:color w:val="auto"/>
        </w:rPr>
      </w:pPr>
    </w:p>
    <w:p>
      <w:pPr>
        <w:jc w:val="both"/>
        <w:ind w:firstLine="786"/>
        <w:spacing w:after="0" w:line="246" w:lineRule="auto"/>
        <w:rPr>
          <w:sz w:val="20"/>
          <w:szCs w:val="20"/>
          <w:color w:val="auto"/>
        </w:rPr>
      </w:pPr>
      <w:r>
        <w:rPr>
          <w:rFonts w:ascii="Arial" w:cs="Arial" w:eastAsia="Arial" w:hAnsi="Arial"/>
          <w:sz w:val="21"/>
          <w:szCs w:val="21"/>
          <w:color w:val="auto"/>
        </w:rPr>
        <w:t xml:space="preserve">On the Commitment Termination Date and at all times thereafter, the Borrower shall maintain an amount (the </w:t>
      </w:r>
      <w:r>
        <w:rPr>
          <w:rFonts w:ascii="Arial" w:cs="Arial" w:eastAsia="Arial" w:hAnsi="Arial"/>
          <w:sz w:val="21"/>
          <w:szCs w:val="21"/>
          <w:i w:val="1"/>
          <w:iCs w:val="1"/>
          <w:color w:val="auto"/>
        </w:rPr>
        <w:t>“Revolving Reserve Required Amount”</w:t>
      </w:r>
      <w:r>
        <w:rPr>
          <w:rFonts w:ascii="Arial" w:cs="Arial" w:eastAsia="Arial" w:hAnsi="Arial"/>
          <w:sz w:val="21"/>
          <w:szCs w:val="21"/>
          <w:color w:val="auto"/>
        </w:rPr>
        <w:t>) in the Revolving Reserve Account at least equal to the sum of (x) the Dollar Equivalent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the aggregate unfunded commitments in respect of all Revolving Collateral Loans and Delayed Drawdown Collateral Loans, </w:t>
      </w:r>
      <w:r>
        <w:rPr>
          <w:rFonts w:ascii="Arial" w:cs="Arial" w:eastAsia="Arial" w:hAnsi="Arial"/>
          <w:sz w:val="21"/>
          <w:szCs w:val="21"/>
          <w:i w:val="1"/>
          <w:iCs w:val="1"/>
          <w:color w:val="auto"/>
        </w:rPr>
        <w:t xml:space="preserve">plus </w:t>
      </w:r>
      <w:r>
        <w:rPr>
          <w:rFonts w:ascii="Arial" w:cs="Arial" w:eastAsia="Arial" w:hAnsi="Arial"/>
          <w:sz w:val="21"/>
          <w:szCs w:val="21"/>
          <w:color w:val="auto"/>
        </w:rPr>
        <w:t>(y) the Dollar Equivalent of the aggregate amount of funds needed to settle purchases of Collateral Loans which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288" w:lineRule="exact"/>
        <w:rPr>
          <w:sz w:val="20"/>
          <w:szCs w:val="20"/>
          <w:color w:val="auto"/>
        </w:rPr>
      </w:pPr>
    </w:p>
    <w:p>
      <w:pPr>
        <w:jc w:val="both"/>
        <w:ind w:firstLine="786"/>
        <w:spacing w:after="0" w:line="274" w:lineRule="auto"/>
        <w:rPr>
          <w:sz w:val="20"/>
          <w:szCs w:val="20"/>
          <w:color w:val="auto"/>
        </w:rPr>
      </w:pPr>
      <w:r>
        <w:rPr>
          <w:rFonts w:ascii="Arial" w:cs="Arial" w:eastAsia="Arial" w:hAnsi="Arial"/>
          <w:sz w:val="19"/>
          <w:szCs w:val="19"/>
          <w:color w:val="auto"/>
        </w:rPr>
        <w:t xml:space="preserve">Amounts on deposit in the Revolving Reserve Account will be invested in overnight funds that are Eligible Investments selected by the Collateral Manager pursuant to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the aggregate amount of funds on deposit therein at any time exceeds the Revolving Reserve Required Amount, the Borrower shall direct the Collateral Agent to and the Collateral Agent shall remit such excess to the applicable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266" w:lineRule="exact"/>
        <w:rPr>
          <w:sz w:val="20"/>
          <w:szCs w:val="20"/>
          <w:color w:val="auto"/>
        </w:rPr>
      </w:pPr>
    </w:p>
    <w:p>
      <w:pPr>
        <w:jc w:val="both"/>
        <w:ind w:firstLine="562"/>
        <w:spacing w:after="0" w:line="274" w:lineRule="auto"/>
        <w:rPr>
          <w:sz w:val="20"/>
          <w:szCs w:val="20"/>
          <w:color w:val="auto"/>
        </w:rPr>
      </w:pPr>
      <w:r>
        <w:rPr>
          <w:rFonts w:ascii="Arial" w:cs="Arial" w:eastAsia="Arial" w:hAnsi="Arial"/>
          <w:sz w:val="19"/>
          <w:szCs w:val="19"/>
          <w:i w:val="1"/>
          <w:iCs w:val="1"/>
          <w:color w:val="auto"/>
        </w:rPr>
        <w:t>Section 8.05. Reinvestment of Funds in Covered Accounts; Reports by Collateral Agent</w:t>
      </w:r>
      <w:r>
        <w:rPr>
          <w:rFonts w:ascii="Arial" w:cs="Arial" w:eastAsia="Arial" w:hAnsi="Arial"/>
          <w:sz w:val="19"/>
          <w:szCs w:val="19"/>
          <w:color w:val="auto"/>
        </w:rPr>
        <w:t>. (a) By delivery of a certificate</w:t>
      </w:r>
      <w:r>
        <w:rPr>
          <w:rFonts w:ascii="Arial" w:cs="Arial" w:eastAsia="Arial" w:hAnsi="Arial"/>
          <w:sz w:val="19"/>
          <w:szCs w:val="19"/>
          <w:i w:val="1"/>
          <w:iCs w:val="1"/>
          <w:color w:val="auto"/>
        </w:rPr>
        <w:t xml:space="preserve"> </w:t>
      </w:r>
      <w:r>
        <w:rPr>
          <w:rFonts w:ascii="Arial" w:cs="Arial" w:eastAsia="Arial" w:hAnsi="Arial"/>
          <w:sz w:val="19"/>
          <w:szCs w:val="19"/>
          <w:color w:val="auto"/>
        </w:rPr>
        <w:t>of a Responsible Officer (which 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Subaccounts and the Interest Collection Subaccounts)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 Eligible Investments that mature overnight. If the Collateral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266" w:right="339" w:bottom="1440" w:gutter="0" w:footer="0" w:header="0"/>
        </w:sectPr>
      </w:pPr>
    </w:p>
    <w:bookmarkStart w:id="149" w:name="page150"/>
    <w:bookmarkEnd w:id="149"/>
    <w:p>
      <w:pPr>
        <w:jc w:val="both"/>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w:t>
      </w:r>
    </w:p>
    <w:p>
      <w:pPr>
        <w:spacing w:after="0" w:line="1" w:lineRule="exact"/>
        <w:rPr>
          <w:sz w:val="20"/>
          <w:szCs w:val="20"/>
          <w:color w:val="auto"/>
        </w:rPr>
      </w:pPr>
    </w:p>
    <w:p>
      <w:pPr>
        <w:jc w:val="both"/>
        <w:ind w:firstLine="8"/>
        <w:spacing w:after="0" w:line="245" w:lineRule="auto"/>
        <w:tabs>
          <w:tab w:leader="none" w:pos="44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288" w:lineRule="exact"/>
        <w:rPr>
          <w:rFonts w:ascii="Arial" w:cs="Arial" w:eastAsia="Arial" w:hAnsi="Arial"/>
          <w:sz w:val="21"/>
          <w:szCs w:val="21"/>
          <w:color w:val="auto"/>
        </w:rPr>
      </w:pPr>
    </w:p>
    <w:p>
      <w:pPr>
        <w:jc w:val="both"/>
        <w:ind w:firstLine="794"/>
        <w:spacing w:after="0"/>
        <w:tabs>
          <w:tab w:leader="none" w:pos="1342" w:val="left"/>
        </w:tabs>
        <w:numPr>
          <w:ilvl w:val="1"/>
          <w:numId w:val="206"/>
        </w:numPr>
        <w:rPr>
          <w:rFonts w:ascii="Arial" w:cs="Arial" w:eastAsia="Arial" w:hAnsi="Arial"/>
          <w:sz w:val="22"/>
          <w:szCs w:val="22"/>
          <w:color w:val="auto"/>
        </w:rPr>
      </w:pPr>
      <w:r>
        <w:rPr>
          <w:rFonts w:ascii="Arial" w:cs="Arial" w:eastAsia="Arial" w:hAnsi="Arial"/>
          <w:sz w:val="22"/>
          <w:szCs w:val="22"/>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294" w:lineRule="exact"/>
        <w:rPr>
          <w:rFonts w:ascii="Arial" w:cs="Arial" w:eastAsia="Arial" w:hAnsi="Arial"/>
          <w:sz w:val="22"/>
          <w:szCs w:val="22"/>
          <w:color w:val="auto"/>
        </w:rPr>
      </w:pPr>
    </w:p>
    <w:p>
      <w:pPr>
        <w:jc w:val="both"/>
        <w:ind w:firstLine="794"/>
        <w:spacing w:after="0" w:line="273" w:lineRule="auto"/>
        <w:tabs>
          <w:tab w:leader="none" w:pos="1306" w:val="left"/>
        </w:tabs>
        <w:numPr>
          <w:ilvl w:val="1"/>
          <w:numId w:val="206"/>
        </w:numPr>
        <w:rPr>
          <w:rFonts w:ascii="Arial" w:cs="Arial" w:eastAsia="Arial" w:hAnsi="Arial"/>
          <w:sz w:val="19"/>
          <w:szCs w:val="19"/>
          <w:color w:val="auto"/>
        </w:rPr>
      </w:pPr>
      <w:r>
        <w:rPr>
          <w:rFonts w:ascii="Arial" w:cs="Arial" w:eastAsia="Arial" w:hAnsi="Arial"/>
          <w:sz w:val="19"/>
          <w:szCs w:val="19"/>
          <w:color w:val="auto"/>
        </w:rPr>
        <w:t xml:space="preserve">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200" w:lineRule="exact"/>
        <w:rPr>
          <w:sz w:val="20"/>
          <w:szCs w:val="20"/>
          <w:color w:val="auto"/>
        </w:rPr>
      </w:pPr>
    </w:p>
    <w:p>
      <w:pPr>
        <w:spacing w:after="0" w:line="312" w:lineRule="exact"/>
        <w:rPr>
          <w:sz w:val="20"/>
          <w:szCs w:val="20"/>
          <w:color w:val="auto"/>
        </w:rPr>
      </w:pPr>
    </w:p>
    <w:p>
      <w:pPr>
        <w:ind w:left="560"/>
        <w:spacing w:after="0"/>
        <w:tabs>
          <w:tab w:leader="none" w:pos="1940" w:val="left"/>
        </w:tabs>
        <w:rPr>
          <w:sz w:val="20"/>
          <w:szCs w:val="20"/>
          <w:color w:val="auto"/>
        </w:rPr>
      </w:pPr>
      <w:r>
        <w:rPr>
          <w:rFonts w:ascii="Arial" w:cs="Arial" w:eastAsia="Arial" w:hAnsi="Arial"/>
          <w:sz w:val="22"/>
          <w:szCs w:val="22"/>
          <w:i w:val="1"/>
          <w:iCs w:val="1"/>
          <w:color w:val="auto"/>
        </w:rPr>
        <w:t>Section 8.06.</w:t>
      </w:r>
      <w:r>
        <w:rPr>
          <w:sz w:val="20"/>
          <w:szCs w:val="20"/>
          <w:color w:val="auto"/>
        </w:rPr>
        <w:tab/>
      </w:r>
      <w:r>
        <w:rPr>
          <w:rFonts w:ascii="Arial" w:cs="Arial" w:eastAsia="Arial" w:hAnsi="Arial"/>
          <w:sz w:val="19"/>
          <w:szCs w:val="19"/>
          <w:i w:val="1"/>
          <w:iCs w:val="1"/>
          <w:color w:val="auto"/>
        </w:rPr>
        <w:t>Accountings</w:t>
      </w:r>
      <w:r>
        <w:rPr>
          <w:rFonts w:ascii="Arial" w:cs="Arial" w:eastAsia="Arial" w:hAnsi="Arial"/>
          <w:sz w:val="19"/>
          <w:szCs w:val="19"/>
          <w:color w:val="auto"/>
        </w:rPr>
        <w:t>.</w:t>
      </w:r>
    </w:p>
    <w:p>
      <w:pPr>
        <w:spacing w:after="0" w:line="314" w:lineRule="exact"/>
        <w:rPr>
          <w:sz w:val="20"/>
          <w:szCs w:val="20"/>
          <w:color w:val="auto"/>
        </w:rPr>
      </w:pPr>
    </w:p>
    <w:p>
      <w:pPr>
        <w:jc w:val="both"/>
        <w:ind w:firstLine="794"/>
        <w:spacing w:after="0" w:line="235" w:lineRule="auto"/>
        <w:tabs>
          <w:tab w:leader="none" w:pos="1404" w:val="left"/>
        </w:tabs>
        <w:numPr>
          <w:ilvl w:val="0"/>
          <w:numId w:val="207"/>
        </w:numPr>
        <w:rPr>
          <w:rFonts w:ascii="Arial" w:cs="Arial" w:eastAsia="Arial" w:hAnsi="Arial"/>
          <w:sz w:val="22"/>
          <w:szCs w:val="22"/>
          <w:color w:val="auto"/>
        </w:rPr>
      </w:pPr>
      <w:r>
        <w:rPr>
          <w:rFonts w:ascii="Arial" w:cs="Arial" w:eastAsia="Arial" w:hAnsi="Arial"/>
          <w:sz w:val="22"/>
          <w:szCs w:val="22"/>
          <w:i w:val="1"/>
          <w:iCs w:val="1"/>
          <w:color w:val="auto"/>
        </w:rPr>
        <w:t>Monthly</w:t>
      </w:r>
      <w:r>
        <w:rPr>
          <w:rFonts w:ascii="Arial" w:cs="Arial" w:eastAsia="Arial" w:hAnsi="Arial"/>
          <w:sz w:val="22"/>
          <w:szCs w:val="22"/>
          <w:color w:val="auto"/>
        </w:rPr>
        <w:t>. The Collateral Manager shall compile and provide (or cause to be compiled and provided)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Collateral Administrator and the Administrative Agent a loan data file (the </w:t>
      </w:r>
      <w:r>
        <w:rPr>
          <w:rFonts w:ascii="Arial" w:cs="Arial" w:eastAsia="Arial" w:hAnsi="Arial"/>
          <w:sz w:val="22"/>
          <w:szCs w:val="22"/>
          <w:i w:val="1"/>
          <w:iCs w:val="1"/>
          <w:color w:val="auto"/>
        </w:rPr>
        <w:t>“Data File”</w:t>
      </w:r>
      <w:r>
        <w:rPr>
          <w:rFonts w:ascii="Arial" w:cs="Arial" w:eastAsia="Arial" w:hAnsi="Arial"/>
          <w:sz w:val="22"/>
          <w:szCs w:val="22"/>
          <w:color w:val="auto"/>
        </w:rPr>
        <w:t>) for the previous monthly period ending on the Monthly Report Determination Date (containing such information agreed upon by the Collateral Manager, the Collateral Administrator and the Administrative Agent). The Collateral Manager shall use reasonable commercial efforts to provide the Data File and designate the row of the Matrix and corresponding Matrix Inputs applicable to such Data File to the Collateral Administrator by no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266" w:right="339" w:bottom="1440" w:gutter="0" w:footer="0" w:header="0"/>
        </w:sectPr>
      </w:pPr>
    </w:p>
    <w:bookmarkStart w:id="150" w:name="page151"/>
    <w:bookmarkEnd w:id="150"/>
    <w:p>
      <w:pPr>
        <w:jc w:val="both"/>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later than 12:00 noon at least ten (10) days prior to the Monthly Reporting Date. The Collateral Administrator shall, based on such Data File, such designated Matrix Inputs and the information contained in its collateral database, compile and provide (or cause to be compiled and provided) to the Collateral Manager a monthly report on a settlement basis (each, a </w:t>
      </w:r>
      <w:r>
        <w:rPr>
          <w:rFonts w:ascii="Arial" w:cs="Arial" w:eastAsia="Arial" w:hAnsi="Arial"/>
          <w:sz w:val="19"/>
          <w:szCs w:val="19"/>
          <w:i w:val="1"/>
          <w:iCs w:val="1"/>
          <w:color w:val="auto"/>
        </w:rPr>
        <w:t>“Monthly Report”</w:t>
      </w:r>
      <w:r>
        <w:rPr>
          <w:rFonts w:ascii="Arial" w:cs="Arial" w:eastAsia="Arial" w:hAnsi="Arial"/>
          <w:sz w:val="19"/>
          <w:szCs w:val="19"/>
          <w:color w:val="auto"/>
        </w:rPr>
        <w:t>) (containing such information agreed upon by the Collateral Agent, the Collateral Manager, the Collateral Administrator and the Administrative Agent). The Collateral Administrator shall use commercially reasonable efforts to provide such Monthly Report to the Collateral Manager by no later than 12:00 noon at least five (5) days prior to the Monthly Reporting Date. To the extent that the Maximum Advance Rate Test is not satisfied in any Monthly Report which is compiled and provided by the Collateral Administrator to the Collateral Manager, the Collateral Manager in consultation with the Collateral Administrator shall select a different row of the Matrix and corresponding combination of Matrix Inputs that, when used to calculate the Maximum Advance Rate Test, allow the Maximum Advance Rate Test to be satisfied. The Collateral Administrator shall then promptly provide the Collateral Manager with an updated Monthly Report calculated based on the new combination of Matrix Inputs applicable to the selected row of the Matrix. The Collateral Manager shall use commercially reasonable efforts to review and confirm the calculations made by the Collateral Administrator in any such Monthly Report within five (5) days of the receipt thereof. Upon receipt of such confirmation from the Collateral Manager and in any event by no later than the Monthly Reporting Date, the Collateral Administrator shall compile and provide to the Agents, the Collateral Manager, the Backup Collateral Manager and the Lenders the Monthly Report. As used herein, the “</w:t>
      </w:r>
      <w:r>
        <w:rPr>
          <w:rFonts w:ascii="Arial" w:cs="Arial" w:eastAsia="Arial" w:hAnsi="Arial"/>
          <w:sz w:val="19"/>
          <w:szCs w:val="19"/>
          <w:i w:val="1"/>
          <w:iCs w:val="1"/>
          <w:color w:val="auto"/>
        </w:rPr>
        <w:t>Monthly Report Determination Date</w:t>
      </w:r>
      <w:r>
        <w:rPr>
          <w:rFonts w:ascii="Arial" w:cs="Arial" w:eastAsia="Arial" w:hAnsi="Arial"/>
          <w:sz w:val="19"/>
          <w:szCs w:val="19"/>
          <w:color w:val="auto"/>
        </w:rPr>
        <w:t xml:space="preserve">” with respect to any calendar month will be the last day of the previous calendar month. The Monthly Report delivered for any calendar month shall contain the information with respect to the Collateral Loans and Eligible Investments included in the Collateral set forth in Part 1 of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w:t>
      </w:r>
      <w:r>
        <w:rPr>
          <w:rFonts w:ascii="Arial" w:cs="Arial" w:eastAsia="Arial" w:hAnsi="Arial"/>
          <w:sz w:val="19"/>
          <w:szCs w:val="19"/>
          <w:color w:val="auto"/>
        </w:rPr>
        <w:t xml:space="preserve"> hereto, and shall be determined as of the Monthly Report Determination Date applicable to such Monthly Report. Additionally, each Monthly Report that is delivered on the first Monthly Reporting Date to occur after the delivery of the quarterly valuation statements for the BDC pursuant to </w:t>
      </w:r>
      <w:r>
        <w:rPr>
          <w:rFonts w:ascii="Arial" w:cs="Arial" w:eastAsia="Arial" w:hAnsi="Arial"/>
          <w:sz w:val="19"/>
          <w:szCs w:val="19"/>
          <w:u w:val="single" w:color="auto"/>
          <w:color w:val="auto"/>
        </w:rPr>
        <w:t>Section 5.01(d)(iii)</w:t>
      </w:r>
      <w:r>
        <w:rPr>
          <w:rFonts w:ascii="Arial" w:cs="Arial" w:eastAsia="Arial" w:hAnsi="Arial"/>
          <w:sz w:val="19"/>
          <w:szCs w:val="19"/>
          <w:color w:val="auto"/>
        </w:rPr>
        <w:t xml:space="preserve"> shall include a statement reporting the assets (including cash) under management by the Collateral Manager. The Collateral Manager shall provide such statement to the Collateral Administrator to be included in the Monthly Report at least five (5) days prior to such Monthly Reporting Date.</w:t>
      </w:r>
    </w:p>
    <w:p>
      <w:pPr>
        <w:spacing w:after="0" w:line="200" w:lineRule="exact"/>
        <w:rPr>
          <w:sz w:val="20"/>
          <w:szCs w:val="20"/>
          <w:color w:val="auto"/>
        </w:rPr>
      </w:pPr>
    </w:p>
    <w:p>
      <w:pPr>
        <w:spacing w:after="0" w:line="325" w:lineRule="exact"/>
        <w:rPr>
          <w:sz w:val="20"/>
          <w:szCs w:val="20"/>
          <w:color w:val="auto"/>
        </w:rPr>
      </w:pPr>
    </w:p>
    <w:p>
      <w:pPr>
        <w:jc w:val="both"/>
        <w:ind w:firstLine="786"/>
        <w:spacing w:after="0" w:line="245" w:lineRule="auto"/>
        <w:rPr>
          <w:sz w:val="20"/>
          <w:szCs w:val="20"/>
          <w:color w:val="auto"/>
        </w:rPr>
      </w:pPr>
      <w:r>
        <w:rPr>
          <w:rFonts w:ascii="Arial" w:cs="Arial" w:eastAsia="Arial" w:hAnsi="Arial"/>
          <w:sz w:val="21"/>
          <w:szCs w:val="21"/>
          <w:color w:val="auto"/>
        </w:rPr>
        <w:t xml:space="preserve">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 Provided that the Payment Date Reports are prepared and delivered on a monthly basis pursuant to </w:t>
      </w:r>
      <w:r>
        <w:rPr>
          <w:rFonts w:ascii="Arial" w:cs="Arial" w:eastAsia="Arial" w:hAnsi="Arial"/>
          <w:sz w:val="21"/>
          <w:szCs w:val="21"/>
          <w:u w:val="single" w:color="auto"/>
          <w:color w:val="auto"/>
        </w:rPr>
        <w:t>Section 8.06(b)</w:t>
      </w:r>
      <w:r>
        <w:rPr>
          <w:rFonts w:ascii="Arial" w:cs="Arial" w:eastAsia="Arial" w:hAnsi="Arial"/>
          <w:sz w:val="21"/>
          <w:szCs w:val="21"/>
          <w:color w:val="auto"/>
        </w:rPr>
        <w:t xml:space="preserve"> below, the Collateral Administrator shall not be required to deliver a separate Monthly Report for such month.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266" w:right="339" w:bottom="1440" w:gutter="0" w:footer="0" w:header="0"/>
        </w:sectPr>
      </w:pPr>
    </w:p>
    <w:bookmarkStart w:id="151" w:name="page152"/>
    <w:bookmarkEnd w:id="151"/>
    <w:p>
      <w:pPr>
        <w:jc w:val="both"/>
        <w:ind w:firstLine="794"/>
        <w:spacing w:after="0" w:line="271" w:lineRule="auto"/>
        <w:tabs>
          <w:tab w:leader="none" w:pos="1443" w:val="left"/>
        </w:tabs>
        <w:numPr>
          <w:ilvl w:val="0"/>
          <w:numId w:val="208"/>
        </w:numPr>
        <w:rPr>
          <w:rFonts w:ascii="Arial" w:cs="Arial" w:eastAsia="Arial" w:hAnsi="Arial"/>
          <w:sz w:val="19"/>
          <w:szCs w:val="19"/>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Payment Date Accounting. </w:t>
      </w:r>
      <w:r>
        <w:rPr>
          <w:rFonts w:ascii="Arial" w:cs="Arial" w:eastAsia="Arial" w:hAnsi="Arial"/>
          <w:sz w:val="19"/>
          <w:szCs w:val="19"/>
          <w:color w:val="auto"/>
        </w:rPr>
        <w:t>The Collateral Manager shall compile and provide (or cause to be compiled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provided) to the Collateral Administrator and the Administrative Agent a Data File for the previous Collection Period ending on the Determination Date (containing such information agreed upon by the Collateral Agent, the Collateral Manager, the Collateral Administrator and the Administrative Agent). The Collateral Manager shall use reasonable commercial efforts to provide the Data File by no later than 12:00 noon at least ten (10) days prior to each Payment Date. The Collateral Administrator shall, based on such Data File, the information contained in its database and information provided by the Collateral Manager, the Administrative Agent and the Lenders, compile and provide (or cause to be compiled and provided) to the Collateral Manager an accounting and report for such Collection Period (each, a </w:t>
      </w:r>
      <w:r>
        <w:rPr>
          <w:rFonts w:ascii="Arial" w:cs="Arial" w:eastAsia="Arial" w:hAnsi="Arial"/>
          <w:sz w:val="19"/>
          <w:szCs w:val="19"/>
          <w:i w:val="1"/>
          <w:iCs w:val="1"/>
          <w:color w:val="auto"/>
        </w:rPr>
        <w:t>“Payment Date Report”</w:t>
      </w:r>
      <w:r>
        <w:rPr>
          <w:rFonts w:ascii="Arial" w:cs="Arial" w:eastAsia="Arial" w:hAnsi="Arial"/>
          <w:sz w:val="19"/>
          <w:szCs w:val="19"/>
          <w:color w:val="auto"/>
        </w:rPr>
        <w:t xml:space="preserve">) (containing such information agreed upon by the Collateral Manager, the Collateral Administrator and the Administrative Agent). The Collateral Administrator shall use commercially reasonable efforts to provide such Payment Date Report to the Collateral Manager by no later than 12:00 noon at least five (5) days prior to the Payment Date. The Collateral Manager shall use commercially reasonable efforts to review and confirm the calculations made by the Collateral Administrator in such Payment Date Report within five (5) days of the receipt thereof but in any event no later than the Business Day preceding the Payment Date. Upon receipt of such confirmation from the Collateral Manager and in any event by no later than the Payment Date, the Collateral Administrator shall compile and provide to the Agents, the Collateral Manager, the Backup Collateral Manager and the Lenders the Payment Date Report. The Payment Date Report shall contain the information set forth in Part 2 of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hereto.</w:t>
      </w:r>
    </w:p>
    <w:p>
      <w:pPr>
        <w:spacing w:after="0" w:line="157" w:lineRule="exact"/>
        <w:rPr>
          <w:sz w:val="20"/>
          <w:szCs w:val="20"/>
          <w:color w:val="auto"/>
        </w:rPr>
      </w:pPr>
    </w:p>
    <w:p>
      <w:pPr>
        <w:jc w:val="both"/>
        <w:ind w:firstLine="786"/>
        <w:spacing w:after="0" w:line="279" w:lineRule="auto"/>
        <w:rPr>
          <w:sz w:val="20"/>
          <w:szCs w:val="20"/>
          <w:color w:val="auto"/>
        </w:rPr>
      </w:pPr>
      <w:r>
        <w:rPr>
          <w:rFonts w:ascii="Arial" w:cs="Arial" w:eastAsia="Arial" w:hAnsi="Arial"/>
          <w:sz w:val="19"/>
          <w:szCs w:val="19"/>
          <w:color w:val="auto"/>
        </w:rPr>
        <w:t>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most recently delivered Monthly Report together with a listing of each Collateral Loan with respect to which one of the foregoing amendments, modifications or waivers is being provided.</w:t>
      </w:r>
    </w:p>
    <w:p>
      <w:pPr>
        <w:spacing w:after="0" w:line="150" w:lineRule="exact"/>
        <w:rPr>
          <w:sz w:val="20"/>
          <w:szCs w:val="20"/>
          <w:color w:val="auto"/>
        </w:rPr>
      </w:pPr>
    </w:p>
    <w:p>
      <w:pPr>
        <w:jc w:val="both"/>
        <w:ind w:firstLine="794"/>
        <w:spacing w:after="0" w:line="238" w:lineRule="auto"/>
        <w:tabs>
          <w:tab w:leader="none" w:pos="1323" w:val="left"/>
        </w:tabs>
        <w:numPr>
          <w:ilvl w:val="0"/>
          <w:numId w:val="209"/>
        </w:numPr>
        <w:rPr>
          <w:rFonts w:ascii="Arial" w:cs="Arial" w:eastAsia="Arial" w:hAnsi="Arial"/>
          <w:sz w:val="22"/>
          <w:szCs w:val="22"/>
          <w:color w:val="auto"/>
        </w:rPr>
      </w:pPr>
      <w:r>
        <w:rPr>
          <w:rFonts w:ascii="Arial" w:cs="Arial" w:eastAsia="Arial" w:hAnsi="Arial"/>
          <w:sz w:val="22"/>
          <w:szCs w:val="22"/>
          <w:i w:val="1"/>
          <w:iCs w:val="1"/>
          <w:color w:val="auto"/>
        </w:rPr>
        <w:t>Failure to Provide Accounting</w:t>
      </w:r>
      <w:r>
        <w:rPr>
          <w:rFonts w:ascii="Arial" w:cs="Arial" w:eastAsia="Arial" w:hAnsi="Arial"/>
          <w:sz w:val="22"/>
          <w:szCs w:val="22"/>
          <w:color w:val="auto"/>
        </w:rPr>
        <w:t>. If the Collateral Administrator shall not have received any accounting provided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 in this </w:t>
      </w:r>
      <w:r>
        <w:rPr>
          <w:rFonts w:ascii="Arial" w:cs="Arial" w:eastAsia="Arial" w:hAnsi="Arial"/>
          <w:sz w:val="22"/>
          <w:szCs w:val="22"/>
          <w:u w:val="single" w:color="auto"/>
          <w:color w:val="auto"/>
        </w:rPr>
        <w:t>Section 8.06</w:t>
      </w:r>
      <w:r>
        <w:rPr>
          <w:rFonts w:ascii="Arial" w:cs="Arial" w:eastAsia="Arial" w:hAnsi="Arial"/>
          <w:sz w:val="22"/>
          <w:szCs w:val="22"/>
          <w:color w:val="auto"/>
        </w:rPr>
        <w:t xml:space="preserve"> on the first Business Day after the date on which such accounting is due to the Collateral Administrator, the Collateral Administrator shall notify the Collateral Manager who shall use all reasonable efforts to obtain such accounting by the applicable Payment Date.</w:t>
      </w:r>
    </w:p>
    <w:p>
      <w:pPr>
        <w:spacing w:after="0" w:line="184" w:lineRule="exact"/>
        <w:rPr>
          <w:rFonts w:ascii="Arial" w:cs="Arial" w:eastAsia="Arial" w:hAnsi="Arial"/>
          <w:sz w:val="22"/>
          <w:szCs w:val="22"/>
          <w:color w:val="auto"/>
        </w:rPr>
      </w:pPr>
    </w:p>
    <w:p>
      <w:pPr>
        <w:jc w:val="both"/>
        <w:ind w:firstLine="794"/>
        <w:spacing w:after="0"/>
        <w:tabs>
          <w:tab w:leader="none" w:pos="1484" w:val="left"/>
        </w:tabs>
        <w:numPr>
          <w:ilvl w:val="0"/>
          <w:numId w:val="209"/>
        </w:numPr>
        <w:rPr>
          <w:rFonts w:ascii="Arial" w:cs="Arial" w:eastAsia="Arial" w:hAnsi="Arial"/>
          <w:sz w:val="22"/>
          <w:szCs w:val="22"/>
          <w:color w:val="auto"/>
        </w:rPr>
      </w:pPr>
      <w:r>
        <w:rPr>
          <w:rFonts w:ascii="Arial" w:cs="Arial" w:eastAsia="Arial" w:hAnsi="Arial"/>
          <w:sz w:val="22"/>
          <w:szCs w:val="22"/>
          <w:i w:val="1"/>
          <w:iCs w:val="1"/>
          <w:color w:val="auto"/>
        </w:rPr>
        <w:t xml:space="preserve">Collateral Administrator Protections. </w:t>
      </w:r>
      <w:r>
        <w:rPr>
          <w:rFonts w:ascii="Arial" w:cs="Arial" w:eastAsia="Arial" w:hAnsi="Arial"/>
          <w:sz w:val="22"/>
          <w:szCs w:val="22"/>
          <w:color w:val="auto"/>
        </w:rPr>
        <w:t>In preparing the Payment Date Report, Monthly Report, and other</w:t>
      </w:r>
      <w:r>
        <w:rPr>
          <w:rFonts w:ascii="Arial" w:cs="Arial" w:eastAsia="Arial" w:hAnsi="Arial"/>
          <w:sz w:val="22"/>
          <w:szCs w:val="22"/>
          <w:i w:val="1"/>
          <w:iCs w:val="1"/>
          <w:color w:val="auto"/>
        </w:rPr>
        <w:t xml:space="preserve"> </w:t>
      </w:r>
      <w:r>
        <w:rPr>
          <w:rFonts w:ascii="Arial" w:cs="Arial" w:eastAsia="Arial" w:hAnsi="Arial"/>
          <w:sz w:val="22"/>
          <w:szCs w:val="22"/>
          <w:color w:val="auto"/>
        </w:rPr>
        <w:t>information and statements required hereunder, the Collateral Administrator shall have the rights, protections, and immunities provided to it in the Collateral Administration Agreement.</w:t>
      </w:r>
    </w:p>
    <w:p>
      <w:pPr>
        <w:spacing w:after="0" w:line="186" w:lineRule="exact"/>
        <w:rPr>
          <w:rFonts w:ascii="Arial" w:cs="Arial" w:eastAsia="Arial" w:hAnsi="Arial"/>
          <w:sz w:val="22"/>
          <w:szCs w:val="22"/>
          <w:color w:val="auto"/>
        </w:rPr>
      </w:pPr>
    </w:p>
    <w:p>
      <w:pPr>
        <w:jc w:val="both"/>
        <w:ind w:firstLine="794"/>
        <w:spacing w:after="0"/>
        <w:tabs>
          <w:tab w:leader="none" w:pos="1363" w:val="left"/>
        </w:tabs>
        <w:numPr>
          <w:ilvl w:val="0"/>
          <w:numId w:val="209"/>
        </w:numPr>
        <w:rPr>
          <w:rFonts w:ascii="Arial" w:cs="Arial" w:eastAsia="Arial" w:hAnsi="Arial"/>
          <w:sz w:val="22"/>
          <w:szCs w:val="22"/>
          <w:color w:val="auto"/>
        </w:rPr>
      </w:pPr>
      <w:r>
        <w:rPr>
          <w:rFonts w:ascii="Arial" w:cs="Arial" w:eastAsia="Arial" w:hAnsi="Arial"/>
          <w:sz w:val="22"/>
          <w:szCs w:val="22"/>
          <w:i w:val="1"/>
          <w:iCs w:val="1"/>
          <w:color w:val="auto"/>
        </w:rPr>
        <w:t>Currency Calculations, Changes in Exchange Rates</w:t>
      </w:r>
      <w:r>
        <w:rPr>
          <w:rFonts w:ascii="Arial" w:cs="Arial" w:eastAsia="Arial" w:hAnsi="Arial"/>
          <w:sz w:val="22"/>
          <w:szCs w:val="22"/>
          <w:color w:val="auto"/>
        </w:rPr>
        <w:t>. (A) Each Monthly Report and Payment Date Report shall</w:t>
      </w:r>
      <w:r>
        <w:rPr>
          <w:rFonts w:ascii="Arial" w:cs="Arial" w:eastAsia="Arial" w:hAnsi="Arial"/>
          <w:sz w:val="22"/>
          <w:szCs w:val="22"/>
          <w:i w:val="1"/>
          <w:iCs w:val="1"/>
          <w:color w:val="auto"/>
        </w:rPr>
        <w:t xml:space="preserve"> </w:t>
      </w:r>
      <w:r>
        <w:rPr>
          <w:rFonts w:ascii="Arial" w:cs="Arial" w:eastAsia="Arial" w:hAnsi="Arial"/>
          <w:sz w:val="22"/>
          <w:szCs w:val="22"/>
          <w:color w:val="auto"/>
        </w:rPr>
        <w:t>include a calculation of the Maximum Available Amount, the Dollar Equivalent of the aggregate outstanding principal balance of the Advances, the Net Aggregate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266" w:right="339" w:bottom="1440" w:gutter="0" w:footer="0" w:header="0"/>
        </w:sectPr>
      </w:pPr>
    </w:p>
    <w:bookmarkStart w:id="152" w:name="page153"/>
    <w:bookmarkEnd w:id="152"/>
    <w:p>
      <w:pPr>
        <w:jc w:val="both"/>
        <w:spacing w:after="0" w:line="24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Exposure Amount, each Currency Borrowing Base, the Aggregate Foreign Currency Borrowing Base and each Currency Borrowing Base Test. Additionally, promptly, but no later than two (2) Business Days, after the Collateral Manager acquires knowledge or receives notice from the Administrative Agent or a Lender of the occurrence of a Currency Valuation Trigger Event, the Collateral Manager shall determine the Maximum Available Amount, the Dollar Equivalent of the aggregate outstanding principal balance of the Advances, the Net Aggregate Exposure Amount, each Currency Borrowing Base, the Aggregate Foreign Currency Borrowing Base and each Currency Borrowing Base Test. For the purpose of this determination, the outstanding principal amount of any Advance that is denominated in any Agreed Foreign Currency shall be deemed to be the Dollar Equivalent of the amount in such Agreed Foreign Currency of such Advance, determined by the Collateral Manager as of such Monthly Reporting Date or, (x) in the case of notice of the occurrence of a Currency Valuation Trigger Event received by the Collateral Manager prior to 11:00 a.m., on a Business Day, on such Business Day or, (y) in the case of notice of the occurrence of a Currency Valuation Trigger Event otherwise received, on the first Business Day after such notice of the occurrence of a Currency Valuation Trigger Event is received. Upon making such determination, the Collateral Manager shall promptly, but no later than two (2) Business Days after such determination, notify the Administrative Agent, the Lenders and the Borrower thereof.</w:t>
      </w:r>
    </w:p>
    <w:p>
      <w:pPr>
        <w:spacing w:after="0" w:line="289" w:lineRule="exact"/>
        <w:rPr>
          <w:sz w:val="20"/>
          <w:szCs w:val="20"/>
          <w:color w:val="auto"/>
        </w:rPr>
      </w:pPr>
    </w:p>
    <w:p>
      <w:pPr>
        <w:jc w:val="both"/>
        <w:ind w:firstLine="794"/>
        <w:spacing w:after="0" w:line="277" w:lineRule="auto"/>
        <w:tabs>
          <w:tab w:leader="none" w:pos="138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and to the extent the Collateral Administrator may be required to calculate or to report in a Monthly Report or Payment Date Report or other accounting hereunder or under the Collateral Administration Agreement, the Dollar Equivalent of any amount, including without limitation, the outstanding principal amount of a Collateral Loan, the Advances, the Currency Borrowing Base or other such calculation or amount involving an Agreed Foreign Currency, it shall use (A) the Dollar Equivalent identified in or the (B) Assigned Value provided in, as the case may be, the Data File compiled and delivered (or caused to be compiled and delivered) to the Collateral Administrator by the Collateral Manager for the related collection or reporting period or other such amount as is identified in such calculation or such report by the Collateral Administrator.</w:t>
      </w:r>
    </w:p>
    <w:p>
      <w:pPr>
        <w:spacing w:after="0" w:line="260" w:lineRule="exact"/>
        <w:rPr>
          <w:sz w:val="20"/>
          <w:szCs w:val="20"/>
          <w:color w:val="auto"/>
        </w:rPr>
      </w:pPr>
    </w:p>
    <w:p>
      <w:pPr>
        <w:jc w:val="both"/>
        <w:ind w:firstLine="562"/>
        <w:spacing w:after="0" w:line="245" w:lineRule="auto"/>
        <w:rPr>
          <w:sz w:val="20"/>
          <w:szCs w:val="20"/>
          <w:color w:val="auto"/>
        </w:rPr>
      </w:pPr>
      <w:r>
        <w:rPr>
          <w:rFonts w:ascii="Arial" w:cs="Arial" w:eastAsia="Arial" w:hAnsi="Arial"/>
          <w:sz w:val="21"/>
          <w:szCs w:val="21"/>
          <w:i w:val="1"/>
          <w:iCs w:val="1"/>
          <w:color w:val="auto"/>
        </w:rPr>
        <w:t>Section 8.07. Release of Securities</w:t>
      </w:r>
      <w:r>
        <w:rPr>
          <w:rFonts w:ascii="Arial" w:cs="Arial" w:eastAsia="Arial" w:hAnsi="Arial"/>
          <w:sz w:val="21"/>
          <w:szCs w:val="21"/>
          <w:color w:val="auto"/>
        </w:rPr>
        <w:t>. (a) If no Event of Default has occurred and is continuing, the Borrower may, by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delivery of a certificate of a Responsible Officer of the Collateral Manager delivered to the Collateral Agent at least one Business Day prior to the settlement date for any sale of a security certifying that the sale of such security is being made in accordance with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and such sale complies with all applicable requirements of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Collateral Agent may deliver any such security in physical form for examination in accordance with street delivery custom.</w:t>
      </w:r>
    </w:p>
    <w:p>
      <w:pPr>
        <w:spacing w:after="0" w:line="289" w:lineRule="exact"/>
        <w:rPr>
          <w:sz w:val="20"/>
          <w:szCs w:val="20"/>
          <w:color w:val="auto"/>
        </w:rPr>
      </w:pPr>
    </w:p>
    <w:p>
      <w:pPr>
        <w:ind w:firstLine="794"/>
        <w:spacing w:after="0" w:line="250" w:lineRule="auto"/>
        <w:tabs>
          <w:tab w:leader="none" w:pos="132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Subject to the terms of this Agreement, the Collateral Agent or Custodian, as applicable, shall, upon the receipt of a certificate of the Borrower, by delivery of a certificate of 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267" w:right="339" w:bottom="1440" w:gutter="0" w:footer="0" w:header="0"/>
        </w:sectPr>
      </w:pPr>
    </w:p>
    <w:bookmarkStart w:id="153" w:name="page154"/>
    <w:bookmarkEnd w:id="153"/>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295" w:lineRule="exact"/>
        <w:rPr>
          <w:sz w:val="20"/>
          <w:szCs w:val="20"/>
          <w:color w:val="auto"/>
        </w:rPr>
      </w:pPr>
    </w:p>
    <w:p>
      <w:pPr>
        <w:jc w:val="both"/>
        <w:ind w:firstLine="794"/>
        <w:spacing w:after="0" w:line="238" w:lineRule="auto"/>
        <w:tabs>
          <w:tab w:leader="none" w:pos="130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As provided in </w:t>
      </w:r>
      <w:r>
        <w:rPr>
          <w:rFonts w:ascii="Arial" w:cs="Arial" w:eastAsia="Arial" w:hAnsi="Arial"/>
          <w:sz w:val="22"/>
          <w:szCs w:val="22"/>
          <w:u w:val="single" w:color="auto"/>
          <w:color w:val="auto"/>
        </w:rPr>
        <w:t>Section 8.02(a)</w:t>
      </w:r>
      <w:r>
        <w:rPr>
          <w:rFonts w:ascii="Arial" w:cs="Arial" w:eastAsia="Arial" w:hAnsi="Arial"/>
          <w:sz w:val="22"/>
          <w:szCs w:val="22"/>
          <w:color w:val="auto"/>
        </w:rPr>
        <w:t xml:space="preserve">, the Collateral Agent shall deposit any proceeds received by it from the disposition of Collateral in the applicable subaccount of the Collection Account, unless simultaneously applied to the purchase of additional Collateral Loans or Eligible Investments as permitted under and in accordance with the requirements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92" w:lineRule="exact"/>
        <w:rPr>
          <w:rFonts w:ascii="Arial" w:cs="Arial" w:eastAsia="Arial" w:hAnsi="Arial"/>
          <w:sz w:val="22"/>
          <w:szCs w:val="22"/>
          <w:color w:val="auto"/>
        </w:rPr>
      </w:pPr>
    </w:p>
    <w:p>
      <w:pPr>
        <w:jc w:val="both"/>
        <w:ind w:firstLine="794"/>
        <w:spacing w:after="0" w:line="297" w:lineRule="auto"/>
        <w:tabs>
          <w:tab w:leader="none" w:pos="131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241" w:lineRule="exact"/>
        <w:rPr>
          <w:rFonts w:ascii="Arial" w:cs="Arial" w:eastAsia="Arial" w:hAnsi="Arial"/>
          <w:sz w:val="19"/>
          <w:szCs w:val="19"/>
          <w:color w:val="auto"/>
        </w:rPr>
      </w:pPr>
    </w:p>
    <w:p>
      <w:pPr>
        <w:ind w:firstLine="794"/>
        <w:spacing w:after="0" w:line="250" w:lineRule="auto"/>
        <w:tabs>
          <w:tab w:leader="none" w:pos="128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Any security, Collateral Loan or amounts that are released pursuant to </w:t>
      </w:r>
      <w:r>
        <w:rPr>
          <w:rFonts w:ascii="Arial" w:cs="Arial" w:eastAsia="Arial" w:hAnsi="Arial"/>
          <w:sz w:val="22"/>
          <w:szCs w:val="22"/>
          <w:u w:val="single" w:color="auto"/>
          <w:color w:val="auto"/>
        </w:rPr>
        <w:t>Section 8.07(a) or (b)</w:t>
      </w:r>
      <w:r>
        <w:rPr>
          <w:rFonts w:ascii="Arial" w:cs="Arial" w:eastAsia="Arial" w:hAnsi="Arial"/>
          <w:sz w:val="22"/>
          <w:szCs w:val="22"/>
          <w:color w:val="auto"/>
        </w:rPr>
        <w:t xml:space="preserve"> shall automatically be released from the Lien of this Agreement.</w:t>
      </w:r>
    </w:p>
    <w:p>
      <w:pPr>
        <w:spacing w:after="0" w:line="283" w:lineRule="exact"/>
        <w:rPr>
          <w:sz w:val="20"/>
          <w:szCs w:val="20"/>
          <w:color w:val="auto"/>
        </w:rPr>
      </w:pPr>
    </w:p>
    <w:p>
      <w:pPr>
        <w:jc w:val="both"/>
        <w:ind w:firstLine="337"/>
        <w:spacing w:after="0" w:line="271" w:lineRule="auto"/>
        <w:rPr>
          <w:sz w:val="20"/>
          <w:szCs w:val="20"/>
          <w:color w:val="auto"/>
        </w:rPr>
      </w:pPr>
      <w:r>
        <w:rPr>
          <w:rFonts w:ascii="Arial" w:cs="Arial" w:eastAsia="Arial" w:hAnsi="Arial"/>
          <w:sz w:val="19"/>
          <w:szCs w:val="19"/>
          <w:i w:val="1"/>
          <w:iCs w:val="1"/>
          <w:color w:val="auto"/>
        </w:rPr>
        <w:t>Section 8.08. Reports by Independent Accountants</w:t>
      </w:r>
      <w:r>
        <w:rPr>
          <w:rFonts w:ascii="Arial" w:cs="Arial" w:eastAsia="Arial" w:hAnsi="Arial"/>
          <w:sz w:val="19"/>
          <w:szCs w:val="19"/>
          <w:color w:val="auto"/>
        </w:rPr>
        <w:t>. (a) As of the Closing Date, the Borrower has appointed a firm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independent certified public accountants, independent auditors or independent consultants (together with its successors, the </w:t>
      </w:r>
      <w:r>
        <w:rPr>
          <w:rFonts w:ascii="Arial" w:cs="Arial" w:eastAsia="Arial" w:hAnsi="Arial"/>
          <w:sz w:val="19"/>
          <w:szCs w:val="19"/>
          <w:i w:val="1"/>
          <w:iCs w:val="1"/>
          <w:color w:val="auto"/>
        </w:rPr>
        <w:t>“Independent Accountants”</w:t>
      </w:r>
      <w:r>
        <w:rPr>
          <w:rFonts w:ascii="Arial" w:cs="Arial" w:eastAsia="Arial" w:hAnsi="Arial"/>
          <w:sz w:val="19"/>
          <w:szCs w:val="19"/>
          <w:color w:val="auto"/>
        </w:rPr>
        <w:t>), in each case reasonably acceptable to the Administrative Agent and the Required Lenders, for</w:t>
      </w:r>
      <w:r>
        <w:rPr>
          <w:rFonts w:ascii="Arial" w:cs="Arial" w:eastAsia="Arial" w:hAnsi="Arial"/>
          <w:sz w:val="19"/>
          <w:szCs w:val="19"/>
          <w:i w:val="1"/>
          <w:iCs w:val="1"/>
          <w:color w:val="auto"/>
        </w:rPr>
        <w:t xml:space="preserve"> </w:t>
      </w:r>
      <w:r>
        <w:rPr>
          <w:rFonts w:ascii="Arial" w:cs="Arial" w:eastAsia="Arial" w:hAnsi="Arial"/>
          <w:sz w:val="19"/>
          <w:szCs w:val="19"/>
          <w:color w:val="auto"/>
        </w:rPr>
        <w:t>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200" w:lineRule="exact"/>
        <w:rPr>
          <w:sz w:val="20"/>
          <w:szCs w:val="20"/>
          <w:color w:val="auto"/>
        </w:rPr>
      </w:pPr>
    </w:p>
    <w:p>
      <w:pPr>
        <w:spacing w:after="0" w:line="311" w:lineRule="exact"/>
        <w:rPr>
          <w:sz w:val="20"/>
          <w:szCs w:val="20"/>
          <w:color w:val="auto"/>
        </w:rPr>
      </w:pPr>
    </w:p>
    <w:p>
      <w:pPr>
        <w:ind w:firstLine="794"/>
        <w:spacing w:after="0" w:line="250" w:lineRule="auto"/>
        <w:tabs>
          <w:tab w:leader="none" w:pos="1304"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Borrower or the Collateral Manager will cause a firm of nationally recognized independent public accountants (who may also render other services to the Collateral Manager)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267" w:right="339" w:bottom="1440" w:gutter="0" w:footer="0" w:header="0"/>
        </w:sectPr>
      </w:pPr>
    </w:p>
    <w:bookmarkStart w:id="154" w:name="page155"/>
    <w:bookmarkEnd w:id="154"/>
    <w:p>
      <w:pPr>
        <w:jc w:val="both"/>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furnish to the Administrative Agent (with a copy to the Collateral Agent, the Collateral Administrator and the Backup Collateral Manager) once during each 365-day period ending on June 23</w:t>
      </w:r>
      <w:r>
        <w:rPr>
          <w:rFonts w:ascii="Arial" w:cs="Arial" w:eastAsia="Arial" w:hAnsi="Arial"/>
          <w:sz w:val="16"/>
          <w:szCs w:val="16"/>
          <w:color w:val="auto"/>
        </w:rPr>
        <w:t>rd</w:t>
      </w:r>
      <w:r>
        <w:rPr>
          <w:rFonts w:ascii="Arial" w:cs="Arial" w:eastAsia="Arial" w:hAnsi="Arial"/>
          <w:sz w:val="19"/>
          <w:szCs w:val="19"/>
          <w:color w:val="auto"/>
        </w:rPr>
        <w:t xml:space="preserve"> of each calendar year, with the first such report due by no later than June 23, 2012, a report relating to such fiscal year to the effect that (i) such firm has applied certain agreed-upon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260" w:lineRule="exact"/>
        <w:rPr>
          <w:sz w:val="20"/>
          <w:szCs w:val="20"/>
          <w:color w:val="auto"/>
        </w:rPr>
      </w:pPr>
    </w:p>
    <w:p>
      <w:pPr>
        <w:ind w:left="560"/>
        <w:spacing w:after="0"/>
        <w:tabs>
          <w:tab w:leader="none" w:pos="1940" w:val="left"/>
        </w:tabs>
        <w:rPr>
          <w:sz w:val="20"/>
          <w:szCs w:val="20"/>
          <w:color w:val="auto"/>
        </w:rPr>
      </w:pPr>
      <w:r>
        <w:rPr>
          <w:rFonts w:ascii="Arial" w:cs="Arial" w:eastAsia="Arial" w:hAnsi="Arial"/>
          <w:sz w:val="22"/>
          <w:szCs w:val="22"/>
          <w:i w:val="1"/>
          <w:iCs w:val="1"/>
          <w:color w:val="auto"/>
        </w:rPr>
        <w:t>Section 8.09.</w:t>
      </w:r>
      <w:r>
        <w:rPr>
          <w:sz w:val="20"/>
          <w:szCs w:val="20"/>
          <w:color w:val="auto"/>
        </w:rPr>
        <w:tab/>
      </w:r>
      <w:r>
        <w:rPr>
          <w:rFonts w:ascii="Arial" w:cs="Arial" w:eastAsia="Arial" w:hAnsi="Arial"/>
          <w:sz w:val="19"/>
          <w:szCs w:val="19"/>
          <w:i w:val="1"/>
          <w:iCs w:val="1"/>
          <w:color w:val="auto"/>
        </w:rPr>
        <w:t>Covered Account Details</w:t>
      </w:r>
      <w:r>
        <w:rPr>
          <w:rFonts w:ascii="Arial" w:cs="Arial" w:eastAsia="Arial" w:hAnsi="Arial"/>
          <w:sz w:val="19"/>
          <w:szCs w:val="19"/>
          <w:color w:val="auto"/>
        </w:rPr>
        <w:t>. The account number of each Covered Account is set forth 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Schedule 7</w:t>
      </w:r>
      <w:r>
        <w:rPr>
          <w:rFonts w:ascii="Arial" w:cs="Arial" w:eastAsia="Arial" w:hAnsi="Arial"/>
          <w:sz w:val="19"/>
          <w:szCs w:val="19"/>
          <w:i w:val="1"/>
          <w:iCs w:val="1"/>
          <w:color w:val="auto"/>
        </w:rPr>
        <w:t xml:space="preserve"> </w:t>
      </w:r>
      <w:r>
        <w:rPr>
          <w:rFonts w:ascii="Arial" w:cs="Arial" w:eastAsia="Arial" w:hAnsi="Arial"/>
          <w:sz w:val="19"/>
          <w:szCs w:val="19"/>
          <w:color w:val="auto"/>
        </w:rPr>
        <w:t>hereto.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IX</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PPLICATION OF</w:t>
      </w:r>
      <w:r>
        <w:rPr>
          <w:rFonts w:ascii="Arial" w:cs="Arial" w:eastAsia="Arial" w:hAnsi="Arial"/>
          <w:sz w:val="22"/>
          <w:szCs w:val="22"/>
          <w:b w:val="1"/>
          <w:bCs w:val="1"/>
          <w:color w:val="auto"/>
        </w:rPr>
        <w:t xml:space="preserve"> M</w:t>
      </w:r>
      <w:r>
        <w:rPr>
          <w:rFonts w:ascii="Arial" w:cs="Arial" w:eastAsia="Arial" w:hAnsi="Arial"/>
          <w:sz w:val="17"/>
          <w:szCs w:val="17"/>
          <w:b w:val="1"/>
          <w:bCs w:val="1"/>
          <w:color w:val="auto"/>
        </w:rPr>
        <w:t>ONIES</w:t>
      </w:r>
    </w:p>
    <w:p>
      <w:pPr>
        <w:spacing w:after="0" w:line="320"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i w:val="1"/>
          <w:iCs w:val="1"/>
          <w:color w:val="auto"/>
        </w:rPr>
        <w:t>Section 9.01. Disbursements of Monies from Payment Account</w:t>
      </w:r>
      <w:r>
        <w:rPr>
          <w:rFonts w:ascii="Arial" w:cs="Arial" w:eastAsia="Arial" w:hAnsi="Arial"/>
          <w:sz w:val="21"/>
          <w:szCs w:val="21"/>
          <w:color w:val="auto"/>
        </w:rPr>
        <w:t>. (a) Notwithstanding any other provision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Agreement, but subject to the other subsections of this </w:t>
      </w:r>
      <w:r>
        <w:rPr>
          <w:rFonts w:ascii="Arial" w:cs="Arial" w:eastAsia="Arial" w:hAnsi="Arial"/>
          <w:sz w:val="21"/>
          <w:szCs w:val="21"/>
          <w:u w:val="single" w:color="auto"/>
          <w:color w:val="auto"/>
        </w:rPr>
        <w:t>Section 9.01</w:t>
      </w:r>
      <w:r>
        <w:rPr>
          <w:rFonts w:ascii="Arial" w:cs="Arial" w:eastAsia="Arial" w:hAnsi="Arial"/>
          <w:sz w:val="21"/>
          <w:szCs w:val="21"/>
          <w:color w:val="auto"/>
        </w:rPr>
        <w:t xml:space="preserve">, on each Payment Date, the Collateral Agent shall disburse amounts transferred from the Collection Account to the applicable Payment Account pursuant to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in accordance with the following priorities (the </w:t>
      </w:r>
      <w:r>
        <w:rPr>
          <w:rFonts w:ascii="Arial" w:cs="Arial" w:eastAsia="Arial" w:hAnsi="Arial"/>
          <w:sz w:val="21"/>
          <w:szCs w:val="21"/>
          <w:i w:val="1"/>
          <w:iCs w:val="1"/>
          <w:color w:val="auto"/>
        </w:rPr>
        <w:t>“Priority of Payments”</w:t>
      </w:r>
      <w:r>
        <w:rPr>
          <w:rFonts w:ascii="Arial" w:cs="Arial" w:eastAsia="Arial" w:hAnsi="Arial"/>
          <w:sz w:val="21"/>
          <w:szCs w:val="21"/>
          <w:color w:val="auto"/>
        </w:rPr>
        <w:t>) and related Payment Date Report:</w:t>
      </w:r>
    </w:p>
    <w:p>
      <w:pPr>
        <w:spacing w:after="0" w:line="282" w:lineRule="exact"/>
        <w:rPr>
          <w:sz w:val="20"/>
          <w:szCs w:val="20"/>
          <w:color w:val="auto"/>
        </w:rPr>
      </w:pPr>
    </w:p>
    <w:p>
      <w:pPr>
        <w:jc w:val="both"/>
        <w:ind w:left="800" w:firstLine="934"/>
        <w:spacing w:after="0" w:line="238" w:lineRule="auto"/>
        <w:tabs>
          <w:tab w:leader="none" w:pos="2608" w:val="left"/>
        </w:tabs>
        <w:numPr>
          <w:ilvl w:val="0"/>
          <w:numId w:val="214"/>
        </w:numPr>
        <w:rPr>
          <w:rFonts w:ascii="Arial" w:cs="Arial" w:eastAsia="Arial" w:hAnsi="Arial"/>
          <w:sz w:val="22"/>
          <w:szCs w:val="22"/>
          <w:color w:val="auto"/>
        </w:rPr>
      </w:pPr>
      <w:r>
        <w:rPr>
          <w:rFonts w:ascii="Arial" w:cs="Arial" w:eastAsia="Arial" w:hAnsi="Arial"/>
          <w:sz w:val="22"/>
          <w:szCs w:val="22"/>
          <w:color w:val="auto"/>
        </w:rPr>
        <w:t>On each Payment Date, Interest Proceeds on deposit in the Interest Collection Subaccounts, to the extent received on or before the related Determination Date (or, if such Determination Date is not a Business Day, the next succeeding Business Day) will be transferred into the applicable Payment Account, to be applied in the following order of priority:</w:t>
      </w:r>
    </w:p>
    <w:p>
      <w:pPr>
        <w:spacing w:after="0" w:line="292" w:lineRule="exact"/>
        <w:rPr>
          <w:rFonts w:ascii="Arial" w:cs="Arial" w:eastAsia="Arial" w:hAnsi="Arial"/>
          <w:sz w:val="22"/>
          <w:szCs w:val="22"/>
          <w:color w:val="auto"/>
        </w:rPr>
      </w:pPr>
    </w:p>
    <w:p>
      <w:pPr>
        <w:jc w:val="both"/>
        <w:ind w:left="1700" w:firstLine="852"/>
        <w:spacing w:after="0" w:line="276" w:lineRule="auto"/>
        <w:tabs>
          <w:tab w:leader="none" w:pos="3345" w:val="left"/>
        </w:tabs>
        <w:numPr>
          <w:ilvl w:val="1"/>
          <w:numId w:val="214"/>
        </w:numPr>
        <w:rPr>
          <w:rFonts w:ascii="Arial" w:cs="Arial" w:eastAsia="Arial" w:hAnsi="Arial"/>
          <w:sz w:val="19"/>
          <w:szCs w:val="19"/>
          <w:color w:val="auto"/>
        </w:rPr>
      </w:pPr>
      <w:r>
        <w:rPr>
          <w:rFonts w:ascii="Arial" w:cs="Arial" w:eastAsia="Arial" w:hAnsi="Arial"/>
          <w:sz w:val="19"/>
          <w:szCs w:val="19"/>
          <w:color w:val="auto"/>
        </w:rPr>
        <w:t xml:space="preserve">(1)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pay all out-of-pocket costs and expenses of the Collateral Agent incurred in connection with any sale of Collateral or other exercises of its remedial rights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left="1700"/>
        <w:spacing w:after="0" w:line="277" w:lineRule="auto"/>
        <w:rPr>
          <w:rFonts w:ascii="Arial" w:cs="Arial" w:eastAsia="Arial" w:hAnsi="Arial"/>
          <w:sz w:val="19"/>
          <w:szCs w:val="19"/>
          <w:color w:val="auto"/>
        </w:rPr>
      </w:pPr>
      <w:r>
        <w:rPr>
          <w:rFonts w:ascii="Arial" w:cs="Arial" w:eastAsia="Arial" w:hAnsi="Arial"/>
          <w:sz w:val="19"/>
          <w:szCs w:val="19"/>
          <w:color w:val="auto"/>
        </w:rPr>
        <w:t xml:space="preserve">(2)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pay other Administrative Expenses in accordance with the priorities specified in the definition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applied under this </w:t>
      </w:r>
      <w:r>
        <w:rPr>
          <w:rFonts w:ascii="Arial" w:cs="Arial" w:eastAsia="Arial" w:hAnsi="Arial"/>
          <w:sz w:val="19"/>
          <w:szCs w:val="19"/>
          <w:u w:val="single" w:color="auto"/>
          <w:color w:val="auto"/>
        </w:rPr>
        <w:t>clause (A)(2)</w:t>
      </w:r>
      <w:r>
        <w:rPr>
          <w:rFonts w:ascii="Arial" w:cs="Arial" w:eastAsia="Arial" w:hAnsi="Arial"/>
          <w:sz w:val="19"/>
          <w:szCs w:val="19"/>
          <w:color w:val="auto"/>
        </w:rPr>
        <w:t xml:space="preserve"> for such Payment Date shall not exceed the Administrative Expense Cap for such Payment Date, and (3) </w:t>
      </w:r>
      <w:r>
        <w:rPr>
          <w:rFonts w:ascii="Arial" w:cs="Arial" w:eastAsia="Arial" w:hAnsi="Arial"/>
          <w:sz w:val="19"/>
          <w:szCs w:val="19"/>
          <w:i w:val="1"/>
          <w:iCs w:val="1"/>
          <w:color w:val="auto"/>
        </w:rPr>
        <w:t>third</w:t>
      </w:r>
      <w:r>
        <w:rPr>
          <w:rFonts w:ascii="Arial" w:cs="Arial" w:eastAsia="Arial" w:hAnsi="Arial"/>
          <w:sz w:val="19"/>
          <w:szCs w:val="19"/>
          <w:color w:val="auto"/>
        </w:rPr>
        <w:t>, upon appointment of the Backup Collateral Manager as Successor Collateral Manager, to payment of the One-Time Successor Servicer Engagement Fee (as defined in the Backup Collateral Manager Fee Letter);</w:t>
      </w:r>
    </w:p>
    <w:p>
      <w:pPr>
        <w:spacing w:after="0" w:line="260" w:lineRule="exact"/>
        <w:rPr>
          <w:rFonts w:ascii="Arial" w:cs="Arial" w:eastAsia="Arial" w:hAnsi="Arial"/>
          <w:sz w:val="19"/>
          <w:szCs w:val="19"/>
          <w:color w:val="auto"/>
        </w:rPr>
      </w:pPr>
    </w:p>
    <w:p>
      <w:pPr>
        <w:ind w:left="1700" w:firstLine="852"/>
        <w:spacing w:after="0" w:line="250" w:lineRule="auto"/>
        <w:tabs>
          <w:tab w:leader="none" w:pos="3437" w:val="left"/>
        </w:tabs>
        <w:numPr>
          <w:ilvl w:val="1"/>
          <w:numId w:val="214"/>
        </w:numPr>
        <w:rPr>
          <w:rFonts w:ascii="Arial" w:cs="Arial" w:eastAsia="Arial" w:hAnsi="Arial"/>
          <w:sz w:val="22"/>
          <w:szCs w:val="22"/>
          <w:color w:val="auto"/>
        </w:rPr>
      </w:pPr>
      <w:r>
        <w:rPr>
          <w:rFonts w:ascii="Arial" w:cs="Arial" w:eastAsia="Arial" w:hAnsi="Arial"/>
          <w:sz w:val="22"/>
          <w:szCs w:val="22"/>
          <w:color w:val="auto"/>
        </w:rPr>
        <w:t>to pay regular scheduled payments, any fees and expenses incurred under any hedge agreement (excluding any hedge termination payments);</w:t>
      </w:r>
    </w:p>
    <w:p>
      <w:pPr>
        <w:spacing w:after="0" w:line="282" w:lineRule="exact"/>
        <w:rPr>
          <w:rFonts w:ascii="Arial" w:cs="Arial" w:eastAsia="Arial" w:hAnsi="Arial"/>
          <w:sz w:val="22"/>
          <w:szCs w:val="22"/>
          <w:color w:val="auto"/>
        </w:rPr>
      </w:pPr>
    </w:p>
    <w:p>
      <w:pPr>
        <w:ind w:left="1700" w:firstLine="852"/>
        <w:spacing w:after="0" w:line="328" w:lineRule="auto"/>
        <w:tabs>
          <w:tab w:leader="none" w:pos="3171" w:val="left"/>
        </w:tabs>
        <w:numPr>
          <w:ilvl w:val="1"/>
          <w:numId w:val="214"/>
        </w:numPr>
        <w:rPr>
          <w:rFonts w:ascii="Arial" w:cs="Arial" w:eastAsia="Arial" w:hAnsi="Arial"/>
          <w:sz w:val="19"/>
          <w:szCs w:val="19"/>
          <w:color w:val="auto"/>
        </w:rPr>
      </w:pPr>
      <w:r>
        <w:rPr>
          <w:rFonts w:ascii="Arial" w:cs="Arial" w:eastAsia="Arial" w:hAnsi="Arial"/>
          <w:sz w:val="19"/>
          <w:szCs w:val="19"/>
          <w:color w:val="auto"/>
        </w:rPr>
        <w:t xml:space="preserve">to the Swingline Lender to repay outstanding Swingline Advances (but only to the extent that any Lender has failed to fund its Percentage of such Swingline Advance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267" w:right="339" w:bottom="1440" w:gutter="0" w:footer="0" w:header="0"/>
        </w:sectPr>
      </w:pPr>
    </w:p>
    <w:bookmarkStart w:id="155" w:name="page156"/>
    <w:bookmarkEnd w:id="155"/>
    <w:p>
      <w:pPr>
        <w:ind w:left="2060" w:hanging="628"/>
        <w:spacing w:after="0"/>
        <w:tabs>
          <w:tab w:leader="none" w:pos="2060" w:val="left"/>
        </w:tabs>
        <w:numPr>
          <w:ilvl w:val="0"/>
          <w:numId w:val="21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BDC to pay accrued and unpaid Senior Collateral Management Fees;</w:t>
      </w:r>
    </w:p>
    <w:p>
      <w:pPr>
        <w:spacing w:after="0" w:line="314" w:lineRule="exact"/>
        <w:rPr>
          <w:rFonts w:ascii="Arial" w:cs="Arial" w:eastAsia="Arial" w:hAnsi="Arial"/>
          <w:sz w:val="22"/>
          <w:szCs w:val="22"/>
          <w:color w:val="auto"/>
        </w:rPr>
      </w:pPr>
    </w:p>
    <w:p>
      <w:pPr>
        <w:ind w:left="580" w:firstLine="852"/>
        <w:spacing w:after="0" w:line="274" w:lineRule="auto"/>
        <w:tabs>
          <w:tab w:leader="none" w:pos="2124"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to each Lender to pay accrued and unpaid interest on the Advances and Commitment Fees due each such Lender and amounts payable to each such Lender under </w:t>
      </w:r>
      <w:r>
        <w:rPr>
          <w:rFonts w:ascii="Arial" w:cs="Arial" w:eastAsia="Arial" w:hAnsi="Arial"/>
          <w:sz w:val="21"/>
          <w:szCs w:val="21"/>
          <w:u w:val="single" w:color="auto"/>
          <w:color w:val="auto"/>
        </w:rPr>
        <w:t>Section 2.10</w:t>
      </w:r>
      <w:r>
        <w:rPr>
          <w:rFonts w:ascii="Arial" w:cs="Arial" w:eastAsia="Arial" w:hAnsi="Arial"/>
          <w:sz w:val="21"/>
          <w:szCs w:val="21"/>
          <w:color w:val="auto"/>
        </w:rPr>
        <w:t>;</w:t>
      </w:r>
    </w:p>
    <w:p>
      <w:pPr>
        <w:spacing w:after="0" w:line="258" w:lineRule="exact"/>
        <w:rPr>
          <w:rFonts w:ascii="Arial" w:cs="Arial" w:eastAsia="Arial" w:hAnsi="Arial"/>
          <w:sz w:val="21"/>
          <w:szCs w:val="21"/>
          <w:color w:val="auto"/>
        </w:rPr>
      </w:pPr>
    </w:p>
    <w:p>
      <w:pPr>
        <w:jc w:val="both"/>
        <w:ind w:left="580" w:firstLine="852"/>
        <w:spacing w:after="0" w:line="279" w:lineRule="auto"/>
        <w:tabs>
          <w:tab w:leader="none" w:pos="2039" w:val="left"/>
        </w:tabs>
        <w:numPr>
          <w:ilvl w:val="0"/>
          <w:numId w:val="215"/>
        </w:numPr>
        <w:rPr>
          <w:rFonts w:ascii="Arial" w:cs="Arial" w:eastAsia="Arial" w:hAnsi="Arial"/>
          <w:sz w:val="19"/>
          <w:szCs w:val="19"/>
          <w:color w:val="auto"/>
        </w:rPr>
      </w:pPr>
      <w:r>
        <w:rPr>
          <w:rFonts w:ascii="Arial" w:cs="Arial" w:eastAsia="Arial" w:hAnsi="Arial"/>
          <w:sz w:val="19"/>
          <w:szCs w:val="19"/>
          <w:color w:val="auto"/>
        </w:rPr>
        <w:t>(1) prior to the occurrence and continuance of an Event of Default, if the Maximum Advance Rate Test or any Currency Borrowing Base Test is not satisfied as of the related Determination Date, to pay the principal of the Advances of each Lender (</w:t>
      </w:r>
      <w:r>
        <w:rPr>
          <w:rFonts w:ascii="Arial" w:cs="Arial" w:eastAsia="Arial" w:hAnsi="Arial"/>
          <w:sz w:val="19"/>
          <w:szCs w:val="19"/>
          <w:i w:val="1"/>
          <w:iCs w:val="1"/>
          <w:color w:val="auto"/>
        </w:rPr>
        <w:t>pro rata</w:t>
      </w:r>
      <w:r>
        <w:rPr>
          <w:rFonts w:ascii="Arial" w:cs="Arial" w:eastAsia="Arial" w:hAnsi="Arial"/>
          <w:sz w:val="19"/>
          <w:szCs w:val="19"/>
          <w:color w:val="auto"/>
        </w:rPr>
        <w:t>, based on each Lender’s Percentage) until the Maximum Advance Rate Test and each Currency Borrowing Base Test is satisfied (on a pro forma basis as at such Determination Date) and (2) during the continuance of an Event of Default, to pay the Advances of each Lender (</w:t>
      </w:r>
      <w:r>
        <w:rPr>
          <w:rFonts w:ascii="Arial" w:cs="Arial" w:eastAsia="Arial" w:hAnsi="Arial"/>
          <w:sz w:val="19"/>
          <w:szCs w:val="19"/>
          <w:i w:val="1"/>
          <w:iCs w:val="1"/>
          <w:color w:val="auto"/>
        </w:rPr>
        <w:t>pro rata</w:t>
      </w:r>
      <w:r>
        <w:rPr>
          <w:rFonts w:ascii="Arial" w:cs="Arial" w:eastAsia="Arial" w:hAnsi="Arial"/>
          <w:sz w:val="19"/>
          <w:szCs w:val="19"/>
          <w:color w:val="auto"/>
        </w:rPr>
        <w:t>, based on each Lender’s Percentage) until paid in full;</w:t>
      </w:r>
    </w:p>
    <w:p>
      <w:pPr>
        <w:spacing w:after="0" w:line="258" w:lineRule="exact"/>
        <w:rPr>
          <w:rFonts w:ascii="Arial" w:cs="Arial" w:eastAsia="Arial" w:hAnsi="Arial"/>
          <w:sz w:val="19"/>
          <w:szCs w:val="19"/>
          <w:color w:val="auto"/>
        </w:rPr>
      </w:pPr>
    </w:p>
    <w:p>
      <w:pPr>
        <w:ind w:left="580" w:firstLine="852"/>
        <w:spacing w:after="0" w:line="328" w:lineRule="auto"/>
        <w:tabs>
          <w:tab w:leader="none" w:pos="2114"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to the payment or application of amounts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(in the same order of priority specified therein), to the extent not paid in full pursuant to applications under such clauses;</w:t>
      </w:r>
    </w:p>
    <w:p>
      <w:pPr>
        <w:spacing w:after="0" w:line="212" w:lineRule="exact"/>
        <w:rPr>
          <w:rFonts w:ascii="Arial" w:cs="Arial" w:eastAsia="Arial" w:hAnsi="Arial"/>
          <w:sz w:val="19"/>
          <w:szCs w:val="19"/>
          <w:color w:val="auto"/>
        </w:rPr>
      </w:pPr>
    </w:p>
    <w:p>
      <w:pPr>
        <w:ind w:left="2120" w:hanging="688"/>
        <w:spacing w:after="0"/>
        <w:tabs>
          <w:tab w:leader="none" w:pos="212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to pay accrued and unpaid amounts owing to Affected Persons (if any) under </w:t>
      </w:r>
      <w:r>
        <w:rPr>
          <w:rFonts w:ascii="Arial" w:cs="Arial" w:eastAsia="Arial" w:hAnsi="Arial"/>
          <w:sz w:val="19"/>
          <w:szCs w:val="19"/>
          <w:u w:val="single" w:color="auto"/>
          <w:color w:val="auto"/>
        </w:rPr>
        <w:t>Sections 2.09</w:t>
      </w:r>
    </w:p>
    <w:p>
      <w:pPr>
        <w:spacing w:after="0" w:line="42"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15.03</w:t>
      </w:r>
      <w:r>
        <w:rPr>
          <w:rFonts w:ascii="Arial" w:cs="Arial" w:eastAsia="Arial" w:hAnsi="Arial"/>
          <w:sz w:val="22"/>
          <w:szCs w:val="22"/>
          <w:color w:val="auto"/>
        </w:rPr>
        <w:t>;</w:t>
      </w:r>
    </w:p>
    <w:p>
      <w:pPr>
        <w:spacing w:after="0" w:line="296" w:lineRule="exact"/>
        <w:rPr>
          <w:rFonts w:ascii="Arial" w:cs="Arial" w:eastAsia="Arial" w:hAnsi="Arial"/>
          <w:sz w:val="19"/>
          <w:szCs w:val="19"/>
          <w:color w:val="auto"/>
        </w:rPr>
      </w:pPr>
    </w:p>
    <w:p>
      <w:pPr>
        <w:ind w:left="2020" w:hanging="534"/>
        <w:spacing w:after="0"/>
        <w:tabs>
          <w:tab w:leader="none" w:pos="2020" w:val="left"/>
        </w:tabs>
        <w:numPr>
          <w:ilvl w:val="1"/>
          <w:numId w:val="215"/>
        </w:numPr>
        <w:rPr>
          <w:rFonts w:ascii="Arial" w:cs="Arial" w:eastAsia="Arial" w:hAnsi="Arial"/>
          <w:sz w:val="22"/>
          <w:szCs w:val="22"/>
          <w:color w:val="auto"/>
        </w:rPr>
      </w:pPr>
      <w:r>
        <w:rPr>
          <w:rFonts w:ascii="Arial" w:cs="Arial" w:eastAsia="Arial" w:hAnsi="Arial"/>
          <w:sz w:val="22"/>
          <w:szCs w:val="22"/>
          <w:color w:val="auto"/>
        </w:rPr>
        <w:t>to the BDC to pay accrued and unpaid Subordinated Collateral Management Fees;</w:t>
      </w:r>
    </w:p>
    <w:p>
      <w:pPr>
        <w:spacing w:after="0" w:line="314" w:lineRule="exact"/>
        <w:rPr>
          <w:rFonts w:ascii="Arial" w:cs="Arial" w:eastAsia="Arial" w:hAnsi="Arial"/>
          <w:sz w:val="22"/>
          <w:szCs w:val="22"/>
          <w:color w:val="auto"/>
        </w:rPr>
      </w:pPr>
    </w:p>
    <w:p>
      <w:pPr>
        <w:ind w:left="580" w:firstLine="915"/>
        <w:spacing w:after="0" w:line="250" w:lineRule="auto"/>
        <w:tabs>
          <w:tab w:leader="none" w:pos="2106" w:val="left"/>
        </w:tabs>
        <w:numPr>
          <w:ilvl w:val="1"/>
          <w:numId w:val="215"/>
        </w:numPr>
        <w:rPr>
          <w:rFonts w:ascii="Arial" w:cs="Arial" w:eastAsia="Arial" w:hAnsi="Arial"/>
          <w:sz w:val="22"/>
          <w:szCs w:val="22"/>
          <w:color w:val="auto"/>
        </w:rPr>
      </w:pPr>
      <w:r>
        <w:rPr>
          <w:rFonts w:ascii="Arial" w:cs="Arial" w:eastAsia="Arial" w:hAnsi="Arial"/>
          <w:sz w:val="22"/>
          <w:szCs w:val="22"/>
          <w:color w:val="auto"/>
        </w:rPr>
        <w:t>during the Reinvestment Period, to the payment of any hedge breakage or termination costs owed by the Borrower;</w:t>
      </w:r>
    </w:p>
    <w:p>
      <w:pPr>
        <w:spacing w:after="0" w:line="283" w:lineRule="exact"/>
        <w:rPr>
          <w:sz w:val="20"/>
          <w:szCs w:val="20"/>
          <w:color w:val="auto"/>
        </w:rPr>
      </w:pPr>
    </w:p>
    <w:p>
      <w:pPr>
        <w:jc w:val="both"/>
        <w:ind w:left="580" w:firstLine="852"/>
        <w:spacing w:after="0" w:line="249" w:lineRule="auto"/>
        <w:tabs>
          <w:tab w:leader="none" w:pos="208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 (ii) to prepay the Advances, (iii) for deposit into the Revolving Reserve Account, and (iv) to the Borrower;</w:t>
      </w:r>
    </w:p>
    <w:p>
      <w:pPr>
        <w:spacing w:after="0" w:line="286" w:lineRule="exact"/>
        <w:rPr>
          <w:rFonts w:ascii="Arial" w:cs="Arial" w:eastAsia="Arial" w:hAnsi="Arial"/>
          <w:sz w:val="21"/>
          <w:szCs w:val="21"/>
          <w:color w:val="auto"/>
        </w:rPr>
      </w:pPr>
    </w:p>
    <w:p>
      <w:pPr>
        <w:ind w:left="580" w:firstLine="852"/>
        <w:spacing w:after="0" w:line="250" w:lineRule="auto"/>
        <w:tabs>
          <w:tab w:leader="none" w:pos="2077" w:val="left"/>
        </w:tabs>
        <w:numPr>
          <w:ilvl w:val="0"/>
          <w:numId w:val="216"/>
        </w:numPr>
        <w:rPr>
          <w:rFonts w:ascii="Arial" w:cs="Arial" w:eastAsia="Arial" w:hAnsi="Arial"/>
          <w:sz w:val="22"/>
          <w:szCs w:val="22"/>
          <w:color w:val="auto"/>
        </w:rPr>
      </w:pPr>
      <w:r>
        <w:rPr>
          <w:rFonts w:ascii="Arial" w:cs="Arial" w:eastAsia="Arial" w:hAnsi="Arial"/>
          <w:sz w:val="22"/>
          <w:szCs w:val="22"/>
          <w:color w:val="auto"/>
        </w:rPr>
        <w:t>after the Reinvestment Period, to pay the Advances of each Lender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based on each Lender’s Percentage) until paid in full;</w:t>
      </w:r>
    </w:p>
    <w:p>
      <w:pPr>
        <w:spacing w:after="0" w:line="282" w:lineRule="exact"/>
        <w:rPr>
          <w:rFonts w:ascii="Arial" w:cs="Arial" w:eastAsia="Arial" w:hAnsi="Arial"/>
          <w:sz w:val="22"/>
          <w:szCs w:val="22"/>
          <w:color w:val="auto"/>
        </w:rPr>
      </w:pPr>
    </w:p>
    <w:p>
      <w:pPr>
        <w:ind w:left="2100" w:hanging="668"/>
        <w:spacing w:after="0"/>
        <w:tabs>
          <w:tab w:leader="none" w:pos="210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to the payment of any hedge breakage or termination costs owed by the Borrower;</w:t>
      </w:r>
    </w:p>
    <w:p>
      <w:pPr>
        <w:spacing w:after="0" w:line="314" w:lineRule="exact"/>
        <w:rPr>
          <w:rFonts w:ascii="Arial" w:cs="Arial" w:eastAsia="Arial" w:hAnsi="Arial"/>
          <w:sz w:val="22"/>
          <w:szCs w:val="22"/>
          <w:color w:val="auto"/>
        </w:rPr>
      </w:pPr>
    </w:p>
    <w:p>
      <w:pPr>
        <w:ind w:left="580" w:firstLine="852"/>
        <w:spacing w:after="0" w:line="328" w:lineRule="auto"/>
        <w:tabs>
          <w:tab w:leader="none" w:pos="211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to the payment of any other amounts owed to the Collateral Manager or U.S Bank National Association pursuant to a Facility Document or pursuant to this Agreement (including indemnities); and</w:t>
      </w:r>
    </w:p>
    <w:p>
      <w:pPr>
        <w:spacing w:after="0" w:line="37"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0120"/>
          </w:cols>
          <w:pgMar w:left="1440" w:top="267" w:right="339" w:bottom="1440" w:gutter="0" w:footer="0" w:header="0"/>
        </w:sectPr>
      </w:pPr>
    </w:p>
    <w:bookmarkStart w:id="156" w:name="page157"/>
    <w:bookmarkEnd w:id="156"/>
    <w:p>
      <w:pPr>
        <w:ind w:left="2060" w:hanging="628"/>
        <w:spacing w:after="0"/>
        <w:tabs>
          <w:tab w:leader="none" w:pos="2060" w:val="left"/>
        </w:tabs>
        <w:numPr>
          <w:ilvl w:val="2"/>
          <w:numId w:val="21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remainder to the Borrower.</w:t>
      </w:r>
    </w:p>
    <w:p>
      <w:pPr>
        <w:spacing w:after="0" w:line="314" w:lineRule="exact"/>
        <w:rPr>
          <w:rFonts w:ascii="Arial" w:cs="Arial" w:eastAsia="Arial" w:hAnsi="Arial"/>
          <w:sz w:val="22"/>
          <w:szCs w:val="22"/>
          <w:color w:val="auto"/>
        </w:rPr>
      </w:pPr>
    </w:p>
    <w:p>
      <w:pPr>
        <w:jc w:val="both"/>
        <w:ind w:left="-320" w:firstLine="934"/>
        <w:spacing w:after="0" w:line="236" w:lineRule="auto"/>
        <w:tabs>
          <w:tab w:leader="none" w:pos="1429" w:val="left"/>
        </w:tabs>
        <w:numPr>
          <w:ilvl w:val="1"/>
          <w:numId w:val="218"/>
        </w:numPr>
        <w:rPr>
          <w:rFonts w:ascii="Arial" w:cs="Arial" w:eastAsia="Arial" w:hAnsi="Arial"/>
          <w:sz w:val="22"/>
          <w:szCs w:val="22"/>
          <w:color w:val="auto"/>
        </w:rPr>
      </w:pPr>
      <w:r>
        <w:rPr>
          <w:rFonts w:ascii="Arial" w:cs="Arial" w:eastAsia="Arial" w:hAnsi="Arial"/>
          <w:sz w:val="22"/>
          <w:szCs w:val="22"/>
          <w:color w:val="auto"/>
        </w:rPr>
        <w:t>On each Payment Date, Principal Proceeds on deposit in the Principal Collection Subaccounts that are received on or before the related Determination Date and that are not designated for reinvestment by the Collateral Manager will be transferred to the applicable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295" w:lineRule="exact"/>
        <w:rPr>
          <w:rFonts w:ascii="Arial" w:cs="Arial" w:eastAsia="Arial" w:hAnsi="Arial"/>
          <w:sz w:val="22"/>
          <w:szCs w:val="22"/>
          <w:color w:val="auto"/>
        </w:rPr>
      </w:pPr>
    </w:p>
    <w:p>
      <w:pPr>
        <w:ind w:left="580" w:firstLine="852"/>
        <w:spacing w:after="0" w:line="250" w:lineRule="auto"/>
        <w:tabs>
          <w:tab w:leader="none" w:pos="2119" w:val="left"/>
        </w:tabs>
        <w:numPr>
          <w:ilvl w:val="2"/>
          <w:numId w:val="218"/>
        </w:numPr>
        <w:rPr>
          <w:rFonts w:ascii="Arial" w:cs="Arial" w:eastAsia="Arial" w:hAnsi="Arial"/>
          <w:sz w:val="22"/>
          <w:szCs w:val="22"/>
          <w:color w:val="auto"/>
        </w:rPr>
      </w:pPr>
      <w:r>
        <w:rPr>
          <w:rFonts w:ascii="Arial" w:cs="Arial" w:eastAsia="Arial" w:hAnsi="Arial"/>
          <w:sz w:val="22"/>
          <w:szCs w:val="22"/>
          <w:color w:val="auto"/>
        </w:rPr>
        <w:t xml:space="preserve">to the payment of unpaid amounts under </w:t>
      </w:r>
      <w:r>
        <w:rPr>
          <w:rFonts w:ascii="Arial" w:cs="Arial" w:eastAsia="Arial" w:hAnsi="Arial"/>
          <w:sz w:val="22"/>
          <w:szCs w:val="22"/>
          <w:u w:val="single" w:color="auto"/>
          <w:color w:val="auto"/>
        </w:rPr>
        <w:t>clauses (A) through (G)</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(in the same order of priority specified therein), to the extent not paid in full thereunder;</w:t>
      </w:r>
    </w:p>
    <w:p>
      <w:pPr>
        <w:spacing w:after="0" w:line="282" w:lineRule="exact"/>
        <w:rPr>
          <w:rFonts w:ascii="Arial" w:cs="Arial" w:eastAsia="Arial" w:hAnsi="Arial"/>
          <w:sz w:val="22"/>
          <w:szCs w:val="22"/>
          <w:color w:val="auto"/>
        </w:rPr>
      </w:pPr>
    </w:p>
    <w:p>
      <w:pPr>
        <w:jc w:val="both"/>
        <w:ind w:left="580" w:firstLine="852"/>
        <w:spacing w:after="0" w:line="268" w:lineRule="auto"/>
        <w:tabs>
          <w:tab w:leader="none" w:pos="2155" w:val="left"/>
        </w:tabs>
        <w:numPr>
          <w:ilvl w:val="2"/>
          <w:numId w:val="218"/>
        </w:numPr>
        <w:rPr>
          <w:rFonts w:ascii="Arial" w:cs="Arial" w:eastAsia="Arial" w:hAnsi="Arial"/>
          <w:sz w:val="19"/>
          <w:szCs w:val="19"/>
          <w:color w:val="auto"/>
        </w:rPr>
      </w:pPr>
      <w:r>
        <w:rPr>
          <w:rFonts w:ascii="Arial" w:cs="Arial" w:eastAsia="Arial" w:hAnsi="Arial"/>
          <w:sz w:val="19"/>
          <w:szCs w:val="19"/>
          <w:color w:val="auto"/>
        </w:rPr>
        <w:t xml:space="preserve">during the Reinvestment Period, at the discretion of the Collateral Manager, all remaining amounts shall be applied in any combination of the following four options: (1) to the Principal Collection Subaccount for the purpose of acquiring additional Collateral Loans (including funding Revolving Collateral Loans and Delayed Drawdown Collateral Loans), (2) to prepay the Advances, (3) for deposit into the Revolving Reserve Account and/or (4) to the Borrower in an amount approved by the Administrative Agent in its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prior to the related Payment Date, the Borrower, or the Collateral Agent on its behalf, has submitted a written request to the Administrative Agent for a direct disbursement of Principal Proceeds to the Borrower, which request shall (I) be made no more than once during any twelve month period, (II) certify that no Default or Event of Default shall have occurred and be continuing at the time of the request or shall result upon the making of the requested direct disbursement and (III) specify the amount of the requested direct disbursement and the related Payment Date for the direct disbursement and</w:t>
      </w:r>
    </w:p>
    <w:p>
      <w:pPr>
        <w:spacing w:after="0" w:line="7" w:lineRule="exact"/>
        <w:rPr>
          <w:rFonts w:ascii="Arial" w:cs="Arial" w:eastAsia="Arial" w:hAnsi="Arial"/>
          <w:sz w:val="19"/>
          <w:szCs w:val="19"/>
          <w:color w:val="auto"/>
        </w:rPr>
      </w:pPr>
    </w:p>
    <w:p>
      <w:pPr>
        <w:jc w:val="both"/>
        <w:ind w:left="580" w:hanging="7"/>
        <w:spacing w:after="0" w:line="233" w:lineRule="auto"/>
        <w:tabs>
          <w:tab w:leader="none" w:pos="906"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Administrative Agent, in its sole discretion, consents to such request in writing, it being understood that such consent shall only be valid on the related Payment Date and in such amount as is remitted to the Borrower on the related Payment Date, which amount may be less than the direct disbursement amount requested by the Borrower;</w:t>
      </w:r>
    </w:p>
    <w:p>
      <w:pPr>
        <w:spacing w:after="0" w:line="295" w:lineRule="exact"/>
        <w:rPr>
          <w:rFonts w:ascii="Arial" w:cs="Arial" w:eastAsia="Arial" w:hAnsi="Arial"/>
          <w:sz w:val="22"/>
          <w:szCs w:val="22"/>
          <w:color w:val="auto"/>
        </w:rPr>
      </w:pPr>
    </w:p>
    <w:p>
      <w:pPr>
        <w:jc w:val="both"/>
        <w:ind w:left="580" w:firstLine="852"/>
        <w:spacing w:after="0" w:line="238" w:lineRule="auto"/>
        <w:tabs>
          <w:tab w:leader="none" w:pos="2066" w:val="left"/>
        </w:tabs>
        <w:numPr>
          <w:ilvl w:val="2"/>
          <w:numId w:val="219"/>
        </w:numPr>
        <w:rPr>
          <w:rFonts w:ascii="Arial" w:cs="Arial" w:eastAsia="Arial" w:hAnsi="Arial"/>
          <w:sz w:val="22"/>
          <w:szCs w:val="22"/>
          <w:color w:val="auto"/>
        </w:rPr>
      </w:pPr>
      <w:r>
        <w:rPr>
          <w:rFonts w:ascii="Arial" w:cs="Arial" w:eastAsia="Arial" w:hAnsi="Arial"/>
          <w:sz w:val="22"/>
          <w:szCs w:val="22"/>
          <w:color w:val="auto"/>
        </w:rPr>
        <w:t xml:space="preserve">after the Reinvestment Period, (1) </w:t>
      </w:r>
      <w:r>
        <w:rPr>
          <w:rFonts w:ascii="Arial" w:cs="Arial" w:eastAsia="Arial" w:hAnsi="Arial"/>
          <w:sz w:val="22"/>
          <w:szCs w:val="22"/>
          <w:i w:val="1"/>
          <w:iCs w:val="1"/>
          <w:color w:val="auto"/>
        </w:rPr>
        <w:t>first</w:t>
      </w:r>
      <w:r>
        <w:rPr>
          <w:rFonts w:ascii="Arial" w:cs="Arial" w:eastAsia="Arial" w:hAnsi="Arial"/>
          <w:sz w:val="22"/>
          <w:szCs w:val="22"/>
          <w:color w:val="auto"/>
        </w:rPr>
        <w:t xml:space="preserve">, for deposit into the Revolving Reserve Account until the amounts on deposit therein are equal to the Revolving Reserve Required Amount; and (2) </w:t>
      </w:r>
      <w:r>
        <w:rPr>
          <w:rFonts w:ascii="Arial" w:cs="Arial" w:eastAsia="Arial" w:hAnsi="Arial"/>
          <w:sz w:val="22"/>
          <w:szCs w:val="22"/>
          <w:i w:val="1"/>
          <w:iCs w:val="1"/>
          <w:color w:val="auto"/>
        </w:rPr>
        <w:t>second</w:t>
      </w:r>
      <w:r>
        <w:rPr>
          <w:rFonts w:ascii="Arial" w:cs="Arial" w:eastAsia="Arial" w:hAnsi="Arial"/>
          <w:sz w:val="22"/>
          <w:szCs w:val="22"/>
          <w:color w:val="auto"/>
        </w:rPr>
        <w:t>, to pay the Advances of each Lender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based on each Lender’s Percentage) until the Advances are paid in full;</w:t>
      </w:r>
    </w:p>
    <w:p>
      <w:pPr>
        <w:spacing w:after="0" w:line="292" w:lineRule="exact"/>
        <w:rPr>
          <w:rFonts w:ascii="Arial" w:cs="Arial" w:eastAsia="Arial" w:hAnsi="Arial"/>
          <w:sz w:val="22"/>
          <w:szCs w:val="22"/>
          <w:color w:val="auto"/>
        </w:rPr>
      </w:pPr>
    </w:p>
    <w:p>
      <w:pPr>
        <w:ind w:left="2180" w:hanging="748"/>
        <w:spacing w:after="0"/>
        <w:tabs>
          <w:tab w:leader="none" w:pos="2180" w:val="left"/>
        </w:tabs>
        <w:numPr>
          <w:ilvl w:val="2"/>
          <w:numId w:val="219"/>
        </w:numPr>
        <w:rPr>
          <w:rFonts w:ascii="Arial" w:cs="Arial" w:eastAsia="Arial" w:hAnsi="Arial"/>
          <w:sz w:val="19"/>
          <w:szCs w:val="19"/>
          <w:color w:val="auto"/>
        </w:rPr>
      </w:pPr>
      <w:r>
        <w:rPr>
          <w:rFonts w:ascii="Arial" w:cs="Arial" w:eastAsia="Arial" w:hAnsi="Arial"/>
          <w:sz w:val="19"/>
          <w:szCs w:val="19"/>
          <w:color w:val="auto"/>
        </w:rPr>
        <w:t xml:space="preserve">after the Reinvestment Period, to the payment of amounts referred to in </w:t>
      </w:r>
      <w:r>
        <w:rPr>
          <w:rFonts w:ascii="Arial" w:cs="Arial" w:eastAsia="Arial" w:hAnsi="Arial"/>
          <w:sz w:val="19"/>
          <w:szCs w:val="19"/>
          <w:u w:val="single" w:color="auto"/>
          <w:color w:val="auto"/>
        </w:rPr>
        <w:t>clauses (G), (H),</w:t>
      </w:r>
    </w:p>
    <w:p>
      <w:pPr>
        <w:spacing w:after="0" w:line="42" w:lineRule="exact"/>
        <w:rPr>
          <w:rFonts w:ascii="Arial" w:cs="Arial" w:eastAsia="Arial" w:hAnsi="Arial"/>
          <w:sz w:val="19"/>
          <w:szCs w:val="19"/>
          <w:color w:val="auto"/>
        </w:rPr>
      </w:pPr>
    </w:p>
    <w:p>
      <w:pPr>
        <w:ind w:left="580"/>
        <w:spacing w:after="0" w:line="236" w:lineRule="auto"/>
        <w:rPr>
          <w:rFonts w:ascii="Arial" w:cs="Arial" w:eastAsia="Arial" w:hAnsi="Arial"/>
          <w:sz w:val="19"/>
          <w:szCs w:val="19"/>
          <w:color w:val="auto"/>
        </w:rPr>
      </w:pPr>
      <w:r>
        <w:rPr>
          <w:rFonts w:ascii="Arial" w:cs="Arial" w:eastAsia="Arial" w:hAnsi="Arial"/>
          <w:sz w:val="22"/>
          <w:szCs w:val="22"/>
          <w:u w:val="single" w:color="auto"/>
          <w:color w:val="auto"/>
        </w:rPr>
        <w:t>(I) and (M)</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(in the same order of priority specified therein), to the extent not paid in full thereunder; and</w:t>
      </w:r>
    </w:p>
    <w:p>
      <w:pPr>
        <w:spacing w:after="0" w:line="294" w:lineRule="exact"/>
        <w:rPr>
          <w:rFonts w:ascii="Arial" w:cs="Arial" w:eastAsia="Arial" w:hAnsi="Arial"/>
          <w:sz w:val="19"/>
          <w:szCs w:val="19"/>
          <w:color w:val="auto"/>
        </w:rPr>
      </w:pPr>
    </w:p>
    <w:p>
      <w:pPr>
        <w:ind w:left="2040" w:hanging="608"/>
        <w:spacing w:after="0"/>
        <w:tabs>
          <w:tab w:leader="none" w:pos="2040" w:val="left"/>
        </w:tabs>
        <w:numPr>
          <w:ilvl w:val="2"/>
          <w:numId w:val="219"/>
        </w:numPr>
        <w:rPr>
          <w:rFonts w:ascii="Arial" w:cs="Arial" w:eastAsia="Arial" w:hAnsi="Arial"/>
          <w:sz w:val="22"/>
          <w:szCs w:val="22"/>
          <w:color w:val="auto"/>
        </w:rPr>
      </w:pPr>
      <w:r>
        <w:rPr>
          <w:rFonts w:ascii="Arial" w:cs="Arial" w:eastAsia="Arial" w:hAnsi="Arial"/>
          <w:sz w:val="22"/>
          <w:szCs w:val="22"/>
          <w:color w:val="auto"/>
        </w:rPr>
        <w:t>the remainder to the Borrower.</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0120"/>
          </w:cols>
          <w:pgMar w:left="1440" w:top="267" w:right="339" w:bottom="1440" w:gutter="0" w:footer="0" w:header="0"/>
        </w:sectPr>
      </w:pPr>
    </w:p>
    <w:bookmarkStart w:id="157" w:name="page158"/>
    <w:bookmarkEnd w:id="157"/>
    <w:p>
      <w:pPr>
        <w:jc w:val="both"/>
        <w:ind w:firstLine="794"/>
        <w:spacing w:after="0" w:line="297" w:lineRule="auto"/>
        <w:tabs>
          <w:tab w:leader="none" w:pos="1353" w:val="left"/>
        </w:tabs>
        <w:numPr>
          <w:ilvl w:val="0"/>
          <w:numId w:val="22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on any Payment Date the amount available in the Payment Accounts is insufficient to make the full amount of the disbursements required by the Payment Date Report, the Collateral Agent shall make the disbursements called for in the order and according to the priority set forth under </w:t>
      </w:r>
      <w:r>
        <w:rPr>
          <w:rFonts w:ascii="Arial" w:cs="Arial" w:eastAsia="Arial" w:hAnsi="Arial"/>
          <w:sz w:val="19"/>
          <w:szCs w:val="19"/>
          <w:u w:val="single" w:color="auto"/>
          <w:color w:val="auto"/>
        </w:rPr>
        <w:t>Section 9.01(a)</w:t>
      </w:r>
      <w:r>
        <w:rPr>
          <w:rFonts w:ascii="Arial" w:cs="Arial" w:eastAsia="Arial" w:hAnsi="Arial"/>
          <w:sz w:val="19"/>
          <w:szCs w:val="19"/>
          <w:color w:val="auto"/>
        </w:rPr>
        <w:t xml:space="preserve"> to the extent funds are available therefor.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X</w:t>
      </w:r>
    </w:p>
    <w:p>
      <w:pPr>
        <w:spacing w:after="0" w:line="355"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7"/>
          <w:szCs w:val="17"/>
          <w:b w:val="1"/>
          <w:bCs w:val="1"/>
          <w:color w:val="auto"/>
        </w:rPr>
        <w:t>ALE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OLLATERAL</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OANS</w:t>
      </w:r>
      <w:r>
        <w:rPr>
          <w:rFonts w:ascii="Arial" w:cs="Arial" w:eastAsia="Arial" w:hAnsi="Arial"/>
          <w:sz w:val="22"/>
          <w:szCs w:val="22"/>
          <w:b w:val="1"/>
          <w:bCs w:val="1"/>
          <w:color w:val="auto"/>
        </w:rPr>
        <w:t>; P</w:t>
      </w:r>
      <w:r>
        <w:rPr>
          <w:rFonts w:ascii="Arial" w:cs="Arial" w:eastAsia="Arial" w:hAnsi="Arial"/>
          <w:sz w:val="17"/>
          <w:szCs w:val="17"/>
          <w:b w:val="1"/>
          <w:bCs w:val="1"/>
          <w:color w:val="auto"/>
        </w:rPr>
        <w:t>URCHASE OF</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DDITIONAL</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OLLATERAL</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OANS</w:t>
      </w:r>
    </w:p>
    <w:p>
      <w:pPr>
        <w:spacing w:after="0" w:line="320" w:lineRule="exact"/>
        <w:rPr>
          <w:sz w:val="20"/>
          <w:szCs w:val="20"/>
          <w:color w:val="auto"/>
        </w:rPr>
      </w:pPr>
    </w:p>
    <w:p>
      <w:pPr>
        <w:ind w:left="340"/>
        <w:spacing w:after="0"/>
        <w:tabs>
          <w:tab w:leader="none" w:pos="1820" w:val="left"/>
        </w:tabs>
        <w:rPr>
          <w:sz w:val="20"/>
          <w:szCs w:val="20"/>
          <w:color w:val="auto"/>
        </w:rPr>
      </w:pPr>
      <w:r>
        <w:rPr>
          <w:rFonts w:ascii="Arial" w:cs="Arial" w:eastAsia="Arial" w:hAnsi="Arial"/>
          <w:sz w:val="22"/>
          <w:szCs w:val="22"/>
          <w:i w:val="1"/>
          <w:iCs w:val="1"/>
          <w:color w:val="auto"/>
        </w:rPr>
        <w:t>Section 10.01.</w:t>
      </w:r>
      <w:r>
        <w:rPr>
          <w:sz w:val="20"/>
          <w:szCs w:val="20"/>
          <w:color w:val="auto"/>
        </w:rPr>
        <w:tab/>
      </w:r>
      <w:r>
        <w:rPr>
          <w:rFonts w:ascii="Arial" w:cs="Arial" w:eastAsia="Arial" w:hAnsi="Arial"/>
          <w:sz w:val="19"/>
          <w:szCs w:val="19"/>
          <w:i w:val="1"/>
          <w:iCs w:val="1"/>
          <w:color w:val="auto"/>
        </w:rPr>
        <w:t>Sales of Collateral Loans.</w:t>
      </w:r>
    </w:p>
    <w:p>
      <w:pPr>
        <w:spacing w:after="0" w:line="314" w:lineRule="exact"/>
        <w:rPr>
          <w:sz w:val="20"/>
          <w:szCs w:val="20"/>
          <w:color w:val="auto"/>
        </w:rPr>
      </w:pPr>
    </w:p>
    <w:p>
      <w:pPr>
        <w:jc w:val="both"/>
        <w:ind w:firstLine="794"/>
        <w:spacing w:after="0" w:line="287" w:lineRule="auto"/>
        <w:tabs>
          <w:tab w:leader="none" w:pos="1323" w:val="left"/>
        </w:tabs>
        <w:numPr>
          <w:ilvl w:val="0"/>
          <w:numId w:val="221"/>
        </w:numPr>
        <w:rPr>
          <w:rFonts w:ascii="Arial" w:cs="Arial" w:eastAsia="Arial" w:hAnsi="Arial"/>
          <w:sz w:val="19"/>
          <w:szCs w:val="19"/>
          <w:color w:val="auto"/>
        </w:rPr>
      </w:pPr>
      <w:r>
        <w:rPr>
          <w:rFonts w:ascii="Arial" w:cs="Arial" w:eastAsia="Arial" w:hAnsi="Arial"/>
          <w:sz w:val="19"/>
          <w:szCs w:val="19"/>
          <w:i w:val="1"/>
          <w:iCs w:val="1"/>
          <w:color w:val="auto"/>
        </w:rPr>
        <w:t>Discretionary Sales of Collateral Loans</w:t>
      </w:r>
      <w:r>
        <w:rPr>
          <w:rFonts w:ascii="Arial" w:cs="Arial" w:eastAsia="Arial" w:hAnsi="Arial"/>
          <w:sz w:val="19"/>
          <w:szCs w:val="19"/>
          <w:color w:val="auto"/>
        </w:rPr>
        <w:t>. Subject to the satisfaction of the conditions specified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10.04</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the Collateral Manager on 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250" w:lineRule="exact"/>
        <w:rPr>
          <w:rFonts w:ascii="Arial" w:cs="Arial" w:eastAsia="Arial" w:hAnsi="Arial"/>
          <w:sz w:val="19"/>
          <w:szCs w:val="19"/>
          <w:color w:val="auto"/>
        </w:rPr>
      </w:pPr>
    </w:p>
    <w:p>
      <w:pPr>
        <w:jc w:val="both"/>
        <w:ind w:left="800" w:firstLine="855"/>
        <w:spacing w:after="0"/>
        <w:tabs>
          <w:tab w:leader="none" w:pos="2319" w:val="left"/>
        </w:tabs>
        <w:numPr>
          <w:ilvl w:val="3"/>
          <w:numId w:val="221"/>
        </w:numPr>
        <w:rPr>
          <w:rFonts w:ascii="Arial" w:cs="Arial" w:eastAsia="Arial" w:hAnsi="Arial"/>
          <w:sz w:val="22"/>
          <w:szCs w:val="22"/>
          <w:color w:val="auto"/>
        </w:rPr>
      </w:pPr>
      <w:r>
        <w:rPr>
          <w:rFonts w:ascii="Arial" w:cs="Arial" w:eastAsia="Arial" w:hAnsi="Arial"/>
          <w:sz w:val="22"/>
          <w:szCs w:val="22"/>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294" w:lineRule="exact"/>
        <w:rPr>
          <w:rFonts w:ascii="Arial" w:cs="Arial" w:eastAsia="Arial" w:hAnsi="Arial"/>
          <w:sz w:val="22"/>
          <w:szCs w:val="22"/>
          <w:color w:val="auto"/>
        </w:rPr>
      </w:pPr>
    </w:p>
    <w:p>
      <w:pPr>
        <w:ind w:left="2200" w:hanging="616"/>
        <w:spacing w:after="0"/>
        <w:tabs>
          <w:tab w:leader="none" w:pos="2200" w:val="left"/>
        </w:tabs>
        <w:numPr>
          <w:ilvl w:val="2"/>
          <w:numId w:val="221"/>
        </w:numPr>
        <w:rPr>
          <w:rFonts w:ascii="Arial" w:cs="Arial" w:eastAsia="Arial" w:hAnsi="Arial"/>
          <w:sz w:val="19"/>
          <w:szCs w:val="19"/>
          <w:color w:val="auto"/>
        </w:rPr>
      </w:pPr>
      <w:r>
        <w:rPr>
          <w:rFonts w:ascii="Arial" w:cs="Arial" w:eastAsia="Arial" w:hAnsi="Arial"/>
          <w:sz w:val="19"/>
          <w:szCs w:val="19"/>
          <w:color w:val="auto"/>
        </w:rPr>
        <w:t>upon giving effect thereto and the application of the proceeds thereof, the Maximum Advance Rate Test</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is satisfied;</w:t>
      </w:r>
    </w:p>
    <w:p>
      <w:pPr>
        <w:spacing w:after="0" w:line="296" w:lineRule="exact"/>
        <w:rPr>
          <w:rFonts w:ascii="Arial" w:cs="Arial" w:eastAsia="Arial" w:hAnsi="Arial"/>
          <w:sz w:val="19"/>
          <w:szCs w:val="19"/>
          <w:color w:val="auto"/>
        </w:rPr>
      </w:pPr>
    </w:p>
    <w:p>
      <w:pPr>
        <w:jc w:val="both"/>
        <w:ind w:left="800" w:right="20" w:firstLine="725"/>
        <w:spacing w:after="0"/>
        <w:tabs>
          <w:tab w:leader="none" w:pos="2349" w:val="left"/>
        </w:tabs>
        <w:numPr>
          <w:ilvl w:val="2"/>
          <w:numId w:val="221"/>
        </w:numPr>
        <w:rPr>
          <w:rFonts w:ascii="Arial" w:cs="Arial" w:eastAsia="Arial" w:hAnsi="Arial"/>
          <w:sz w:val="22"/>
          <w:szCs w:val="22"/>
          <w:color w:val="auto"/>
        </w:rPr>
      </w:pPr>
      <w:r>
        <w:rPr>
          <w:rFonts w:ascii="Arial" w:cs="Arial" w:eastAsia="Arial" w:hAnsi="Arial"/>
          <w:sz w:val="22"/>
          <w:szCs w:val="22"/>
          <w:color w:val="auto"/>
        </w:rPr>
        <w:t>upon giving effect thereto and the application of the proceeds thereof, each other Coverage Test is satisfied (or if any such other Coverage Test is not satisfied, such test is maintained or improved after giving effect to such sale);</w:t>
      </w:r>
    </w:p>
    <w:p>
      <w:pPr>
        <w:spacing w:after="0" w:line="294" w:lineRule="exact"/>
        <w:rPr>
          <w:rFonts w:ascii="Arial" w:cs="Arial" w:eastAsia="Arial" w:hAnsi="Arial"/>
          <w:sz w:val="22"/>
          <w:szCs w:val="22"/>
          <w:color w:val="auto"/>
        </w:rPr>
      </w:pPr>
    </w:p>
    <w:p>
      <w:pPr>
        <w:ind w:left="2160" w:hanging="635"/>
        <w:spacing w:after="0"/>
        <w:tabs>
          <w:tab w:leader="none" w:pos="216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such sale is made for Cash;</w:t>
      </w:r>
    </w:p>
    <w:p>
      <w:pPr>
        <w:spacing w:after="0" w:line="314" w:lineRule="exact"/>
        <w:rPr>
          <w:rFonts w:ascii="Arial" w:cs="Arial" w:eastAsia="Arial" w:hAnsi="Arial"/>
          <w:sz w:val="22"/>
          <w:szCs w:val="22"/>
          <w:color w:val="auto"/>
        </w:rPr>
      </w:pPr>
    </w:p>
    <w:p>
      <w:pPr>
        <w:ind w:left="2420" w:hanging="813"/>
        <w:spacing w:after="0"/>
        <w:tabs>
          <w:tab w:leader="none" w:pos="2420" w:val="left"/>
        </w:tabs>
        <w:numPr>
          <w:ilvl w:val="3"/>
          <w:numId w:val="222"/>
        </w:numPr>
        <w:rPr>
          <w:rFonts w:ascii="Arial" w:cs="Arial" w:eastAsia="Arial" w:hAnsi="Arial"/>
          <w:sz w:val="19"/>
          <w:szCs w:val="19"/>
          <w:color w:val="auto"/>
        </w:rPr>
      </w:pPr>
      <w:r>
        <w:rPr>
          <w:rFonts w:ascii="Arial" w:cs="Arial" w:eastAsia="Arial" w:hAnsi="Arial"/>
          <w:sz w:val="19"/>
          <w:szCs w:val="19"/>
          <w:color w:val="auto"/>
        </w:rPr>
        <w:t>such sale is made for a purchase price at least equal to the original percentage of par paid by the</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Borrower; and</w:t>
      </w:r>
    </w:p>
    <w:p>
      <w:pPr>
        <w:spacing w:after="0" w:line="296" w:lineRule="exact"/>
        <w:rPr>
          <w:sz w:val="20"/>
          <w:szCs w:val="20"/>
          <w:color w:val="auto"/>
        </w:rPr>
      </w:pPr>
    </w:p>
    <w:p>
      <w:pPr>
        <w:jc w:val="both"/>
        <w:ind w:left="800" w:firstLine="725"/>
        <w:spacing w:after="0" w:line="257" w:lineRule="auto"/>
        <w:tabs>
          <w:tab w:leader="none" w:pos="2263"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in the reasonable judgment of the Collateral Manager, there is no adverse selection of such Collateral Loans;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restrictions in </w:t>
      </w:r>
      <w:r>
        <w:rPr>
          <w:rFonts w:ascii="Arial" w:cs="Arial" w:eastAsia="Arial" w:hAnsi="Arial"/>
          <w:sz w:val="21"/>
          <w:szCs w:val="21"/>
          <w:u w:val="single" w:color="auto"/>
          <w:color w:val="auto"/>
        </w:rPr>
        <w:t>clauses (iii), (v) and (vi)</w:t>
      </w:r>
      <w:r>
        <w:rPr>
          <w:rFonts w:ascii="Arial" w:cs="Arial" w:eastAsia="Arial" w:hAnsi="Arial"/>
          <w:sz w:val="21"/>
          <w:szCs w:val="21"/>
          <w:color w:val="auto"/>
        </w:rPr>
        <w:t xml:space="preserve"> above in this </w:t>
      </w:r>
      <w:r>
        <w:rPr>
          <w:rFonts w:ascii="Arial" w:cs="Arial" w:eastAsia="Arial" w:hAnsi="Arial"/>
          <w:sz w:val="21"/>
          <w:szCs w:val="21"/>
          <w:u w:val="single" w:color="auto"/>
          <w:color w:val="auto"/>
        </w:rPr>
        <w:t>Section 10.01(a)</w:t>
      </w:r>
      <w:r>
        <w:rPr>
          <w:rFonts w:ascii="Arial" w:cs="Arial" w:eastAsia="Arial" w:hAnsi="Arial"/>
          <w:sz w:val="21"/>
          <w:szCs w:val="21"/>
          <w:color w:val="auto"/>
        </w:rPr>
        <w:t xml:space="preserve"> shall not apply to sales of Credit Risk Collateral Loans, Defaulted Collateral Loans or Ineligible Collateral Loans.</w:t>
      </w:r>
    </w:p>
    <w:p>
      <w:pPr>
        <w:spacing w:after="0" w:line="277" w:lineRule="exact"/>
        <w:rPr>
          <w:sz w:val="20"/>
          <w:szCs w:val="20"/>
          <w:color w:val="auto"/>
        </w:rPr>
      </w:pPr>
    </w:p>
    <w:p>
      <w:pPr>
        <w:jc w:val="both"/>
        <w:ind w:firstLine="786"/>
        <w:spacing w:after="0" w:line="234" w:lineRule="auto"/>
        <w:rPr>
          <w:sz w:val="20"/>
          <w:szCs w:val="20"/>
          <w:color w:val="auto"/>
        </w:rPr>
      </w:pPr>
      <w:r>
        <w:rPr>
          <w:rFonts w:ascii="Arial" w:cs="Arial" w:eastAsia="Arial" w:hAnsi="Arial"/>
          <w:sz w:val="22"/>
          <w:szCs w:val="22"/>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sale was not entered into in contemplation of the occurrence of such Default or Event of Default and such settlement occurs within the customary settlement period for similar trades.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267" w:right="339" w:bottom="1440" w:gutter="0" w:footer="0" w:header="0"/>
        </w:sectPr>
      </w:pPr>
    </w:p>
    <w:bookmarkStart w:id="158" w:name="page159"/>
    <w:bookmarkEnd w:id="158"/>
    <w:p>
      <w:pPr>
        <w:jc w:val="both"/>
        <w:ind w:firstLine="794"/>
        <w:spacing w:after="0" w:line="252" w:lineRule="auto"/>
        <w:tabs>
          <w:tab w:leader="none" w:pos="1362" w:val="left"/>
        </w:tabs>
        <w:numPr>
          <w:ilvl w:val="0"/>
          <w:numId w:val="224"/>
        </w:numPr>
        <w:rPr>
          <w:rFonts w:ascii="Arial" w:cs="Arial" w:eastAsia="Arial" w:hAnsi="Arial"/>
          <w:sz w:val="21"/>
          <w:szCs w:val="21"/>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Sales of Equity Securities. </w:t>
      </w:r>
      <w:r>
        <w:rPr>
          <w:rFonts w:ascii="Arial" w:cs="Arial" w:eastAsia="Arial" w:hAnsi="Arial"/>
          <w:sz w:val="21"/>
          <w:szCs w:val="21"/>
          <w:color w:val="auto"/>
        </w:rPr>
        <w:t>The Borrower may sell any Equity Security at any time without restriction, and shall</w:t>
      </w:r>
      <w:r>
        <w:rPr>
          <w:rFonts w:ascii="Arial" w:cs="Arial" w:eastAsia="Arial" w:hAnsi="Arial"/>
          <w:sz w:val="21"/>
          <w:szCs w:val="21"/>
          <w:i w:val="1"/>
          <w:iCs w:val="1"/>
          <w:color w:val="auto"/>
        </w:rPr>
        <w:t xml:space="preserve"> </w:t>
      </w:r>
      <w:r>
        <w:rPr>
          <w:rFonts w:ascii="Arial" w:cs="Arial" w:eastAsia="Arial" w:hAnsi="Arial"/>
          <w:sz w:val="21"/>
          <w:szCs w:val="21"/>
          <w:color w:val="auto"/>
        </w:rPr>
        <w:t>use its commercially reasonable efforts to effect the sale of any Equity Security, regardless of price within forty-five (45) days of receipt if such Equity Security constitutes Margin Stock, unless such sale is prohibited by Applicable Law, in which case such Equity Security should be sold as soon as such sale is permitted by Applicable Law.</w:t>
      </w:r>
    </w:p>
    <w:p>
      <w:pPr>
        <w:spacing w:after="0" w:line="281" w:lineRule="exact"/>
        <w:rPr>
          <w:rFonts w:ascii="Arial" w:cs="Arial" w:eastAsia="Arial" w:hAnsi="Arial"/>
          <w:sz w:val="21"/>
          <w:szCs w:val="21"/>
          <w:color w:val="auto"/>
        </w:rPr>
      </w:pPr>
    </w:p>
    <w:p>
      <w:pPr>
        <w:jc w:val="both"/>
        <w:ind w:firstLine="794"/>
        <w:spacing w:after="0" w:line="238" w:lineRule="auto"/>
        <w:tabs>
          <w:tab w:leader="none" w:pos="1390" w:val="left"/>
        </w:tabs>
        <w:numPr>
          <w:ilvl w:val="0"/>
          <w:numId w:val="224"/>
        </w:numPr>
        <w:rPr>
          <w:rFonts w:ascii="Arial" w:cs="Arial" w:eastAsia="Arial" w:hAnsi="Arial"/>
          <w:sz w:val="22"/>
          <w:szCs w:val="22"/>
          <w:color w:val="auto"/>
        </w:rPr>
      </w:pPr>
      <w:r>
        <w:rPr>
          <w:rFonts w:ascii="Arial" w:cs="Arial" w:eastAsia="Arial" w:hAnsi="Arial"/>
          <w:sz w:val="22"/>
          <w:szCs w:val="22"/>
          <w:i w:val="1"/>
          <w:iCs w:val="1"/>
          <w:color w:val="auto"/>
        </w:rPr>
        <w:t xml:space="preserve">Certain Restrictions. </w:t>
      </w:r>
      <w:r>
        <w:rPr>
          <w:rFonts w:ascii="Arial" w:cs="Arial" w:eastAsia="Arial" w:hAnsi="Arial"/>
          <w:sz w:val="22"/>
          <w:szCs w:val="22"/>
          <w:color w:val="auto"/>
        </w:rPr>
        <w:t>In the case of a sale of a Defaulted Collateral Loan, a Credit Risk Collateral Loan or an</w:t>
      </w:r>
      <w:r>
        <w:rPr>
          <w:rFonts w:ascii="Arial" w:cs="Arial" w:eastAsia="Arial" w:hAnsi="Arial"/>
          <w:sz w:val="22"/>
          <w:szCs w:val="22"/>
          <w:i w:val="1"/>
          <w:iCs w:val="1"/>
          <w:color w:val="auto"/>
        </w:rPr>
        <w:t xml:space="preserve"> </w:t>
      </w:r>
      <w:r>
        <w:rPr>
          <w:rFonts w:ascii="Arial" w:cs="Arial" w:eastAsia="Arial" w:hAnsi="Arial"/>
          <w:sz w:val="22"/>
          <w:szCs w:val="22"/>
          <w:color w:val="auto"/>
        </w:rPr>
        <w:t>Ineligible Collateral Loan to an 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292" w:lineRule="exact"/>
        <w:rPr>
          <w:rFonts w:ascii="Arial" w:cs="Arial" w:eastAsia="Arial" w:hAnsi="Arial"/>
          <w:sz w:val="22"/>
          <w:szCs w:val="22"/>
          <w:color w:val="auto"/>
        </w:rPr>
      </w:pPr>
    </w:p>
    <w:p>
      <w:pPr>
        <w:ind w:firstLine="794"/>
        <w:spacing w:after="0" w:line="250" w:lineRule="auto"/>
        <w:tabs>
          <w:tab w:leader="none" w:pos="1376" w:val="left"/>
        </w:tabs>
        <w:numPr>
          <w:ilvl w:val="0"/>
          <w:numId w:val="224"/>
        </w:numPr>
        <w:rPr>
          <w:rFonts w:ascii="Arial" w:cs="Arial" w:eastAsia="Arial" w:hAnsi="Arial"/>
          <w:sz w:val="22"/>
          <w:szCs w:val="22"/>
          <w:color w:val="auto"/>
        </w:rPr>
      </w:pPr>
      <w:r>
        <w:rPr>
          <w:rFonts w:ascii="Arial" w:cs="Arial" w:eastAsia="Arial" w:hAnsi="Arial"/>
          <w:sz w:val="22"/>
          <w:szCs w:val="22"/>
          <w:i w:val="1"/>
          <w:iCs w:val="1"/>
          <w:color w:val="auto"/>
        </w:rPr>
        <w:t>Terms of Sales</w:t>
      </w:r>
      <w:r>
        <w:rPr>
          <w:rFonts w:ascii="Arial" w:cs="Arial" w:eastAsia="Arial" w:hAnsi="Arial"/>
          <w:sz w:val="22"/>
          <w:szCs w:val="22"/>
          <w:color w:val="auto"/>
        </w:rPr>
        <w:t>. All sales of Collateral Loans and other property of the Borrower under the provisions above 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must be exclusively for Cash.</w:t>
      </w:r>
    </w:p>
    <w:p>
      <w:pPr>
        <w:spacing w:after="0" w:line="283" w:lineRule="exact"/>
        <w:rPr>
          <w:sz w:val="20"/>
          <w:szCs w:val="20"/>
          <w:color w:val="auto"/>
        </w:rPr>
      </w:pPr>
    </w:p>
    <w:p>
      <w:pPr>
        <w:ind w:left="340"/>
        <w:spacing w:after="0"/>
        <w:tabs>
          <w:tab w:leader="none" w:pos="1820" w:val="left"/>
        </w:tabs>
        <w:rPr>
          <w:sz w:val="20"/>
          <w:szCs w:val="20"/>
          <w:color w:val="auto"/>
        </w:rPr>
      </w:pPr>
      <w:r>
        <w:rPr>
          <w:rFonts w:ascii="Arial" w:cs="Arial" w:eastAsia="Arial" w:hAnsi="Arial"/>
          <w:sz w:val="22"/>
          <w:szCs w:val="22"/>
          <w:i w:val="1"/>
          <w:iCs w:val="1"/>
          <w:color w:val="auto"/>
        </w:rPr>
        <w:t>Section 10.02.</w:t>
      </w:r>
      <w:r>
        <w:rPr>
          <w:sz w:val="20"/>
          <w:szCs w:val="20"/>
          <w:color w:val="auto"/>
        </w:rPr>
        <w:tab/>
      </w:r>
      <w:r>
        <w:rPr>
          <w:rFonts w:ascii="Arial" w:cs="Arial" w:eastAsia="Arial" w:hAnsi="Arial"/>
          <w:sz w:val="19"/>
          <w:szCs w:val="19"/>
          <w:i w:val="1"/>
          <w:iCs w:val="1"/>
          <w:color w:val="auto"/>
        </w:rPr>
        <w:t>Purchase of Additional Collateral Loans.</w:t>
      </w:r>
    </w:p>
    <w:p>
      <w:pPr>
        <w:spacing w:after="0" w:line="314" w:lineRule="exact"/>
        <w:rPr>
          <w:sz w:val="20"/>
          <w:szCs w:val="20"/>
          <w:color w:val="auto"/>
        </w:rPr>
      </w:pPr>
    </w:p>
    <w:p>
      <w:pPr>
        <w:jc w:val="both"/>
        <w:ind w:firstLine="794"/>
        <w:spacing w:after="0" w:line="246" w:lineRule="auto"/>
        <w:tabs>
          <w:tab w:leader="none" w:pos="1336" w:val="left"/>
        </w:tabs>
        <w:numPr>
          <w:ilvl w:val="0"/>
          <w:numId w:val="225"/>
        </w:numPr>
        <w:rPr>
          <w:rFonts w:ascii="Arial" w:cs="Arial" w:eastAsia="Arial" w:hAnsi="Arial"/>
          <w:sz w:val="21"/>
          <w:szCs w:val="21"/>
          <w:color w:val="auto"/>
        </w:rPr>
      </w:pPr>
      <w:r>
        <w:rPr>
          <w:rFonts w:ascii="Arial" w:cs="Arial" w:eastAsia="Arial" w:hAnsi="Arial"/>
          <w:sz w:val="21"/>
          <w:szCs w:val="21"/>
          <w:i w:val="1"/>
          <w:iCs w:val="1"/>
          <w:color w:val="auto"/>
        </w:rPr>
        <w:t>Purchase of Collateral Loans</w:t>
      </w:r>
      <w:r>
        <w:rPr>
          <w:rFonts w:ascii="Arial" w:cs="Arial" w:eastAsia="Arial" w:hAnsi="Arial"/>
          <w:sz w:val="21"/>
          <w:szCs w:val="21"/>
          <w:color w:val="auto"/>
        </w:rPr>
        <w:t>. On any date during the Reinvestment Period, if no Event of Default has occurred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and is continuing, the Collateral Manager on behalf of the Borrower may, if each of the conditions specified in this </w:t>
      </w:r>
      <w:r>
        <w:rPr>
          <w:rFonts w:ascii="Arial" w:cs="Arial" w:eastAsia="Arial" w:hAnsi="Arial"/>
          <w:sz w:val="21"/>
          <w:szCs w:val="21"/>
          <w:u w:val="single" w:color="auto"/>
          <w:color w:val="auto"/>
        </w:rPr>
        <w:t>Section 10.02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10.04</w:t>
      </w:r>
      <w:r>
        <w:rPr>
          <w:rFonts w:ascii="Arial" w:cs="Arial" w:eastAsia="Arial" w:hAnsi="Arial"/>
          <w:sz w:val="21"/>
          <w:szCs w:val="21"/>
          <w:color w:val="auto"/>
        </w:rPr>
        <w:t xml:space="preserve"> are met, invest Principal Proceeds and accrued interest received with respect to any Collateral Loan to the extent used to pay for accrued interest on additional Collateral Loans in additional Collateral Loans, </w:t>
      </w:r>
      <w:r>
        <w:rPr>
          <w:rFonts w:ascii="Arial" w:cs="Arial" w:eastAsia="Arial" w:hAnsi="Arial"/>
          <w:sz w:val="21"/>
          <w:szCs w:val="21"/>
          <w:i w:val="1"/>
          <w:iCs w:val="1"/>
          <w:color w:val="auto"/>
        </w:rPr>
        <w:t>provided</w:t>
      </w:r>
      <w:r>
        <w:rPr>
          <w:rFonts w:ascii="Arial" w:cs="Arial" w:eastAsia="Arial" w:hAnsi="Arial"/>
          <w:sz w:val="21"/>
          <w:szCs w:val="21"/>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292" w:lineRule="exact"/>
        <w:rPr>
          <w:rFonts w:ascii="Arial" w:cs="Arial" w:eastAsia="Arial" w:hAnsi="Arial"/>
          <w:sz w:val="21"/>
          <w:szCs w:val="21"/>
          <w:color w:val="auto"/>
        </w:rPr>
      </w:pPr>
    </w:p>
    <w:p>
      <w:pPr>
        <w:ind w:left="2320" w:hanging="532"/>
        <w:spacing w:after="0"/>
        <w:tabs>
          <w:tab w:leader="none" w:pos="232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such obligation is a Collateral Loan; and</w:t>
      </w:r>
    </w:p>
    <w:p>
      <w:pPr>
        <w:spacing w:after="0" w:line="314" w:lineRule="exact"/>
        <w:rPr>
          <w:rFonts w:ascii="Arial" w:cs="Arial" w:eastAsia="Arial" w:hAnsi="Arial"/>
          <w:sz w:val="22"/>
          <w:szCs w:val="22"/>
          <w:color w:val="auto"/>
        </w:rPr>
      </w:pPr>
    </w:p>
    <w:p>
      <w:pPr>
        <w:ind w:left="800" w:right="20" w:firstLine="934"/>
        <w:spacing w:after="0" w:line="250" w:lineRule="auto"/>
        <w:tabs>
          <w:tab w:leader="none" w:pos="2338" w:val="left"/>
        </w:tabs>
        <w:numPr>
          <w:ilvl w:val="1"/>
          <w:numId w:val="225"/>
        </w:numPr>
        <w:rPr>
          <w:rFonts w:ascii="Arial" w:cs="Arial" w:eastAsia="Arial" w:hAnsi="Arial"/>
          <w:sz w:val="22"/>
          <w:szCs w:val="22"/>
          <w:color w:val="auto"/>
        </w:rPr>
      </w:pPr>
      <w:r>
        <w:rPr>
          <w:rFonts w:ascii="Arial" w:cs="Arial" w:eastAsia="Arial" w:hAnsi="Arial"/>
          <w:sz w:val="22"/>
          <w:szCs w:val="22"/>
          <w:color w:val="auto"/>
        </w:rPr>
        <w:t>each Coverage Test is satisfied (or if any such Coverage Test is not satisfied, such test is maintained or improved after giving effect to such purchase).</w:t>
      </w:r>
    </w:p>
    <w:p>
      <w:pPr>
        <w:spacing w:after="0" w:line="282" w:lineRule="exact"/>
        <w:rPr>
          <w:rFonts w:ascii="Arial" w:cs="Arial" w:eastAsia="Arial" w:hAnsi="Arial"/>
          <w:sz w:val="22"/>
          <w:szCs w:val="22"/>
          <w:color w:val="auto"/>
        </w:rPr>
      </w:pPr>
    </w:p>
    <w:p>
      <w:pPr>
        <w:jc w:val="both"/>
        <w:ind w:firstLine="794"/>
        <w:spacing w:after="0" w:line="279" w:lineRule="auto"/>
        <w:tabs>
          <w:tab w:leader="none" w:pos="1389" w:val="left"/>
        </w:tabs>
        <w:numPr>
          <w:ilvl w:val="0"/>
          <w:numId w:val="225"/>
        </w:numPr>
        <w:rPr>
          <w:rFonts w:ascii="Arial" w:cs="Arial" w:eastAsia="Arial" w:hAnsi="Arial"/>
          <w:sz w:val="19"/>
          <w:szCs w:val="19"/>
          <w:color w:val="auto"/>
        </w:rPr>
      </w:pPr>
      <w:r>
        <w:rPr>
          <w:rFonts w:ascii="Arial" w:cs="Arial" w:eastAsia="Arial" w:hAnsi="Arial"/>
          <w:sz w:val="19"/>
          <w:szCs w:val="19"/>
          <w:i w:val="1"/>
          <w:iCs w:val="1"/>
          <w:color w:val="auto"/>
        </w:rPr>
        <w:t>Purchase of Collateral Loans Involving Affiliates</w:t>
      </w:r>
      <w:r>
        <w:rPr>
          <w:rFonts w:ascii="Arial" w:cs="Arial" w:eastAsia="Arial" w:hAnsi="Arial"/>
          <w:sz w:val="19"/>
          <w:szCs w:val="19"/>
          <w:color w:val="auto"/>
        </w:rPr>
        <w:t>. Additional Collateral Loans may be purchased from time to</w:t>
      </w:r>
      <w:r>
        <w:rPr>
          <w:rFonts w:ascii="Arial" w:cs="Arial" w:eastAsia="Arial" w:hAnsi="Arial"/>
          <w:sz w:val="19"/>
          <w:szCs w:val="19"/>
          <w:i w:val="1"/>
          <w:iCs w:val="1"/>
          <w:color w:val="auto"/>
        </w:rPr>
        <w:t xml:space="preserve"> </w:t>
      </w:r>
      <w:r>
        <w:rPr>
          <w:rFonts w:ascii="Arial" w:cs="Arial" w:eastAsia="Arial" w:hAnsi="Arial"/>
          <w:sz w:val="19"/>
          <w:szCs w:val="19"/>
          <w:color w:val="auto"/>
        </w:rPr>
        <w:t>time by the Borrower from the Collateral Manager or any of its Affiliates only if (x) the terms and conditions thereof are no less favorable to the Borrower than the terms it would obtain in a comparable, timely sale with a non-Affiliate, (y) the transactions are effected in accordance with all Applicable Laws and (z) such purchase is for an amount equal to or less than the lesser of (A) the original purchase price paid by the Collateral Manager or such Affiliate (after adjustment for any borrowings or repayments and exclusive of interest) and (B) the Collateral Manager’s current mark with respect to such Collateral Loan.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267" w:right="339" w:bottom="1440" w:gutter="0" w:footer="0" w:header="0"/>
        </w:sectPr>
      </w:pPr>
    </w:p>
    <w:bookmarkStart w:id="159" w:name="page160"/>
    <w:bookmarkEnd w:id="159"/>
    <w:p>
      <w:pPr>
        <w:ind w:left="340"/>
        <w:spacing w:after="0"/>
        <w:tabs>
          <w:tab w:leader="none" w:pos="182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10.03.</w:t>
      </w:r>
      <w:r>
        <w:rPr>
          <w:sz w:val="20"/>
          <w:szCs w:val="20"/>
          <w:color w:val="auto"/>
        </w:rPr>
        <w:tab/>
      </w:r>
      <w:r>
        <w:rPr>
          <w:rFonts w:ascii="Arial" w:cs="Arial" w:eastAsia="Arial" w:hAnsi="Arial"/>
          <w:sz w:val="19"/>
          <w:szCs w:val="19"/>
          <w:i w:val="1"/>
          <w:iCs w:val="1"/>
          <w:color w:val="auto"/>
        </w:rPr>
        <w:t>Substitution and Transfer of Loans.</w:t>
      </w:r>
    </w:p>
    <w:p>
      <w:pPr>
        <w:spacing w:after="0" w:line="314" w:lineRule="exact"/>
        <w:rPr>
          <w:sz w:val="20"/>
          <w:szCs w:val="20"/>
          <w:color w:val="auto"/>
        </w:rPr>
      </w:pPr>
    </w:p>
    <w:p>
      <w:pPr>
        <w:jc w:val="both"/>
        <w:ind w:firstLine="794"/>
        <w:spacing w:after="0" w:line="238" w:lineRule="auto"/>
        <w:tabs>
          <w:tab w:leader="none" w:pos="1363" w:val="left"/>
        </w:tabs>
        <w:numPr>
          <w:ilvl w:val="0"/>
          <w:numId w:val="226"/>
        </w:numPr>
        <w:rPr>
          <w:rFonts w:ascii="Arial" w:cs="Arial" w:eastAsia="Arial" w:hAnsi="Arial"/>
          <w:sz w:val="22"/>
          <w:szCs w:val="22"/>
          <w:color w:val="auto"/>
        </w:rPr>
      </w:pPr>
      <w:r>
        <w:rPr>
          <w:rFonts w:ascii="Arial" w:cs="Arial" w:eastAsia="Arial" w:hAnsi="Arial"/>
          <w:sz w:val="22"/>
          <w:szCs w:val="22"/>
          <w:i w:val="1"/>
          <w:iCs w:val="1"/>
          <w:color w:val="auto"/>
        </w:rPr>
        <w:t>Substitutions</w:t>
      </w:r>
      <w:r>
        <w:rPr>
          <w:rFonts w:ascii="Arial" w:cs="Arial" w:eastAsia="Arial" w:hAnsi="Arial"/>
          <w:sz w:val="22"/>
          <w:szCs w:val="22"/>
          <w:color w:val="auto"/>
        </w:rPr>
        <w:t>. The Borrower may (including in connection with any retransfer of a Collateral Loan to the BDC</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under the Purchase and Contribution Agreement) with the consent of the Administrative Agent in its sole discretion replace any Collateral Loan with another Collateral Loan (a </w:t>
      </w:r>
      <w:r>
        <w:rPr>
          <w:rFonts w:ascii="Arial" w:cs="Arial" w:eastAsia="Arial" w:hAnsi="Arial"/>
          <w:sz w:val="22"/>
          <w:szCs w:val="22"/>
          <w:i w:val="1"/>
          <w:iCs w:val="1"/>
          <w:color w:val="auto"/>
        </w:rPr>
        <w:t>“Substitute Loan”</w:t>
      </w:r>
      <w:r>
        <w:rPr>
          <w:rFonts w:ascii="Arial" w:cs="Arial" w:eastAsia="Arial" w:hAnsi="Arial"/>
          <w:sz w:val="22"/>
          <w:szCs w:val="22"/>
          <w:color w:val="auto"/>
        </w:rPr>
        <w:t xml:space="preserve">), subject to the satisfaction of the conditions set forth below and in </w:t>
      </w:r>
      <w:r>
        <w:rPr>
          <w:rFonts w:ascii="Arial" w:cs="Arial" w:eastAsia="Arial" w:hAnsi="Arial"/>
          <w:sz w:val="22"/>
          <w:szCs w:val="22"/>
          <w:u w:val="single" w:color="auto"/>
          <w:color w:val="auto"/>
        </w:rPr>
        <w:t>Section 10.04(c)</w:t>
      </w:r>
      <w:r>
        <w:rPr>
          <w:rFonts w:ascii="Arial" w:cs="Arial" w:eastAsia="Arial" w:hAnsi="Arial"/>
          <w:sz w:val="22"/>
          <w:szCs w:val="22"/>
          <w:color w:val="auto"/>
        </w:rPr>
        <w:t>.</w:t>
      </w:r>
    </w:p>
    <w:p>
      <w:pPr>
        <w:spacing w:after="0" w:line="292" w:lineRule="exact"/>
        <w:rPr>
          <w:rFonts w:ascii="Arial" w:cs="Arial" w:eastAsia="Arial" w:hAnsi="Arial"/>
          <w:sz w:val="22"/>
          <w:szCs w:val="22"/>
          <w:color w:val="auto"/>
        </w:rPr>
      </w:pPr>
    </w:p>
    <w:p>
      <w:pPr>
        <w:jc w:val="both"/>
        <w:ind w:firstLine="794"/>
        <w:spacing w:after="0"/>
        <w:tabs>
          <w:tab w:leader="none" w:pos="1322" w:val="left"/>
        </w:tabs>
        <w:numPr>
          <w:ilvl w:val="0"/>
          <w:numId w:val="226"/>
        </w:numPr>
        <w:rPr>
          <w:rFonts w:ascii="Arial" w:cs="Arial" w:eastAsia="Arial" w:hAnsi="Arial"/>
          <w:sz w:val="22"/>
          <w:szCs w:val="22"/>
          <w:color w:val="auto"/>
        </w:rPr>
      </w:pPr>
      <w:r>
        <w:rPr>
          <w:rFonts w:ascii="Arial" w:cs="Arial" w:eastAsia="Arial" w:hAnsi="Arial"/>
          <w:sz w:val="22"/>
          <w:szCs w:val="22"/>
          <w:i w:val="1"/>
          <w:iCs w:val="1"/>
          <w:color w:val="auto"/>
        </w:rPr>
        <w:t>Conditions to Substitution</w:t>
      </w:r>
      <w:r>
        <w:rPr>
          <w:rFonts w:ascii="Arial" w:cs="Arial" w:eastAsia="Arial" w:hAnsi="Arial"/>
          <w:sz w:val="22"/>
          <w:szCs w:val="22"/>
          <w:color w:val="auto"/>
        </w:rPr>
        <w:t>. No substitution of a Collateral Loan with a Substitute Loan shall occur unless each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following conditions is satisfied as of the date of such substitution (as certified to the Agents by the Borrower (or the Collateral Manager on behalf of the Borrower)):</w:t>
      </w:r>
    </w:p>
    <w:p>
      <w:pPr>
        <w:spacing w:after="0" w:line="294" w:lineRule="exact"/>
        <w:rPr>
          <w:sz w:val="20"/>
          <w:szCs w:val="20"/>
          <w:color w:val="auto"/>
        </w:rPr>
      </w:pPr>
    </w:p>
    <w:p>
      <w:pPr>
        <w:ind w:left="800" w:firstLine="814"/>
        <w:spacing w:after="0" w:line="250" w:lineRule="auto"/>
        <w:tabs>
          <w:tab w:leader="none" w:pos="2209" w:val="left"/>
        </w:tabs>
        <w:numPr>
          <w:ilvl w:val="0"/>
          <w:numId w:val="227"/>
        </w:numPr>
        <w:rPr>
          <w:rFonts w:ascii="Arial" w:cs="Arial" w:eastAsia="Arial" w:hAnsi="Arial"/>
          <w:sz w:val="22"/>
          <w:szCs w:val="22"/>
          <w:color w:val="auto"/>
        </w:rPr>
      </w:pPr>
      <w:r>
        <w:rPr>
          <w:rFonts w:ascii="Arial" w:cs="Arial" w:eastAsia="Arial" w:hAnsi="Arial"/>
          <w:sz w:val="22"/>
          <w:szCs w:val="22"/>
          <w:color w:val="auto"/>
        </w:rPr>
        <w:t>each Substitute Loan satisfies the eligibility criteria set forth in the definition of Collateral Loan on the date of substitution;</w:t>
      </w:r>
    </w:p>
    <w:p>
      <w:pPr>
        <w:spacing w:after="0" w:line="283" w:lineRule="exact"/>
        <w:rPr>
          <w:sz w:val="20"/>
          <w:szCs w:val="20"/>
          <w:color w:val="auto"/>
        </w:rPr>
      </w:pPr>
    </w:p>
    <w:p>
      <w:pPr>
        <w:ind w:left="800" w:firstLine="789"/>
        <w:spacing w:after="0" w:line="250" w:lineRule="auto"/>
        <w:tabs>
          <w:tab w:leader="none" w:pos="2195" w:val="left"/>
        </w:tabs>
        <w:numPr>
          <w:ilvl w:val="1"/>
          <w:numId w:val="228"/>
        </w:numPr>
        <w:rPr>
          <w:rFonts w:ascii="Arial" w:cs="Arial" w:eastAsia="Arial" w:hAnsi="Arial"/>
          <w:sz w:val="22"/>
          <w:szCs w:val="22"/>
          <w:color w:val="auto"/>
        </w:rPr>
      </w:pPr>
      <w:r>
        <w:rPr>
          <w:rFonts w:ascii="Arial" w:cs="Arial" w:eastAsia="Arial" w:hAnsi="Arial"/>
          <w:sz w:val="22"/>
          <w:szCs w:val="22"/>
          <w:color w:val="auto"/>
        </w:rPr>
        <w:t>after giving effect to any such substitution, each Coverage Test is satisfied (or if any such Coverage Test is not satisfied, such test is maintained or improved after giving effect to such substitution);</w:t>
      </w:r>
    </w:p>
    <w:p>
      <w:pPr>
        <w:spacing w:after="0" w:line="282" w:lineRule="exact"/>
        <w:rPr>
          <w:rFonts w:ascii="Arial" w:cs="Arial" w:eastAsia="Arial" w:hAnsi="Arial"/>
          <w:sz w:val="22"/>
          <w:szCs w:val="22"/>
          <w:color w:val="auto"/>
        </w:rPr>
      </w:pPr>
    </w:p>
    <w:p>
      <w:pPr>
        <w:ind w:left="800" w:firstLine="686"/>
        <w:spacing w:after="0" w:line="250" w:lineRule="auto"/>
        <w:tabs>
          <w:tab w:leader="none" w:pos="2205"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sum of the Principal Balances of such Substitute Loans shall be equal to or greater than the sum of the Principal Balances of the Collateral Loans being substituted for;</w:t>
      </w:r>
    </w:p>
    <w:p>
      <w:pPr>
        <w:spacing w:after="0" w:line="283" w:lineRule="exact"/>
        <w:rPr>
          <w:sz w:val="20"/>
          <w:szCs w:val="20"/>
          <w:color w:val="auto"/>
        </w:rPr>
      </w:pPr>
    </w:p>
    <w:p>
      <w:pPr>
        <w:ind w:left="2340" w:hanging="767"/>
        <w:spacing w:after="0"/>
        <w:tabs>
          <w:tab w:leader="none" w:pos="234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(before or after giving effect to such</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substitution);</w:t>
      </w:r>
    </w:p>
    <w:p>
      <w:pPr>
        <w:spacing w:after="0" w:line="296" w:lineRule="exact"/>
        <w:rPr>
          <w:sz w:val="20"/>
          <w:szCs w:val="20"/>
          <w:color w:val="auto"/>
        </w:rPr>
      </w:pPr>
    </w:p>
    <w:p>
      <w:pPr>
        <w:ind w:left="800" w:firstLine="788"/>
        <w:spacing w:after="0" w:line="328" w:lineRule="auto"/>
        <w:tabs>
          <w:tab w:leader="none" w:pos="2179" w:val="left"/>
        </w:tabs>
        <w:numPr>
          <w:ilvl w:val="0"/>
          <w:numId w:val="231"/>
        </w:numPr>
        <w:rPr>
          <w:rFonts w:ascii="Arial" w:cs="Arial" w:eastAsia="Arial" w:hAnsi="Arial"/>
          <w:sz w:val="19"/>
          <w:szCs w:val="19"/>
          <w:color w:val="auto"/>
        </w:rPr>
      </w:pPr>
      <w:r>
        <w:rPr>
          <w:rFonts w:ascii="Arial" w:cs="Arial" w:eastAsia="Arial" w:hAnsi="Arial"/>
          <w:sz w:val="19"/>
          <w:szCs w:val="19"/>
          <w:color w:val="auto"/>
        </w:rPr>
        <w:t>no selection procedure adverse to the interests of the Secured Parties was utilized by the Borrower or the Collateral Manager in the selection of the Substitute Loan(s) or the Collateral Loans being substituted for;</w:t>
      </w:r>
    </w:p>
    <w:p>
      <w:pPr>
        <w:spacing w:after="0" w:line="213" w:lineRule="exact"/>
        <w:rPr>
          <w:sz w:val="20"/>
          <w:szCs w:val="20"/>
          <w:color w:val="auto"/>
        </w:rPr>
      </w:pPr>
    </w:p>
    <w:p>
      <w:pPr>
        <w:jc w:val="both"/>
        <w:ind w:left="800" w:firstLine="754"/>
        <w:spacing w:after="0" w:line="238" w:lineRule="auto"/>
        <w:tabs>
          <w:tab w:leader="none" w:pos="227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292" w:lineRule="exact"/>
        <w:rPr>
          <w:rFonts w:ascii="Arial" w:cs="Arial" w:eastAsia="Arial" w:hAnsi="Arial"/>
          <w:sz w:val="22"/>
          <w:szCs w:val="22"/>
          <w:color w:val="auto"/>
        </w:rPr>
      </w:pPr>
    </w:p>
    <w:p>
      <w:pPr>
        <w:jc w:val="both"/>
        <w:ind w:left="800" w:firstLine="689"/>
        <w:spacing w:after="0"/>
        <w:tabs>
          <w:tab w:leader="none" w:pos="2275" w:val="left"/>
        </w:tabs>
        <w:numPr>
          <w:ilvl w:val="1"/>
          <w:numId w:val="232"/>
        </w:numPr>
        <w:rPr>
          <w:rFonts w:ascii="Arial" w:cs="Arial" w:eastAsia="Arial" w:hAnsi="Arial"/>
          <w:sz w:val="22"/>
          <w:szCs w:val="22"/>
          <w:color w:val="auto"/>
        </w:rPr>
      </w:pPr>
      <w:r>
        <w:rPr>
          <w:rFonts w:ascii="Arial" w:cs="Arial" w:eastAsia="Arial" w:hAnsi="Arial"/>
          <w:sz w:val="22"/>
          <w:szCs w:val="22"/>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294" w:lineRule="exact"/>
        <w:rPr>
          <w:rFonts w:ascii="Arial" w:cs="Arial" w:eastAsia="Arial" w:hAnsi="Arial"/>
          <w:sz w:val="22"/>
          <w:szCs w:val="22"/>
          <w:color w:val="auto"/>
        </w:rPr>
      </w:pPr>
    </w:p>
    <w:p>
      <w:pPr>
        <w:jc w:val="both"/>
        <w:ind w:left="800" w:firstLine="621"/>
        <w:spacing w:after="0" w:line="252" w:lineRule="auto"/>
        <w:tabs>
          <w:tab w:leader="none" w:pos="2328" w:val="left"/>
        </w:tabs>
        <w:numPr>
          <w:ilvl w:val="0"/>
          <w:numId w:val="233"/>
        </w:numPr>
        <w:rPr>
          <w:rFonts w:ascii="Arial" w:cs="Arial" w:eastAsia="Arial" w:hAnsi="Arial"/>
          <w:sz w:val="21"/>
          <w:szCs w:val="21"/>
          <w:color w:val="auto"/>
        </w:rPr>
      </w:pPr>
      <w:r>
        <w:rPr>
          <w:rFonts w:ascii="Arial" w:cs="Arial" w:eastAsia="Arial" w:hAnsi="Arial"/>
          <w:sz w:val="21"/>
          <w:szCs w:val="21"/>
          <w:color w:val="auto"/>
        </w:rPr>
        <w:t xml:space="preserve">upon confirmation of the delivery of a Substitute Loan for each applicable Collateral Loan being substituted for (the date of such confirmation or delivery, the </w:t>
      </w:r>
      <w:r>
        <w:rPr>
          <w:rFonts w:ascii="Arial" w:cs="Arial" w:eastAsia="Arial" w:hAnsi="Arial"/>
          <w:sz w:val="21"/>
          <w:szCs w:val="21"/>
          <w:i w:val="1"/>
          <w:iCs w:val="1"/>
          <w:color w:val="auto"/>
        </w:rPr>
        <w:t>“Retransfer Date”</w:t>
      </w:r>
      <w:r>
        <w:rPr>
          <w:rFonts w:ascii="Arial" w:cs="Arial" w:eastAsia="Arial" w:hAnsi="Arial"/>
          <w:sz w:val="21"/>
          <w:szCs w:val="21"/>
          <w:color w:val="auto"/>
        </w:rPr>
        <w:t>), each applicable Collateral Loan being substituted for shall be removed from the Collateral and the applicable Substitute Loan(s) shall be included in the Collateral. On the Retransfer Date of a Collateral Loan, the Collateral Agent, for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267" w:right="339" w:bottom="1440" w:gutter="0" w:footer="0" w:header="0"/>
        </w:sectPr>
      </w:pPr>
    </w:p>
    <w:bookmarkStart w:id="160" w:name="page161"/>
    <w:bookmarkEnd w:id="160"/>
    <w:p>
      <w:pPr>
        <w:jc w:val="both"/>
        <w:ind w:left="800"/>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w:t>
      </w:r>
      <w:r>
        <w:rPr>
          <w:rFonts w:ascii="Arial" w:cs="Arial" w:eastAsia="Arial" w:hAnsi="Arial"/>
          <w:sz w:val="21"/>
          <w:szCs w:val="21"/>
          <w:u w:val="single" w:color="auto"/>
          <w:color w:val="auto"/>
        </w:rPr>
        <w:t>Section 10.03</w:t>
      </w:r>
      <w:r>
        <w:rPr>
          <w:rFonts w:ascii="Arial" w:cs="Arial" w:eastAsia="Arial" w:hAnsi="Arial"/>
          <w:sz w:val="21"/>
          <w:szCs w:val="21"/>
          <w:color w:val="auto"/>
        </w:rPr>
        <w:t>; and</w:t>
      </w:r>
    </w:p>
    <w:p>
      <w:pPr>
        <w:spacing w:after="0" w:line="292" w:lineRule="exact"/>
        <w:rPr>
          <w:sz w:val="20"/>
          <w:szCs w:val="20"/>
          <w:color w:val="auto"/>
        </w:rPr>
      </w:pPr>
    </w:p>
    <w:p>
      <w:pPr>
        <w:ind w:left="800" w:firstLine="621"/>
        <w:spacing w:after="0" w:line="250" w:lineRule="auto"/>
        <w:tabs>
          <w:tab w:leader="none" w:pos="2126"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Borrower shall deliver to the Administrative Agent on the date of such substitution a certificate of a Responsible Officer certifying that each of the foregoing is true and correct as of such date.</w:t>
      </w:r>
    </w:p>
    <w:p>
      <w:pPr>
        <w:spacing w:after="0" w:line="283" w:lineRule="exact"/>
        <w:rPr>
          <w:sz w:val="20"/>
          <w:szCs w:val="20"/>
          <w:color w:val="auto"/>
        </w:rPr>
      </w:pPr>
    </w:p>
    <w:p>
      <w:pPr>
        <w:jc w:val="both"/>
        <w:ind w:firstLine="786"/>
        <w:spacing w:after="0" w:line="282" w:lineRule="auto"/>
        <w:rPr>
          <w:sz w:val="20"/>
          <w:szCs w:val="20"/>
          <w:color w:val="auto"/>
        </w:rPr>
      </w:pPr>
      <w:r>
        <w:rPr>
          <w:rFonts w:ascii="Arial" w:cs="Arial" w:eastAsia="Arial" w:hAnsi="Arial"/>
          <w:sz w:val="19"/>
          <w:szCs w:val="19"/>
          <w:i w:val="1"/>
          <w:iCs w:val="1"/>
          <w:color w:val="auto"/>
        </w:rPr>
        <w:t>Section 10.04. Conditions Applicable to All Sale and Purchase Transactions</w:t>
      </w:r>
      <w:r>
        <w:rPr>
          <w:rFonts w:ascii="Arial" w:cs="Arial" w:eastAsia="Arial" w:hAnsi="Arial"/>
          <w:sz w:val="19"/>
          <w:szCs w:val="19"/>
          <w:color w:val="auto"/>
        </w:rPr>
        <w:t>. (a) Any transaction effected under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in connection with the 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255" w:lineRule="exact"/>
        <w:rPr>
          <w:sz w:val="20"/>
          <w:szCs w:val="20"/>
          <w:color w:val="auto"/>
        </w:rPr>
      </w:pPr>
    </w:p>
    <w:p>
      <w:pPr>
        <w:jc w:val="both"/>
        <w:ind w:firstLine="794"/>
        <w:spacing w:after="0" w:line="234" w:lineRule="auto"/>
        <w:tabs>
          <w:tab w:leader="none" w:pos="161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Arial" w:cs="Arial" w:eastAsia="Arial" w:hAnsi="Arial"/>
          <w:sz w:val="22"/>
          <w:szCs w:val="22"/>
          <w:i w:val="1"/>
          <w:iCs w:val="1"/>
          <w:color w:val="auto"/>
        </w:rPr>
        <w:t>“Affiliate Loan Acquisition”</w:t>
      </w:r>
      <w:r>
        <w:rPr>
          <w:rFonts w:ascii="Arial" w:cs="Arial" w:eastAsia="Arial" w:hAnsi="Arial"/>
          <w:sz w:val="22"/>
          <w:szCs w:val="22"/>
          <w:color w:val="auto"/>
        </w:rPr>
        <w:t xml:space="preserve">) (i) all of the Borrower’s right, title and interest to such Collateral Loan shall be subject to the Lien granted to the Collateral Agent pursuant to this Agreement and (ii) such Collateral Loan shall be Delivered to the Collateral Agent (or the Custodian on its behalf, as applicable),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the foregoing, the Related Documents and Loan Checklist may be delivered within ten (10) Business Days of the contribution or acquisition.</w:t>
      </w:r>
    </w:p>
    <w:p>
      <w:pPr>
        <w:spacing w:after="0" w:line="298" w:lineRule="exact"/>
        <w:rPr>
          <w:rFonts w:ascii="Arial" w:cs="Arial" w:eastAsia="Arial" w:hAnsi="Arial"/>
          <w:sz w:val="22"/>
          <w:szCs w:val="22"/>
          <w:color w:val="auto"/>
        </w:rPr>
      </w:pPr>
    </w:p>
    <w:p>
      <w:pPr>
        <w:jc w:val="both"/>
        <w:ind w:firstLine="794"/>
        <w:spacing w:after="0" w:line="233" w:lineRule="auto"/>
        <w:tabs>
          <w:tab w:leader="none" w:pos="137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The Aggregate Principal Balance of the Collateral Loan(s) which are the subject of any sale to an Affiliate of the Borrower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or substitution pursuant to </w:t>
      </w:r>
      <w:r>
        <w:rPr>
          <w:rFonts w:ascii="Arial" w:cs="Arial" w:eastAsia="Arial" w:hAnsi="Arial"/>
          <w:sz w:val="22"/>
          <w:szCs w:val="22"/>
          <w:u w:val="single" w:color="auto"/>
          <w:color w:val="auto"/>
        </w:rPr>
        <w:t>Section 10.03</w:t>
      </w:r>
      <w:r>
        <w:rPr>
          <w:rFonts w:ascii="Arial" w:cs="Arial" w:eastAsia="Arial" w:hAnsi="Arial"/>
          <w:sz w:val="22"/>
          <w:szCs w:val="22"/>
          <w:color w:val="auto"/>
        </w:rPr>
        <w:t xml:space="preserve">,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Net Purchased Loan Balance;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sum of the Aggregate Principal Balance of all Defaulted Collateral Loans or Ineligible Collateral Loans sold to Affiliates or substituted in the 12 month period preceding the proposed date of sale or substitution (or such lesser number of months as shall have elapsed since the Closing Date) shall not exceed 10% of the Net Purchased Loan Balance. For the avoidance of doubt, the foregoing limitations shall not apply (i) to Warranty Loans (as defined in the Purchase and Sale Agreement) or (ii) where Collateral Loans are sold by the Borrower in connection with a Permitted Securitization.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267" w:right="339" w:bottom="1440" w:gutter="0" w:footer="0" w:header="0"/>
        </w:sectPr>
      </w:pPr>
    </w:p>
    <w:bookmarkStart w:id="161" w:name="page162"/>
    <w:bookmarkEnd w:id="161"/>
    <w:p>
      <w:pPr>
        <w:jc w:val="both"/>
        <w:ind w:firstLine="337"/>
        <w:spacing w:after="0" w:line="248" w:lineRule="auto"/>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10.05. Additional Equity Contributions</w:t>
      </w:r>
      <w:r>
        <w:rPr>
          <w:rFonts w:ascii="Arial" w:cs="Arial" w:eastAsia="Arial" w:hAnsi="Arial"/>
          <w:sz w:val="21"/>
          <w:szCs w:val="21"/>
          <w:color w:val="auto"/>
        </w:rPr>
        <w:t>. The BDC may, but shall have no obligation to, at any time or from time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to time contribute additional equity to the Borrower, including for the purpose of curing any Default, satisfying any Coverage Test, enabling the acquisition or sale of any Collateral Loan or satisfying any conditions under </w:t>
      </w:r>
      <w:r>
        <w:rPr>
          <w:rFonts w:ascii="Arial" w:cs="Arial" w:eastAsia="Arial" w:hAnsi="Arial"/>
          <w:sz w:val="21"/>
          <w:szCs w:val="21"/>
          <w:u w:val="single" w:color="auto"/>
          <w:color w:val="auto"/>
        </w:rPr>
        <w:t>Section 3.02</w:t>
      </w:r>
      <w:r>
        <w:rPr>
          <w:rFonts w:ascii="Arial" w:cs="Arial" w:eastAsia="Arial" w:hAnsi="Arial"/>
          <w:sz w:val="21"/>
          <w:szCs w:val="21"/>
          <w:color w:val="auto"/>
        </w:rPr>
        <w:t>. Each equity contribution shall either be made (i) in Cash, (ii) by assignment and contribution of an Eligible Investment and/or (iii) by assignment and contribution of a Collateral Loan. All Cash contributed to the Borrower shall be treated as Principal Proceeds except to the extent that the Collateral Manager specifies that they shall constitute Interest Proceeds.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XI</w:t>
      </w:r>
    </w:p>
    <w:p>
      <w:pPr>
        <w:spacing w:after="0" w:line="355"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DMINISTRATION AND</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ERVICING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ONTRACTS</w:t>
      </w:r>
    </w:p>
    <w:p>
      <w:pPr>
        <w:spacing w:after="0" w:line="320"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22"/>
          <w:szCs w:val="22"/>
          <w:i w:val="1"/>
          <w:iCs w:val="1"/>
          <w:color w:val="auto"/>
        </w:rPr>
        <w:t>Section 11.01.</w:t>
      </w:r>
      <w:r>
        <w:rPr>
          <w:sz w:val="20"/>
          <w:szCs w:val="20"/>
          <w:color w:val="auto"/>
        </w:rPr>
        <w:tab/>
      </w:r>
      <w:r>
        <w:rPr>
          <w:rFonts w:ascii="Arial" w:cs="Arial" w:eastAsia="Arial" w:hAnsi="Arial"/>
          <w:sz w:val="19"/>
          <w:szCs w:val="19"/>
          <w:i w:val="1"/>
          <w:iCs w:val="1"/>
          <w:color w:val="auto"/>
        </w:rPr>
        <w:t>Designation of the Collateral Manager.</w:t>
      </w:r>
    </w:p>
    <w:p>
      <w:pPr>
        <w:spacing w:after="0" w:line="314" w:lineRule="exact"/>
        <w:rPr>
          <w:sz w:val="20"/>
          <w:szCs w:val="20"/>
          <w:color w:val="auto"/>
        </w:rPr>
      </w:pPr>
    </w:p>
    <w:p>
      <w:pPr>
        <w:jc w:val="both"/>
        <w:ind w:firstLine="794"/>
        <w:spacing w:after="0" w:line="282" w:lineRule="auto"/>
        <w:tabs>
          <w:tab w:leader="none" w:pos="1350" w:val="left"/>
        </w:tabs>
        <w:numPr>
          <w:ilvl w:val="0"/>
          <w:numId w:val="236"/>
        </w:numPr>
        <w:rPr>
          <w:rFonts w:ascii="Arial" w:cs="Arial" w:eastAsia="Arial" w:hAnsi="Arial"/>
          <w:sz w:val="19"/>
          <w:szCs w:val="19"/>
          <w:color w:val="auto"/>
        </w:rPr>
      </w:pPr>
      <w:r>
        <w:rPr>
          <w:rFonts w:ascii="Arial" w:cs="Arial" w:eastAsia="Arial" w:hAnsi="Arial"/>
          <w:sz w:val="19"/>
          <w:szCs w:val="19"/>
          <w:i w:val="1"/>
          <w:iCs w:val="1"/>
          <w:color w:val="auto"/>
        </w:rPr>
        <w:t>Initial Collateral Manager</w:t>
      </w:r>
      <w:r>
        <w:rPr>
          <w:rFonts w:ascii="Arial" w:cs="Arial" w:eastAsia="Arial" w:hAnsi="Arial"/>
          <w:sz w:val="19"/>
          <w:szCs w:val="19"/>
          <w:color w:val="auto"/>
        </w:rPr>
        <w:t>. The servicing, administering and collection of the Collateral shall be conducted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accordance with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255" w:lineRule="exact"/>
        <w:rPr>
          <w:rFonts w:ascii="Arial" w:cs="Arial" w:eastAsia="Arial" w:hAnsi="Arial"/>
          <w:sz w:val="19"/>
          <w:szCs w:val="19"/>
          <w:color w:val="auto"/>
        </w:rPr>
      </w:pPr>
    </w:p>
    <w:p>
      <w:pPr>
        <w:jc w:val="both"/>
        <w:ind w:firstLine="794"/>
        <w:spacing w:after="0" w:line="248" w:lineRule="auto"/>
        <w:tabs>
          <w:tab w:leader="none" w:pos="1551" w:val="left"/>
        </w:tabs>
        <w:numPr>
          <w:ilvl w:val="0"/>
          <w:numId w:val="236"/>
        </w:numPr>
        <w:rPr>
          <w:rFonts w:ascii="Arial" w:cs="Arial" w:eastAsia="Arial" w:hAnsi="Arial"/>
          <w:sz w:val="21"/>
          <w:szCs w:val="21"/>
          <w:color w:val="auto"/>
        </w:rPr>
      </w:pPr>
      <w:r>
        <w:rPr>
          <w:rFonts w:ascii="Arial" w:cs="Arial" w:eastAsia="Arial" w:hAnsi="Arial"/>
          <w:sz w:val="21"/>
          <w:szCs w:val="21"/>
          <w:i w:val="1"/>
          <w:iCs w:val="1"/>
          <w:color w:val="auto"/>
        </w:rPr>
        <w:t>Subcontracts</w:t>
      </w:r>
      <w:r>
        <w:rPr>
          <w:rFonts w:ascii="Arial" w:cs="Arial" w:eastAsia="Arial" w:hAnsi="Arial"/>
          <w:sz w:val="21"/>
          <w:szCs w:val="21"/>
          <w:color w:val="auto"/>
        </w:rPr>
        <w:t>. The Collateral Manager may, with the prior written consent of the Administrative Agent,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subcontract with any other Person for servicing, administering or collecting the Collateral;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w:t>
      </w:r>
    </w:p>
    <w:p>
      <w:pPr>
        <w:spacing w:after="0" w:line="285"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22"/>
          <w:szCs w:val="22"/>
          <w:i w:val="1"/>
          <w:iCs w:val="1"/>
          <w:color w:val="auto"/>
        </w:rPr>
        <w:t>Section 11.02.</w:t>
      </w:r>
      <w:r>
        <w:rPr>
          <w:sz w:val="20"/>
          <w:szCs w:val="20"/>
          <w:color w:val="auto"/>
        </w:rPr>
        <w:tab/>
      </w:r>
      <w:r>
        <w:rPr>
          <w:rFonts w:ascii="Arial" w:cs="Arial" w:eastAsia="Arial" w:hAnsi="Arial"/>
          <w:sz w:val="19"/>
          <w:szCs w:val="19"/>
          <w:i w:val="1"/>
          <w:iCs w:val="1"/>
          <w:color w:val="auto"/>
        </w:rPr>
        <w:t>Duties of the Collateral Manager.</w:t>
      </w:r>
    </w:p>
    <w:p>
      <w:pPr>
        <w:spacing w:after="0" w:line="314" w:lineRule="exact"/>
        <w:rPr>
          <w:sz w:val="20"/>
          <w:szCs w:val="20"/>
          <w:color w:val="auto"/>
        </w:rPr>
      </w:pPr>
    </w:p>
    <w:p>
      <w:pPr>
        <w:jc w:val="both"/>
        <w:ind w:firstLine="794"/>
        <w:spacing w:after="0" w:line="297" w:lineRule="auto"/>
        <w:tabs>
          <w:tab w:leader="none" w:pos="1336" w:val="left"/>
        </w:tabs>
        <w:numPr>
          <w:ilvl w:val="0"/>
          <w:numId w:val="237"/>
        </w:numPr>
        <w:rPr>
          <w:rFonts w:ascii="Arial" w:cs="Arial" w:eastAsia="Arial" w:hAnsi="Arial"/>
          <w:sz w:val="19"/>
          <w:szCs w:val="19"/>
          <w:color w:val="auto"/>
        </w:rPr>
      </w:pPr>
      <w:r>
        <w:rPr>
          <w:rFonts w:ascii="Arial" w:cs="Arial" w:eastAsia="Arial" w:hAnsi="Arial"/>
          <w:sz w:val="19"/>
          <w:szCs w:val="19"/>
          <w:i w:val="1"/>
          <w:iCs w:val="1"/>
          <w:color w:val="auto"/>
        </w:rPr>
        <w:t>Duties</w:t>
      </w:r>
      <w:r>
        <w:rPr>
          <w:rFonts w:ascii="Arial" w:cs="Arial" w:eastAsia="Arial" w:hAnsi="Arial"/>
          <w:sz w:val="19"/>
          <w:szCs w:val="19"/>
          <w:color w:val="auto"/>
        </w:rPr>
        <w:t>. The Collateral Manager shall take or cause to be taken all such actions as may be necessary or advisable</w:t>
      </w:r>
      <w:r>
        <w:rPr>
          <w:rFonts w:ascii="Arial" w:cs="Arial" w:eastAsia="Arial" w:hAnsi="Arial"/>
          <w:sz w:val="19"/>
          <w:szCs w:val="19"/>
          <w:i w:val="1"/>
          <w:iCs w:val="1"/>
          <w:color w:val="auto"/>
        </w:rPr>
        <w:t xml:space="preserve"> </w:t>
      </w:r>
      <w:r>
        <w:rPr>
          <w:rFonts w:ascii="Arial" w:cs="Arial" w:eastAsia="Arial" w:hAnsi="Arial"/>
          <w:sz w:val="19"/>
          <w:szCs w:val="19"/>
          <w:color w:val="auto"/>
        </w:rPr>
        <w:t>to service, administer and collect on the Collateral from time to time, all in accordance with Applicable Law and the Collateral Management Standard. Without limiting the foregoing, the duties of the Collateral Manager shall include the following:</w:t>
      </w:r>
    </w:p>
    <w:p>
      <w:pPr>
        <w:spacing w:after="0" w:line="241" w:lineRule="exact"/>
        <w:rPr>
          <w:rFonts w:ascii="Arial" w:cs="Arial" w:eastAsia="Arial" w:hAnsi="Arial"/>
          <w:sz w:val="19"/>
          <w:szCs w:val="19"/>
          <w:color w:val="auto"/>
        </w:rPr>
      </w:pPr>
    </w:p>
    <w:p>
      <w:pPr>
        <w:jc w:val="both"/>
        <w:ind w:left="800" w:firstLine="705"/>
        <w:spacing w:after="0"/>
        <w:tabs>
          <w:tab w:leader="none" w:pos="2138" w:val="left"/>
        </w:tabs>
        <w:numPr>
          <w:ilvl w:val="1"/>
          <w:numId w:val="237"/>
        </w:numPr>
        <w:rPr>
          <w:rFonts w:ascii="Arial" w:cs="Arial" w:eastAsia="Arial" w:hAnsi="Arial"/>
          <w:sz w:val="22"/>
          <w:szCs w:val="22"/>
          <w:color w:val="auto"/>
        </w:rPr>
      </w:pPr>
      <w:r>
        <w:rPr>
          <w:rFonts w:ascii="Arial" w:cs="Arial" w:eastAsia="Arial" w:hAnsi="Arial"/>
          <w:sz w:val="22"/>
          <w:szCs w:val="22"/>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294" w:lineRule="exact"/>
        <w:rPr>
          <w:sz w:val="20"/>
          <w:szCs w:val="20"/>
          <w:color w:val="auto"/>
        </w:rPr>
      </w:pPr>
    </w:p>
    <w:p>
      <w:pPr>
        <w:ind w:left="5400" w:right="3280" w:hanging="3979"/>
        <w:spacing w:after="0" w:line="391" w:lineRule="auto"/>
        <w:tabs>
          <w:tab w:leader="none" w:pos="1965" w:val="left"/>
        </w:tabs>
        <w:numPr>
          <w:ilvl w:val="0"/>
          <w:numId w:val="238"/>
        </w:numPr>
        <w:rPr>
          <w:rFonts w:ascii="Arial" w:cs="Arial" w:eastAsia="Arial" w:hAnsi="Arial"/>
          <w:sz w:val="22"/>
          <w:szCs w:val="22"/>
          <w:color w:val="auto"/>
        </w:rPr>
      </w:pPr>
      <w:r>
        <w:rPr>
          <w:rFonts w:ascii="Arial" w:cs="Arial" w:eastAsia="Arial" w:hAnsi="Arial"/>
          <w:sz w:val="22"/>
          <w:szCs w:val="22"/>
          <w:color w:val="auto"/>
        </w:rPr>
        <w:t>preparing and submitting claims to Obligors on each Collateral Loan; -121-</w:t>
      </w:r>
    </w:p>
    <w:p>
      <w:pPr>
        <w:sectPr>
          <w:pgSz w:w="11900" w:h="16838" w:orient="portrait"/>
          <w:cols w:equalWidth="0" w:num="1">
            <w:col w:w="11240"/>
          </w:cols>
          <w:pgMar w:left="320" w:top="267" w:right="339" w:bottom="1440" w:gutter="0" w:footer="0" w:header="0"/>
        </w:sectPr>
      </w:pPr>
    </w:p>
    <w:bookmarkStart w:id="162" w:name="page163"/>
    <w:bookmarkEnd w:id="162"/>
    <w:p>
      <w:pPr>
        <w:ind w:left="1060" w:hanging="651"/>
        <w:spacing w:after="0"/>
        <w:tabs>
          <w:tab w:leader="none" w:pos="10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maintaining all necessary servicing records with respect to the Collateral;</w:t>
      </w:r>
    </w:p>
    <w:p>
      <w:pPr>
        <w:spacing w:after="0" w:line="314" w:lineRule="exact"/>
        <w:rPr>
          <w:rFonts w:ascii="Arial" w:cs="Arial" w:eastAsia="Arial" w:hAnsi="Arial"/>
          <w:sz w:val="22"/>
          <w:szCs w:val="22"/>
          <w:color w:val="auto"/>
        </w:rPr>
      </w:pPr>
    </w:p>
    <w:p>
      <w:pPr>
        <w:jc w:val="both"/>
        <w:ind w:left="-320" w:firstLine="756"/>
        <w:spacing w:after="0" w:line="238" w:lineRule="auto"/>
        <w:tabs>
          <w:tab w:leader="none" w:pos="1159" w:val="left"/>
        </w:tabs>
        <w:numPr>
          <w:ilvl w:val="1"/>
          <w:numId w:val="239"/>
        </w:numPr>
        <w:rPr>
          <w:rFonts w:ascii="Arial" w:cs="Arial" w:eastAsia="Arial" w:hAnsi="Arial"/>
          <w:sz w:val="22"/>
          <w:szCs w:val="22"/>
          <w:color w:val="auto"/>
        </w:rPr>
      </w:pPr>
      <w:r>
        <w:rPr>
          <w:rFonts w:ascii="Arial" w:cs="Arial" w:eastAsia="Arial" w:hAnsi="Arial"/>
          <w:sz w:val="22"/>
          <w:szCs w:val="22"/>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292" w:lineRule="exact"/>
        <w:rPr>
          <w:rFonts w:ascii="Arial" w:cs="Arial" w:eastAsia="Arial" w:hAnsi="Arial"/>
          <w:sz w:val="22"/>
          <w:szCs w:val="22"/>
          <w:color w:val="auto"/>
        </w:rPr>
      </w:pPr>
    </w:p>
    <w:p>
      <w:pPr>
        <w:jc w:val="both"/>
        <w:ind w:left="-320" w:firstLine="872"/>
        <w:spacing w:after="0" w:line="238" w:lineRule="auto"/>
        <w:tabs>
          <w:tab w:leader="none" w:pos="1311" w:val="left"/>
        </w:tabs>
        <w:numPr>
          <w:ilvl w:val="3"/>
          <w:numId w:val="239"/>
        </w:numPr>
        <w:rPr>
          <w:rFonts w:ascii="Arial" w:cs="Arial" w:eastAsia="Arial" w:hAnsi="Arial"/>
          <w:sz w:val="22"/>
          <w:szCs w:val="22"/>
          <w:color w:val="auto"/>
        </w:rPr>
      </w:pPr>
      <w:r>
        <w:rPr>
          <w:rFonts w:ascii="Arial" w:cs="Arial" w:eastAsia="Arial" w:hAnsi="Arial"/>
          <w:sz w:val="22"/>
          <w:szCs w:val="22"/>
          <w:color w:val="auto"/>
        </w:rPr>
        <w:t>promptly delivering to the Administrative Agent, each Lender, the Collateral Administrator or the Collateral Agent, from time to time, such information and servicing records (including information relating to its performance under this Agreement) as the Administrative Agent, the Collateral Administrator or the Collateral Agent may from time to time reasonably request;</w:t>
      </w:r>
    </w:p>
    <w:p>
      <w:pPr>
        <w:spacing w:after="0" w:line="292" w:lineRule="exact"/>
        <w:rPr>
          <w:rFonts w:ascii="Arial" w:cs="Arial" w:eastAsia="Arial" w:hAnsi="Arial"/>
          <w:sz w:val="22"/>
          <w:szCs w:val="22"/>
          <w:color w:val="auto"/>
        </w:rPr>
      </w:pPr>
    </w:p>
    <w:p>
      <w:pPr>
        <w:jc w:val="both"/>
        <w:ind w:left="-320" w:firstLine="747"/>
        <w:spacing w:after="0"/>
        <w:tabs>
          <w:tab w:leader="none" w:pos="1124" w:val="left"/>
        </w:tabs>
        <w:numPr>
          <w:ilvl w:val="2"/>
          <w:numId w:val="239"/>
        </w:numPr>
        <w:rPr>
          <w:rFonts w:ascii="Arial" w:cs="Arial" w:eastAsia="Arial" w:hAnsi="Arial"/>
          <w:sz w:val="22"/>
          <w:szCs w:val="22"/>
          <w:color w:val="auto"/>
        </w:rPr>
      </w:pPr>
      <w:r>
        <w:rPr>
          <w:rFonts w:ascii="Arial" w:cs="Arial" w:eastAsia="Arial" w:hAnsi="Arial"/>
          <w:sz w:val="22"/>
          <w:szCs w:val="22"/>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294" w:lineRule="exact"/>
        <w:rPr>
          <w:rFonts w:ascii="Arial" w:cs="Arial" w:eastAsia="Arial" w:hAnsi="Arial"/>
          <w:sz w:val="22"/>
          <w:szCs w:val="22"/>
          <w:color w:val="auto"/>
        </w:rPr>
      </w:pPr>
    </w:p>
    <w:p>
      <w:pPr>
        <w:jc w:val="both"/>
        <w:ind w:left="-320" w:firstLine="755"/>
        <w:spacing w:after="0" w:line="238" w:lineRule="auto"/>
        <w:tabs>
          <w:tab w:leader="none" w:pos="1213" w:val="left"/>
        </w:tabs>
        <w:numPr>
          <w:ilvl w:val="2"/>
          <w:numId w:val="239"/>
        </w:numPr>
        <w:rPr>
          <w:rFonts w:ascii="Arial" w:cs="Arial" w:eastAsia="Arial" w:hAnsi="Arial"/>
          <w:sz w:val="22"/>
          <w:szCs w:val="22"/>
          <w:color w:val="auto"/>
        </w:rPr>
      </w:pPr>
      <w:r>
        <w:rPr>
          <w:rFonts w:ascii="Arial" w:cs="Arial" w:eastAsia="Arial" w:hAnsi="Arial"/>
          <w:sz w:val="22"/>
          <w:szCs w:val="22"/>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293" w:lineRule="exact"/>
        <w:rPr>
          <w:sz w:val="20"/>
          <w:szCs w:val="20"/>
          <w:color w:val="auto"/>
        </w:rPr>
      </w:pPr>
    </w:p>
    <w:p>
      <w:pPr>
        <w:ind w:left="-320" w:firstLine="675"/>
        <w:spacing w:after="0" w:line="250" w:lineRule="auto"/>
        <w:tabs>
          <w:tab w:leader="none" w:pos="1121" w:val="left"/>
        </w:tabs>
        <w:numPr>
          <w:ilvl w:val="0"/>
          <w:numId w:val="240"/>
        </w:numPr>
        <w:rPr>
          <w:rFonts w:ascii="Arial" w:cs="Arial" w:eastAsia="Arial" w:hAnsi="Arial"/>
          <w:sz w:val="22"/>
          <w:szCs w:val="22"/>
          <w:color w:val="auto"/>
        </w:rPr>
      </w:pPr>
      <w:r>
        <w:rPr>
          <w:rFonts w:ascii="Arial" w:cs="Arial" w:eastAsia="Arial" w:hAnsi="Arial"/>
          <w:sz w:val="22"/>
          <w:szCs w:val="22"/>
          <w:color w:val="auto"/>
        </w:rPr>
        <w:t>maintaining the perfected security interest of the Collateral Agent, for the benefit of the Secured Parties, in the Collateral;</w:t>
      </w:r>
    </w:p>
    <w:p>
      <w:pPr>
        <w:spacing w:after="0" w:line="283" w:lineRule="exact"/>
        <w:rPr>
          <w:sz w:val="20"/>
          <w:szCs w:val="20"/>
          <w:color w:val="auto"/>
        </w:rPr>
      </w:pPr>
    </w:p>
    <w:p>
      <w:pPr>
        <w:jc w:val="both"/>
        <w:ind w:left="-320" w:firstLine="765"/>
        <w:spacing w:after="0"/>
        <w:tabs>
          <w:tab w:leader="none" w:pos="1195" w:val="left"/>
        </w:tabs>
        <w:numPr>
          <w:ilvl w:val="2"/>
          <w:numId w:val="241"/>
        </w:numPr>
        <w:rPr>
          <w:rFonts w:ascii="Arial" w:cs="Arial" w:eastAsia="Arial" w:hAnsi="Arial"/>
          <w:sz w:val="22"/>
          <w:szCs w:val="22"/>
          <w:color w:val="auto"/>
        </w:rPr>
      </w:pPr>
      <w:r>
        <w:rPr>
          <w:rFonts w:ascii="Arial" w:cs="Arial" w:eastAsia="Arial" w:hAnsi="Arial"/>
          <w:sz w:val="22"/>
          <w:szCs w:val="22"/>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294" w:lineRule="exact"/>
        <w:rPr>
          <w:rFonts w:ascii="Arial" w:cs="Arial" w:eastAsia="Arial" w:hAnsi="Arial"/>
          <w:sz w:val="22"/>
          <w:szCs w:val="22"/>
          <w:color w:val="auto"/>
        </w:rPr>
      </w:pPr>
    </w:p>
    <w:p>
      <w:pPr>
        <w:ind w:left="-320" w:right="20" w:firstLine="820"/>
        <w:spacing w:after="0" w:line="250" w:lineRule="auto"/>
        <w:tabs>
          <w:tab w:leader="none" w:pos="1156" w:val="left"/>
        </w:tabs>
        <w:numPr>
          <w:ilvl w:val="2"/>
          <w:numId w:val="241"/>
        </w:numPr>
        <w:rPr>
          <w:rFonts w:ascii="Arial" w:cs="Arial" w:eastAsia="Arial" w:hAnsi="Arial"/>
          <w:sz w:val="22"/>
          <w:szCs w:val="22"/>
          <w:color w:val="auto"/>
        </w:rPr>
      </w:pPr>
      <w:r>
        <w:rPr>
          <w:rFonts w:ascii="Arial" w:cs="Arial" w:eastAsia="Arial" w:hAnsi="Arial"/>
          <w:sz w:val="22"/>
          <w:szCs w:val="22"/>
          <w:color w:val="auto"/>
        </w:rPr>
        <w:t>directing the Collateral Agent to make payments pursuant to the terms of the Payment Date Report in accordance with the Priority of Payments;</w:t>
      </w:r>
    </w:p>
    <w:p>
      <w:pPr>
        <w:spacing w:after="0" w:line="282" w:lineRule="exact"/>
        <w:rPr>
          <w:rFonts w:ascii="Arial" w:cs="Arial" w:eastAsia="Arial" w:hAnsi="Arial"/>
          <w:sz w:val="22"/>
          <w:szCs w:val="22"/>
          <w:color w:val="auto"/>
        </w:rPr>
      </w:pPr>
    </w:p>
    <w:p>
      <w:pPr>
        <w:ind w:left="1040" w:hanging="631"/>
        <w:spacing w:after="0"/>
        <w:tabs>
          <w:tab w:leader="none" w:pos="104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directing the acquisition, sale or substitution of Collateral in accordance with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314" w:lineRule="exact"/>
        <w:rPr>
          <w:rFonts w:ascii="Arial" w:cs="Arial" w:eastAsia="Arial" w:hAnsi="Arial"/>
          <w:sz w:val="22"/>
          <w:szCs w:val="22"/>
          <w:color w:val="auto"/>
        </w:rPr>
      </w:pPr>
    </w:p>
    <w:p>
      <w:pPr>
        <w:ind w:left="1060" w:hanging="705"/>
        <w:spacing w:after="0"/>
        <w:tabs>
          <w:tab w:leader="none" w:pos="106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providing assistance to the Borrower with respect to the purchase and sale of the Collateral Loans;</w:t>
      </w:r>
    </w:p>
    <w:p>
      <w:pPr>
        <w:spacing w:after="0" w:line="348" w:lineRule="exact"/>
        <w:rPr>
          <w:rFonts w:ascii="Arial" w:cs="Arial" w:eastAsia="Arial" w:hAnsi="Arial"/>
          <w:sz w:val="19"/>
          <w:szCs w:val="19"/>
          <w:color w:val="auto"/>
        </w:rPr>
      </w:pPr>
    </w:p>
    <w:p>
      <w:pPr>
        <w:ind w:left="-320" w:firstLine="621"/>
        <w:spacing w:after="0" w:line="250" w:lineRule="auto"/>
        <w:tabs>
          <w:tab w:leader="none" w:pos="1067" w:val="left"/>
        </w:tabs>
        <w:numPr>
          <w:ilvl w:val="1"/>
          <w:numId w:val="242"/>
        </w:numPr>
        <w:rPr>
          <w:rFonts w:ascii="Arial" w:cs="Arial" w:eastAsia="Arial" w:hAnsi="Arial"/>
          <w:sz w:val="22"/>
          <w:szCs w:val="22"/>
          <w:color w:val="auto"/>
        </w:rPr>
      </w:pPr>
      <w:r>
        <w:rPr>
          <w:rFonts w:ascii="Arial" w:cs="Arial" w:eastAsia="Arial" w:hAnsi="Arial"/>
          <w:sz w:val="22"/>
          <w:szCs w:val="22"/>
          <w:color w:val="auto"/>
        </w:rPr>
        <w:t>instructing the Obligors and the administrative agents on the Collateral Loans to make payments directly into the Collection Account;</w:t>
      </w:r>
    </w:p>
    <w:p>
      <w:pPr>
        <w:spacing w:after="0" w:line="107"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0120"/>
          </w:cols>
          <w:pgMar w:left="1440" w:top="267" w:right="339" w:bottom="1440" w:gutter="0" w:footer="0" w:header="0"/>
        </w:sectPr>
      </w:pPr>
    </w:p>
    <w:bookmarkStart w:id="163" w:name="page164"/>
    <w:bookmarkEnd w:id="163"/>
    <w:p>
      <w:pPr>
        <w:jc w:val="both"/>
        <w:ind w:left="800" w:firstLine="621"/>
        <w:spacing w:after="0" w:line="257" w:lineRule="auto"/>
        <w:tabs>
          <w:tab w:leader="none" w:pos="2351" w:val="left"/>
        </w:tabs>
        <w:numPr>
          <w:ilvl w:val="0"/>
          <w:numId w:val="243"/>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169" w:lineRule="exact"/>
        <w:rPr>
          <w:rFonts w:ascii="Arial" w:cs="Arial" w:eastAsia="Arial" w:hAnsi="Arial"/>
          <w:sz w:val="21"/>
          <w:szCs w:val="21"/>
          <w:color w:val="auto"/>
        </w:rPr>
      </w:pPr>
    </w:p>
    <w:p>
      <w:pPr>
        <w:ind w:left="2340" w:hanging="839"/>
        <w:spacing w:after="0"/>
        <w:tabs>
          <w:tab w:leader="none" w:pos="2340" w:val="left"/>
        </w:tabs>
        <w:numPr>
          <w:ilvl w:val="1"/>
          <w:numId w:val="243"/>
        </w:numPr>
        <w:rPr>
          <w:rFonts w:ascii="Arial" w:cs="Arial" w:eastAsia="Arial" w:hAnsi="Arial"/>
          <w:sz w:val="19"/>
          <w:szCs w:val="19"/>
          <w:color w:val="auto"/>
        </w:rPr>
      </w:pPr>
      <w:r>
        <w:rPr>
          <w:rFonts w:ascii="Arial" w:cs="Arial" w:eastAsia="Arial" w:hAnsi="Arial"/>
          <w:sz w:val="19"/>
          <w:szCs w:val="19"/>
          <w:color w:val="auto"/>
        </w:rPr>
        <w:t>complying with such other duties and responsibilities as required of the Collateral Manager by this</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786"/>
        <w:spacing w:after="0" w:line="257" w:lineRule="auto"/>
        <w:rPr>
          <w:sz w:val="20"/>
          <w:szCs w:val="20"/>
          <w:color w:val="auto"/>
        </w:rPr>
      </w:pPr>
      <w:r>
        <w:rPr>
          <w:rFonts w:ascii="Arial" w:cs="Arial" w:eastAsia="Arial" w:hAnsi="Arial"/>
          <w:sz w:val="21"/>
          <w:szCs w:val="21"/>
          <w:color w:val="auto"/>
        </w:rPr>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169" w:lineRule="exact"/>
        <w:rPr>
          <w:sz w:val="20"/>
          <w:szCs w:val="20"/>
          <w:color w:val="auto"/>
        </w:rPr>
      </w:pPr>
    </w:p>
    <w:p>
      <w:pPr>
        <w:jc w:val="both"/>
        <w:ind w:firstLine="794"/>
        <w:spacing w:after="0" w:line="235" w:lineRule="auto"/>
        <w:tabs>
          <w:tab w:leader="none" w:pos="1362" w:val="left"/>
        </w:tabs>
        <w:numPr>
          <w:ilvl w:val="0"/>
          <w:numId w:val="244"/>
        </w:numPr>
        <w:rPr>
          <w:rFonts w:ascii="Arial" w:cs="Arial" w:eastAsia="Arial" w:hAnsi="Arial"/>
          <w:sz w:val="22"/>
          <w:szCs w:val="22"/>
          <w:color w:val="auto"/>
        </w:rPr>
      </w:pPr>
      <w:r>
        <w:rPr>
          <w:rFonts w:ascii="Arial" w:cs="Arial" w:eastAsia="Arial" w:hAnsi="Arial"/>
          <w:sz w:val="22"/>
          <w:szCs w:val="22"/>
          <w:i w:val="1"/>
          <w:iCs w:val="1"/>
          <w:color w:val="auto"/>
        </w:rPr>
        <w:t>Exercise of Remedies Not Release</w:t>
      </w:r>
      <w:r>
        <w:rPr>
          <w:rFonts w:ascii="Arial" w:cs="Arial" w:eastAsia="Arial" w:hAnsi="Arial"/>
          <w:sz w:val="22"/>
          <w:szCs w:val="22"/>
          <w:color w:val="auto"/>
        </w:rPr>
        <w:t>. Notwithstanding anything to the contrary contained herein, the exercise by</w:t>
      </w:r>
      <w:r>
        <w:rPr>
          <w:rFonts w:ascii="Arial" w:cs="Arial" w:eastAsia="Arial" w:hAnsi="Arial"/>
          <w:sz w:val="22"/>
          <w:szCs w:val="22"/>
          <w:i w:val="1"/>
          <w:iCs w:val="1"/>
          <w:color w:val="auto"/>
        </w:rPr>
        <w:t xml:space="preserve"> </w:t>
      </w:r>
      <w:r>
        <w:rPr>
          <w:rFonts w:ascii="Arial" w:cs="Arial" w:eastAsia="Arial" w:hAnsi="Arial"/>
          <w:sz w:val="22"/>
          <w:szCs w:val="22"/>
          <w:color w:val="auto"/>
        </w:rPr>
        <w:t>the Administrative Agent, the 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187" w:lineRule="exact"/>
        <w:rPr>
          <w:rFonts w:ascii="Arial" w:cs="Arial" w:eastAsia="Arial" w:hAnsi="Arial"/>
          <w:sz w:val="22"/>
          <w:szCs w:val="22"/>
          <w:color w:val="auto"/>
        </w:rPr>
      </w:pPr>
    </w:p>
    <w:p>
      <w:pPr>
        <w:jc w:val="both"/>
        <w:ind w:firstLine="794"/>
        <w:spacing w:after="0" w:line="236" w:lineRule="auto"/>
        <w:tabs>
          <w:tab w:leader="none" w:pos="1336" w:val="left"/>
        </w:tabs>
        <w:numPr>
          <w:ilvl w:val="0"/>
          <w:numId w:val="244"/>
        </w:numPr>
        <w:rPr>
          <w:rFonts w:ascii="Arial" w:cs="Arial" w:eastAsia="Arial" w:hAnsi="Arial"/>
          <w:sz w:val="22"/>
          <w:szCs w:val="22"/>
          <w:color w:val="auto"/>
        </w:rPr>
      </w:pPr>
      <w:r>
        <w:rPr>
          <w:rFonts w:ascii="Arial" w:cs="Arial" w:eastAsia="Arial" w:hAnsi="Arial"/>
          <w:sz w:val="22"/>
          <w:szCs w:val="22"/>
          <w:i w:val="1"/>
          <w:iCs w:val="1"/>
          <w:color w:val="auto"/>
        </w:rPr>
        <w:t xml:space="preserve">Application of Obligor Payments. </w:t>
      </w:r>
      <w:r>
        <w:rPr>
          <w:rFonts w:ascii="Arial" w:cs="Arial" w:eastAsia="Arial" w:hAnsi="Arial"/>
          <w:sz w:val="22"/>
          <w:szCs w:val="22"/>
          <w:color w:val="auto"/>
        </w:rPr>
        <w:t>Any payment by an Obligor in respect of any indebtedness owed by it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shall, except as 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87" w:lineRule="exact"/>
        <w:rPr>
          <w:rFonts w:ascii="Arial" w:cs="Arial" w:eastAsia="Arial" w:hAnsi="Arial"/>
          <w:sz w:val="22"/>
          <w:szCs w:val="22"/>
          <w:color w:val="auto"/>
        </w:rPr>
      </w:pPr>
    </w:p>
    <w:p>
      <w:pPr>
        <w:jc w:val="both"/>
        <w:ind w:firstLine="794"/>
        <w:spacing w:after="0"/>
        <w:tabs>
          <w:tab w:leader="none" w:pos="1389" w:val="left"/>
        </w:tabs>
        <w:numPr>
          <w:ilvl w:val="0"/>
          <w:numId w:val="244"/>
        </w:numPr>
        <w:rPr>
          <w:rFonts w:ascii="Arial" w:cs="Arial" w:eastAsia="Arial" w:hAnsi="Arial"/>
          <w:sz w:val="22"/>
          <w:szCs w:val="22"/>
          <w:color w:val="auto"/>
        </w:rPr>
      </w:pPr>
      <w:r>
        <w:rPr>
          <w:rFonts w:ascii="Arial" w:cs="Arial" w:eastAsia="Arial" w:hAnsi="Arial"/>
          <w:sz w:val="22"/>
          <w:szCs w:val="22"/>
          <w:i w:val="1"/>
          <w:iCs w:val="1"/>
          <w:color w:val="auto"/>
        </w:rPr>
        <w:t xml:space="preserve">Cooperation with Backup Collateral Manager. </w:t>
      </w:r>
      <w:r>
        <w:rPr>
          <w:rFonts w:ascii="Arial" w:cs="Arial" w:eastAsia="Arial" w:hAnsi="Arial"/>
          <w:sz w:val="22"/>
          <w:szCs w:val="22"/>
          <w:color w:val="auto"/>
        </w:rPr>
        <w:t>The Collateral Manager shall perform the duties and take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actions necessary to comply with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hereof in the manner and at the times set forth therein and shall cooperate with the Backup Collateral Manager in its performance of its duties hereunder.</w:t>
      </w:r>
    </w:p>
    <w:p>
      <w:pPr>
        <w:spacing w:after="0" w:line="186" w:lineRule="exact"/>
        <w:rPr>
          <w:rFonts w:ascii="Arial" w:cs="Arial" w:eastAsia="Arial" w:hAnsi="Arial"/>
          <w:sz w:val="22"/>
          <w:szCs w:val="22"/>
          <w:color w:val="auto"/>
        </w:rPr>
      </w:pPr>
    </w:p>
    <w:p>
      <w:pPr>
        <w:jc w:val="both"/>
        <w:ind w:firstLine="794"/>
        <w:spacing w:after="0" w:line="273" w:lineRule="auto"/>
        <w:tabs>
          <w:tab w:leader="none" w:pos="1309" w:val="left"/>
        </w:tabs>
        <w:numPr>
          <w:ilvl w:val="0"/>
          <w:numId w:val="244"/>
        </w:numPr>
        <w:rPr>
          <w:rFonts w:ascii="Arial" w:cs="Arial" w:eastAsia="Arial" w:hAnsi="Arial"/>
          <w:sz w:val="19"/>
          <w:szCs w:val="19"/>
          <w:color w:val="auto"/>
        </w:rPr>
      </w:pPr>
      <w:r>
        <w:rPr>
          <w:rFonts w:ascii="Arial" w:cs="Arial" w:eastAsia="Arial" w:hAnsi="Arial"/>
          <w:sz w:val="19"/>
          <w:szCs w:val="19"/>
          <w:i w:val="1"/>
          <w:iCs w:val="1"/>
          <w:color w:val="auto"/>
        </w:rPr>
        <w:t xml:space="preserve">Selection of Matrix Row and Matrix Inputs. </w:t>
      </w:r>
      <w:r>
        <w:rPr>
          <w:rFonts w:ascii="Arial" w:cs="Arial" w:eastAsia="Arial" w:hAnsi="Arial"/>
          <w:sz w:val="19"/>
          <w:szCs w:val="19"/>
          <w:color w:val="auto"/>
        </w:rPr>
        <w:t>The Collateral Manager shall be responsible for designating the row</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the Matrix and the corresponding Matrix Inputs to be applicable under this Agreement from time to time as further provided herein. On or prior to the Third Restatement Effective Date, the Collateral Manager shall specify to the Agents and the Lenders the row of the Matrix and the corresponding combination of Matrix Inputs to be in effect for purposes of Matrix calculations pursuant to a closing certificate from the Borrower substantially in the form set forth on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Thereafter, upon not less than one Business Day’s notice to the Agents and the Lenders, the Collateral Manager may specify a different row of the Matrix and corresponding combination of Matrix Inputs to be in effect for purposes of Matrix calculations (i) in connection with the compilation of a Monthly Report by providing notice to the Collateral Administrator along with the Data File for such Monthly Report as further provided in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(with a copy of such notice to the Administrative Agent) or (ii) by delivering a Matrix Adjustment Notice to the Administrative Agent and the Collateral Agent;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267" w:right="339" w:bottom="1440" w:gutter="0" w:footer="0" w:header="0"/>
        </w:sectPr>
      </w:pPr>
    </w:p>
    <w:bookmarkStart w:id="164" w:name="page165"/>
    <w:bookmarkEnd w:id="164"/>
    <w:p>
      <w:pPr>
        <w:jc w:val="both"/>
        <w:spacing w:after="0" w:line="235"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provided </w:t>
      </w:r>
      <w:r>
        <w:rPr>
          <w:rFonts w:ascii="Arial" w:cs="Arial" w:eastAsia="Arial" w:hAnsi="Arial"/>
          <w:sz w:val="22"/>
          <w:szCs w:val="22"/>
          <w:color w:val="auto"/>
        </w:rPr>
        <w:t>that, after giving effect to such change, each Coverage Test is satisfied and no Default or Event of Default would occur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hereunder. If at any time the “Minimum Diversity Score” Matrix Input or the “Ratings” Matrix Input is not satisfied, the Collateral Manager shall promptly provide a Matrix Adjustment Notice and shall select a different row of the Matrix and the corresponding combination of Matrix Inputs set forth in such row to be applicable (or specify a different row of the Matrix and corresponding combination of Matrix Inputs to the Collateral Administrator in connection with a Monthly Report as further provided in </w:t>
      </w:r>
      <w:r>
        <w:rPr>
          <w:rFonts w:ascii="Arial" w:cs="Arial" w:eastAsia="Arial" w:hAnsi="Arial"/>
          <w:sz w:val="22"/>
          <w:szCs w:val="22"/>
          <w:u w:val="single" w:color="auto"/>
          <w:color w:val="auto"/>
        </w:rPr>
        <w:t>Section 8.06</w:t>
      </w:r>
      <w:r>
        <w:rPr>
          <w:rFonts w:ascii="Arial" w:cs="Arial" w:eastAsia="Arial" w:hAnsi="Arial"/>
          <w:sz w:val="22"/>
          <w:szCs w:val="22"/>
          <w:color w:val="auto"/>
        </w:rPr>
        <w:t>).</w:t>
      </w:r>
    </w:p>
    <w:p>
      <w:pPr>
        <w:spacing w:after="0" w:line="296" w:lineRule="exact"/>
        <w:rPr>
          <w:sz w:val="20"/>
          <w:szCs w:val="20"/>
          <w:color w:val="auto"/>
        </w:rPr>
      </w:pPr>
    </w:p>
    <w:p>
      <w:pPr>
        <w:ind w:left="340"/>
        <w:spacing w:after="0"/>
        <w:tabs>
          <w:tab w:leader="none" w:pos="2040" w:val="left"/>
          <w:tab w:leader="none" w:pos="10540" w:val="left"/>
        </w:tabs>
        <w:rPr>
          <w:sz w:val="20"/>
          <w:szCs w:val="20"/>
          <w:color w:val="auto"/>
        </w:rPr>
      </w:pPr>
      <w:r>
        <w:rPr>
          <w:rFonts w:ascii="Arial" w:cs="Arial" w:eastAsia="Arial" w:hAnsi="Arial"/>
          <w:sz w:val="22"/>
          <w:szCs w:val="22"/>
          <w:i w:val="1"/>
          <w:iCs w:val="1"/>
          <w:color w:val="auto"/>
        </w:rPr>
        <w:t>Section 11.03.</w:t>
      </w:r>
      <w:r>
        <w:rPr>
          <w:sz w:val="20"/>
          <w:szCs w:val="20"/>
          <w:color w:val="auto"/>
        </w:rPr>
        <w:tab/>
      </w:r>
      <w:r>
        <w:rPr>
          <w:rFonts w:ascii="Arial" w:cs="Arial" w:eastAsia="Arial" w:hAnsi="Arial"/>
          <w:sz w:val="22"/>
          <w:szCs w:val="22"/>
          <w:i w:val="1"/>
          <w:iCs w:val="1"/>
          <w:color w:val="auto"/>
        </w:rPr>
        <w:t>Liability of the Collateral Manager; Indemnification of the Collateral Manager Persons.</w:t>
      </w:r>
      <w:r>
        <w:rPr>
          <w:sz w:val="20"/>
          <w:szCs w:val="20"/>
          <w:color w:val="auto"/>
        </w:rPr>
        <w:tab/>
      </w:r>
      <w:r>
        <w:rPr>
          <w:rFonts w:ascii="Arial" w:cs="Arial" w:eastAsia="Arial" w:hAnsi="Arial"/>
          <w:sz w:val="21"/>
          <w:szCs w:val="21"/>
          <w:color w:val="auto"/>
        </w:rPr>
        <w:t>(a) The</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Collateral Manager and any of its Affiliates, employees, shareholders, members, partners, assigns, representatives or agents (each such individual or entity, a “</w:t>
      </w:r>
      <w:r>
        <w:rPr>
          <w:rFonts w:ascii="Arial" w:cs="Arial" w:eastAsia="Arial" w:hAnsi="Arial"/>
          <w:sz w:val="19"/>
          <w:szCs w:val="19"/>
          <w:i w:val="1"/>
          <w:iCs w:val="1"/>
          <w:color w:val="auto"/>
        </w:rPr>
        <w:t>Collateral Manager Person</w:t>
      </w:r>
      <w:r>
        <w:rPr>
          <w:rFonts w:ascii="Arial" w:cs="Arial" w:eastAsia="Arial" w:hAnsi="Arial"/>
          <w:sz w:val="19"/>
          <w:szCs w:val="19"/>
          <w:color w:val="auto"/>
        </w:rPr>
        <w:t>”) shall not be liable to the Borrower, any Lender, the Administrative Agent, the Lead Arranger, the Collateral Agent, the Backup Collateral Manager, the Custodian or any other Person for any liability, loss (including amounts paid in settlement), damages, judgments, costs, expenses (including reasonable attorneys’ fees and expenses and accountant’s fees and expenses), demands, charges or claim (collectively, the “</w:t>
      </w:r>
      <w:r>
        <w:rPr>
          <w:rFonts w:ascii="Arial" w:cs="Arial" w:eastAsia="Arial" w:hAnsi="Arial"/>
          <w:sz w:val="19"/>
          <w:szCs w:val="19"/>
          <w:i w:val="1"/>
          <w:iCs w:val="1"/>
          <w:color w:val="auto"/>
        </w:rPr>
        <w:t>Damages</w:t>
      </w:r>
      <w:r>
        <w:rPr>
          <w:rFonts w:ascii="Arial" w:cs="Arial" w:eastAsia="Arial" w:hAnsi="Arial"/>
          <w:sz w:val="19"/>
          <w:szCs w:val="19"/>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Arial" w:cs="Arial" w:eastAsia="Arial" w:hAnsi="Arial"/>
          <w:sz w:val="19"/>
          <w:szCs w:val="19"/>
          <w:i w:val="1"/>
          <w:iCs w:val="1"/>
          <w:color w:val="auto"/>
        </w:rPr>
        <w:t>Collateral Manager Breach</w:t>
      </w:r>
      <w:r>
        <w:rPr>
          <w:rFonts w:ascii="Arial" w:cs="Arial" w:eastAsia="Arial" w:hAnsi="Arial"/>
          <w:sz w:val="19"/>
          <w:szCs w:val="19"/>
          <w:color w:val="auto"/>
        </w:rPr>
        <w:t>”).</w:t>
      </w:r>
    </w:p>
    <w:p>
      <w:pPr>
        <w:spacing w:after="0" w:line="265" w:lineRule="exact"/>
        <w:rPr>
          <w:sz w:val="20"/>
          <w:szCs w:val="20"/>
          <w:color w:val="auto"/>
        </w:rPr>
      </w:pPr>
    </w:p>
    <w:p>
      <w:pPr>
        <w:jc w:val="both"/>
        <w:ind w:firstLine="794"/>
        <w:spacing w:after="0" w:line="236" w:lineRule="auto"/>
        <w:tabs>
          <w:tab w:leader="none" w:pos="1483"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295" w:lineRule="exact"/>
        <w:rPr>
          <w:rFonts w:ascii="Arial" w:cs="Arial" w:eastAsia="Arial" w:hAnsi="Arial"/>
          <w:sz w:val="22"/>
          <w:szCs w:val="22"/>
          <w:color w:val="auto"/>
        </w:rPr>
      </w:pPr>
    </w:p>
    <w:p>
      <w:pPr>
        <w:jc w:val="both"/>
        <w:ind w:firstLine="794"/>
        <w:spacing w:after="0"/>
        <w:tabs>
          <w:tab w:leader="none" w:pos="1349" w:val="left"/>
        </w:tabs>
        <w:numPr>
          <w:ilvl w:val="0"/>
          <w:numId w:val="245"/>
        </w:numPr>
        <w:rPr>
          <w:rFonts w:ascii="Arial" w:cs="Arial" w:eastAsia="Arial" w:hAnsi="Arial"/>
          <w:sz w:val="22"/>
          <w:szCs w:val="22"/>
          <w:color w:val="auto"/>
        </w:rPr>
      </w:pPr>
      <w:r>
        <w:rPr>
          <w:rFonts w:ascii="Arial" w:cs="Arial" w:eastAsia="Arial" w:hAnsi="Arial"/>
          <w:sz w:val="22"/>
          <w:szCs w:val="22"/>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294" w:lineRule="exact"/>
        <w:rPr>
          <w:rFonts w:ascii="Arial" w:cs="Arial" w:eastAsia="Arial" w:hAnsi="Arial"/>
          <w:sz w:val="22"/>
          <w:szCs w:val="22"/>
          <w:color w:val="auto"/>
        </w:rPr>
      </w:pPr>
    </w:p>
    <w:p>
      <w:pPr>
        <w:jc w:val="both"/>
        <w:ind w:firstLine="794"/>
        <w:spacing w:after="0" w:line="235" w:lineRule="auto"/>
        <w:tabs>
          <w:tab w:leader="none" w:pos="1411" w:val="left"/>
        </w:tabs>
        <w:numPr>
          <w:ilvl w:val="0"/>
          <w:numId w:val="245"/>
        </w:numPr>
        <w:rPr>
          <w:rFonts w:ascii="Arial" w:cs="Arial" w:eastAsia="Arial" w:hAnsi="Arial"/>
          <w:sz w:val="22"/>
          <w:szCs w:val="22"/>
          <w:color w:val="auto"/>
        </w:rPr>
      </w:pPr>
      <w:r>
        <w:rPr>
          <w:rFonts w:ascii="Arial" w:cs="Arial" w:eastAsia="Arial" w:hAnsi="Arial"/>
          <w:sz w:val="22"/>
          <w:szCs w:val="22"/>
          <w:color w:val="auto"/>
        </w:rPr>
        <w:t xml:space="preserve">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w:t>
      </w:r>
      <w:r>
        <w:rPr>
          <w:rFonts w:ascii="Arial" w:cs="Arial" w:eastAsia="Arial" w:hAnsi="Arial"/>
          <w:sz w:val="22"/>
          <w:szCs w:val="22"/>
          <w:u w:val="single" w:color="auto"/>
          <w:color w:val="auto"/>
        </w:rPr>
        <w:t>Section 11.03</w:t>
      </w:r>
      <w:r>
        <w:rPr>
          <w:rFonts w:ascii="Arial" w:cs="Arial" w:eastAsia="Arial" w:hAnsi="Arial"/>
          <w:sz w:val="22"/>
          <w:szCs w:val="22"/>
          <w:color w:val="auto"/>
        </w:rPr>
        <w:t xml:space="preserve"> shall be payable in accordance with the Priority of Payments.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267" w:right="339" w:bottom="1440" w:gutter="0" w:footer="0" w:header="0"/>
        </w:sectPr>
      </w:pPr>
    </w:p>
    <w:bookmarkStart w:id="165" w:name="page166"/>
    <w:bookmarkEnd w:id="165"/>
    <w:p>
      <w:pPr>
        <w:jc w:val="both"/>
        <w:ind w:firstLine="337"/>
        <w:spacing w:after="0" w:line="270"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11.04. Authorization of the Collateral Manager</w:t>
      </w:r>
      <w:r>
        <w:rPr>
          <w:rFonts w:ascii="Arial" w:cs="Arial" w:eastAsia="Arial" w:hAnsi="Arial"/>
          <w:sz w:val="19"/>
          <w:szCs w:val="19"/>
          <w:color w:val="auto"/>
        </w:rPr>
        <w:t>. The Borrower hereby authorizes the Collateral Manager to take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and all reasonable steps 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w:t>
      </w:r>
      <w:r>
        <w:rPr>
          <w:rFonts w:ascii="Arial" w:cs="Arial" w:eastAsia="Arial" w:hAnsi="Arial"/>
          <w:sz w:val="19"/>
          <w:szCs w:val="19"/>
          <w:u w:val="single" w:color="auto"/>
          <w:color w:val="auto"/>
        </w:rPr>
        <w:t>Section 15.01</w:t>
      </w:r>
      <w:r>
        <w:rPr>
          <w:rFonts w:ascii="Arial" w:cs="Arial" w:eastAsia="Arial" w:hAnsi="Arial"/>
          <w:sz w:val="19"/>
          <w:szCs w:val="19"/>
          <w:color w:val="auto"/>
        </w:rPr>
        <w:t xml:space="preserve">),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200" w:lineRule="exact"/>
        <w:rPr>
          <w:sz w:val="20"/>
          <w:szCs w:val="20"/>
          <w:color w:val="auto"/>
        </w:rPr>
      </w:pPr>
    </w:p>
    <w:p>
      <w:pPr>
        <w:spacing w:after="0" w:line="317" w:lineRule="exact"/>
        <w:rPr>
          <w:sz w:val="20"/>
          <w:szCs w:val="20"/>
          <w:color w:val="auto"/>
        </w:rPr>
      </w:pPr>
    </w:p>
    <w:p>
      <w:pPr>
        <w:jc w:val="both"/>
        <w:ind w:firstLine="337"/>
        <w:spacing w:after="0" w:line="272" w:lineRule="auto"/>
        <w:rPr>
          <w:sz w:val="20"/>
          <w:szCs w:val="20"/>
          <w:color w:val="auto"/>
        </w:rPr>
      </w:pPr>
      <w:r>
        <w:rPr>
          <w:rFonts w:ascii="Arial" w:cs="Arial" w:eastAsia="Arial" w:hAnsi="Arial"/>
          <w:sz w:val="19"/>
          <w:szCs w:val="19"/>
          <w:i w:val="1"/>
          <w:iCs w:val="1"/>
          <w:color w:val="auto"/>
        </w:rPr>
        <w:t>Section 11.05. Realization Upon Defaulted Collateral Loans</w:t>
      </w:r>
      <w:r>
        <w:rPr>
          <w:rFonts w:ascii="Arial" w:cs="Arial" w:eastAsia="Arial" w:hAnsi="Arial"/>
          <w:sz w:val="19"/>
          <w:szCs w:val="19"/>
          <w:color w:val="auto"/>
        </w:rPr>
        <w:t>. The Collateral Manager will use reasonable efforts consistent</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Collateral 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267" w:right="339" w:bottom="1440" w:gutter="0" w:footer="0" w:header="0"/>
        </w:sectPr>
      </w:pPr>
    </w:p>
    <w:bookmarkStart w:id="166" w:name="page167"/>
    <w:bookmarkEnd w:id="166"/>
    <w:p>
      <w:pPr>
        <w:jc w:val="both"/>
        <w:ind w:firstLine="337"/>
        <w:spacing w:after="0" w:line="277"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11.06. Collateral Management Compensation</w:t>
      </w:r>
      <w:r>
        <w:rPr>
          <w:rFonts w:ascii="Arial" w:cs="Arial" w:eastAsia="Arial" w:hAnsi="Arial"/>
          <w:sz w:val="19"/>
          <w:szCs w:val="19"/>
          <w:color w:val="auto"/>
        </w:rPr>
        <w:t>. As compensation for its servicing and collateral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activities hereunder and 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260" w:lineRule="exact"/>
        <w:rPr>
          <w:sz w:val="20"/>
          <w:szCs w:val="20"/>
          <w:color w:val="auto"/>
        </w:rPr>
      </w:pPr>
    </w:p>
    <w:p>
      <w:pPr>
        <w:jc w:val="both"/>
        <w:ind w:firstLine="337"/>
        <w:spacing w:after="0" w:line="246" w:lineRule="auto"/>
        <w:rPr>
          <w:sz w:val="20"/>
          <w:szCs w:val="20"/>
          <w:color w:val="auto"/>
        </w:rPr>
      </w:pPr>
      <w:r>
        <w:rPr>
          <w:rFonts w:ascii="Arial" w:cs="Arial" w:eastAsia="Arial" w:hAnsi="Arial"/>
          <w:sz w:val="21"/>
          <w:szCs w:val="21"/>
          <w:i w:val="1"/>
          <w:iCs w:val="1"/>
          <w:color w:val="auto"/>
        </w:rPr>
        <w:t>Section 11.07. Payment of Certain Expenses by Collateral Manager</w:t>
      </w:r>
      <w:r>
        <w:rPr>
          <w:rFonts w:ascii="Arial" w:cs="Arial" w:eastAsia="Arial" w:hAnsi="Arial"/>
          <w:sz w:val="21"/>
          <w:szCs w:val="21"/>
          <w:color w:val="auto"/>
        </w:rPr>
        <w:t>. The Collateral Manager (if the Collateral Manager</w:t>
      </w:r>
      <w:r>
        <w:rPr>
          <w:rFonts w:ascii="Arial" w:cs="Arial" w:eastAsia="Arial" w:hAnsi="Arial"/>
          <w:sz w:val="21"/>
          <w:szCs w:val="21"/>
          <w:i w:val="1"/>
          <w:iCs w:val="1"/>
          <w:color w:val="auto"/>
        </w:rPr>
        <w:t xml:space="preserve"> </w:t>
      </w:r>
      <w:r>
        <w:rPr>
          <w:rFonts w:ascii="Arial" w:cs="Arial" w:eastAsia="Arial" w:hAnsi="Arial"/>
          <w:sz w:val="21"/>
          <w:szCs w:val="21"/>
          <w:color w:val="auto"/>
        </w:rPr>
        <w:t>is an Affiliate of the 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292" w:lineRule="exact"/>
        <w:rPr>
          <w:sz w:val="20"/>
          <w:szCs w:val="20"/>
          <w:color w:val="auto"/>
        </w:rPr>
      </w:pPr>
    </w:p>
    <w:p>
      <w:pPr>
        <w:jc w:val="both"/>
        <w:ind w:firstLine="337"/>
        <w:spacing w:after="0" w:line="248" w:lineRule="auto"/>
        <w:rPr>
          <w:sz w:val="20"/>
          <w:szCs w:val="20"/>
          <w:color w:val="auto"/>
        </w:rPr>
      </w:pPr>
      <w:r>
        <w:rPr>
          <w:rFonts w:ascii="Arial" w:cs="Arial" w:eastAsia="Arial" w:hAnsi="Arial"/>
          <w:sz w:val="21"/>
          <w:szCs w:val="21"/>
          <w:i w:val="1"/>
          <w:iCs w:val="1"/>
          <w:color w:val="auto"/>
        </w:rPr>
        <w:t>Section 11.08. The Collateral Manager Not to Resign; Assignment</w:t>
      </w:r>
      <w:r>
        <w:rPr>
          <w:rFonts w:ascii="Arial" w:cs="Arial" w:eastAsia="Arial" w:hAnsi="Arial"/>
          <w:sz w:val="21"/>
          <w:szCs w:val="21"/>
          <w:color w:val="auto"/>
        </w:rPr>
        <w:t>. The Collateral Manager shall not resign from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obligations and duties hereby 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w:t>
      </w:r>
      <w:r>
        <w:rPr>
          <w:rFonts w:ascii="Arial" w:cs="Arial" w:eastAsia="Arial" w:hAnsi="Arial"/>
          <w:sz w:val="21"/>
          <w:szCs w:val="21"/>
          <w:u w:val="single" w:color="auto"/>
          <w:color w:val="auto"/>
        </w:rPr>
        <w:t>Section 11.09</w:t>
      </w:r>
      <w:r>
        <w:rPr>
          <w:rFonts w:ascii="Arial" w:cs="Arial" w:eastAsia="Arial" w:hAnsi="Arial"/>
          <w:sz w:val="21"/>
          <w:szCs w:val="21"/>
          <w:color w:val="auto"/>
        </w:rPr>
        <w:t>.</w:t>
      </w:r>
    </w:p>
    <w:p>
      <w:pPr>
        <w:spacing w:after="0" w:line="285" w:lineRule="exact"/>
        <w:rPr>
          <w:sz w:val="20"/>
          <w:szCs w:val="20"/>
          <w:color w:val="auto"/>
        </w:rPr>
      </w:pPr>
    </w:p>
    <w:p>
      <w:pPr>
        <w:jc w:val="both"/>
        <w:ind w:firstLine="337"/>
        <w:spacing w:after="0" w:line="273" w:lineRule="auto"/>
        <w:rPr>
          <w:sz w:val="20"/>
          <w:szCs w:val="20"/>
          <w:color w:val="auto"/>
        </w:rPr>
      </w:pPr>
      <w:r>
        <w:rPr>
          <w:rFonts w:ascii="Arial" w:cs="Arial" w:eastAsia="Arial" w:hAnsi="Arial"/>
          <w:sz w:val="19"/>
          <w:szCs w:val="19"/>
          <w:i w:val="1"/>
          <w:iCs w:val="1"/>
          <w:color w:val="auto"/>
        </w:rPr>
        <w:t>Section 11.09. Appointment of Successor Collateral Manager</w:t>
      </w:r>
      <w:r>
        <w:rPr>
          <w:rFonts w:ascii="Arial" w:cs="Arial" w:eastAsia="Arial" w:hAnsi="Arial"/>
          <w:sz w:val="19"/>
          <w:szCs w:val="19"/>
          <w:color w:val="auto"/>
        </w:rPr>
        <w:t>. (a) Upon resignation of the Collateral Manager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or the occurrence and continuance of a Collateral Manager Event of Default or a Collateral Manager Replacement Event, the Administrative Agent may (with the consent of the Required Lenders) at any time appoint a successor collateral manager (the </w:t>
      </w:r>
      <w:r>
        <w:rPr>
          <w:rFonts w:ascii="Arial" w:cs="Arial" w:eastAsia="Arial" w:hAnsi="Arial"/>
          <w:sz w:val="19"/>
          <w:szCs w:val="19"/>
          <w:i w:val="1"/>
          <w:iCs w:val="1"/>
          <w:color w:val="auto"/>
        </w:rPr>
        <w:t>“Successor Collateral Manager”</w:t>
      </w:r>
      <w:r>
        <w:rPr>
          <w:rFonts w:ascii="Arial" w:cs="Arial" w:eastAsia="Arial" w:hAnsi="Arial"/>
          <w:sz w:val="19"/>
          <w:szCs w:val="19"/>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nothing herein shall be construed to restrict the ability of the Administrative Agent to replace the Collateral Manager upon the occurrence of a Collateral Manager Event of Default or a Collateral Manager Replacement Event pursuant to </w:t>
      </w:r>
      <w:r>
        <w:rPr>
          <w:rFonts w:ascii="Arial" w:cs="Arial" w:eastAsia="Arial" w:hAnsi="Arial"/>
          <w:sz w:val="19"/>
          <w:szCs w:val="19"/>
          <w:u w:val="single" w:color="auto"/>
          <w:color w:val="auto"/>
        </w:rPr>
        <w:t>Section 11.09</w:t>
      </w:r>
      <w:r>
        <w:rPr>
          <w:rFonts w:ascii="Arial" w:cs="Arial" w:eastAsia="Arial" w:hAnsi="Arial"/>
          <w:sz w:val="19"/>
          <w:szCs w:val="19"/>
          <w:color w:val="auto"/>
        </w:rPr>
        <w:t xml:space="preserve"> hereof or any obligations of the Collateral Manager in connection with such provisions.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267" w:right="339" w:bottom="1440" w:gutter="0" w:footer="0" w:header="0"/>
        </w:sectPr>
      </w:pPr>
    </w:p>
    <w:bookmarkStart w:id="167" w:name="page168"/>
    <w:bookmarkEnd w:id="167"/>
    <w:p>
      <w:pPr>
        <w:jc w:val="both"/>
        <w:ind w:firstLine="794"/>
        <w:spacing w:after="0" w:line="268" w:lineRule="auto"/>
        <w:tabs>
          <w:tab w:leader="none" w:pos="1413" w:val="left"/>
        </w:tabs>
        <w:numPr>
          <w:ilvl w:val="1"/>
          <w:numId w:val="24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its appointment (the “</w:t>
      </w:r>
      <w:r>
        <w:rPr>
          <w:rFonts w:ascii="Arial" w:cs="Arial" w:eastAsia="Arial" w:hAnsi="Arial"/>
          <w:sz w:val="19"/>
          <w:szCs w:val="19"/>
          <w:i w:val="1"/>
          <w:iCs w:val="1"/>
          <w:color w:val="auto"/>
        </w:rPr>
        <w:t>Assumption Date</w:t>
      </w:r>
      <w:r>
        <w:rPr>
          <w:rFonts w:ascii="Arial" w:cs="Arial" w:eastAsia="Arial" w:hAnsi="Arial"/>
          <w:sz w:val="19"/>
          <w:szCs w:val="19"/>
          <w:color w:val="auto"/>
        </w:rPr>
        <w:t xml:space="preserve">”),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Successor Collateral Manager shall not (i) be deemed to have assumed or to become liable for, or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Successor 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w:t>
      </w:r>
    </w:p>
    <w:p>
      <w:pPr>
        <w:spacing w:after="0" w:line="4" w:lineRule="exact"/>
        <w:rPr>
          <w:rFonts w:ascii="Arial" w:cs="Arial" w:eastAsia="Arial" w:hAnsi="Arial"/>
          <w:sz w:val="19"/>
          <w:szCs w:val="19"/>
          <w:color w:val="auto"/>
        </w:rPr>
      </w:pPr>
    </w:p>
    <w:p>
      <w:pPr>
        <w:ind w:left="380" w:hanging="372"/>
        <w:spacing w:after="0"/>
        <w:tabs>
          <w:tab w:leader="none" w:pos="38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have any liability with respect to any of the representations and warranties of the Collateral Manager under this Agreement,</w:t>
      </w:r>
    </w:p>
    <w:p>
      <w:pPr>
        <w:spacing w:after="0" w:line="24" w:lineRule="exact"/>
        <w:rPr>
          <w:rFonts w:ascii="Arial" w:cs="Arial" w:eastAsia="Arial" w:hAnsi="Arial"/>
          <w:sz w:val="19"/>
          <w:szCs w:val="19"/>
          <w:color w:val="auto"/>
        </w:rPr>
      </w:pPr>
    </w:p>
    <w:p>
      <w:pPr>
        <w:jc w:val="both"/>
        <w:ind w:firstLine="8"/>
        <w:spacing w:after="0" w:line="273" w:lineRule="auto"/>
        <w:tabs>
          <w:tab w:leader="none" w:pos="43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267" w:lineRule="exact"/>
        <w:rPr>
          <w:rFonts w:ascii="Arial" w:cs="Arial" w:eastAsia="Arial" w:hAnsi="Arial"/>
          <w:sz w:val="19"/>
          <w:szCs w:val="19"/>
          <w:color w:val="auto"/>
        </w:rPr>
      </w:pPr>
    </w:p>
    <w:p>
      <w:pPr>
        <w:jc w:val="both"/>
        <w:ind w:firstLine="794"/>
        <w:spacing w:after="0" w:line="273" w:lineRule="auto"/>
        <w:tabs>
          <w:tab w:leader="none" w:pos="1322" w:val="left"/>
        </w:tabs>
        <w:numPr>
          <w:ilvl w:val="1"/>
          <w:numId w:val="247"/>
        </w:numPr>
        <w:rPr>
          <w:rFonts w:ascii="Arial" w:cs="Arial" w:eastAsia="Arial" w:hAnsi="Arial"/>
          <w:sz w:val="19"/>
          <w:szCs w:val="19"/>
          <w:color w:val="auto"/>
        </w:rPr>
      </w:pPr>
      <w:r>
        <w:rPr>
          <w:rFonts w:ascii="Arial" w:cs="Arial" w:eastAsia="Arial" w:hAnsi="Arial"/>
          <w:sz w:val="19"/>
          <w:szCs w:val="19"/>
          <w:color w:val="auto"/>
        </w:rPr>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267" w:right="339" w:bottom="1440" w:gutter="0" w:footer="0" w:header="0"/>
        </w:sectPr>
      </w:pPr>
    </w:p>
    <w:bookmarkStart w:id="168" w:name="page169"/>
    <w:bookmarkEnd w:id="168"/>
    <w:p>
      <w:pPr>
        <w:jc w:val="both"/>
        <w:ind w:firstLine="794"/>
        <w:spacing w:after="0" w:line="272" w:lineRule="auto"/>
        <w:tabs>
          <w:tab w:leader="none" w:pos="1326" w:val="left"/>
        </w:tabs>
        <w:numPr>
          <w:ilvl w:val="0"/>
          <w:numId w:val="24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268" w:lineRule="exact"/>
        <w:rPr>
          <w:rFonts w:ascii="Arial" w:cs="Arial" w:eastAsia="Arial" w:hAnsi="Arial"/>
          <w:sz w:val="19"/>
          <w:szCs w:val="19"/>
          <w:color w:val="auto"/>
        </w:rPr>
      </w:pPr>
    </w:p>
    <w:p>
      <w:pPr>
        <w:jc w:val="both"/>
        <w:ind w:firstLine="794"/>
        <w:spacing w:after="0"/>
        <w:tabs>
          <w:tab w:leader="none" w:pos="1356"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294" w:lineRule="exact"/>
        <w:rPr>
          <w:rFonts w:ascii="Arial" w:cs="Arial" w:eastAsia="Arial" w:hAnsi="Arial"/>
          <w:sz w:val="22"/>
          <w:szCs w:val="22"/>
          <w:color w:val="auto"/>
        </w:rPr>
      </w:pPr>
    </w:p>
    <w:p>
      <w:pPr>
        <w:jc w:val="both"/>
        <w:ind w:firstLine="794"/>
        <w:spacing w:after="0" w:line="271" w:lineRule="auto"/>
        <w:tabs>
          <w:tab w:leader="none" w:pos="1364"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Arial" w:cs="Arial" w:eastAsia="Arial" w:hAnsi="Arial"/>
          <w:sz w:val="19"/>
          <w:szCs w:val="19"/>
          <w:i w:val="1"/>
          <w:iCs w:val="1"/>
          <w:color w:val="auto"/>
        </w:rPr>
        <w:t>“Predecessor Collateral Manager Work Product”</w:t>
      </w:r>
      <w:r>
        <w:rPr>
          <w:rFonts w:ascii="Arial" w:cs="Arial" w:eastAsia="Arial" w:hAnsi="Arial"/>
          <w:sz w:val="19"/>
          <w:szCs w:val="19"/>
          <w:color w:val="auto"/>
        </w:rPr>
        <w:t xml:space="preserve">) without any audit or other examination thereof, except to the extent that it knows such 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non-standard practice or procedure (collectively, </w:t>
      </w:r>
      <w:r>
        <w:rPr>
          <w:rFonts w:ascii="Arial" w:cs="Arial" w:eastAsia="Arial" w:hAnsi="Arial"/>
          <w:sz w:val="19"/>
          <w:szCs w:val="19"/>
          <w:i w:val="1"/>
          <w:iCs w:val="1"/>
          <w:color w:val="auto"/>
        </w:rPr>
        <w:t>“Errors”</w:t>
      </w:r>
      <w:r>
        <w:rPr>
          <w:rFonts w:ascii="Arial" w:cs="Arial" w:eastAsia="Arial" w:hAnsi="Arial"/>
          <w:sz w:val="19"/>
          <w:szCs w:val="19"/>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Arial" w:cs="Arial" w:eastAsia="Arial" w:hAnsi="Arial"/>
          <w:sz w:val="19"/>
          <w:szCs w:val="19"/>
          <w:i w:val="1"/>
          <w:iCs w:val="1"/>
          <w:color w:val="auto"/>
        </w:rPr>
        <w:t>“Continued Errors”</w:t>
      </w:r>
      <w:r>
        <w:rPr>
          <w:rFonts w:ascii="Arial" w:cs="Arial" w:eastAsia="Arial" w:hAnsi="Arial"/>
          <w:sz w:val="19"/>
          <w:szCs w:val="19"/>
          <w:color w:val="auto"/>
        </w:rPr>
        <w:t xml:space="preserve">), such Successor Collateral Manager shall have no duty, responsibility, obligation or liability for such Continued Errors;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200" w:lineRule="exact"/>
        <w:rPr>
          <w:rFonts w:ascii="Arial" w:cs="Arial" w:eastAsia="Arial" w:hAnsi="Arial"/>
          <w:sz w:val="19"/>
          <w:szCs w:val="19"/>
          <w:color w:val="auto"/>
        </w:rPr>
      </w:pPr>
    </w:p>
    <w:p>
      <w:pPr>
        <w:spacing w:after="0" w:line="315" w:lineRule="exact"/>
        <w:rPr>
          <w:rFonts w:ascii="Arial" w:cs="Arial" w:eastAsia="Arial" w:hAnsi="Arial"/>
          <w:sz w:val="19"/>
          <w:szCs w:val="19"/>
          <w:color w:val="auto"/>
        </w:rPr>
      </w:pPr>
    </w:p>
    <w:p>
      <w:pPr>
        <w:jc w:val="both"/>
        <w:ind w:firstLine="794"/>
        <w:spacing w:after="0"/>
        <w:tabs>
          <w:tab w:leader="none" w:pos="150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267" w:right="339" w:bottom="1440" w:gutter="0" w:footer="0" w:header="0"/>
        </w:sectPr>
      </w:pPr>
    </w:p>
    <w:bookmarkStart w:id="169" w:name="page170"/>
    <w:bookmarkEnd w:id="169"/>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86" w:lineRule="exact"/>
        <w:rPr>
          <w:sz w:val="20"/>
          <w:szCs w:val="20"/>
          <w:color w:val="auto"/>
        </w:rPr>
      </w:pPr>
    </w:p>
    <w:p>
      <w:pPr>
        <w:jc w:val="both"/>
        <w:ind w:firstLine="794"/>
        <w:spacing w:after="0" w:line="252" w:lineRule="auto"/>
        <w:tabs>
          <w:tab w:leader="none" w:pos="1313" w:val="left"/>
        </w:tabs>
        <w:numPr>
          <w:ilvl w:val="0"/>
          <w:numId w:val="249"/>
        </w:numPr>
        <w:rPr>
          <w:rFonts w:ascii="Arial" w:cs="Arial" w:eastAsia="Arial" w:hAnsi="Arial"/>
          <w:sz w:val="21"/>
          <w:szCs w:val="21"/>
          <w:color w:val="auto"/>
        </w:rPr>
      </w:pPr>
      <w:r>
        <w:rPr>
          <w:rFonts w:ascii="Arial" w:cs="Arial" w:eastAsia="Arial" w:hAnsi="Arial"/>
          <w:sz w:val="21"/>
          <w:szCs w:val="21"/>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73" w:lineRule="exact"/>
        <w:rPr>
          <w:rFonts w:ascii="Arial" w:cs="Arial" w:eastAsia="Arial" w:hAnsi="Arial"/>
          <w:sz w:val="21"/>
          <w:szCs w:val="21"/>
          <w:color w:val="auto"/>
        </w:rPr>
      </w:pPr>
    </w:p>
    <w:p>
      <w:pPr>
        <w:ind w:firstLine="794"/>
        <w:spacing w:after="0" w:line="250" w:lineRule="auto"/>
        <w:tabs>
          <w:tab w:leader="none" w:pos="1456" w:val="left"/>
        </w:tabs>
        <w:numPr>
          <w:ilvl w:val="0"/>
          <w:numId w:val="249"/>
        </w:numPr>
        <w:rPr>
          <w:rFonts w:ascii="Arial" w:cs="Arial" w:eastAsia="Arial" w:hAnsi="Arial"/>
          <w:sz w:val="22"/>
          <w:szCs w:val="22"/>
          <w:color w:val="auto"/>
        </w:rPr>
      </w:pPr>
      <w:r>
        <w:rPr>
          <w:rFonts w:ascii="Arial" w:cs="Arial" w:eastAsia="Arial" w:hAnsi="Arial"/>
          <w:sz w:val="22"/>
          <w:szCs w:val="22"/>
          <w:color w:val="auto"/>
        </w:rPr>
        <w:t>Except as set forth herein, the Successor Collateral Manager shall have no duty to review any information regarding the Collateral Manager, including any financial statements or the information set forth herein.</w:t>
      </w:r>
    </w:p>
    <w:p>
      <w:pPr>
        <w:spacing w:after="0" w:line="174" w:lineRule="exact"/>
        <w:rPr>
          <w:rFonts w:ascii="Arial" w:cs="Arial" w:eastAsia="Arial" w:hAnsi="Arial"/>
          <w:sz w:val="22"/>
          <w:szCs w:val="22"/>
          <w:color w:val="auto"/>
        </w:rPr>
      </w:pPr>
    </w:p>
    <w:p>
      <w:pPr>
        <w:jc w:val="both"/>
        <w:ind w:firstLine="794"/>
        <w:spacing w:after="0" w:line="279" w:lineRule="auto"/>
        <w:tabs>
          <w:tab w:leader="none" w:pos="126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XII</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HE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GENTS</w:t>
      </w:r>
    </w:p>
    <w:p>
      <w:pPr>
        <w:spacing w:after="0" w:line="212" w:lineRule="exact"/>
        <w:rPr>
          <w:sz w:val="20"/>
          <w:szCs w:val="20"/>
          <w:color w:val="auto"/>
        </w:rPr>
      </w:pPr>
    </w:p>
    <w:p>
      <w:pPr>
        <w:jc w:val="both"/>
        <w:ind w:firstLine="337"/>
        <w:spacing w:after="0" w:line="271" w:lineRule="auto"/>
        <w:rPr>
          <w:sz w:val="20"/>
          <w:szCs w:val="20"/>
          <w:color w:val="auto"/>
        </w:rPr>
      </w:pPr>
      <w:r>
        <w:rPr>
          <w:rFonts w:ascii="Arial" w:cs="Arial" w:eastAsia="Arial" w:hAnsi="Arial"/>
          <w:sz w:val="19"/>
          <w:szCs w:val="19"/>
          <w:i w:val="1"/>
          <w:iCs w:val="1"/>
          <w:color w:val="auto"/>
        </w:rPr>
        <w:t>Section 12.01. Authorization and Action</w:t>
      </w:r>
      <w:r>
        <w:rPr>
          <w:rFonts w:ascii="Arial" w:cs="Arial" w:eastAsia="Arial" w:hAnsi="Arial"/>
          <w:sz w:val="19"/>
          <w:szCs w:val="19"/>
          <w:color w:val="auto"/>
        </w:rPr>
        <w:t>. Each Lender hereby irrevocably appoints and authorizes the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Agent shall not be required to take any action which exposes such Agent, in its judgment, to personal liability, cost or expense or which is contrary to this Agreement, the other Facility Documents or Applicable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267" w:right="339" w:bottom="1440" w:gutter="0" w:footer="0" w:header="0"/>
        </w:sectPr>
      </w:pPr>
    </w:p>
    <w:bookmarkStart w:id="170" w:name="page171"/>
    <w:bookmarkEnd w:id="170"/>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87" w:lineRule="exact"/>
        <w:rPr>
          <w:sz w:val="20"/>
          <w:szCs w:val="20"/>
          <w:color w:val="auto"/>
        </w:rPr>
      </w:pPr>
    </w:p>
    <w:p>
      <w:pPr>
        <w:jc w:val="both"/>
        <w:ind w:firstLine="786"/>
        <w:spacing w:after="0" w:line="244" w:lineRule="auto"/>
        <w:rPr>
          <w:sz w:val="20"/>
          <w:szCs w:val="20"/>
          <w:color w:val="auto"/>
        </w:rPr>
      </w:pPr>
      <w:r>
        <w:rPr>
          <w:rFonts w:ascii="Arial" w:cs="Arial" w:eastAsia="Arial" w:hAnsi="Arial"/>
          <w:sz w:val="21"/>
          <w:szCs w:val="21"/>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88" w:lineRule="exact"/>
        <w:rPr>
          <w:sz w:val="20"/>
          <w:szCs w:val="20"/>
          <w:color w:val="auto"/>
        </w:rPr>
      </w:pPr>
    </w:p>
    <w:p>
      <w:pPr>
        <w:jc w:val="both"/>
        <w:ind w:firstLine="786"/>
        <w:spacing w:after="0" w:line="245" w:lineRule="auto"/>
        <w:rPr>
          <w:sz w:val="20"/>
          <w:szCs w:val="20"/>
          <w:color w:val="auto"/>
        </w:rPr>
      </w:pPr>
      <w:r>
        <w:rPr>
          <w:rFonts w:ascii="Arial" w:cs="Arial" w:eastAsia="Arial" w:hAnsi="Arial"/>
          <w:sz w:val="21"/>
          <w:szCs w:val="21"/>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84" w:lineRule="exact"/>
        <w:rPr>
          <w:sz w:val="20"/>
          <w:szCs w:val="20"/>
          <w:color w:val="auto"/>
        </w:rPr>
      </w:pPr>
    </w:p>
    <w:p>
      <w:pPr>
        <w:jc w:val="both"/>
        <w:ind w:firstLine="786"/>
        <w:spacing w:after="0" w:line="248" w:lineRule="auto"/>
        <w:rPr>
          <w:sz w:val="20"/>
          <w:szCs w:val="20"/>
          <w:color w:val="auto"/>
        </w:rPr>
      </w:pPr>
      <w:r>
        <w:rPr>
          <w:rFonts w:ascii="Arial" w:cs="Arial" w:eastAsia="Arial" w:hAnsi="Arial"/>
          <w:sz w:val="21"/>
          <w:szCs w:val="21"/>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177" w:lineRule="exact"/>
        <w:rPr>
          <w:sz w:val="20"/>
          <w:szCs w:val="20"/>
          <w:color w:val="auto"/>
        </w:rPr>
      </w:pPr>
    </w:p>
    <w:p>
      <w:pPr>
        <w:jc w:val="both"/>
        <w:ind w:firstLine="337"/>
        <w:spacing w:after="0" w:line="250" w:lineRule="auto"/>
        <w:rPr>
          <w:sz w:val="20"/>
          <w:szCs w:val="20"/>
          <w:color w:val="auto"/>
        </w:rPr>
      </w:pPr>
      <w:r>
        <w:rPr>
          <w:rFonts w:ascii="Arial" w:cs="Arial" w:eastAsia="Arial" w:hAnsi="Arial"/>
          <w:sz w:val="22"/>
          <w:szCs w:val="22"/>
          <w:i w:val="1"/>
          <w:iCs w:val="1"/>
          <w:color w:val="auto"/>
        </w:rPr>
        <w:t>Section 12.02. Delegation of Duties</w:t>
      </w:r>
      <w:r>
        <w:rPr>
          <w:rFonts w:ascii="Arial" w:cs="Arial" w:eastAsia="Arial" w:hAnsi="Arial"/>
          <w:sz w:val="22"/>
          <w:szCs w:val="22"/>
          <w:color w:val="auto"/>
        </w:rPr>
        <w:t>. Each Agent may execute any of its duties under this Agreement and each other</w:t>
      </w:r>
      <w:r>
        <w:rPr>
          <w:rFonts w:ascii="Arial" w:cs="Arial" w:eastAsia="Arial" w:hAnsi="Arial"/>
          <w:sz w:val="22"/>
          <w:szCs w:val="22"/>
          <w:i w:val="1"/>
          <w:iCs w:val="1"/>
          <w:color w:val="auto"/>
        </w:rPr>
        <w:t xml:space="preserve"> </w:t>
      </w:r>
      <w:r>
        <w:rPr>
          <w:rFonts w:ascii="Arial" w:cs="Arial" w:eastAsia="Arial" w:hAnsi="Arial"/>
          <w:sz w:val="22"/>
          <w:szCs w:val="22"/>
          <w:color w:val="auto"/>
        </w:rPr>
        <w:t>Facility Document by or through agents or attorneys-in-fact and shall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267" w:right="339" w:bottom="1440" w:gutter="0" w:footer="0" w:header="0"/>
        </w:sectPr>
      </w:pPr>
    </w:p>
    <w:bookmarkStart w:id="171" w:name="page172"/>
    <w:bookmarkEnd w:id="171"/>
    <w:p>
      <w:pPr>
        <w:jc w:val="both"/>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entitled to advice of counsel concerning all matters pertaining to such duties. No Agent shall be responsible for the negligence or misconduct of any agents or attorneys-in-fact selected by it with reasonable care.</w:t>
      </w:r>
    </w:p>
    <w:p>
      <w:pPr>
        <w:spacing w:after="0" w:line="283" w:lineRule="exact"/>
        <w:rPr>
          <w:sz w:val="20"/>
          <w:szCs w:val="20"/>
          <w:color w:val="auto"/>
        </w:rPr>
      </w:pPr>
    </w:p>
    <w:p>
      <w:pPr>
        <w:jc w:val="both"/>
        <w:ind w:firstLine="337"/>
        <w:spacing w:after="0" w:line="269" w:lineRule="auto"/>
        <w:rPr>
          <w:sz w:val="20"/>
          <w:szCs w:val="20"/>
          <w:color w:val="auto"/>
        </w:rPr>
      </w:pPr>
      <w:r>
        <w:rPr>
          <w:rFonts w:ascii="Arial" w:cs="Arial" w:eastAsia="Arial" w:hAnsi="Arial"/>
          <w:sz w:val="19"/>
          <w:szCs w:val="19"/>
          <w:i w:val="1"/>
          <w:iCs w:val="1"/>
          <w:color w:val="auto"/>
        </w:rPr>
        <w:t xml:space="preserve">Section 12.03. Agent’s Reliance, Etc. </w:t>
      </w:r>
      <w:r>
        <w:rPr>
          <w:rFonts w:ascii="Arial" w:cs="Arial" w:eastAsia="Arial" w:hAnsi="Arial"/>
          <w:sz w:val="19"/>
          <w:szCs w:val="19"/>
          <w:color w:val="auto"/>
        </w:rPr>
        <w:t>(a) Neither Agent nor any of its respective directors, officers, agents or employees</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200" w:lineRule="exact"/>
        <w:rPr>
          <w:sz w:val="20"/>
          <w:szCs w:val="20"/>
          <w:color w:val="auto"/>
        </w:rPr>
      </w:pPr>
    </w:p>
    <w:p>
      <w:pPr>
        <w:spacing w:after="0" w:line="327" w:lineRule="exact"/>
        <w:rPr>
          <w:sz w:val="20"/>
          <w:szCs w:val="20"/>
          <w:color w:val="auto"/>
        </w:rPr>
      </w:pPr>
    </w:p>
    <w:p>
      <w:pPr>
        <w:jc w:val="both"/>
        <w:ind w:firstLine="794"/>
        <w:spacing w:after="0" w:line="274" w:lineRule="auto"/>
        <w:tabs>
          <w:tab w:leader="none" w:pos="133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267" w:right="339" w:bottom="1440" w:gutter="0" w:footer="0" w:header="0"/>
        </w:sectPr>
      </w:pPr>
    </w:p>
    <w:bookmarkStart w:id="172" w:name="page173"/>
    <w:bookmarkEnd w:id="172"/>
    <w:p>
      <w:pPr>
        <w:jc w:val="both"/>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w:t>
      </w:r>
      <w:r>
        <w:rPr>
          <w:rFonts w:ascii="Arial" w:cs="Arial" w:eastAsia="Arial" w:hAnsi="Arial"/>
          <w:sz w:val="19"/>
          <w:szCs w:val="19"/>
          <w:u w:val="single" w:color="auto"/>
          <w:color w:val="auto"/>
        </w:rPr>
        <w:t>Section 15.02</w:t>
      </w:r>
      <w:r>
        <w:rPr>
          <w:rFonts w:ascii="Arial" w:cs="Arial" w:eastAsia="Arial" w:hAnsi="Arial"/>
          <w:sz w:val="19"/>
          <w:szCs w:val="19"/>
          <w:color w:val="auto"/>
        </w:rPr>
        <w:t>.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200" w:lineRule="exact"/>
        <w:rPr>
          <w:sz w:val="20"/>
          <w:szCs w:val="20"/>
          <w:color w:val="auto"/>
        </w:rPr>
      </w:pPr>
    </w:p>
    <w:p>
      <w:pPr>
        <w:spacing w:after="0" w:line="315" w:lineRule="exact"/>
        <w:rPr>
          <w:sz w:val="20"/>
          <w:szCs w:val="20"/>
          <w:color w:val="auto"/>
        </w:rPr>
      </w:pPr>
    </w:p>
    <w:p>
      <w:pPr>
        <w:jc w:val="both"/>
        <w:ind w:firstLine="794"/>
        <w:spacing w:after="0" w:line="297" w:lineRule="auto"/>
        <w:tabs>
          <w:tab w:leader="none" w:pos="1296" w:val="left"/>
        </w:tabs>
        <w:numPr>
          <w:ilvl w:val="0"/>
          <w:numId w:val="251"/>
        </w:numPr>
        <w:rPr>
          <w:rFonts w:ascii="Arial" w:cs="Arial" w:eastAsia="Arial" w:hAnsi="Arial"/>
          <w:sz w:val="19"/>
          <w:szCs w:val="19"/>
          <w:color w:val="auto"/>
        </w:rPr>
      </w:pPr>
      <w:r>
        <w:rPr>
          <w:rFonts w:ascii="Arial" w:cs="Arial" w:eastAsia="Arial" w:hAnsi="Arial"/>
          <w:sz w:val="19"/>
          <w:szCs w:val="19"/>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241" w:lineRule="exact"/>
        <w:rPr>
          <w:rFonts w:ascii="Arial" w:cs="Arial" w:eastAsia="Arial" w:hAnsi="Arial"/>
          <w:sz w:val="19"/>
          <w:szCs w:val="19"/>
          <w:color w:val="auto"/>
        </w:rPr>
      </w:pPr>
    </w:p>
    <w:p>
      <w:pPr>
        <w:jc w:val="both"/>
        <w:ind w:firstLine="794"/>
        <w:spacing w:after="0" w:line="279" w:lineRule="auto"/>
        <w:tabs>
          <w:tab w:leader="none" w:pos="1304"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258" w:lineRule="exact"/>
        <w:rPr>
          <w:rFonts w:ascii="Arial" w:cs="Arial" w:eastAsia="Arial" w:hAnsi="Arial"/>
          <w:sz w:val="19"/>
          <w:szCs w:val="19"/>
          <w:color w:val="auto"/>
        </w:rPr>
      </w:pPr>
    </w:p>
    <w:p>
      <w:pPr>
        <w:jc w:val="both"/>
        <w:ind w:firstLine="794"/>
        <w:spacing w:after="0" w:line="277" w:lineRule="auto"/>
        <w:tabs>
          <w:tab w:leader="none" w:pos="1305" w:val="left"/>
        </w:tabs>
        <w:numPr>
          <w:ilvl w:val="0"/>
          <w:numId w:val="251"/>
        </w:numPr>
        <w:rPr>
          <w:rFonts w:ascii="Arial" w:cs="Arial" w:eastAsia="Arial" w:hAnsi="Arial"/>
          <w:sz w:val="19"/>
          <w:szCs w:val="19"/>
          <w:color w:val="auto"/>
        </w:rPr>
      </w:pPr>
      <w:r>
        <w:rPr>
          <w:rFonts w:ascii="Arial" w:cs="Arial" w:eastAsia="Arial" w:hAnsi="Arial"/>
          <w:sz w:val="19"/>
          <w:szCs w:val="19"/>
          <w:color w:val="auto"/>
        </w:rPr>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 condition and creditworthiness of the Borrower, and made its own decision to enter into</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267" w:right="339" w:bottom="1440" w:gutter="0" w:footer="0" w:header="0"/>
        </w:sectPr>
      </w:pPr>
    </w:p>
    <w:bookmarkStart w:id="173" w:name="page174"/>
    <w:bookmarkEnd w:id="173"/>
    <w:p>
      <w:pPr>
        <w:jc w:val="both"/>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57" w:lineRule="exact"/>
        <w:rPr>
          <w:sz w:val="20"/>
          <w:szCs w:val="20"/>
          <w:color w:val="auto"/>
        </w:rPr>
      </w:pPr>
    </w:p>
    <w:p>
      <w:pPr>
        <w:jc w:val="both"/>
        <w:ind w:firstLine="337"/>
        <w:spacing w:after="0" w:line="270" w:lineRule="auto"/>
        <w:rPr>
          <w:sz w:val="20"/>
          <w:szCs w:val="20"/>
          <w:color w:val="auto"/>
        </w:rPr>
      </w:pPr>
      <w:r>
        <w:rPr>
          <w:rFonts w:ascii="Arial" w:cs="Arial" w:eastAsia="Arial" w:hAnsi="Arial"/>
          <w:sz w:val="19"/>
          <w:szCs w:val="19"/>
          <w:i w:val="1"/>
          <w:iCs w:val="1"/>
          <w:color w:val="auto"/>
        </w:rPr>
        <w:t>Section 12.04. Indemnification</w:t>
      </w:r>
      <w:r>
        <w:rPr>
          <w:rFonts w:ascii="Arial" w:cs="Arial" w:eastAsia="Arial" w:hAnsi="Arial"/>
          <w:sz w:val="19"/>
          <w:szCs w:val="19"/>
          <w:color w:val="auto"/>
        </w:rPr>
        <w:t>. Each of the Lenders agrees to indemnify and hold the Agents and the Backup Collateral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Manager harmless (to the extent not reimbursed by or on behalf of the Borrower pursuant to </w:t>
      </w:r>
      <w:r>
        <w:rPr>
          <w:rFonts w:ascii="Arial" w:cs="Arial" w:eastAsia="Arial" w:hAnsi="Arial"/>
          <w:sz w:val="19"/>
          <w:szCs w:val="19"/>
          <w:u w:val="single" w:color="auto"/>
          <w:color w:val="auto"/>
        </w:rPr>
        <w:t>Section 15.04</w:t>
      </w:r>
      <w:r>
        <w:rPr>
          <w:rFonts w:ascii="Arial" w:cs="Arial" w:eastAsia="Arial" w:hAnsi="Arial"/>
          <w:sz w:val="19"/>
          <w:szCs w:val="19"/>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Lender shall be liable to the Collateral Agent for any portion of such liabilities, obligations, losses, damages, penalties, actions, judgments, suits, costs, expenses or disbursements (for purposes hereof, </w:t>
      </w:r>
      <w:r>
        <w:rPr>
          <w:rFonts w:ascii="Arial" w:cs="Arial" w:eastAsia="Arial" w:hAnsi="Arial"/>
          <w:sz w:val="19"/>
          <w:szCs w:val="19"/>
          <w:i w:val="1"/>
          <w:iCs w:val="1"/>
          <w:color w:val="auto"/>
        </w:rPr>
        <w:t>“Liabilities”</w:t>
      </w:r>
      <w:r>
        <w:rPr>
          <w:rFonts w:ascii="Arial" w:cs="Arial" w:eastAsia="Arial" w:hAnsi="Arial"/>
          <w:sz w:val="19"/>
          <w:szCs w:val="19"/>
          <w:color w:val="auto"/>
        </w:rPr>
        <w:t>) unless such Liabilities are imposed on, incurred by, or asserted against the Collateral Agent as a result of any action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9"/>
          <w:szCs w:val="19"/>
          <w:u w:val="single" w:color="auto"/>
          <w:color w:val="auto"/>
        </w:rPr>
        <w:t>Section 12.04</w:t>
      </w:r>
      <w:r>
        <w:rPr>
          <w:rFonts w:ascii="Arial" w:cs="Arial" w:eastAsia="Arial" w:hAnsi="Arial"/>
          <w:sz w:val="19"/>
          <w:szCs w:val="19"/>
          <w:color w:val="auto"/>
        </w:rPr>
        <w:t xml:space="preserve"> or otherwise). The rights of the Agents and obligations of the Lenders under or pursuant to this </w:t>
      </w:r>
      <w:r>
        <w:rPr>
          <w:rFonts w:ascii="Arial" w:cs="Arial" w:eastAsia="Arial" w:hAnsi="Arial"/>
          <w:sz w:val="19"/>
          <w:szCs w:val="19"/>
          <w:u w:val="single" w:color="auto"/>
          <w:color w:val="auto"/>
        </w:rPr>
        <w:t>Section 12.04</w:t>
      </w:r>
      <w:r>
        <w:rPr>
          <w:rFonts w:ascii="Arial" w:cs="Arial" w:eastAsia="Arial" w:hAnsi="Arial"/>
          <w:sz w:val="19"/>
          <w:szCs w:val="19"/>
          <w:color w:val="auto"/>
        </w:rPr>
        <w:t xml:space="preserve"> shall survive the termination of this Agreement, and the earlier removal or resignation of the any Agent hereunder.</w:t>
      </w:r>
    </w:p>
    <w:p>
      <w:pPr>
        <w:spacing w:after="0" w:line="200" w:lineRule="exact"/>
        <w:rPr>
          <w:sz w:val="20"/>
          <w:szCs w:val="20"/>
          <w:color w:val="auto"/>
        </w:rPr>
      </w:pPr>
    </w:p>
    <w:p>
      <w:pPr>
        <w:spacing w:after="0" w:line="203" w:lineRule="exact"/>
        <w:rPr>
          <w:sz w:val="20"/>
          <w:szCs w:val="20"/>
          <w:color w:val="auto"/>
        </w:rPr>
      </w:pPr>
    </w:p>
    <w:p>
      <w:pPr>
        <w:jc w:val="both"/>
        <w:ind w:firstLine="337"/>
        <w:spacing w:after="0" w:line="252" w:lineRule="auto"/>
        <w:rPr>
          <w:sz w:val="20"/>
          <w:szCs w:val="20"/>
          <w:color w:val="auto"/>
        </w:rPr>
      </w:pPr>
      <w:r>
        <w:rPr>
          <w:rFonts w:ascii="Arial" w:cs="Arial" w:eastAsia="Arial" w:hAnsi="Arial"/>
          <w:sz w:val="21"/>
          <w:szCs w:val="21"/>
          <w:i w:val="1"/>
          <w:iCs w:val="1"/>
          <w:color w:val="auto"/>
        </w:rPr>
        <w:t>Section 12.05. Successor Agents</w:t>
      </w:r>
      <w:r>
        <w:rPr>
          <w:rFonts w:ascii="Arial" w:cs="Arial" w:eastAsia="Arial" w:hAnsi="Arial"/>
          <w:sz w:val="21"/>
          <w:szCs w:val="21"/>
          <w:color w:val="auto"/>
        </w:rPr>
        <w:t>. Subject to the terms of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12.05</w:t>
      </w:r>
      <w:r>
        <w:rPr>
          <w:rFonts w:ascii="Arial" w:cs="Arial" w:eastAsia="Arial" w:hAnsi="Arial"/>
          <w:sz w:val="21"/>
          <w:szCs w:val="21"/>
          <w:color w:val="auto"/>
        </w:rPr>
        <w:t>, each Agent may, upon thirty (30) days’</w:t>
      </w:r>
      <w:r>
        <w:rPr>
          <w:rFonts w:ascii="Arial" w:cs="Arial" w:eastAsia="Arial" w:hAnsi="Arial"/>
          <w:sz w:val="21"/>
          <w:szCs w:val="21"/>
          <w:i w:val="1"/>
          <w:iCs w:val="1"/>
          <w:color w:val="auto"/>
        </w:rPr>
        <w:t xml:space="preserve"> </w:t>
      </w:r>
      <w:r>
        <w:rPr>
          <w:rFonts w:ascii="Arial" w:cs="Arial" w:eastAsia="Arial" w:hAnsi="Arial"/>
          <w:sz w:val="21"/>
          <w:szCs w:val="21"/>
          <w:color w:val="auto"/>
        </w:rPr>
        <w:t>notice to the Lenders and the 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267" w:right="339" w:bottom="1440" w:gutter="0" w:footer="0" w:header="0"/>
        </w:sectPr>
      </w:pPr>
    </w:p>
    <w:bookmarkStart w:id="174" w:name="page175"/>
    <w:bookmarkEnd w:id="174"/>
    <w:p>
      <w:pPr>
        <w:jc w:val="both"/>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appoint a successor agent. The appointment of any successor Agent shall be subject to the prior written consent of the Borrower (which consent shall not be unreasonably withheld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w:t>
      </w:r>
      <w:r>
        <w:rPr>
          <w:rFonts w:ascii="Arial" w:cs="Arial" w:eastAsia="Arial" w:hAnsi="Arial"/>
          <w:sz w:val="19"/>
          <w:szCs w:val="19"/>
          <w:u w:val="single" w:color="auto"/>
          <w:color w:val="auto"/>
        </w:rPr>
        <w:t>Section 12.05</w:t>
      </w:r>
      <w:r>
        <w:rPr>
          <w:rFonts w:ascii="Arial" w:cs="Arial" w:eastAsia="Arial" w:hAnsi="Arial"/>
          <w:sz w:val="19"/>
          <w:szCs w:val="19"/>
          <w:color w:val="auto"/>
        </w:rPr>
        <w:t xml:space="preserve">. After the effectiveness of any retiring Agent’s resignation hereunder as Agent, the retiring Agent shall be discharged from its duties and obligations hereunder and under the other Facility Documents and the provisions of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263" w:lineRule="exact"/>
        <w:rPr>
          <w:sz w:val="20"/>
          <w:szCs w:val="20"/>
          <w:color w:val="auto"/>
        </w:rPr>
      </w:pPr>
    </w:p>
    <w:p>
      <w:pPr>
        <w:jc w:val="both"/>
        <w:ind w:firstLine="337"/>
        <w:spacing w:after="0" w:line="236" w:lineRule="auto"/>
        <w:rPr>
          <w:sz w:val="20"/>
          <w:szCs w:val="20"/>
          <w:color w:val="auto"/>
        </w:rPr>
      </w:pPr>
      <w:r>
        <w:rPr>
          <w:rFonts w:ascii="Arial" w:cs="Arial" w:eastAsia="Arial" w:hAnsi="Arial"/>
          <w:sz w:val="22"/>
          <w:szCs w:val="22"/>
          <w:i w:val="1"/>
          <w:iCs w:val="1"/>
          <w:color w:val="auto"/>
        </w:rPr>
        <w:t>Section 12.06. Administrative Agent’s Capacity as a Lender</w:t>
      </w:r>
      <w:r>
        <w:rPr>
          <w:rFonts w:ascii="Arial" w:cs="Arial" w:eastAsia="Arial" w:hAnsi="Arial"/>
          <w:sz w:val="22"/>
          <w:szCs w:val="22"/>
          <w:color w:val="auto"/>
        </w:rPr>
        <w:t>. The Person serving as the Administrative Agent hereunder</w:t>
      </w:r>
      <w:r>
        <w:rPr>
          <w:rFonts w:ascii="Arial" w:cs="Arial" w:eastAsia="Arial" w:hAnsi="Arial"/>
          <w:sz w:val="22"/>
          <w:szCs w:val="22"/>
          <w:i w:val="1"/>
          <w:iCs w:val="1"/>
          <w:color w:val="auto"/>
        </w:rPr>
        <w:t xml:space="preserve"> </w:t>
      </w:r>
      <w:r>
        <w:rPr>
          <w:rFonts w:ascii="Arial" w:cs="Arial" w:eastAsia="Arial" w:hAnsi="Arial"/>
          <w:sz w:val="22"/>
          <w:szCs w:val="22"/>
          <w:color w:val="auto"/>
        </w:rPr>
        <w:t>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XIII</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HE</w:t>
      </w:r>
      <w:r>
        <w:rPr>
          <w:rFonts w:ascii="Arial" w:cs="Arial" w:eastAsia="Arial" w:hAnsi="Arial"/>
          <w:sz w:val="22"/>
          <w:szCs w:val="22"/>
          <w:b w:val="1"/>
          <w:bCs w:val="1"/>
          <w:color w:val="auto"/>
        </w:rPr>
        <w:t xml:space="preserve"> B</w:t>
      </w:r>
      <w:r>
        <w:rPr>
          <w:rFonts w:ascii="Arial" w:cs="Arial" w:eastAsia="Arial" w:hAnsi="Arial"/>
          <w:sz w:val="17"/>
          <w:szCs w:val="17"/>
          <w:b w:val="1"/>
          <w:bCs w:val="1"/>
          <w:color w:val="auto"/>
        </w:rPr>
        <w:t>ACKUP</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OLLATERAL</w:t>
      </w:r>
      <w:r>
        <w:rPr>
          <w:rFonts w:ascii="Arial" w:cs="Arial" w:eastAsia="Arial" w:hAnsi="Arial"/>
          <w:sz w:val="22"/>
          <w:szCs w:val="22"/>
          <w:b w:val="1"/>
          <w:bCs w:val="1"/>
          <w:color w:val="auto"/>
        </w:rPr>
        <w:t xml:space="preserve"> M</w:t>
      </w:r>
      <w:r>
        <w:rPr>
          <w:rFonts w:ascii="Arial" w:cs="Arial" w:eastAsia="Arial" w:hAnsi="Arial"/>
          <w:sz w:val="17"/>
          <w:szCs w:val="17"/>
          <w:b w:val="1"/>
          <w:bCs w:val="1"/>
          <w:color w:val="auto"/>
        </w:rPr>
        <w:t>ANAGER</w:t>
      </w:r>
    </w:p>
    <w:p>
      <w:pPr>
        <w:spacing w:after="0" w:line="320" w:lineRule="exact"/>
        <w:rPr>
          <w:sz w:val="20"/>
          <w:szCs w:val="20"/>
          <w:color w:val="auto"/>
        </w:rPr>
      </w:pPr>
    </w:p>
    <w:p>
      <w:pPr>
        <w:jc w:val="both"/>
        <w:ind w:firstLine="337"/>
        <w:spacing w:after="0"/>
        <w:rPr>
          <w:sz w:val="20"/>
          <w:szCs w:val="20"/>
          <w:color w:val="auto"/>
        </w:rPr>
      </w:pPr>
      <w:r>
        <w:rPr>
          <w:rFonts w:ascii="Arial" w:cs="Arial" w:eastAsia="Arial" w:hAnsi="Arial"/>
          <w:sz w:val="22"/>
          <w:szCs w:val="22"/>
          <w:i w:val="1"/>
          <w:iCs w:val="1"/>
          <w:color w:val="auto"/>
        </w:rPr>
        <w:t xml:space="preserve">Section 13.01. Duties of the Backup Collateral Manager. </w:t>
      </w:r>
      <w:r>
        <w:rPr>
          <w:rFonts w:ascii="Arial" w:cs="Arial" w:eastAsia="Arial" w:hAnsi="Arial"/>
          <w:sz w:val="22"/>
          <w:szCs w:val="22"/>
          <w:color w:val="auto"/>
        </w:rPr>
        <w:t>(a) On or before the Closing Date, the Collateral Manager</w:t>
      </w:r>
      <w:r>
        <w:rPr>
          <w:rFonts w:ascii="Arial" w:cs="Arial" w:eastAsia="Arial" w:hAnsi="Arial"/>
          <w:sz w:val="22"/>
          <w:szCs w:val="22"/>
          <w:i w:val="1"/>
          <w:iCs w:val="1"/>
          <w:color w:val="auto"/>
        </w:rPr>
        <w:t xml:space="preserve"> </w:t>
      </w:r>
      <w:r>
        <w:rPr>
          <w:rFonts w:ascii="Arial" w:cs="Arial" w:eastAsia="Arial" w:hAnsi="Arial"/>
          <w:sz w:val="22"/>
          <w:szCs w:val="22"/>
          <w:color w:val="auto"/>
        </w:rPr>
        <w:t>shall deliver to the Backup Collateral Manager the information required to be set forth in the Monthly Report in hard copy and in EXCEL or a comparable format.</w:t>
      </w:r>
    </w:p>
    <w:p>
      <w:pPr>
        <w:spacing w:after="0" w:line="294" w:lineRule="exact"/>
        <w:rPr>
          <w:sz w:val="20"/>
          <w:szCs w:val="20"/>
          <w:color w:val="auto"/>
        </w:rPr>
      </w:pPr>
    </w:p>
    <w:p>
      <w:pPr>
        <w:jc w:val="both"/>
        <w:ind w:firstLine="794"/>
        <w:spacing w:after="0" w:line="272" w:lineRule="auto"/>
        <w:tabs>
          <w:tab w:leader="none" w:pos="1415"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 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267" w:right="339" w:bottom="1440" w:gutter="0" w:footer="0" w:header="0"/>
        </w:sectPr>
      </w:pPr>
    </w:p>
    <w:bookmarkStart w:id="175" w:name="page176"/>
    <w:bookmarkEnd w:id="175"/>
    <w:p>
      <w:pPr>
        <w:jc w:val="both"/>
        <w:ind w:firstLine="337"/>
        <w:spacing w:after="0" w:line="287"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13.02. Fees of Backup Collateral Manager</w:t>
      </w:r>
      <w:r>
        <w:rPr>
          <w:rFonts w:ascii="Arial" w:cs="Arial" w:eastAsia="Arial" w:hAnsi="Arial"/>
          <w:sz w:val="19"/>
          <w:szCs w:val="19"/>
          <w:color w:val="auto"/>
        </w:rPr>
        <w:t>. (a) For the performance of its backup servicing duties hereunder,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Backup Collateral Manager shall be entitled to the fees and expenses set forth in the Backup Collateral Manager Fee Letter. The Backup Collateral Manager shall invoice the Borrower on a monthly basis for such fees and expenses. Payment shall be made by the Borrower to the extent funds are available for that purpose in accordance with the Priority of Payments.</w:t>
      </w:r>
    </w:p>
    <w:p>
      <w:pPr>
        <w:spacing w:after="0" w:line="251" w:lineRule="exact"/>
        <w:rPr>
          <w:sz w:val="20"/>
          <w:szCs w:val="20"/>
          <w:color w:val="auto"/>
        </w:rPr>
      </w:pPr>
    </w:p>
    <w:p>
      <w:pPr>
        <w:jc w:val="both"/>
        <w:ind w:firstLine="794"/>
        <w:spacing w:after="0" w:line="235" w:lineRule="auto"/>
        <w:tabs>
          <w:tab w:leader="none" w:pos="1458" w:val="left"/>
        </w:tabs>
        <w:numPr>
          <w:ilvl w:val="0"/>
          <w:numId w:val="253"/>
        </w:numPr>
        <w:rPr>
          <w:rFonts w:ascii="Arial" w:cs="Arial" w:eastAsia="Arial" w:hAnsi="Arial"/>
          <w:sz w:val="22"/>
          <w:szCs w:val="22"/>
          <w:color w:val="auto"/>
        </w:rPr>
      </w:pPr>
      <w:r>
        <w:rPr>
          <w:rFonts w:ascii="Arial" w:cs="Arial" w:eastAsia="Arial" w:hAnsi="Arial"/>
          <w:sz w:val="22"/>
          <w:szCs w:val="22"/>
          <w:color w:val="auto"/>
        </w:rPr>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Post-Default Rate.</w:t>
      </w:r>
    </w:p>
    <w:p>
      <w:pPr>
        <w:spacing w:after="0" w:line="296" w:lineRule="exact"/>
        <w:rPr>
          <w:sz w:val="20"/>
          <w:szCs w:val="20"/>
          <w:color w:val="auto"/>
        </w:rPr>
      </w:pPr>
    </w:p>
    <w:p>
      <w:pPr>
        <w:jc w:val="both"/>
        <w:ind w:firstLine="337"/>
        <w:spacing w:after="0" w:line="234" w:lineRule="auto"/>
        <w:rPr>
          <w:sz w:val="20"/>
          <w:szCs w:val="20"/>
          <w:color w:val="auto"/>
        </w:rPr>
      </w:pPr>
      <w:r>
        <w:rPr>
          <w:rFonts w:ascii="Arial" w:cs="Arial" w:eastAsia="Arial" w:hAnsi="Arial"/>
          <w:sz w:val="22"/>
          <w:szCs w:val="22"/>
          <w:i w:val="1"/>
          <w:iCs w:val="1"/>
          <w:color w:val="auto"/>
        </w:rPr>
        <w:t>Section 13.03. Assumption of Servicing Duties</w:t>
      </w:r>
      <w:r>
        <w:rPr>
          <w:rFonts w:ascii="Arial" w:cs="Arial" w:eastAsia="Arial" w:hAnsi="Arial"/>
          <w:sz w:val="22"/>
          <w:szCs w:val="22"/>
          <w:color w:val="auto"/>
        </w:rPr>
        <w:t>. (a) Upon written notification by the Administrative Agent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Backup Collateral Manager and the 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w:t>
      </w:r>
      <w:r>
        <w:rPr>
          <w:rFonts w:ascii="Arial" w:cs="Arial" w:eastAsia="Arial" w:hAnsi="Arial"/>
          <w:sz w:val="22"/>
          <w:szCs w:val="22"/>
          <w:u w:val="single" w:color="auto"/>
          <w:color w:val="auto"/>
        </w:rPr>
        <w:t>Section 11.09</w:t>
      </w:r>
      <w:r>
        <w:rPr>
          <w:rFonts w:ascii="Arial" w:cs="Arial" w:eastAsia="Arial" w:hAnsi="Arial"/>
          <w:sz w:val="22"/>
          <w:szCs w:val="22"/>
          <w:color w:val="auto"/>
        </w:rPr>
        <w:t xml:space="preserve">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299" w:lineRule="exact"/>
        <w:rPr>
          <w:sz w:val="20"/>
          <w:szCs w:val="20"/>
          <w:color w:val="auto"/>
        </w:rPr>
      </w:pPr>
    </w:p>
    <w:p>
      <w:pPr>
        <w:jc w:val="both"/>
        <w:ind w:firstLine="794"/>
        <w:spacing w:after="0" w:line="236" w:lineRule="auto"/>
        <w:tabs>
          <w:tab w:leader="none" w:pos="1449" w:val="left"/>
        </w:tabs>
        <w:numPr>
          <w:ilvl w:val="0"/>
          <w:numId w:val="254"/>
        </w:numPr>
        <w:rPr>
          <w:rFonts w:ascii="Arial" w:cs="Arial" w:eastAsia="Arial" w:hAnsi="Arial"/>
          <w:sz w:val="22"/>
          <w:szCs w:val="22"/>
          <w:color w:val="auto"/>
        </w:rPr>
      </w:pPr>
      <w:r>
        <w:rPr>
          <w:rFonts w:ascii="Arial" w:cs="Arial" w:eastAsia="Arial" w:hAnsi="Arial"/>
          <w:sz w:val="22"/>
          <w:szCs w:val="22"/>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Backup Collateral Manager shall remain primarily liable for the due performance of its duties hereunder.</w:t>
      </w:r>
    </w:p>
    <w:p>
      <w:pPr>
        <w:spacing w:after="0" w:line="295" w:lineRule="exact"/>
        <w:rPr>
          <w:sz w:val="20"/>
          <w:szCs w:val="20"/>
          <w:color w:val="auto"/>
        </w:rPr>
      </w:pPr>
    </w:p>
    <w:p>
      <w:pPr>
        <w:jc w:val="both"/>
        <w:ind w:firstLine="337"/>
        <w:spacing w:after="0" w:line="245" w:lineRule="auto"/>
        <w:rPr>
          <w:sz w:val="20"/>
          <w:szCs w:val="20"/>
          <w:color w:val="auto"/>
        </w:rPr>
      </w:pPr>
      <w:r>
        <w:rPr>
          <w:rFonts w:ascii="Arial" w:cs="Arial" w:eastAsia="Arial" w:hAnsi="Arial"/>
          <w:sz w:val="21"/>
          <w:szCs w:val="21"/>
          <w:i w:val="1"/>
          <w:iCs w:val="1"/>
          <w:color w:val="auto"/>
        </w:rPr>
        <w:t>Section 13.04. Indemnity</w:t>
      </w:r>
      <w:r>
        <w:rPr>
          <w:rFonts w:ascii="Arial" w:cs="Arial" w:eastAsia="Arial" w:hAnsi="Arial"/>
          <w:sz w:val="21"/>
          <w:szCs w:val="21"/>
          <w:color w:val="auto"/>
        </w:rPr>
        <w:t>. The Collateral Manager agrees to indemnify the Backup Collateral Manager and each of its</w:t>
      </w:r>
      <w:r>
        <w:rPr>
          <w:rFonts w:ascii="Arial" w:cs="Arial" w:eastAsia="Arial" w:hAnsi="Arial"/>
          <w:sz w:val="21"/>
          <w:szCs w:val="21"/>
          <w:i w:val="1"/>
          <w:iCs w:val="1"/>
          <w:color w:val="auto"/>
        </w:rPr>
        <w:t xml:space="preserve"> </w:t>
      </w:r>
      <w:r>
        <w:rPr>
          <w:rFonts w:ascii="Arial" w:cs="Arial" w:eastAsia="Arial" w:hAnsi="Arial"/>
          <w:sz w:val="21"/>
          <w:szCs w:val="21"/>
          <w:color w:val="auto"/>
        </w:rPr>
        <w:t>Affiliates and the officers, directors, employees, members and agents thereof, forthwith on demand, from and against any and all damages, losses, claims, liabilities and related costs and expenses, including reasonable and documented attorneys’ fees and disbursements (all of the foregoing being collectively referred to as “</w:t>
      </w:r>
      <w:r>
        <w:rPr>
          <w:rFonts w:ascii="Arial" w:cs="Arial" w:eastAsia="Arial" w:hAnsi="Arial"/>
          <w:sz w:val="21"/>
          <w:szCs w:val="21"/>
          <w:i w:val="1"/>
          <w:iCs w:val="1"/>
          <w:color w:val="auto"/>
        </w:rPr>
        <w:t>Backup Collateral Manager Indemnified Amounts</w:t>
      </w:r>
      <w:r>
        <w:rPr>
          <w:rFonts w:ascii="Arial" w:cs="Arial" w:eastAsia="Arial" w:hAnsi="Arial"/>
          <w:sz w:val="21"/>
          <w:szCs w:val="21"/>
          <w:color w:val="auto"/>
        </w:rPr>
        <w:t xml:space="preserve">”) awarded against or incurred by, any such indemnified party arising out of or as a result of (i) any illegal act or omission by the Collateral Manager, or (ii) the failure of the Collateral Manager to comply with its duties or obligations in accordance with this Agreement, </w:t>
      </w:r>
      <w:r>
        <w:rPr>
          <w:rFonts w:ascii="Arial" w:cs="Arial" w:eastAsia="Arial" w:hAnsi="Arial"/>
          <w:sz w:val="21"/>
          <w:szCs w:val="21"/>
          <w:i w:val="1"/>
          <w:iCs w:val="1"/>
          <w:color w:val="auto"/>
        </w:rPr>
        <w:t>excluding, however</w:t>
      </w:r>
      <w:r>
        <w:rPr>
          <w:rFonts w:ascii="Arial" w:cs="Arial" w:eastAsia="Arial" w:hAnsi="Arial"/>
          <w:sz w:val="21"/>
          <w:szCs w:val="21"/>
          <w:color w:val="auto"/>
        </w:rPr>
        <w:t>, Backup Collateral Manager Indemnified Amounts to the extent resulting from (A) gross negligence, willful misconduct or bad faith on the part of such Indemnified Party, (B) a claim brought by the Collateral Manager against an indemnified party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267" w:right="339" w:bottom="1440" w:gutter="0" w:footer="0" w:header="0"/>
        </w:sectPr>
      </w:pPr>
    </w:p>
    <w:bookmarkStart w:id="176" w:name="page177"/>
    <w:bookmarkEnd w:id="176"/>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breach in bad faith of such indemnified party’s obligations hereunder or under any other Facility Document as to which such bad faith shall have been found to exist by final order of the applicable court. The provisions of this </w:t>
      </w:r>
      <w:r>
        <w:rPr>
          <w:rFonts w:ascii="Arial" w:cs="Arial" w:eastAsia="Arial" w:hAnsi="Arial"/>
          <w:sz w:val="22"/>
          <w:szCs w:val="22"/>
          <w:u w:val="single" w:color="auto"/>
          <w:color w:val="auto"/>
        </w:rPr>
        <w:t>Section 13.04</w:t>
      </w:r>
      <w:r>
        <w:rPr>
          <w:rFonts w:ascii="Arial" w:cs="Arial" w:eastAsia="Arial" w:hAnsi="Arial"/>
          <w:sz w:val="22"/>
          <w:szCs w:val="22"/>
          <w:color w:val="auto"/>
        </w:rPr>
        <w:t xml:space="preserve"> shall survive termination of this Agreement.</w:t>
      </w:r>
    </w:p>
    <w:p>
      <w:pPr>
        <w:spacing w:after="0" w:line="294" w:lineRule="exact"/>
        <w:rPr>
          <w:sz w:val="20"/>
          <w:szCs w:val="20"/>
          <w:color w:val="auto"/>
        </w:rPr>
      </w:pPr>
    </w:p>
    <w:p>
      <w:pPr>
        <w:jc w:val="both"/>
        <w:ind w:firstLine="337"/>
        <w:spacing w:after="0" w:line="238" w:lineRule="auto"/>
        <w:rPr>
          <w:sz w:val="20"/>
          <w:szCs w:val="20"/>
          <w:color w:val="auto"/>
        </w:rPr>
      </w:pPr>
      <w:r>
        <w:rPr>
          <w:rFonts w:ascii="Arial" w:cs="Arial" w:eastAsia="Arial" w:hAnsi="Arial"/>
          <w:sz w:val="22"/>
          <w:szCs w:val="22"/>
          <w:i w:val="1"/>
          <w:iCs w:val="1"/>
          <w:color w:val="auto"/>
        </w:rPr>
        <w:t>Section 13.05. Additional Provisions Applicable to Backup Collateral Manager</w:t>
      </w:r>
      <w:r>
        <w:rPr>
          <w:rFonts w:ascii="Arial" w:cs="Arial" w:eastAsia="Arial" w:hAnsi="Arial"/>
          <w:sz w:val="22"/>
          <w:szCs w:val="22"/>
          <w:color w:val="auto"/>
        </w:rPr>
        <w:t>. Notwithstanding anything to the contrary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 this Agreement, in the event that the Backup Collateral Manager becomes the Successor Collateral Manager pursuant to </w:t>
      </w:r>
      <w:r>
        <w:rPr>
          <w:rFonts w:ascii="Arial" w:cs="Arial" w:eastAsia="Arial" w:hAnsi="Arial"/>
          <w:sz w:val="22"/>
          <w:szCs w:val="22"/>
          <w:u w:val="single" w:color="auto"/>
          <w:color w:val="auto"/>
        </w:rPr>
        <w:t>Section 11.09</w:t>
      </w:r>
      <w:r>
        <w:rPr>
          <w:rFonts w:ascii="Arial" w:cs="Arial" w:eastAsia="Arial" w:hAnsi="Arial"/>
          <w:sz w:val="22"/>
          <w:szCs w:val="22"/>
          <w:color w:val="auto"/>
        </w:rPr>
        <w:t>, the following provisions shall be deemed applicable to the Backup Collateral Manager as Successor Collateral Manager:</w:t>
      </w:r>
    </w:p>
    <w:p>
      <w:pPr>
        <w:spacing w:after="0" w:line="293" w:lineRule="exact"/>
        <w:rPr>
          <w:sz w:val="20"/>
          <w:szCs w:val="20"/>
          <w:color w:val="auto"/>
        </w:rPr>
      </w:pPr>
    </w:p>
    <w:p>
      <w:pPr>
        <w:ind w:left="2280" w:hanging="546"/>
        <w:spacing w:after="0"/>
        <w:tabs>
          <w:tab w:leader="none" w:pos="2280" w:val="left"/>
        </w:tabs>
        <w:numPr>
          <w:ilvl w:val="1"/>
          <w:numId w:val="255"/>
        </w:numPr>
        <w:rPr>
          <w:rFonts w:ascii="Arial" w:cs="Arial" w:eastAsia="Arial" w:hAnsi="Arial"/>
          <w:sz w:val="19"/>
          <w:szCs w:val="19"/>
          <w:color w:val="auto"/>
        </w:rPr>
      </w:pPr>
      <w:r>
        <w:rPr>
          <w:rFonts w:ascii="Arial" w:cs="Arial" w:eastAsia="Arial" w:hAnsi="Arial"/>
          <w:sz w:val="19"/>
          <w:szCs w:val="19"/>
          <w:color w:val="auto"/>
        </w:rPr>
        <w:t xml:space="preserve">The Backup Collateral Manager’s duties as successor Collateral Manager pursuant to </w:t>
      </w:r>
      <w:r>
        <w:rPr>
          <w:rFonts w:ascii="Arial" w:cs="Arial" w:eastAsia="Arial" w:hAnsi="Arial"/>
          <w:sz w:val="19"/>
          <w:szCs w:val="19"/>
          <w:u w:val="single" w:color="auto"/>
          <w:color w:val="auto"/>
        </w:rPr>
        <w:t>Section 11.02(a)</w:t>
      </w:r>
    </w:p>
    <w:p>
      <w:pPr>
        <w:spacing w:after="0" w:line="42" w:lineRule="exact"/>
        <w:rPr>
          <w:rFonts w:ascii="Arial" w:cs="Arial" w:eastAsia="Arial" w:hAnsi="Arial"/>
          <w:sz w:val="19"/>
          <w:szCs w:val="19"/>
          <w:color w:val="auto"/>
        </w:rPr>
      </w:pPr>
    </w:p>
    <w:p>
      <w:pPr>
        <w:jc w:val="both"/>
        <w:ind w:left="800" w:hanging="6"/>
        <w:spacing w:after="0" w:line="234" w:lineRule="auto"/>
        <w:tabs>
          <w:tab w:leader="none" w:pos="1291" w:val="left"/>
        </w:tabs>
        <w:numPr>
          <w:ilvl w:val="0"/>
          <w:numId w:val="256"/>
        </w:numPr>
        <w:rPr>
          <w:rFonts w:ascii="Arial" w:cs="Arial" w:eastAsia="Arial" w:hAnsi="Arial"/>
          <w:sz w:val="22"/>
          <w:szCs w:val="22"/>
          <w:u w:val="single" w:color="auto"/>
          <w:color w:val="auto"/>
        </w:rPr>
      </w:pPr>
      <w:r>
        <w:rPr>
          <w:rFonts w:ascii="Arial" w:cs="Arial" w:eastAsia="Arial" w:hAnsi="Arial"/>
          <w:sz w:val="22"/>
          <w:szCs w:val="22"/>
          <w:color w:val="auto"/>
        </w:rPr>
        <w:t>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295" w:lineRule="exact"/>
        <w:rPr>
          <w:rFonts w:ascii="Arial" w:cs="Arial" w:eastAsia="Arial" w:hAnsi="Arial"/>
          <w:sz w:val="22"/>
          <w:szCs w:val="22"/>
          <w:u w:val="single" w:color="auto"/>
          <w:color w:val="auto"/>
        </w:rPr>
      </w:pPr>
    </w:p>
    <w:p>
      <w:pPr>
        <w:jc w:val="both"/>
        <w:ind w:left="800" w:firstLine="934"/>
        <w:spacing w:after="0" w:line="252" w:lineRule="auto"/>
        <w:tabs>
          <w:tab w:leader="none" w:pos="2416" w:val="left"/>
        </w:tabs>
        <w:numPr>
          <w:ilvl w:val="1"/>
          <w:numId w:val="256"/>
        </w:numPr>
        <w:rPr>
          <w:rFonts w:ascii="Arial" w:cs="Arial" w:eastAsia="Arial" w:hAnsi="Arial"/>
          <w:sz w:val="21"/>
          <w:szCs w:val="21"/>
          <w:color w:val="auto"/>
        </w:rPr>
      </w:pPr>
      <w:r>
        <w:rPr>
          <w:rFonts w:ascii="Arial" w:cs="Arial" w:eastAsia="Arial" w:hAnsi="Arial"/>
          <w:sz w:val="21"/>
          <w:szCs w:val="21"/>
          <w:color w:val="auto"/>
        </w:rPr>
        <w:t xml:space="preserve">the Backup Collateral Manager shall not be required to deliver the agreed-upon procedures report pursuant to </w:t>
      </w:r>
      <w:r>
        <w:rPr>
          <w:rFonts w:ascii="Arial" w:cs="Arial" w:eastAsia="Arial" w:hAnsi="Arial"/>
          <w:sz w:val="21"/>
          <w:szCs w:val="21"/>
          <w:u w:val="single" w:color="auto"/>
          <w:color w:val="auto"/>
        </w:rPr>
        <w:t>Section 8.08</w:t>
      </w:r>
      <w:r>
        <w:rPr>
          <w:rFonts w:ascii="Arial" w:cs="Arial" w:eastAsia="Arial" w:hAnsi="Arial"/>
          <w:sz w:val="21"/>
          <w:szCs w:val="21"/>
          <w:color w:val="auto"/>
        </w:rPr>
        <w:t xml:space="preserve">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281" w:lineRule="exact"/>
        <w:rPr>
          <w:rFonts w:ascii="Arial" w:cs="Arial" w:eastAsia="Arial" w:hAnsi="Arial"/>
          <w:sz w:val="21"/>
          <w:szCs w:val="21"/>
          <w:color w:val="auto"/>
        </w:rPr>
      </w:pPr>
    </w:p>
    <w:p>
      <w:pPr>
        <w:ind w:left="2260" w:hanging="526"/>
        <w:spacing w:after="0"/>
        <w:tabs>
          <w:tab w:leader="none" w:pos="2260" w:val="left"/>
        </w:tabs>
        <w:numPr>
          <w:ilvl w:val="1"/>
          <w:numId w:val="256"/>
        </w:numPr>
        <w:rPr>
          <w:rFonts w:ascii="Arial" w:cs="Arial" w:eastAsia="Arial" w:hAnsi="Arial"/>
          <w:sz w:val="19"/>
          <w:szCs w:val="19"/>
          <w:color w:val="auto"/>
        </w:rPr>
      </w:pPr>
      <w:r>
        <w:rPr>
          <w:rFonts w:ascii="Arial" w:cs="Arial" w:eastAsia="Arial" w:hAnsi="Arial"/>
          <w:sz w:val="19"/>
          <w:szCs w:val="19"/>
          <w:color w:val="auto"/>
        </w:rPr>
        <w:t>the Backup Collateral Manager as Successor Collateral Manager shall be entitled to receive at least five</w:t>
      </w:r>
    </w:p>
    <w:p>
      <w:pPr>
        <w:spacing w:after="0" w:line="42" w:lineRule="exact"/>
        <w:rPr>
          <w:rFonts w:ascii="Arial" w:cs="Arial" w:eastAsia="Arial" w:hAnsi="Arial"/>
          <w:sz w:val="19"/>
          <w:szCs w:val="19"/>
          <w:color w:val="auto"/>
        </w:rPr>
      </w:pPr>
    </w:p>
    <w:p>
      <w:pPr>
        <w:jc w:val="both"/>
        <w:ind w:left="800"/>
        <w:spacing w:after="0" w:line="234" w:lineRule="auto"/>
        <w:rPr>
          <w:rFonts w:ascii="Arial" w:cs="Arial" w:eastAsia="Arial" w:hAnsi="Arial"/>
          <w:sz w:val="19"/>
          <w:szCs w:val="19"/>
          <w:color w:val="auto"/>
        </w:rPr>
      </w:pPr>
      <w:r>
        <w:rPr>
          <w:rFonts w:ascii="Arial" w:cs="Arial" w:eastAsia="Arial" w:hAnsi="Arial"/>
          <w:sz w:val="22"/>
          <w:szCs w:val="22"/>
          <w:color w:val="auto"/>
        </w:rPr>
        <w:t xml:space="preserve">(5) Business Days’ written notice prior to any inspection of its premises pursuant to </w:t>
      </w:r>
      <w:r>
        <w:rPr>
          <w:rFonts w:ascii="Arial" w:cs="Arial" w:eastAsia="Arial" w:hAnsi="Arial"/>
          <w:sz w:val="22"/>
          <w:szCs w:val="22"/>
          <w:u w:val="single" w:color="auto"/>
          <w:color w:val="auto"/>
        </w:rPr>
        <w:t>Section 5.03(c)</w:t>
      </w:r>
      <w:r>
        <w:rPr>
          <w:rFonts w:ascii="Arial" w:cs="Arial" w:eastAsia="Arial" w:hAnsi="Arial"/>
          <w:sz w:val="22"/>
          <w:szCs w:val="22"/>
          <w:color w:val="auto"/>
        </w:rPr>
        <w:t>, and such visits will occur no more than twice per year so long as the Backup Collateral Manager is not in default as Successor Collateral Manager;</w:t>
      </w:r>
    </w:p>
    <w:p>
      <w:pPr>
        <w:spacing w:after="0" w:line="295" w:lineRule="exact"/>
        <w:rPr>
          <w:rFonts w:ascii="Arial" w:cs="Arial" w:eastAsia="Arial" w:hAnsi="Arial"/>
          <w:sz w:val="19"/>
          <w:szCs w:val="19"/>
          <w:color w:val="auto"/>
        </w:rPr>
      </w:pPr>
    </w:p>
    <w:p>
      <w:pPr>
        <w:jc w:val="both"/>
        <w:ind w:left="800" w:firstLine="934"/>
        <w:spacing w:after="0" w:line="238" w:lineRule="auto"/>
        <w:tabs>
          <w:tab w:leader="none" w:pos="2291" w:val="left"/>
        </w:tabs>
        <w:numPr>
          <w:ilvl w:val="1"/>
          <w:numId w:val="256"/>
        </w:numPr>
        <w:rPr>
          <w:rFonts w:ascii="Arial" w:cs="Arial" w:eastAsia="Arial" w:hAnsi="Arial"/>
          <w:sz w:val="22"/>
          <w:szCs w:val="22"/>
          <w:color w:val="auto"/>
        </w:rPr>
      </w:pPr>
      <w:r>
        <w:rPr>
          <w:rFonts w:ascii="Arial" w:cs="Arial" w:eastAsia="Arial" w:hAnsi="Arial"/>
          <w:sz w:val="22"/>
          <w:szCs w:val="22"/>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292" w:lineRule="exact"/>
        <w:rPr>
          <w:rFonts w:ascii="Arial" w:cs="Arial" w:eastAsia="Arial" w:hAnsi="Arial"/>
          <w:sz w:val="22"/>
          <w:szCs w:val="22"/>
          <w:color w:val="auto"/>
        </w:rPr>
      </w:pPr>
    </w:p>
    <w:p>
      <w:pPr>
        <w:jc w:val="both"/>
        <w:ind w:left="800" w:firstLine="934"/>
        <w:spacing w:after="0"/>
        <w:tabs>
          <w:tab w:leader="none" w:pos="2250" w:val="left"/>
        </w:tabs>
        <w:numPr>
          <w:ilvl w:val="1"/>
          <w:numId w:val="256"/>
        </w:numPr>
        <w:rPr>
          <w:rFonts w:ascii="Arial" w:cs="Arial" w:eastAsia="Arial" w:hAnsi="Arial"/>
          <w:sz w:val="22"/>
          <w:szCs w:val="22"/>
          <w:color w:val="auto"/>
        </w:rPr>
      </w:pPr>
      <w:r>
        <w:rPr>
          <w:rFonts w:ascii="Arial" w:cs="Arial" w:eastAsia="Arial" w:hAnsi="Arial"/>
          <w:sz w:val="22"/>
          <w:szCs w:val="22"/>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294" w:lineRule="exact"/>
        <w:rPr>
          <w:sz w:val="20"/>
          <w:szCs w:val="20"/>
          <w:color w:val="auto"/>
        </w:rPr>
      </w:pPr>
    </w:p>
    <w:p>
      <w:pPr>
        <w:ind w:left="340"/>
        <w:spacing w:after="0"/>
        <w:tabs>
          <w:tab w:leader="none" w:pos="2040" w:val="left"/>
          <w:tab w:leader="none" w:pos="6680" w:val="left"/>
        </w:tabs>
        <w:rPr>
          <w:sz w:val="20"/>
          <w:szCs w:val="20"/>
          <w:color w:val="auto"/>
        </w:rPr>
      </w:pPr>
      <w:r>
        <w:rPr>
          <w:rFonts w:ascii="Arial" w:cs="Arial" w:eastAsia="Arial" w:hAnsi="Arial"/>
          <w:sz w:val="22"/>
          <w:szCs w:val="22"/>
          <w:i w:val="1"/>
          <w:iCs w:val="1"/>
          <w:color w:val="auto"/>
        </w:rPr>
        <w:t>Section 13.06.</w:t>
      </w:r>
      <w:r>
        <w:rPr>
          <w:sz w:val="20"/>
          <w:szCs w:val="20"/>
          <w:color w:val="auto"/>
        </w:rPr>
        <w:tab/>
      </w:r>
      <w:r>
        <w:rPr>
          <w:rFonts w:ascii="Arial" w:cs="Arial" w:eastAsia="Arial" w:hAnsi="Arial"/>
          <w:sz w:val="22"/>
          <w:szCs w:val="22"/>
          <w:i w:val="1"/>
          <w:iCs w:val="1"/>
          <w:color w:val="auto"/>
        </w:rPr>
        <w:t>Resignation of the Backup Collateral Manager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Notwithstanding the provisions above, the Backup</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Collateral Manager may resign, either as Backup Collateral Manager or as Successor Collateral Manager, upon ninety (90) days prior written notice to the Administrative Agent, the Collateral Agent and the Borrower: </w:t>
      </w:r>
      <w:r>
        <w:rPr>
          <w:rFonts w:ascii="Arial" w:cs="Arial" w:eastAsia="Arial" w:hAnsi="Arial"/>
          <w:sz w:val="22"/>
          <w:szCs w:val="22"/>
          <w:i w:val="1"/>
          <w:iCs w:val="1"/>
          <w:color w:val="auto"/>
        </w:rPr>
        <w:t>provided, however</w:t>
      </w:r>
      <w:r>
        <w:rPr>
          <w:rFonts w:ascii="Arial" w:cs="Arial" w:eastAsia="Arial" w:hAnsi="Arial"/>
          <w:sz w:val="22"/>
          <w:szCs w:val="22"/>
          <w:color w:val="auto"/>
        </w:rPr>
        <w:t>, such resignation shall not become effective until there is a replacement Successor Collateral Manager or Backup Collateral Manager in place that is acceptable to the Collateral Agent,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267" w:right="339" w:bottom="1440" w:gutter="0" w:footer="0" w:header="0"/>
        </w:sectPr>
      </w:pPr>
    </w:p>
    <w:bookmarkStart w:id="177" w:name="page178"/>
    <w:bookmarkEnd w:id="177"/>
    <w:p>
      <w:pPr>
        <w:jc w:val="both"/>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 (30) days of the Backup Collateral Manager’s resignation, the Backup Collateral Manager may petition a court of competent jurisdiction for the appointment of a successor.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XIV</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HE</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USTODIAN</w:t>
      </w:r>
    </w:p>
    <w:p>
      <w:pPr>
        <w:spacing w:after="0" w:line="320" w:lineRule="exact"/>
        <w:rPr>
          <w:sz w:val="20"/>
          <w:szCs w:val="20"/>
          <w:color w:val="auto"/>
        </w:rPr>
      </w:pPr>
    </w:p>
    <w:p>
      <w:pPr>
        <w:ind w:left="340"/>
        <w:spacing w:after="0"/>
        <w:tabs>
          <w:tab w:leader="none" w:pos="1820" w:val="left"/>
        </w:tabs>
        <w:rPr>
          <w:sz w:val="20"/>
          <w:szCs w:val="20"/>
          <w:color w:val="auto"/>
        </w:rPr>
      </w:pPr>
      <w:r>
        <w:rPr>
          <w:rFonts w:ascii="Arial" w:cs="Arial" w:eastAsia="Arial" w:hAnsi="Arial"/>
          <w:sz w:val="22"/>
          <w:szCs w:val="22"/>
          <w:i w:val="1"/>
          <w:iCs w:val="1"/>
          <w:color w:val="auto"/>
        </w:rPr>
        <w:t>Section 14.01.</w:t>
      </w:r>
      <w:r>
        <w:rPr>
          <w:sz w:val="20"/>
          <w:szCs w:val="20"/>
          <w:color w:val="auto"/>
        </w:rPr>
        <w:tab/>
      </w:r>
      <w:r>
        <w:rPr>
          <w:rFonts w:ascii="Arial" w:cs="Arial" w:eastAsia="Arial" w:hAnsi="Arial"/>
          <w:sz w:val="19"/>
          <w:szCs w:val="19"/>
          <w:i w:val="1"/>
          <w:iCs w:val="1"/>
          <w:color w:val="auto"/>
        </w:rPr>
        <w:t>Designation of Custodian</w:t>
      </w:r>
    </w:p>
    <w:p>
      <w:pPr>
        <w:spacing w:after="0" w:line="314" w:lineRule="exact"/>
        <w:rPr>
          <w:sz w:val="20"/>
          <w:szCs w:val="20"/>
          <w:color w:val="auto"/>
        </w:rPr>
      </w:pPr>
    </w:p>
    <w:p>
      <w:pPr>
        <w:jc w:val="both"/>
        <w:ind w:firstLine="794"/>
        <w:spacing w:after="0" w:line="287" w:lineRule="auto"/>
        <w:tabs>
          <w:tab w:leader="none" w:pos="1377" w:val="left"/>
        </w:tabs>
        <w:numPr>
          <w:ilvl w:val="0"/>
          <w:numId w:val="257"/>
        </w:numPr>
        <w:rPr>
          <w:rFonts w:ascii="Arial" w:cs="Arial" w:eastAsia="Arial" w:hAnsi="Arial"/>
          <w:sz w:val="19"/>
          <w:szCs w:val="19"/>
          <w:color w:val="auto"/>
        </w:rPr>
      </w:pPr>
      <w:r>
        <w:rPr>
          <w:rFonts w:ascii="Arial" w:cs="Arial" w:eastAsia="Arial" w:hAnsi="Arial"/>
          <w:sz w:val="19"/>
          <w:szCs w:val="19"/>
          <w:i w:val="1"/>
          <w:iCs w:val="1"/>
          <w:color w:val="auto"/>
        </w:rPr>
        <w:t>Initial Custodian</w:t>
      </w:r>
      <w:r>
        <w:rPr>
          <w:rFonts w:ascii="Arial" w:cs="Arial" w:eastAsia="Arial" w:hAnsi="Arial"/>
          <w:sz w:val="19"/>
          <w:szCs w:val="19"/>
          <w:color w:val="auto"/>
        </w:rPr>
        <w:t>. The role of Custodian with respect to the Collateral Loans shall be conducted by the Person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designated as Custodian hereunder from time to time in accordance with this </w:t>
      </w:r>
      <w:r>
        <w:rPr>
          <w:rFonts w:ascii="Arial" w:cs="Arial" w:eastAsia="Arial" w:hAnsi="Arial"/>
          <w:sz w:val="19"/>
          <w:szCs w:val="19"/>
          <w:u w:val="single" w:color="auto"/>
          <w:color w:val="auto"/>
        </w:rPr>
        <w:t>Section 14.01</w:t>
      </w:r>
      <w:r>
        <w:rPr>
          <w:rFonts w:ascii="Arial" w:cs="Arial" w:eastAsia="Arial" w:hAnsi="Arial"/>
          <w:sz w:val="19"/>
          <w:szCs w:val="19"/>
          <w:color w:val="auto"/>
        </w:rPr>
        <w:t>.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250" w:lineRule="exact"/>
        <w:rPr>
          <w:rFonts w:ascii="Arial" w:cs="Arial" w:eastAsia="Arial" w:hAnsi="Arial"/>
          <w:sz w:val="19"/>
          <w:szCs w:val="19"/>
          <w:color w:val="auto"/>
        </w:rPr>
      </w:pPr>
    </w:p>
    <w:p>
      <w:pPr>
        <w:jc w:val="both"/>
        <w:ind w:firstLine="794"/>
        <w:spacing w:after="0" w:line="249" w:lineRule="auto"/>
        <w:tabs>
          <w:tab w:leader="none" w:pos="1362" w:val="left"/>
        </w:tabs>
        <w:numPr>
          <w:ilvl w:val="0"/>
          <w:numId w:val="257"/>
        </w:numPr>
        <w:rPr>
          <w:rFonts w:ascii="Arial" w:cs="Arial" w:eastAsia="Arial" w:hAnsi="Arial"/>
          <w:sz w:val="21"/>
          <w:szCs w:val="21"/>
          <w:color w:val="auto"/>
        </w:rPr>
      </w:pPr>
      <w:r>
        <w:rPr>
          <w:rFonts w:ascii="Arial" w:cs="Arial" w:eastAsia="Arial" w:hAnsi="Arial"/>
          <w:sz w:val="21"/>
          <w:szCs w:val="21"/>
          <w:i w:val="1"/>
          <w:iCs w:val="1"/>
          <w:color w:val="auto"/>
        </w:rPr>
        <w:t>Successor Custodian</w:t>
      </w:r>
      <w:r>
        <w:rPr>
          <w:rFonts w:ascii="Arial" w:cs="Arial" w:eastAsia="Arial" w:hAnsi="Arial"/>
          <w:sz w:val="21"/>
          <w:szCs w:val="21"/>
          <w:color w:val="auto"/>
        </w:rPr>
        <w:t>. Upon the Custodian’s receipt of a Custodian Termination Notice from the Administrative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Agent of the designation of a successor Custodian pursuant to the provisions of </w:t>
      </w:r>
      <w:r>
        <w:rPr>
          <w:rFonts w:ascii="Arial" w:cs="Arial" w:eastAsia="Arial" w:hAnsi="Arial"/>
          <w:sz w:val="21"/>
          <w:szCs w:val="21"/>
          <w:u w:val="single" w:color="auto"/>
          <w:color w:val="auto"/>
        </w:rPr>
        <w:t>Section 14.05</w:t>
      </w:r>
      <w:r>
        <w:rPr>
          <w:rFonts w:ascii="Arial" w:cs="Arial" w:eastAsia="Arial" w:hAnsi="Arial"/>
          <w:sz w:val="21"/>
          <w:szCs w:val="21"/>
          <w:color w:val="auto"/>
        </w:rPr>
        <w:t>, the Custodian agrees that it will terminate its activities as Custodian hereunder. Upon the resignation of the Custodian, the Administrative Agent shall appoint a successor Custodian and if it does not do so within thirty (30) days of the Custodian’s resignation, the Custodian may petition a court of competent jurisdiction for the appointment of a successor.</w:t>
      </w:r>
    </w:p>
    <w:p>
      <w:pPr>
        <w:spacing w:after="0" w:line="286" w:lineRule="exact"/>
        <w:rPr>
          <w:sz w:val="20"/>
          <w:szCs w:val="20"/>
          <w:color w:val="auto"/>
        </w:rPr>
      </w:pPr>
    </w:p>
    <w:p>
      <w:pPr>
        <w:ind w:left="340"/>
        <w:spacing w:after="0"/>
        <w:tabs>
          <w:tab w:leader="none" w:pos="1820" w:val="left"/>
        </w:tabs>
        <w:rPr>
          <w:sz w:val="20"/>
          <w:szCs w:val="20"/>
          <w:color w:val="auto"/>
        </w:rPr>
      </w:pPr>
      <w:r>
        <w:rPr>
          <w:rFonts w:ascii="Arial" w:cs="Arial" w:eastAsia="Arial" w:hAnsi="Arial"/>
          <w:sz w:val="22"/>
          <w:szCs w:val="22"/>
          <w:i w:val="1"/>
          <w:iCs w:val="1"/>
          <w:color w:val="auto"/>
        </w:rPr>
        <w:t>Section 14.02.</w:t>
      </w:r>
      <w:r>
        <w:rPr>
          <w:sz w:val="20"/>
          <w:szCs w:val="20"/>
          <w:color w:val="auto"/>
        </w:rPr>
        <w:tab/>
      </w:r>
      <w:r>
        <w:rPr>
          <w:rFonts w:ascii="Arial" w:cs="Arial" w:eastAsia="Arial" w:hAnsi="Arial"/>
          <w:sz w:val="19"/>
          <w:szCs w:val="19"/>
          <w:i w:val="1"/>
          <w:iCs w:val="1"/>
          <w:color w:val="auto"/>
        </w:rPr>
        <w:t>Duties of Custodian</w:t>
      </w:r>
      <w:r>
        <w:rPr>
          <w:rFonts w:ascii="Arial" w:cs="Arial" w:eastAsia="Arial" w:hAnsi="Arial"/>
          <w:sz w:val="19"/>
          <w:szCs w:val="19"/>
          <w:color w:val="auto"/>
        </w:rPr>
        <w:t>.</w:t>
      </w:r>
    </w:p>
    <w:p>
      <w:pPr>
        <w:spacing w:after="0" w:line="314" w:lineRule="exact"/>
        <w:rPr>
          <w:sz w:val="20"/>
          <w:szCs w:val="20"/>
          <w:color w:val="auto"/>
        </w:rPr>
      </w:pPr>
    </w:p>
    <w:p>
      <w:pPr>
        <w:jc w:val="both"/>
        <w:ind w:firstLine="794"/>
        <w:spacing w:after="0" w:line="236" w:lineRule="auto"/>
        <w:tabs>
          <w:tab w:leader="none" w:pos="1323" w:val="left"/>
        </w:tabs>
        <w:numPr>
          <w:ilvl w:val="0"/>
          <w:numId w:val="258"/>
        </w:numPr>
        <w:rPr>
          <w:rFonts w:ascii="Arial" w:cs="Arial" w:eastAsia="Arial" w:hAnsi="Arial"/>
          <w:sz w:val="22"/>
          <w:szCs w:val="22"/>
          <w:color w:val="auto"/>
        </w:rPr>
      </w:pPr>
      <w:r>
        <w:rPr>
          <w:rFonts w:ascii="Arial" w:cs="Arial" w:eastAsia="Arial" w:hAnsi="Arial"/>
          <w:sz w:val="22"/>
          <w:szCs w:val="22"/>
          <w:i w:val="1"/>
          <w:iCs w:val="1"/>
          <w:color w:val="auto"/>
        </w:rPr>
        <w:t>Appointment</w:t>
      </w:r>
      <w:r>
        <w:rPr>
          <w:rFonts w:ascii="Arial" w:cs="Arial" w:eastAsia="Arial" w:hAnsi="Arial"/>
          <w:sz w:val="22"/>
          <w:szCs w:val="22"/>
          <w:color w:val="auto"/>
        </w:rPr>
        <w:t>. Each of the Borrower and the Administrative Agent hereby designate and appoint the Custodian to</w:t>
      </w:r>
      <w:r>
        <w:rPr>
          <w:rFonts w:ascii="Arial" w:cs="Arial" w:eastAsia="Arial" w:hAnsi="Arial"/>
          <w:sz w:val="22"/>
          <w:szCs w:val="22"/>
          <w:i w:val="1"/>
          <w:iCs w:val="1"/>
          <w:color w:val="auto"/>
        </w:rPr>
        <w:t xml:space="preserve"> </w:t>
      </w:r>
      <w:r>
        <w:rPr>
          <w:rFonts w:ascii="Arial" w:cs="Arial" w:eastAsia="Arial" w:hAnsi="Arial"/>
          <w:sz w:val="22"/>
          <w:szCs w:val="22"/>
          <w:color w:val="auto"/>
        </w:rPr>
        <w:t>act as its agent and hereby 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295" w:lineRule="exact"/>
        <w:rPr>
          <w:rFonts w:ascii="Arial" w:cs="Arial" w:eastAsia="Arial" w:hAnsi="Arial"/>
          <w:sz w:val="22"/>
          <w:szCs w:val="22"/>
          <w:color w:val="auto"/>
        </w:rPr>
      </w:pPr>
    </w:p>
    <w:p>
      <w:pPr>
        <w:ind w:firstLine="794"/>
        <w:spacing w:after="0" w:line="328" w:lineRule="auto"/>
        <w:tabs>
          <w:tab w:leader="none" w:pos="1376" w:val="left"/>
        </w:tabs>
        <w:numPr>
          <w:ilvl w:val="0"/>
          <w:numId w:val="258"/>
        </w:numPr>
        <w:rPr>
          <w:rFonts w:ascii="Arial" w:cs="Arial" w:eastAsia="Arial" w:hAnsi="Arial"/>
          <w:sz w:val="19"/>
          <w:szCs w:val="19"/>
          <w:color w:val="auto"/>
        </w:rPr>
      </w:pPr>
      <w:r>
        <w:rPr>
          <w:rFonts w:ascii="Arial" w:cs="Arial" w:eastAsia="Arial" w:hAnsi="Arial"/>
          <w:sz w:val="19"/>
          <w:szCs w:val="19"/>
          <w:i w:val="1"/>
          <w:iCs w:val="1"/>
          <w:color w:val="auto"/>
        </w:rPr>
        <w:t>Duties</w:t>
      </w:r>
      <w:r>
        <w:rPr>
          <w:rFonts w:ascii="Arial" w:cs="Arial" w:eastAsia="Arial" w:hAnsi="Arial"/>
          <w:sz w:val="19"/>
          <w:szCs w:val="19"/>
          <w:color w:val="auto"/>
        </w:rPr>
        <w:t>. On or before the Funding Effective Date, and until its removal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14.5</w:t>
      </w:r>
      <w:r>
        <w:rPr>
          <w:rFonts w:ascii="Arial" w:cs="Arial" w:eastAsia="Arial" w:hAnsi="Arial"/>
          <w:sz w:val="19"/>
          <w:szCs w:val="19"/>
          <w:color w:val="auto"/>
        </w:rPr>
        <w:t>, the Custodian</w:t>
      </w:r>
      <w:r>
        <w:rPr>
          <w:rFonts w:ascii="Arial" w:cs="Arial" w:eastAsia="Arial" w:hAnsi="Arial"/>
          <w:sz w:val="19"/>
          <w:szCs w:val="19"/>
          <w:i w:val="1"/>
          <w:iCs w:val="1"/>
          <w:color w:val="auto"/>
        </w:rPr>
        <w:t xml:space="preserve"> </w:t>
      </w:r>
      <w:r>
        <w:rPr>
          <w:rFonts w:ascii="Arial" w:cs="Arial" w:eastAsia="Arial" w:hAnsi="Arial"/>
          <w:sz w:val="19"/>
          <w:szCs w:val="19"/>
          <w:color w:val="auto"/>
        </w:rPr>
        <w:t>shall perform, on behalf of the Administrative Agent and the other Secured Parties, the following duties and obligations:</w:t>
      </w:r>
    </w:p>
    <w:p>
      <w:pPr>
        <w:spacing w:after="0" w:line="212" w:lineRule="exact"/>
        <w:rPr>
          <w:rFonts w:ascii="Arial" w:cs="Arial" w:eastAsia="Arial" w:hAnsi="Arial"/>
          <w:sz w:val="19"/>
          <w:szCs w:val="19"/>
          <w:color w:val="auto"/>
        </w:rPr>
      </w:pPr>
    </w:p>
    <w:p>
      <w:pPr>
        <w:jc w:val="both"/>
        <w:ind w:left="800" w:firstLine="893"/>
        <w:spacing w:after="0" w:line="252" w:lineRule="auto"/>
        <w:tabs>
          <w:tab w:leader="none" w:pos="2404" w:val="left"/>
        </w:tabs>
        <w:numPr>
          <w:ilvl w:val="1"/>
          <w:numId w:val="258"/>
        </w:numPr>
        <w:rPr>
          <w:rFonts w:ascii="Arial" w:cs="Arial" w:eastAsia="Arial" w:hAnsi="Arial"/>
          <w:sz w:val="21"/>
          <w:szCs w:val="21"/>
          <w:color w:val="auto"/>
        </w:rPr>
      </w:pPr>
      <w:r>
        <w:rPr>
          <w:rFonts w:ascii="Arial" w:cs="Arial" w:eastAsia="Arial" w:hAnsi="Arial"/>
          <w:sz w:val="21"/>
          <w:szCs w:val="21"/>
          <w:color w:val="auto"/>
        </w:rPr>
        <w:t xml:space="preserve">The Custodian shall take and retain custody of the Related Documents delivered by the Borrower pursuant to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267" w:right="339" w:bottom="1440" w:gutter="0" w:footer="0" w:header="0"/>
        </w:sectPr>
      </w:pPr>
    </w:p>
    <w:bookmarkStart w:id="178" w:name="page179"/>
    <w:bookmarkEnd w:id="178"/>
    <w:p>
      <w:pPr>
        <w:jc w:val="both"/>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Arial" w:cs="Arial" w:eastAsia="Arial" w:hAnsi="Arial"/>
          <w:sz w:val="19"/>
          <w:szCs w:val="19"/>
          <w:i w:val="1"/>
          <w:iCs w:val="1"/>
          <w:color w:val="auto"/>
        </w:rPr>
        <w:t>“Review Criteria”</w:t>
      </w:r>
      <w:r>
        <w:rPr>
          <w:rFonts w:ascii="Arial" w:cs="Arial" w:eastAsia="Arial" w:hAnsi="Arial"/>
          <w:sz w:val="19"/>
          <w:szCs w:val="19"/>
          <w:color w:val="auto"/>
        </w:rPr>
        <w:t xml:space="preserve">).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 (1) Business Day notify the Collateral Manager of such determination and provide the Collateral Manager and the Borrower with a list of the non-complying Collateral Loans and the applicable Review Criteria that they fail to satisfy. The Collateral Manager shall have ten (10) Business Days to correct any non-compliance with any Review Criteria. In addition, if requested in writing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200" w:lineRule="exact"/>
        <w:rPr>
          <w:sz w:val="20"/>
          <w:szCs w:val="20"/>
          <w:color w:val="auto"/>
        </w:rPr>
      </w:pPr>
    </w:p>
    <w:p>
      <w:pPr>
        <w:spacing w:after="0" w:line="325" w:lineRule="exact"/>
        <w:rPr>
          <w:sz w:val="20"/>
          <w:szCs w:val="20"/>
          <w:color w:val="auto"/>
        </w:rPr>
      </w:pPr>
    </w:p>
    <w:p>
      <w:pPr>
        <w:jc w:val="both"/>
        <w:ind w:firstLine="780"/>
        <w:spacing w:after="0" w:line="252" w:lineRule="auto"/>
        <w:tabs>
          <w:tab w:leader="none" w:pos="1381" w:val="left"/>
        </w:tabs>
        <w:numPr>
          <w:ilvl w:val="0"/>
          <w:numId w:val="259"/>
        </w:numPr>
        <w:rPr>
          <w:rFonts w:ascii="Arial" w:cs="Arial" w:eastAsia="Arial" w:hAnsi="Arial"/>
          <w:sz w:val="21"/>
          <w:szCs w:val="21"/>
          <w:color w:val="auto"/>
        </w:rPr>
      </w:pPr>
      <w:r>
        <w:rPr>
          <w:rFonts w:ascii="Arial" w:cs="Arial" w:eastAsia="Arial" w:hAnsi="Arial"/>
          <w:sz w:val="21"/>
          <w:szCs w:val="21"/>
          <w:color w:val="auto"/>
        </w:rPr>
        <w:t>In taking and retaining custody of the Related Documents, the Custodian shall be deemed to be acting as the agent of the Secured Parties; provided that the Custodian makes no representations as to the existence, perfection or priority of any Lien on the Related Documents or the instruments therein; and provided further that the Custodian’s duties as agent shall be limited to those expressly contemplated herein.</w:t>
      </w:r>
    </w:p>
    <w:p>
      <w:pPr>
        <w:spacing w:after="0" w:line="281" w:lineRule="exact"/>
        <w:rPr>
          <w:rFonts w:ascii="Arial" w:cs="Arial" w:eastAsia="Arial" w:hAnsi="Arial"/>
          <w:sz w:val="21"/>
          <w:szCs w:val="21"/>
          <w:color w:val="auto"/>
        </w:rPr>
      </w:pPr>
    </w:p>
    <w:p>
      <w:pPr>
        <w:jc w:val="both"/>
        <w:ind w:firstLine="725"/>
        <w:spacing w:after="0" w:line="234" w:lineRule="auto"/>
        <w:tabs>
          <w:tab w:leader="none" w:pos="1573" w:val="left"/>
        </w:tabs>
        <w:numPr>
          <w:ilvl w:val="0"/>
          <w:numId w:val="259"/>
        </w:numPr>
        <w:rPr>
          <w:rFonts w:ascii="Arial" w:cs="Arial" w:eastAsia="Arial" w:hAnsi="Arial"/>
          <w:sz w:val="22"/>
          <w:szCs w:val="22"/>
          <w:color w:val="auto"/>
        </w:rPr>
      </w:pPr>
      <w:r>
        <w:rPr>
          <w:rFonts w:ascii="Arial" w:cs="Arial" w:eastAsia="Arial" w:hAnsi="Arial"/>
          <w:sz w:val="22"/>
          <w:szCs w:val="22"/>
          <w:color w:val="auto"/>
        </w:rPr>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12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0440"/>
          </w:cols>
          <w:pgMar w:left="1120" w:top="267" w:right="339" w:bottom="1440" w:gutter="0" w:footer="0" w:header="0"/>
        </w:sectPr>
      </w:pPr>
    </w:p>
    <w:bookmarkStart w:id="179" w:name="page180"/>
    <w:bookmarkEnd w:id="179"/>
    <w:p>
      <w:pPr>
        <w:jc w:val="both"/>
        <w:ind w:left="800" w:firstLine="734"/>
        <w:spacing w:after="0" w:line="238" w:lineRule="auto"/>
        <w:tabs>
          <w:tab w:leader="none" w:pos="2193" w:val="left"/>
        </w:tabs>
        <w:numPr>
          <w:ilvl w:val="0"/>
          <w:numId w:val="26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each Payment Date, the Custodian shall provide a written report to the Administrative Agent and the Collateral Manager (in a form acceptable to the Administrative Agent) identifying each Collateral Loan for which it holds Related Documents, the non-complying Collateral Loans and the applicable Review Criteria that any non-complying Collateral Loan fails to satisfy.</w:t>
      </w:r>
    </w:p>
    <w:p>
      <w:pPr>
        <w:spacing w:after="0" w:line="292" w:lineRule="exact"/>
        <w:rPr>
          <w:rFonts w:ascii="Arial" w:cs="Arial" w:eastAsia="Arial" w:hAnsi="Arial"/>
          <w:sz w:val="22"/>
          <w:szCs w:val="22"/>
          <w:color w:val="auto"/>
        </w:rPr>
      </w:pPr>
    </w:p>
    <w:p>
      <w:pPr>
        <w:ind w:left="800" w:right="20" w:firstLine="787"/>
        <w:spacing w:after="0" w:line="250" w:lineRule="auto"/>
        <w:tabs>
          <w:tab w:leader="none" w:pos="2178" w:val="left"/>
        </w:tabs>
        <w:numPr>
          <w:ilvl w:val="0"/>
          <w:numId w:val="260"/>
        </w:numPr>
        <w:rPr>
          <w:rFonts w:ascii="Arial" w:cs="Arial" w:eastAsia="Arial" w:hAnsi="Arial"/>
          <w:sz w:val="22"/>
          <w:szCs w:val="22"/>
          <w:color w:val="auto"/>
        </w:rPr>
      </w:pPr>
      <w:r>
        <w:rPr>
          <w:rFonts w:ascii="Arial" w:cs="Arial" w:eastAsia="Arial" w:hAnsi="Arial"/>
          <w:sz w:val="22"/>
          <w:szCs w:val="22"/>
          <w:color w:val="auto"/>
        </w:rPr>
        <w:t>In performing its duties, the Custodian shall use a similar degree of care and attention as it employs with respect to similar collateral that it holds as Custodian for others.</w:t>
      </w:r>
    </w:p>
    <w:p>
      <w:pPr>
        <w:spacing w:after="0" w:line="282" w:lineRule="exact"/>
        <w:rPr>
          <w:rFonts w:ascii="Arial" w:cs="Arial" w:eastAsia="Arial" w:hAnsi="Arial"/>
          <w:sz w:val="22"/>
          <w:szCs w:val="22"/>
          <w:color w:val="auto"/>
        </w:rPr>
      </w:pPr>
    </w:p>
    <w:p>
      <w:pPr>
        <w:jc w:val="both"/>
        <w:ind w:left="800" w:right="20" w:firstLine="743"/>
        <w:spacing w:after="0"/>
        <w:tabs>
          <w:tab w:leader="none" w:pos="2227" w:val="left"/>
        </w:tabs>
        <w:numPr>
          <w:ilvl w:val="0"/>
          <w:numId w:val="260"/>
        </w:numPr>
        <w:rPr>
          <w:rFonts w:ascii="Arial" w:cs="Arial" w:eastAsia="Arial" w:hAnsi="Arial"/>
          <w:sz w:val="22"/>
          <w:szCs w:val="22"/>
          <w:color w:val="auto"/>
        </w:rPr>
      </w:pPr>
      <w:r>
        <w:rPr>
          <w:rFonts w:ascii="Arial" w:cs="Arial" w:eastAsia="Arial" w:hAnsi="Arial"/>
          <w:sz w:val="22"/>
          <w:szCs w:val="22"/>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294" w:lineRule="exact"/>
        <w:rPr>
          <w:rFonts w:ascii="Arial" w:cs="Arial" w:eastAsia="Arial" w:hAnsi="Arial"/>
          <w:sz w:val="22"/>
          <w:szCs w:val="22"/>
          <w:color w:val="auto"/>
        </w:rPr>
      </w:pPr>
    </w:p>
    <w:p>
      <w:pPr>
        <w:jc w:val="both"/>
        <w:ind w:left="800" w:firstLine="709"/>
        <w:spacing w:after="0" w:line="273" w:lineRule="auto"/>
        <w:tabs>
          <w:tab w:leader="none" w:pos="2413" w:val="left"/>
        </w:tabs>
        <w:numPr>
          <w:ilvl w:val="2"/>
          <w:numId w:val="260"/>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delivery of the Collateral Loans acquired by the Borrower which constitute Noteless Loans or Participations or which are otherwise not evidenced by a “security” or “instrument” as defined in </w:t>
      </w:r>
      <w:r>
        <w:rPr>
          <w:rFonts w:ascii="Arial" w:cs="Arial" w:eastAsia="Arial" w:hAnsi="Arial"/>
          <w:sz w:val="19"/>
          <w:szCs w:val="19"/>
          <w:u w:val="single" w:color="auto"/>
          <w:color w:val="auto"/>
        </w:rPr>
        <w:t>Section 8-102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9-102(a)(47)</w:t>
      </w:r>
      <w:r>
        <w:rPr>
          <w:rFonts w:ascii="Arial" w:cs="Arial" w:eastAsia="Arial" w:hAnsi="Arial"/>
          <w:sz w:val="19"/>
          <w:szCs w:val="19"/>
          <w:color w:val="auto"/>
        </w:rPr>
        <w:t xml:space="preserve">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Arial" w:cs="Arial" w:eastAsia="Arial" w:hAnsi="Arial"/>
          <w:sz w:val="19"/>
          <w:szCs w:val="19"/>
          <w:i w:val="1"/>
          <w:iCs w:val="1"/>
          <w:color w:val="auto"/>
        </w:rPr>
        <w:t>Financing Documents</w:t>
      </w:r>
      <w:r>
        <w:rPr>
          <w:rFonts w:ascii="Arial" w:cs="Arial" w:eastAsia="Arial" w:hAnsi="Arial"/>
          <w:sz w:val="19"/>
          <w:szCs w:val="19"/>
          <w:color w:val="auto"/>
        </w:rPr>
        <w:t>”), that may be delivered to it.</w:t>
      </w:r>
    </w:p>
    <w:p>
      <w:pPr>
        <w:spacing w:after="0" w:line="263" w:lineRule="exact"/>
        <w:rPr>
          <w:rFonts w:ascii="Arial" w:cs="Arial" w:eastAsia="Arial" w:hAnsi="Arial"/>
          <w:sz w:val="19"/>
          <w:szCs w:val="19"/>
          <w:color w:val="auto"/>
        </w:rPr>
      </w:pPr>
    </w:p>
    <w:p>
      <w:pPr>
        <w:jc w:val="both"/>
        <w:ind w:left="800" w:firstLine="621"/>
        <w:spacing w:after="0" w:line="275" w:lineRule="auto"/>
        <w:tabs>
          <w:tab w:leader="none" w:pos="2283" w:val="left"/>
        </w:tabs>
        <w:numPr>
          <w:ilvl w:val="1"/>
          <w:numId w:val="260"/>
        </w:numPr>
        <w:rPr>
          <w:rFonts w:ascii="Arial" w:cs="Arial" w:eastAsia="Arial" w:hAnsi="Arial"/>
          <w:sz w:val="19"/>
          <w:szCs w:val="19"/>
          <w:color w:val="auto"/>
        </w:rPr>
      </w:pPr>
      <w:r>
        <w:rPr>
          <w:rFonts w:ascii="Arial" w:cs="Arial" w:eastAsia="Arial" w:hAnsi="Arial"/>
          <w:sz w:val="19"/>
          <w:szCs w:val="19"/>
          <w:color w:val="auto"/>
        </w:rPr>
        <w:t xml:space="preserve">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w:t>
      </w:r>
      <w:r>
        <w:rPr>
          <w:rFonts w:ascii="Arial" w:cs="Arial" w:eastAsia="Arial" w:hAnsi="Arial"/>
          <w:sz w:val="19"/>
          <w:szCs w:val="19"/>
          <w:u w:val="single" w:color="auto"/>
          <w:color w:val="auto"/>
        </w:rPr>
        <w:t>Section 8-102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9-102(a)(47)</w:t>
      </w:r>
      <w:r>
        <w:rPr>
          <w:rFonts w:ascii="Arial" w:cs="Arial" w:eastAsia="Arial" w:hAnsi="Arial"/>
          <w:sz w:val="19"/>
          <w:szCs w:val="19"/>
          <w:color w:val="auto"/>
        </w:rPr>
        <w:t xml:space="preserve"> of the UCC, respectively, is or shall be or become available with respect to any Collateral Loan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265" w:lineRule="exact"/>
        <w:rPr>
          <w:sz w:val="20"/>
          <w:szCs w:val="20"/>
          <w:color w:val="auto"/>
        </w:rPr>
      </w:pPr>
    </w:p>
    <w:p>
      <w:pPr>
        <w:jc w:val="both"/>
        <w:ind w:firstLine="337"/>
        <w:spacing w:after="0"/>
        <w:rPr>
          <w:sz w:val="20"/>
          <w:szCs w:val="20"/>
          <w:color w:val="auto"/>
        </w:rPr>
      </w:pPr>
      <w:r>
        <w:rPr>
          <w:rFonts w:ascii="Arial" w:cs="Arial" w:eastAsia="Arial" w:hAnsi="Arial"/>
          <w:sz w:val="22"/>
          <w:szCs w:val="22"/>
          <w:i w:val="1"/>
          <w:iCs w:val="1"/>
          <w:color w:val="auto"/>
        </w:rPr>
        <w:t>Section 14.03. Merger or Consolidation</w:t>
      </w:r>
      <w:r>
        <w:rPr>
          <w:rFonts w:ascii="Arial" w:cs="Arial" w:eastAsia="Arial" w:hAnsi="Arial"/>
          <w:sz w:val="22"/>
          <w:szCs w:val="22"/>
          <w:color w:val="auto"/>
        </w:rPr>
        <w:t>. Any Person (i) into which the Custodian may be merged or consolidated, (ii) that</w:t>
      </w:r>
      <w:r>
        <w:rPr>
          <w:rFonts w:ascii="Arial" w:cs="Arial" w:eastAsia="Arial" w:hAnsi="Arial"/>
          <w:sz w:val="22"/>
          <w:szCs w:val="22"/>
          <w:i w:val="1"/>
          <w:iCs w:val="1"/>
          <w:color w:val="auto"/>
        </w:rPr>
        <w:t xml:space="preserve"> </w:t>
      </w:r>
      <w:r>
        <w:rPr>
          <w:rFonts w:ascii="Arial" w:cs="Arial" w:eastAsia="Arial" w:hAnsi="Arial"/>
          <w:sz w:val="22"/>
          <w:szCs w:val="22"/>
          <w:color w:val="auto"/>
        </w:rPr>
        <w:t>may result from any merger or consolidation to which the Custodian shall be a party, or (iii) that may succeed to the properties and assets of the Custodian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267" w:right="339" w:bottom="1440" w:gutter="0" w:footer="0" w:header="0"/>
        </w:sectPr>
      </w:pPr>
    </w:p>
    <w:bookmarkStart w:id="180" w:name="page181"/>
    <w:bookmarkEnd w:id="180"/>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294" w:lineRule="exact"/>
        <w:rPr>
          <w:sz w:val="20"/>
          <w:szCs w:val="20"/>
          <w:color w:val="auto"/>
        </w:rPr>
      </w:pPr>
    </w:p>
    <w:p>
      <w:pPr>
        <w:jc w:val="both"/>
        <w:ind w:firstLine="337"/>
        <w:spacing w:after="0" w:line="272" w:lineRule="auto"/>
        <w:rPr>
          <w:sz w:val="20"/>
          <w:szCs w:val="20"/>
          <w:color w:val="auto"/>
        </w:rPr>
      </w:pPr>
      <w:r>
        <w:rPr>
          <w:rFonts w:ascii="Arial" w:cs="Arial" w:eastAsia="Arial" w:hAnsi="Arial"/>
          <w:sz w:val="19"/>
          <w:szCs w:val="19"/>
          <w:i w:val="1"/>
          <w:iCs w:val="1"/>
          <w:color w:val="auto"/>
        </w:rPr>
        <w:t>Section 14.04. Custodian Compensation</w:t>
      </w:r>
      <w:r>
        <w:rPr>
          <w:rFonts w:ascii="Arial" w:cs="Arial" w:eastAsia="Arial" w:hAnsi="Arial"/>
          <w:sz w:val="19"/>
          <w:szCs w:val="19"/>
          <w:color w:val="auto"/>
        </w:rPr>
        <w:t>. As compensation for its Custodian activities hereunder, the Custodian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entitled to fees pursuant to the Custodian Fee Letter. The Custodian’s entitlement to receive the fees under the Custodian Fee Letter shall cease on the earlier to occur of: (i) its removal as Custodian pursuant to </w:t>
      </w:r>
      <w:r>
        <w:rPr>
          <w:rFonts w:ascii="Arial" w:cs="Arial" w:eastAsia="Arial" w:hAnsi="Arial"/>
          <w:sz w:val="19"/>
          <w:szCs w:val="19"/>
          <w:u w:val="single" w:color="auto"/>
          <w:color w:val="auto"/>
        </w:rPr>
        <w:t>Section 14.05</w:t>
      </w:r>
      <w:r>
        <w:rPr>
          <w:rFonts w:ascii="Arial" w:cs="Arial" w:eastAsia="Arial" w:hAnsi="Arial"/>
          <w:sz w:val="19"/>
          <w:szCs w:val="19"/>
          <w:color w:val="auto"/>
        </w:rPr>
        <w:t xml:space="preserve">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269" w:lineRule="exact"/>
        <w:rPr>
          <w:sz w:val="20"/>
          <w:szCs w:val="20"/>
          <w:color w:val="auto"/>
        </w:rPr>
      </w:pPr>
    </w:p>
    <w:p>
      <w:pPr>
        <w:jc w:val="both"/>
        <w:ind w:firstLine="337"/>
        <w:spacing w:after="0" w:line="236" w:lineRule="auto"/>
        <w:rPr>
          <w:sz w:val="20"/>
          <w:szCs w:val="20"/>
          <w:color w:val="auto"/>
        </w:rPr>
      </w:pPr>
      <w:r>
        <w:rPr>
          <w:rFonts w:ascii="Arial" w:cs="Arial" w:eastAsia="Arial" w:hAnsi="Arial"/>
          <w:sz w:val="22"/>
          <w:szCs w:val="22"/>
          <w:i w:val="1"/>
          <w:iCs w:val="1"/>
          <w:color w:val="auto"/>
        </w:rPr>
        <w:t>Section 14.05. Custodian Removal</w:t>
      </w:r>
      <w:r>
        <w:rPr>
          <w:rFonts w:ascii="Arial" w:cs="Arial" w:eastAsia="Arial" w:hAnsi="Arial"/>
          <w:sz w:val="22"/>
          <w:szCs w:val="22"/>
          <w:color w:val="auto"/>
        </w:rPr>
        <w:t>. The Custodian may be removed, with or without cause, by the Administrative Agent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by notice given in writing to the Custodian (the </w:t>
      </w:r>
      <w:r>
        <w:rPr>
          <w:rFonts w:ascii="Arial" w:cs="Arial" w:eastAsia="Arial" w:hAnsi="Arial"/>
          <w:sz w:val="22"/>
          <w:szCs w:val="22"/>
          <w:i w:val="1"/>
          <w:iCs w:val="1"/>
          <w:color w:val="auto"/>
        </w:rPr>
        <w:t>“Custodian Termination Notice”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295" w:lineRule="exact"/>
        <w:rPr>
          <w:sz w:val="20"/>
          <w:szCs w:val="20"/>
          <w:color w:val="auto"/>
        </w:rPr>
      </w:pPr>
    </w:p>
    <w:p>
      <w:pPr>
        <w:jc w:val="both"/>
        <w:ind w:firstLine="337"/>
        <w:spacing w:after="0" w:line="271" w:lineRule="auto"/>
        <w:rPr>
          <w:sz w:val="20"/>
          <w:szCs w:val="20"/>
          <w:color w:val="auto"/>
        </w:rPr>
      </w:pPr>
      <w:r>
        <w:rPr>
          <w:rFonts w:ascii="Arial" w:cs="Arial" w:eastAsia="Arial" w:hAnsi="Arial"/>
          <w:sz w:val="19"/>
          <w:szCs w:val="19"/>
          <w:i w:val="1"/>
          <w:iCs w:val="1"/>
          <w:color w:val="auto"/>
        </w:rPr>
        <w:t>Section 14.06. Limitation on Liability</w:t>
      </w:r>
      <w:r>
        <w:rPr>
          <w:rFonts w:ascii="Arial" w:cs="Arial" w:eastAsia="Arial" w:hAnsi="Arial"/>
          <w:sz w:val="19"/>
          <w:szCs w:val="19"/>
          <w:color w:val="auto"/>
        </w:rPr>
        <w:t>. (a) The Custodian may conclusively rely on and shall be fully protected in acting</w:t>
      </w:r>
      <w:r>
        <w:rPr>
          <w:rFonts w:ascii="Arial" w:cs="Arial" w:eastAsia="Arial" w:hAnsi="Arial"/>
          <w:sz w:val="19"/>
          <w:szCs w:val="19"/>
          <w:i w:val="1"/>
          <w:iCs w:val="1"/>
          <w:color w:val="auto"/>
        </w:rPr>
        <w:t xml:space="preserve"> </w:t>
      </w:r>
      <w:r>
        <w:rPr>
          <w:rFonts w:ascii="Arial" w:cs="Arial" w:eastAsia="Arial" w:hAnsi="Arial"/>
          <w:sz w:val="19"/>
          <w:szCs w:val="19"/>
          <w:color w:val="auto"/>
        </w:rPr>
        <w:t>upon any certificate, 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w:t>
      </w:r>
    </w:p>
    <w:p>
      <w:pPr>
        <w:spacing w:after="0" w:line="3" w:lineRule="exact"/>
        <w:rPr>
          <w:sz w:val="20"/>
          <w:szCs w:val="20"/>
          <w:color w:val="auto"/>
        </w:rPr>
      </w:pPr>
    </w:p>
    <w:p>
      <w:pPr>
        <w:ind w:left="320" w:hanging="312"/>
        <w:spacing w:after="0"/>
        <w:tabs>
          <w:tab w:leader="none" w:pos="32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the verbal instructions of the Administrative Agent.</w:t>
      </w:r>
    </w:p>
    <w:p>
      <w:pPr>
        <w:spacing w:after="0" w:line="296" w:lineRule="exact"/>
        <w:rPr>
          <w:rFonts w:ascii="Arial" w:cs="Arial" w:eastAsia="Arial" w:hAnsi="Arial"/>
          <w:sz w:val="22"/>
          <w:szCs w:val="22"/>
          <w:color w:val="auto"/>
        </w:rPr>
      </w:pPr>
    </w:p>
    <w:p>
      <w:pPr>
        <w:jc w:val="both"/>
        <w:ind w:firstLine="794"/>
        <w:spacing w:after="0"/>
        <w:tabs>
          <w:tab w:leader="none" w:pos="1369" w:val="left"/>
        </w:tabs>
        <w:numPr>
          <w:ilvl w:val="1"/>
          <w:numId w:val="261"/>
        </w:numPr>
        <w:rPr>
          <w:rFonts w:ascii="Arial" w:cs="Arial" w:eastAsia="Arial" w:hAnsi="Arial"/>
          <w:sz w:val="22"/>
          <w:szCs w:val="22"/>
          <w:color w:val="auto"/>
        </w:rPr>
      </w:pPr>
      <w:r>
        <w:rPr>
          <w:rFonts w:ascii="Arial" w:cs="Arial" w:eastAsia="Arial" w:hAnsi="Arial"/>
          <w:sz w:val="22"/>
          <w:szCs w:val="22"/>
          <w:color w:val="auto"/>
        </w:rPr>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294" w:lineRule="exact"/>
        <w:rPr>
          <w:rFonts w:ascii="Arial" w:cs="Arial" w:eastAsia="Arial" w:hAnsi="Arial"/>
          <w:sz w:val="22"/>
          <w:szCs w:val="22"/>
          <w:color w:val="auto"/>
        </w:rPr>
      </w:pPr>
    </w:p>
    <w:p>
      <w:pPr>
        <w:jc w:val="both"/>
        <w:ind w:firstLine="794"/>
        <w:spacing w:after="0" w:line="236" w:lineRule="auto"/>
        <w:tabs>
          <w:tab w:leader="none" w:pos="1340" w:val="left"/>
        </w:tabs>
        <w:numPr>
          <w:ilvl w:val="1"/>
          <w:numId w:val="261"/>
        </w:numPr>
        <w:rPr>
          <w:rFonts w:ascii="Arial" w:cs="Arial" w:eastAsia="Arial" w:hAnsi="Arial"/>
          <w:sz w:val="22"/>
          <w:szCs w:val="22"/>
          <w:color w:val="auto"/>
        </w:rPr>
      </w:pPr>
      <w:r>
        <w:rPr>
          <w:rFonts w:ascii="Arial" w:cs="Arial" w:eastAsia="Arial" w:hAnsi="Arial"/>
          <w:sz w:val="22"/>
          <w:szCs w:val="22"/>
          <w:color w:val="auto"/>
        </w:rPr>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267" w:right="339" w:bottom="1440" w:gutter="0" w:footer="0" w:header="0"/>
        </w:sectPr>
      </w:pPr>
    </w:p>
    <w:bookmarkStart w:id="181" w:name="page182"/>
    <w:bookmarkEnd w:id="181"/>
    <w:p>
      <w:pPr>
        <w:jc w:val="both"/>
        <w:ind w:firstLine="794"/>
        <w:spacing w:after="0" w:line="235" w:lineRule="auto"/>
        <w:tabs>
          <w:tab w:leader="none" w:pos="1327" w:val="left"/>
        </w:tabs>
        <w:numPr>
          <w:ilvl w:val="0"/>
          <w:numId w:val="262"/>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295" w:lineRule="exact"/>
        <w:rPr>
          <w:rFonts w:ascii="Arial" w:cs="Arial" w:eastAsia="Arial" w:hAnsi="Arial"/>
          <w:sz w:val="22"/>
          <w:szCs w:val="22"/>
          <w:color w:val="auto"/>
        </w:rPr>
      </w:pPr>
    </w:p>
    <w:p>
      <w:pPr>
        <w:ind w:firstLine="794"/>
        <w:spacing w:after="0" w:line="328" w:lineRule="auto"/>
        <w:tabs>
          <w:tab w:leader="none" w:pos="130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212" w:lineRule="exact"/>
        <w:rPr>
          <w:rFonts w:ascii="Arial" w:cs="Arial" w:eastAsia="Arial" w:hAnsi="Arial"/>
          <w:sz w:val="19"/>
          <w:szCs w:val="19"/>
          <w:color w:val="auto"/>
        </w:rPr>
      </w:pPr>
    </w:p>
    <w:p>
      <w:pPr>
        <w:ind w:left="1280" w:hanging="486"/>
        <w:spacing w:after="0"/>
        <w:tabs>
          <w:tab w:leader="none" w:pos="128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The Custodian shall not be required to expend or risk its own funds in the performance of its duties hereunder.</w:t>
      </w:r>
    </w:p>
    <w:p>
      <w:pPr>
        <w:spacing w:after="0" w:line="348" w:lineRule="exact"/>
        <w:rPr>
          <w:rFonts w:ascii="Arial" w:cs="Arial" w:eastAsia="Arial" w:hAnsi="Arial"/>
          <w:sz w:val="19"/>
          <w:szCs w:val="19"/>
          <w:color w:val="auto"/>
        </w:rPr>
      </w:pPr>
    </w:p>
    <w:p>
      <w:pPr>
        <w:ind w:right="20" w:firstLine="794"/>
        <w:spacing w:after="0" w:line="250" w:lineRule="auto"/>
        <w:tabs>
          <w:tab w:leader="none" w:pos="1366" w:val="left"/>
        </w:tabs>
        <w:numPr>
          <w:ilvl w:val="0"/>
          <w:numId w:val="262"/>
        </w:numPr>
        <w:rPr>
          <w:rFonts w:ascii="Arial" w:cs="Arial" w:eastAsia="Arial" w:hAnsi="Arial"/>
          <w:sz w:val="22"/>
          <w:szCs w:val="22"/>
          <w:color w:val="auto"/>
        </w:rPr>
      </w:pPr>
      <w:r>
        <w:rPr>
          <w:rFonts w:ascii="Arial" w:cs="Arial" w:eastAsia="Arial" w:hAnsi="Arial"/>
          <w:sz w:val="22"/>
          <w:szCs w:val="22"/>
          <w:color w:val="auto"/>
        </w:rPr>
        <w:t>It is expressly agreed and acknowledged that the Custodian is not guaranteeing performance of or assuming any liability for the obligations of the other parties hereto or any parties to the Collateral.</w:t>
      </w:r>
    </w:p>
    <w:p>
      <w:pPr>
        <w:spacing w:after="0" w:line="282" w:lineRule="exact"/>
        <w:rPr>
          <w:rFonts w:ascii="Arial" w:cs="Arial" w:eastAsia="Arial" w:hAnsi="Arial"/>
          <w:sz w:val="22"/>
          <w:szCs w:val="22"/>
          <w:color w:val="auto"/>
        </w:rPr>
      </w:pPr>
    </w:p>
    <w:p>
      <w:pPr>
        <w:jc w:val="both"/>
        <w:ind w:firstLine="794"/>
        <w:spacing w:after="0" w:line="245" w:lineRule="auto"/>
        <w:tabs>
          <w:tab w:leader="none" w:pos="1429" w:val="left"/>
        </w:tabs>
        <w:numPr>
          <w:ilvl w:val="0"/>
          <w:numId w:val="262"/>
        </w:numPr>
        <w:rPr>
          <w:rFonts w:ascii="Arial" w:cs="Arial" w:eastAsia="Arial" w:hAnsi="Arial"/>
          <w:sz w:val="21"/>
          <w:szCs w:val="21"/>
          <w:color w:val="auto"/>
        </w:rPr>
      </w:pPr>
      <w:r>
        <w:rPr>
          <w:rFonts w:ascii="Arial" w:cs="Arial" w:eastAsia="Arial" w:hAnsi="Arial"/>
          <w:sz w:val="21"/>
          <w:szCs w:val="21"/>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292" w:lineRule="exact"/>
        <w:rPr>
          <w:rFonts w:ascii="Arial" w:cs="Arial" w:eastAsia="Arial" w:hAnsi="Arial"/>
          <w:sz w:val="21"/>
          <w:szCs w:val="21"/>
          <w:color w:val="auto"/>
        </w:rPr>
      </w:pPr>
    </w:p>
    <w:p>
      <w:pPr>
        <w:jc w:val="both"/>
        <w:ind w:firstLine="794"/>
        <w:spacing w:after="0" w:line="273" w:lineRule="auto"/>
        <w:tabs>
          <w:tab w:leader="none" w:pos="140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In the event that (i) the Borrower, Collateral Agent, the Collateral Administrator, the Collateral Manager, the Administrative Agent, Lenders or Custodian shall be served by a third party with any type of levy, attachment, writ or court order with respect to any Collateral Loan or Related Documents or (ii) a third party shall institute any court proceeding by which any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267" w:right="339" w:bottom="1440" w:gutter="0" w:footer="0" w:header="0"/>
        </w:sectPr>
      </w:pPr>
    </w:p>
    <w:bookmarkStart w:id="182" w:name="page183"/>
    <w:bookmarkEnd w:id="182"/>
    <w:p>
      <w:pPr>
        <w:jc w:val="both"/>
        <w:ind w:firstLine="337"/>
        <w:spacing w:after="0" w:line="234"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14.07. Resignation of the Custodian</w:t>
      </w:r>
      <w:r>
        <w:rPr>
          <w:rFonts w:ascii="Arial" w:cs="Arial" w:eastAsia="Arial" w:hAnsi="Arial"/>
          <w:sz w:val="22"/>
          <w:szCs w:val="22"/>
          <w:color w:val="auto"/>
        </w:rPr>
        <w:t>. The Custodian shall not resign from the obligations and duties hereby</w:t>
      </w:r>
      <w:r>
        <w:rPr>
          <w:rFonts w:ascii="Arial" w:cs="Arial" w:eastAsia="Arial" w:hAnsi="Arial"/>
          <w:sz w:val="22"/>
          <w:szCs w:val="22"/>
          <w:i w:val="1"/>
          <w:iCs w:val="1"/>
          <w:color w:val="auto"/>
        </w:rPr>
        <w:t xml:space="preserve"> </w:t>
      </w:r>
      <w:r>
        <w:rPr>
          <w:rFonts w:ascii="Arial" w:cs="Arial" w:eastAsia="Arial" w:hAnsi="Arial"/>
          <w:sz w:val="22"/>
          <w:szCs w:val="22"/>
          <w:color w:val="auto"/>
        </w:rPr>
        <w:t>imposed on it except upon (a) ninety (90) days written notice to the Borrower, the Collateral Manager and the Administrative Agent, or (b) the Custodian’s determination that (i) 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clause (i) above by an opinion of counsel to such effect delivered to the Administrative Agent. No such resignation shall become effective until a successor Custodian shall have assumed the responsibilities and obligations of the Custodian hereunder.</w:t>
      </w:r>
    </w:p>
    <w:p>
      <w:pPr>
        <w:spacing w:after="0" w:line="295" w:lineRule="exact"/>
        <w:rPr>
          <w:sz w:val="20"/>
          <w:szCs w:val="20"/>
          <w:color w:val="auto"/>
        </w:rPr>
      </w:pPr>
    </w:p>
    <w:p>
      <w:pPr>
        <w:ind w:left="340"/>
        <w:spacing w:after="0"/>
        <w:tabs>
          <w:tab w:leader="none" w:pos="1820" w:val="left"/>
        </w:tabs>
        <w:rPr>
          <w:sz w:val="20"/>
          <w:szCs w:val="20"/>
          <w:color w:val="auto"/>
        </w:rPr>
      </w:pPr>
      <w:r>
        <w:rPr>
          <w:rFonts w:ascii="Arial" w:cs="Arial" w:eastAsia="Arial" w:hAnsi="Arial"/>
          <w:sz w:val="22"/>
          <w:szCs w:val="22"/>
          <w:i w:val="1"/>
          <w:iCs w:val="1"/>
          <w:color w:val="auto"/>
        </w:rPr>
        <w:t>Section 14.08.</w:t>
      </w:r>
      <w:r>
        <w:rPr>
          <w:sz w:val="20"/>
          <w:szCs w:val="20"/>
          <w:color w:val="auto"/>
        </w:rPr>
        <w:tab/>
      </w:r>
      <w:r>
        <w:rPr>
          <w:rFonts w:ascii="Arial" w:cs="Arial" w:eastAsia="Arial" w:hAnsi="Arial"/>
          <w:sz w:val="19"/>
          <w:szCs w:val="19"/>
          <w:i w:val="1"/>
          <w:iCs w:val="1"/>
          <w:color w:val="auto"/>
        </w:rPr>
        <w:t>Release of Related Documents</w:t>
      </w:r>
      <w:r>
        <w:rPr>
          <w:rFonts w:ascii="Arial" w:cs="Arial" w:eastAsia="Arial" w:hAnsi="Arial"/>
          <w:sz w:val="19"/>
          <w:szCs w:val="19"/>
          <w:color w:val="auto"/>
        </w:rPr>
        <w:t>.</w:t>
      </w:r>
    </w:p>
    <w:p>
      <w:pPr>
        <w:spacing w:after="0" w:line="314" w:lineRule="exact"/>
        <w:rPr>
          <w:sz w:val="20"/>
          <w:szCs w:val="20"/>
          <w:color w:val="auto"/>
        </w:rPr>
      </w:pPr>
    </w:p>
    <w:p>
      <w:pPr>
        <w:jc w:val="both"/>
        <w:ind w:firstLine="794"/>
        <w:spacing w:after="0" w:line="272" w:lineRule="auto"/>
        <w:tabs>
          <w:tab w:leader="none" w:pos="1444" w:val="left"/>
        </w:tabs>
        <w:numPr>
          <w:ilvl w:val="0"/>
          <w:numId w:val="263"/>
        </w:numPr>
        <w:rPr>
          <w:rFonts w:ascii="Arial" w:cs="Arial" w:eastAsia="Arial" w:hAnsi="Arial"/>
          <w:sz w:val="19"/>
          <w:szCs w:val="19"/>
          <w:color w:val="auto"/>
        </w:rPr>
      </w:pPr>
      <w:r>
        <w:rPr>
          <w:rFonts w:ascii="Arial" w:cs="Arial" w:eastAsia="Arial" w:hAnsi="Arial"/>
          <w:sz w:val="19"/>
          <w:szCs w:val="19"/>
          <w:i w:val="1"/>
          <w:iCs w:val="1"/>
          <w:color w:val="auto"/>
        </w:rPr>
        <w:t xml:space="preserve">Release for Servicing. </w:t>
      </w:r>
      <w:r>
        <w:rPr>
          <w:rFonts w:ascii="Arial" w:cs="Arial" w:eastAsia="Arial" w:hAnsi="Arial"/>
          <w:sz w:val="19"/>
          <w:szCs w:val="19"/>
          <w:color w:val="auto"/>
        </w:rPr>
        <w:t>From time to time and as appropriate for the enforcement or servicing of any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Collateral, the Custodian is hereby authorized (unless and until such authorization is revoked by the Administrative Agent) to, and shall, upon written receipt from the Collateral Manager of a request for release of documents and receipt in the form annexed hereto as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release to the Collateral Manager within two (2) 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 (i) 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w:t>
      </w:r>
      <w:r>
        <w:rPr>
          <w:rFonts w:ascii="Arial" w:cs="Arial" w:eastAsia="Arial" w:hAnsi="Arial"/>
          <w:sz w:val="19"/>
          <w:szCs w:val="19"/>
          <w:u w:val="single" w:color="auto"/>
          <w:color w:val="auto"/>
        </w:rPr>
        <w:t>Exhibit G</w:t>
      </w:r>
      <w:r>
        <w:rPr>
          <w:rFonts w:ascii="Arial" w:cs="Arial" w:eastAsia="Arial" w:hAnsi="Arial"/>
          <w:sz w:val="19"/>
          <w:szCs w:val="19"/>
          <w:color w:val="auto"/>
        </w:rPr>
        <w:t>, the Collateral Manager’s request and receipt submitted pursuant to the first sentence of this subsection shall be released by the Custodian to the Collateral Manager.</w:t>
      </w:r>
    </w:p>
    <w:p>
      <w:pPr>
        <w:spacing w:after="0" w:line="268" w:lineRule="exact"/>
        <w:rPr>
          <w:rFonts w:ascii="Arial" w:cs="Arial" w:eastAsia="Arial" w:hAnsi="Arial"/>
          <w:sz w:val="19"/>
          <w:szCs w:val="19"/>
          <w:color w:val="auto"/>
        </w:rPr>
      </w:pPr>
    </w:p>
    <w:p>
      <w:pPr>
        <w:jc w:val="both"/>
        <w:ind w:firstLine="794"/>
        <w:spacing w:after="0" w:line="252" w:lineRule="auto"/>
        <w:tabs>
          <w:tab w:leader="none" w:pos="1308" w:val="left"/>
        </w:tabs>
        <w:numPr>
          <w:ilvl w:val="0"/>
          <w:numId w:val="263"/>
        </w:numPr>
        <w:rPr>
          <w:rFonts w:ascii="Arial" w:cs="Arial" w:eastAsia="Arial" w:hAnsi="Arial"/>
          <w:sz w:val="21"/>
          <w:szCs w:val="21"/>
          <w:color w:val="auto"/>
        </w:rPr>
      </w:pPr>
      <w:r>
        <w:rPr>
          <w:rFonts w:ascii="Arial" w:cs="Arial" w:eastAsia="Arial" w:hAnsi="Arial"/>
          <w:sz w:val="21"/>
          <w:szCs w:val="21"/>
          <w:i w:val="1"/>
          <w:iCs w:val="1"/>
          <w:color w:val="auto"/>
        </w:rPr>
        <w:t xml:space="preserve">Release for Payment. </w:t>
      </w:r>
      <w:r>
        <w:rPr>
          <w:rFonts w:ascii="Arial" w:cs="Arial" w:eastAsia="Arial" w:hAnsi="Arial"/>
          <w:sz w:val="21"/>
          <w:szCs w:val="21"/>
          <w:color w:val="auto"/>
        </w:rPr>
        <w:t>Upon receipt by the Custodian of the Collateral Manager’s request for release of documents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and receipt in the form annexed hereto as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(which certification shall include a statement to the effect that all amounts received in connection with such payment or repurchase have been credited to the Collection Account as provided in this Agreement), the Custodian shall promptly release the Related Documents to the Collateral Manager.</w:t>
      </w:r>
    </w:p>
    <w:p>
      <w:pPr>
        <w:spacing w:after="0" w:line="282" w:lineRule="exact"/>
        <w:rPr>
          <w:sz w:val="20"/>
          <w:szCs w:val="20"/>
          <w:color w:val="auto"/>
        </w:rPr>
      </w:pPr>
    </w:p>
    <w:p>
      <w:pPr>
        <w:jc w:val="both"/>
        <w:ind w:firstLine="337"/>
        <w:spacing w:after="0" w:line="277" w:lineRule="auto"/>
        <w:rPr>
          <w:sz w:val="20"/>
          <w:szCs w:val="20"/>
          <w:color w:val="auto"/>
        </w:rPr>
      </w:pPr>
      <w:r>
        <w:rPr>
          <w:rFonts w:ascii="Arial" w:cs="Arial" w:eastAsia="Arial" w:hAnsi="Arial"/>
          <w:sz w:val="19"/>
          <w:szCs w:val="19"/>
          <w:i w:val="1"/>
          <w:iCs w:val="1"/>
          <w:color w:val="auto"/>
        </w:rPr>
        <w:t>Section 14.09. Return of Related Documents</w:t>
      </w:r>
      <w:r>
        <w:rPr>
          <w:rFonts w:ascii="Arial" w:cs="Arial" w:eastAsia="Arial" w:hAnsi="Arial"/>
          <w:sz w:val="19"/>
          <w:szCs w:val="19"/>
          <w:color w:val="auto"/>
        </w:rPr>
        <w:t>. The Borrower may, with the prior written consent of the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Agent (such consent not to be unreasonably withheld), require that the Custodian return each Related Document (as applicable), respectively (a) delivered to the Custodian in error, (b) as to which the Lien on the underlying assets securing such related Collateral Loan has been so released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(c) that has been the subject of a discretionary sale or any sale of loan pursuant to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or substitution pursuant to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or (d) that is required to be redelivered to the Borrower in connection with the termination of this Agreement, in each case by submitting to the Custodian and the Administrative Agent a written request in the form annexed hereto as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(signed by both</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267" w:right="339" w:bottom="1440" w:gutter="0" w:footer="0" w:header="0"/>
        </w:sectPr>
      </w:pPr>
    </w:p>
    <w:bookmarkStart w:id="183" w:name="page184"/>
    <w:bookmarkEnd w:id="183"/>
    <w:p>
      <w:pPr>
        <w:jc w:val="both"/>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251" w:lineRule="exact"/>
        <w:rPr>
          <w:sz w:val="20"/>
          <w:szCs w:val="20"/>
          <w:color w:val="auto"/>
        </w:rPr>
      </w:pPr>
    </w:p>
    <w:p>
      <w:pPr>
        <w:jc w:val="both"/>
        <w:ind w:firstLine="337"/>
        <w:spacing w:after="0" w:line="272" w:lineRule="auto"/>
        <w:rPr>
          <w:sz w:val="20"/>
          <w:szCs w:val="20"/>
          <w:color w:val="auto"/>
        </w:rPr>
      </w:pPr>
      <w:r>
        <w:rPr>
          <w:rFonts w:ascii="Arial" w:cs="Arial" w:eastAsia="Arial" w:hAnsi="Arial"/>
          <w:sz w:val="19"/>
          <w:szCs w:val="19"/>
          <w:i w:val="1"/>
          <w:iCs w:val="1"/>
          <w:color w:val="auto"/>
        </w:rPr>
        <w:t>Section 14.10. Access to Certain Documentation and Information Regarding the Collateral; Audits</w:t>
      </w:r>
      <w:r>
        <w:rPr>
          <w:rFonts w:ascii="Arial" w:cs="Arial" w:eastAsia="Arial" w:hAnsi="Arial"/>
          <w:sz w:val="19"/>
          <w:szCs w:val="19"/>
          <w:color w:val="auto"/>
        </w:rPr>
        <w:t>. (a) The Collateral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Manager, the Borrower and the Custodian shall provide to the 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and may conduct an audit of the Collateral, and Related Documents in conjunction with such a review. Such review shall be reasonable in scope and shall be completed in a reasonable period of time.</w:t>
      </w:r>
    </w:p>
    <w:p>
      <w:pPr>
        <w:spacing w:after="0" w:line="264" w:lineRule="exact"/>
        <w:rPr>
          <w:sz w:val="20"/>
          <w:szCs w:val="20"/>
          <w:color w:val="auto"/>
        </w:rPr>
      </w:pPr>
    </w:p>
    <w:p>
      <w:pPr>
        <w:jc w:val="both"/>
        <w:ind w:firstLine="794"/>
        <w:spacing w:after="0" w:line="248" w:lineRule="auto"/>
        <w:tabs>
          <w:tab w:leader="none" w:pos="1335" w:val="left"/>
        </w:tabs>
        <w:numPr>
          <w:ilvl w:val="0"/>
          <w:numId w:val="264"/>
        </w:numPr>
        <w:rPr>
          <w:rFonts w:ascii="Arial" w:cs="Arial" w:eastAsia="Arial" w:hAnsi="Arial"/>
          <w:sz w:val="21"/>
          <w:szCs w:val="21"/>
          <w:color w:val="auto"/>
        </w:rPr>
      </w:pPr>
      <w:r>
        <w:rPr>
          <w:rFonts w:ascii="Arial" w:cs="Arial" w:eastAsia="Arial" w:hAnsi="Arial"/>
          <w:sz w:val="21"/>
          <w:szCs w:val="21"/>
          <w:color w:val="auto"/>
        </w:rPr>
        <w:t xml:space="preserve">Without limiting the foregoing provisions of </w:t>
      </w:r>
      <w:r>
        <w:rPr>
          <w:rFonts w:ascii="Arial" w:cs="Arial" w:eastAsia="Arial" w:hAnsi="Arial"/>
          <w:sz w:val="21"/>
          <w:szCs w:val="21"/>
          <w:u w:val="single" w:color="auto"/>
          <w:color w:val="auto"/>
        </w:rPr>
        <w:t>Section 14.10(a)</w:t>
      </w:r>
      <w:r>
        <w:rPr>
          <w:rFonts w:ascii="Arial" w:cs="Arial" w:eastAsia="Arial" w:hAnsi="Arial"/>
          <w:sz w:val="21"/>
          <w:szCs w:val="21"/>
          <w:color w:val="auto"/>
        </w:rPr>
        <w:t xml:space="preserve">,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after the occurrence and during the continuance of an Event of Default, any such reviews, regardless of frequency, shall be at the expense of the Borrower.</w:t>
      </w:r>
    </w:p>
    <w:p>
      <w:pPr>
        <w:spacing w:after="0" w:line="285" w:lineRule="exact"/>
        <w:rPr>
          <w:sz w:val="20"/>
          <w:szCs w:val="20"/>
          <w:color w:val="auto"/>
        </w:rPr>
      </w:pPr>
    </w:p>
    <w:p>
      <w:pPr>
        <w:ind w:left="340"/>
        <w:spacing w:after="0"/>
        <w:tabs>
          <w:tab w:leader="none" w:pos="2040" w:val="left"/>
          <w:tab w:leader="none" w:pos="6900" w:val="left"/>
        </w:tabs>
        <w:rPr>
          <w:sz w:val="20"/>
          <w:szCs w:val="20"/>
          <w:color w:val="auto"/>
        </w:rPr>
      </w:pPr>
      <w:r>
        <w:rPr>
          <w:rFonts w:ascii="Arial" w:cs="Arial" w:eastAsia="Arial" w:hAnsi="Arial"/>
          <w:sz w:val="22"/>
          <w:szCs w:val="22"/>
          <w:i w:val="1"/>
          <w:iCs w:val="1"/>
          <w:color w:val="auto"/>
        </w:rPr>
        <w:t>Section 14.11.</w:t>
      </w:r>
      <w:r>
        <w:rPr>
          <w:sz w:val="20"/>
          <w:szCs w:val="20"/>
          <w:color w:val="auto"/>
        </w:rPr>
        <w:tab/>
      </w:r>
      <w:r>
        <w:rPr>
          <w:rFonts w:ascii="Arial" w:cs="Arial" w:eastAsia="Arial" w:hAnsi="Arial"/>
          <w:sz w:val="22"/>
          <w:szCs w:val="22"/>
          <w:i w:val="1"/>
          <w:iCs w:val="1"/>
          <w:color w:val="auto"/>
        </w:rPr>
        <w:t>Representations and Warranties of the Custodian</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Custodian in its individual capacity and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Custodian represents and warrants as follows:</w:t>
      </w:r>
    </w:p>
    <w:p>
      <w:pPr>
        <w:spacing w:after="0" w:line="296" w:lineRule="exact"/>
        <w:rPr>
          <w:sz w:val="20"/>
          <w:szCs w:val="20"/>
          <w:color w:val="auto"/>
        </w:rPr>
      </w:pPr>
    </w:p>
    <w:p>
      <w:pPr>
        <w:jc w:val="both"/>
        <w:ind w:left="800" w:firstLine="934"/>
        <w:spacing w:after="0"/>
        <w:tabs>
          <w:tab w:leader="none" w:pos="2493"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 xml:space="preserve">Organization; Power and Authority. </w:t>
      </w:r>
      <w:r>
        <w:rPr>
          <w:rFonts w:ascii="Arial" w:cs="Arial" w:eastAsia="Arial" w:hAnsi="Arial"/>
          <w:sz w:val="22"/>
          <w:szCs w:val="22"/>
          <w:color w:val="auto"/>
        </w:rPr>
        <w:t>It is a duly organized and validly existing national banking</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in good standing under the laws of the United States. It has full corporate power, authority and legal right to execute, deliver and perform its obligations as Custodian under this Agreement.</w:t>
      </w:r>
    </w:p>
    <w:p>
      <w:pPr>
        <w:spacing w:after="0" w:line="294" w:lineRule="exact"/>
        <w:rPr>
          <w:rFonts w:ascii="Arial" w:cs="Arial" w:eastAsia="Arial" w:hAnsi="Arial"/>
          <w:sz w:val="22"/>
          <w:szCs w:val="22"/>
          <w:color w:val="auto"/>
        </w:rPr>
      </w:pPr>
    </w:p>
    <w:p>
      <w:pPr>
        <w:jc w:val="both"/>
        <w:ind w:left="800" w:firstLine="934"/>
        <w:spacing w:after="0"/>
        <w:tabs>
          <w:tab w:leader="none" w:pos="2532"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 xml:space="preserve">Due Authorization. </w:t>
      </w:r>
      <w:r>
        <w:rPr>
          <w:rFonts w:ascii="Arial" w:cs="Arial" w:eastAsia="Arial" w:hAnsi="Arial"/>
          <w:sz w:val="22"/>
          <w:szCs w:val="22"/>
          <w:color w:val="auto"/>
        </w:rPr>
        <w:t>The execution and delivery of this Agreement and the consummation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transactions provided for herein have been duly authorized by all necessary association action on its part, either in its individual capacity or as Custodian,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267" w:right="339" w:bottom="1440" w:gutter="0" w:footer="0" w:header="0"/>
        </w:sectPr>
      </w:pPr>
    </w:p>
    <w:bookmarkStart w:id="184" w:name="page185"/>
    <w:bookmarkEnd w:id="184"/>
    <w:p>
      <w:pPr>
        <w:jc w:val="both"/>
        <w:ind w:left="460" w:firstLine="934"/>
        <w:spacing w:after="0" w:line="249" w:lineRule="auto"/>
        <w:tabs>
          <w:tab w:leader="none" w:pos="2072" w:val="left"/>
        </w:tabs>
        <w:numPr>
          <w:ilvl w:val="0"/>
          <w:numId w:val="266"/>
        </w:numPr>
        <w:rPr>
          <w:rFonts w:ascii="Arial" w:cs="Arial" w:eastAsia="Arial" w:hAnsi="Arial"/>
          <w:sz w:val="21"/>
          <w:szCs w:val="21"/>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 Conflict. </w:t>
      </w:r>
      <w:r>
        <w:rPr>
          <w:rFonts w:ascii="Arial" w:cs="Arial" w:eastAsia="Arial" w:hAnsi="Arial"/>
          <w:sz w:val="21"/>
          <w:szCs w:val="21"/>
          <w:color w:val="auto"/>
        </w:rPr>
        <w:t>The execution and delivery of this Agreement, the performance of the transactions</w:t>
      </w:r>
      <w:r>
        <w:rPr>
          <w:rFonts w:ascii="Arial" w:cs="Arial" w:eastAsia="Arial" w:hAnsi="Arial"/>
          <w:sz w:val="21"/>
          <w:szCs w:val="21"/>
          <w:i w:val="1"/>
          <w:iCs w:val="1"/>
          <w:color w:val="auto"/>
        </w:rPr>
        <w:t xml:space="preserve"> </w:t>
      </w:r>
      <w:r>
        <w:rPr>
          <w:rFonts w:ascii="Arial" w:cs="Arial" w:eastAsia="Arial" w:hAnsi="Arial"/>
          <w:sz w:val="21"/>
          <w:szCs w:val="21"/>
          <w:color w:val="auto"/>
        </w:rPr>
        <w:t>contemplated hereby and the fulfillment 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286" w:lineRule="exact"/>
        <w:rPr>
          <w:rFonts w:ascii="Arial" w:cs="Arial" w:eastAsia="Arial" w:hAnsi="Arial"/>
          <w:sz w:val="21"/>
          <w:szCs w:val="21"/>
          <w:color w:val="auto"/>
        </w:rPr>
      </w:pPr>
    </w:p>
    <w:p>
      <w:pPr>
        <w:jc w:val="both"/>
        <w:ind w:left="460" w:right="20" w:firstLine="934"/>
        <w:spacing w:after="0"/>
        <w:tabs>
          <w:tab w:leader="none" w:pos="2057"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 xml:space="preserve">No Violation. </w:t>
      </w:r>
      <w:r>
        <w:rPr>
          <w:rFonts w:ascii="Arial" w:cs="Arial" w:eastAsia="Arial" w:hAnsi="Arial"/>
          <w:sz w:val="22"/>
          <w:szCs w:val="22"/>
          <w:color w:val="auto"/>
        </w:rPr>
        <w:t>The execution and delivery of this Agreement, the performance of the transactions</w:t>
      </w:r>
      <w:r>
        <w:rPr>
          <w:rFonts w:ascii="Arial" w:cs="Arial" w:eastAsia="Arial" w:hAnsi="Arial"/>
          <w:sz w:val="22"/>
          <w:szCs w:val="22"/>
          <w:i w:val="1"/>
          <w:iCs w:val="1"/>
          <w:color w:val="auto"/>
        </w:rPr>
        <w:t xml:space="preserve"> </w:t>
      </w:r>
      <w:r>
        <w:rPr>
          <w:rFonts w:ascii="Arial" w:cs="Arial" w:eastAsia="Arial" w:hAnsi="Arial"/>
          <w:sz w:val="22"/>
          <w:szCs w:val="22"/>
          <w:color w:val="auto"/>
        </w:rPr>
        <w:t>contemplated hereby and the fulfillment of the terms hereof will not conflict with or violate, in any material respect, any Applicable Law as to the Custodian.</w:t>
      </w:r>
    </w:p>
    <w:p>
      <w:pPr>
        <w:spacing w:after="0" w:line="294" w:lineRule="exact"/>
        <w:rPr>
          <w:rFonts w:ascii="Arial" w:cs="Arial" w:eastAsia="Arial" w:hAnsi="Arial"/>
          <w:sz w:val="22"/>
          <w:szCs w:val="22"/>
          <w:color w:val="auto"/>
        </w:rPr>
      </w:pPr>
    </w:p>
    <w:p>
      <w:pPr>
        <w:jc w:val="both"/>
        <w:ind w:left="460" w:firstLine="934"/>
        <w:spacing w:after="0" w:line="238" w:lineRule="auto"/>
        <w:tabs>
          <w:tab w:leader="none" w:pos="2018"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All Consents Required</w:t>
      </w:r>
      <w:r>
        <w:rPr>
          <w:rFonts w:ascii="Arial" w:cs="Arial" w:eastAsia="Arial" w:hAnsi="Arial"/>
          <w:sz w:val="22"/>
          <w:szCs w:val="22"/>
          <w:color w:val="auto"/>
        </w:rPr>
        <w:t>. All approvals, authorizations, consents, orders or other actions of any Person</w:t>
      </w:r>
      <w:r>
        <w:rPr>
          <w:rFonts w:ascii="Arial" w:cs="Arial" w:eastAsia="Arial" w:hAnsi="Arial"/>
          <w:sz w:val="22"/>
          <w:szCs w:val="22"/>
          <w:i w:val="1"/>
          <w:iCs w:val="1"/>
          <w:color w:val="auto"/>
        </w:rPr>
        <w:t xml:space="preserve"> </w:t>
      </w:r>
      <w:r>
        <w:rPr>
          <w:rFonts w:ascii="Arial" w:cs="Arial" w:eastAsia="Arial" w:hAnsi="Arial"/>
          <w:sz w:val="22"/>
          <w:szCs w:val="22"/>
          <w:color w:val="auto"/>
        </w:rPr>
        <w:t>or Governmental Authority 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292" w:lineRule="exact"/>
        <w:rPr>
          <w:rFonts w:ascii="Arial" w:cs="Arial" w:eastAsia="Arial" w:hAnsi="Arial"/>
          <w:sz w:val="22"/>
          <w:szCs w:val="22"/>
          <w:color w:val="auto"/>
        </w:rPr>
      </w:pPr>
    </w:p>
    <w:p>
      <w:pPr>
        <w:jc w:val="both"/>
        <w:ind w:left="460" w:firstLine="934"/>
        <w:spacing w:after="0" w:line="257" w:lineRule="auto"/>
        <w:tabs>
          <w:tab w:leader="none" w:pos="2129" w:val="left"/>
        </w:tabs>
        <w:numPr>
          <w:ilvl w:val="0"/>
          <w:numId w:val="266"/>
        </w:numPr>
        <w:rPr>
          <w:rFonts w:ascii="Arial" w:cs="Arial" w:eastAsia="Arial" w:hAnsi="Arial"/>
          <w:sz w:val="21"/>
          <w:szCs w:val="21"/>
          <w:color w:val="auto"/>
        </w:rPr>
      </w:pPr>
      <w:r>
        <w:rPr>
          <w:rFonts w:ascii="Arial" w:cs="Arial" w:eastAsia="Arial" w:hAnsi="Arial"/>
          <w:sz w:val="21"/>
          <w:szCs w:val="21"/>
          <w:i w:val="1"/>
          <w:iCs w:val="1"/>
          <w:color w:val="auto"/>
        </w:rPr>
        <w:t xml:space="preserve">Validity. </w:t>
      </w:r>
      <w:r>
        <w:rPr>
          <w:rFonts w:ascii="Arial" w:cs="Arial" w:eastAsia="Arial" w:hAnsi="Arial"/>
          <w:sz w:val="21"/>
          <w:szCs w:val="21"/>
          <w:color w:val="auto"/>
        </w:rPr>
        <w:t>The Agreement constitutes the legal, valid and binding obligation of the Custodian,</w:t>
      </w:r>
      <w:r>
        <w:rPr>
          <w:rFonts w:ascii="Arial" w:cs="Arial" w:eastAsia="Arial" w:hAnsi="Arial"/>
          <w:sz w:val="21"/>
          <w:szCs w:val="21"/>
          <w:i w:val="1"/>
          <w:iCs w:val="1"/>
          <w:color w:val="auto"/>
        </w:rPr>
        <w:t xml:space="preserve"> </w:t>
      </w:r>
      <w:r>
        <w:rPr>
          <w:rFonts w:ascii="Arial" w:cs="Arial" w:eastAsia="Arial" w:hAnsi="Arial"/>
          <w:sz w:val="21"/>
          <w:szCs w:val="21"/>
          <w:color w:val="auto"/>
        </w:rPr>
        <w:t>enforceable against the Custodian in accordance with its terms, except as such enforceability may be limited by applicable Bankruptcy Code and general principles of equity (whether considered in a suit at law or in equity)</w:t>
      </w:r>
    </w:p>
    <w:p>
      <w:pPr>
        <w:spacing w:after="0" w:line="277"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i w:val="1"/>
          <w:iCs w:val="1"/>
          <w:color w:val="auto"/>
        </w:rPr>
        <w:t>Section 14.12.</w:t>
      </w:r>
      <w:r>
        <w:rPr>
          <w:sz w:val="20"/>
          <w:szCs w:val="20"/>
          <w:color w:val="auto"/>
        </w:rPr>
        <w:tab/>
      </w:r>
      <w:r>
        <w:rPr>
          <w:rFonts w:ascii="Arial" w:cs="Arial" w:eastAsia="Arial" w:hAnsi="Arial"/>
          <w:sz w:val="19"/>
          <w:szCs w:val="19"/>
          <w:i w:val="1"/>
          <w:iCs w:val="1"/>
          <w:color w:val="auto"/>
        </w:rPr>
        <w:t>Covenants of the Custodian</w:t>
      </w:r>
      <w:r>
        <w:rPr>
          <w:rFonts w:ascii="Arial" w:cs="Arial" w:eastAsia="Arial" w:hAnsi="Arial"/>
          <w:sz w:val="19"/>
          <w:szCs w:val="19"/>
          <w:color w:val="auto"/>
        </w:rPr>
        <w:t>.</w:t>
      </w:r>
    </w:p>
    <w:p>
      <w:pPr>
        <w:spacing w:after="0" w:line="314" w:lineRule="exact"/>
        <w:rPr>
          <w:sz w:val="20"/>
          <w:szCs w:val="20"/>
          <w:color w:val="auto"/>
        </w:rPr>
      </w:pPr>
    </w:p>
    <w:p>
      <w:pPr>
        <w:ind w:left="1020" w:hanging="566"/>
        <w:spacing w:after="0"/>
        <w:tabs>
          <w:tab w:leader="none" w:pos="1020" w:val="left"/>
        </w:tabs>
        <w:numPr>
          <w:ilvl w:val="0"/>
          <w:numId w:val="267"/>
        </w:numPr>
        <w:rPr>
          <w:rFonts w:ascii="Arial" w:cs="Arial" w:eastAsia="Arial" w:hAnsi="Arial"/>
          <w:sz w:val="22"/>
          <w:szCs w:val="22"/>
          <w:color w:val="auto"/>
        </w:rPr>
      </w:pPr>
      <w:r>
        <w:rPr>
          <w:rFonts w:ascii="Arial" w:cs="Arial" w:eastAsia="Arial" w:hAnsi="Arial"/>
          <w:sz w:val="22"/>
          <w:szCs w:val="22"/>
          <w:i w:val="1"/>
          <w:iCs w:val="1"/>
          <w:color w:val="auto"/>
        </w:rPr>
        <w:t>Affirmative Covenants of the Custodian.</w:t>
      </w:r>
    </w:p>
    <w:p>
      <w:pPr>
        <w:spacing w:after="0" w:line="314" w:lineRule="exact"/>
        <w:rPr>
          <w:rFonts w:ascii="Arial" w:cs="Arial" w:eastAsia="Arial" w:hAnsi="Arial"/>
          <w:sz w:val="22"/>
          <w:szCs w:val="22"/>
          <w:color w:val="auto"/>
        </w:rPr>
      </w:pPr>
    </w:p>
    <w:p>
      <w:pPr>
        <w:ind w:left="2020" w:hanging="518"/>
        <w:spacing w:after="0"/>
        <w:tabs>
          <w:tab w:leader="none" w:pos="2020" w:val="left"/>
        </w:tabs>
        <w:numPr>
          <w:ilvl w:val="1"/>
          <w:numId w:val="267"/>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Law. </w:t>
      </w:r>
      <w:r>
        <w:rPr>
          <w:rFonts w:ascii="Arial" w:cs="Arial" w:eastAsia="Arial" w:hAnsi="Arial"/>
          <w:sz w:val="19"/>
          <w:szCs w:val="19"/>
          <w:color w:val="auto"/>
        </w:rPr>
        <w:t>The Custodian will comply in all material respects with all Applicable Law.</w:t>
      </w:r>
    </w:p>
    <w:p>
      <w:pPr>
        <w:spacing w:after="0" w:line="349" w:lineRule="exact"/>
        <w:rPr>
          <w:sz w:val="20"/>
          <w:szCs w:val="20"/>
          <w:color w:val="auto"/>
        </w:rPr>
      </w:pPr>
    </w:p>
    <w:p>
      <w:pPr>
        <w:jc w:val="both"/>
        <w:ind w:left="460" w:firstLine="996"/>
        <w:spacing w:after="0" w:line="238" w:lineRule="auto"/>
        <w:tabs>
          <w:tab w:leader="none" w:pos="2096" w:val="left"/>
        </w:tabs>
        <w:numPr>
          <w:ilvl w:val="0"/>
          <w:numId w:val="268"/>
        </w:numPr>
        <w:rPr>
          <w:rFonts w:ascii="Arial" w:cs="Arial" w:eastAsia="Arial" w:hAnsi="Arial"/>
          <w:sz w:val="22"/>
          <w:szCs w:val="22"/>
          <w:color w:val="auto"/>
        </w:rPr>
      </w:pPr>
      <w:r>
        <w:rPr>
          <w:rFonts w:ascii="Arial" w:cs="Arial" w:eastAsia="Arial" w:hAnsi="Arial"/>
          <w:sz w:val="22"/>
          <w:szCs w:val="22"/>
          <w:i w:val="1"/>
          <w:iCs w:val="1"/>
          <w:color w:val="auto"/>
        </w:rPr>
        <w:t>Preservation of Existence</w:t>
      </w:r>
      <w:r>
        <w:rPr>
          <w:rFonts w:ascii="Arial" w:cs="Arial" w:eastAsia="Arial" w:hAnsi="Arial"/>
          <w:sz w:val="22"/>
          <w:szCs w:val="22"/>
          <w:color w:val="auto"/>
        </w:rPr>
        <w:t>. The Custodian will preserve and maintain its existence, rights, franchises</w:t>
      </w:r>
      <w:r>
        <w:rPr>
          <w:rFonts w:ascii="Arial" w:cs="Arial" w:eastAsia="Arial" w:hAnsi="Arial"/>
          <w:sz w:val="22"/>
          <w:szCs w:val="22"/>
          <w:i w:val="1"/>
          <w:iCs w:val="1"/>
          <w:color w:val="auto"/>
        </w:rPr>
        <w:t xml:space="preserve"> </w:t>
      </w:r>
      <w:r>
        <w:rPr>
          <w:rFonts w:ascii="Arial" w:cs="Arial" w:eastAsia="Arial" w:hAnsi="Arial"/>
          <w:sz w:val="22"/>
          <w:szCs w:val="22"/>
          <w:color w:val="auto"/>
        </w:rPr>
        <w:t>and privileges in the jurisdiction of its formation and qualify and remain qualified in good standing in each jurisdiction where failure to preserve and maintain such existence, rights, franchises, privileges and qualification has had, or could reasonably be expected to have, a Material Adverse Effect.</w:t>
      </w:r>
    </w:p>
    <w:p>
      <w:pPr>
        <w:spacing w:after="0" w:line="292" w:lineRule="exact"/>
        <w:rPr>
          <w:rFonts w:ascii="Arial" w:cs="Arial" w:eastAsia="Arial" w:hAnsi="Arial"/>
          <w:sz w:val="22"/>
          <w:szCs w:val="22"/>
          <w:color w:val="auto"/>
        </w:rPr>
      </w:pPr>
    </w:p>
    <w:p>
      <w:pPr>
        <w:jc w:val="both"/>
        <w:ind w:left="460" w:firstLine="934"/>
        <w:spacing w:after="0" w:line="249" w:lineRule="auto"/>
        <w:tabs>
          <w:tab w:leader="none" w:pos="2061" w:val="left"/>
        </w:tabs>
        <w:numPr>
          <w:ilvl w:val="0"/>
          <w:numId w:val="268"/>
        </w:numPr>
        <w:rPr>
          <w:rFonts w:ascii="Arial" w:cs="Arial" w:eastAsia="Arial" w:hAnsi="Arial"/>
          <w:sz w:val="21"/>
          <w:szCs w:val="21"/>
          <w:color w:val="auto"/>
        </w:rPr>
      </w:pPr>
      <w:r>
        <w:rPr>
          <w:rFonts w:ascii="Arial" w:cs="Arial" w:eastAsia="Arial" w:hAnsi="Arial"/>
          <w:sz w:val="21"/>
          <w:szCs w:val="21"/>
          <w:i w:val="1"/>
          <w:iCs w:val="1"/>
          <w:color w:val="auto"/>
        </w:rPr>
        <w:t xml:space="preserve">Location of Related Documents. </w:t>
      </w:r>
      <w:r>
        <w:rPr>
          <w:rFonts w:ascii="Arial" w:cs="Arial" w:eastAsia="Arial" w:hAnsi="Arial"/>
          <w:sz w:val="21"/>
          <w:szCs w:val="21"/>
          <w:color w:val="auto"/>
        </w:rPr>
        <w:t>Subject to</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14.08</w:t>
      </w:r>
      <w:r>
        <w:rPr>
          <w:rFonts w:ascii="Arial" w:cs="Arial" w:eastAsia="Arial" w:hAnsi="Arial"/>
          <w:sz w:val="21"/>
          <w:szCs w:val="21"/>
          <w:color w:val="auto"/>
        </w:rPr>
        <w:t>, the Related Documents shall remain at all</w:t>
      </w:r>
      <w:r>
        <w:rPr>
          <w:rFonts w:ascii="Arial" w:cs="Arial" w:eastAsia="Arial" w:hAnsi="Arial"/>
          <w:sz w:val="21"/>
          <w:szCs w:val="21"/>
          <w:i w:val="1"/>
          <w:iCs w:val="1"/>
          <w:color w:val="auto"/>
        </w:rPr>
        <w:t xml:space="preserve"> </w:t>
      </w:r>
      <w:r>
        <w:rPr>
          <w:rFonts w:ascii="Arial" w:cs="Arial" w:eastAsia="Arial" w:hAnsi="Arial"/>
          <w:sz w:val="21"/>
          <w:szCs w:val="21"/>
          <w:color w:val="auto"/>
        </w:rPr>
        <w:t>times in the possession of the 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111"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0900"/>
          </w:cols>
          <w:pgMar w:left="660" w:top="267" w:right="339" w:bottom="1440" w:gutter="0" w:footer="0" w:header="0"/>
        </w:sectPr>
      </w:pPr>
    </w:p>
    <w:bookmarkStart w:id="185" w:name="page186"/>
    <w:bookmarkEnd w:id="185"/>
    <w:p>
      <w:pPr>
        <w:ind w:left="1320" w:hanging="526"/>
        <w:spacing w:after="0"/>
        <w:tabs>
          <w:tab w:leader="none" w:pos="1320" w:val="left"/>
        </w:tabs>
        <w:numPr>
          <w:ilvl w:val="0"/>
          <w:numId w:val="269"/>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Negative Covenants of the Custodian.</w:t>
      </w:r>
    </w:p>
    <w:p>
      <w:pPr>
        <w:spacing w:after="0" w:line="314" w:lineRule="exact"/>
        <w:rPr>
          <w:rFonts w:ascii="Arial" w:cs="Arial" w:eastAsia="Arial" w:hAnsi="Arial"/>
          <w:sz w:val="22"/>
          <w:szCs w:val="22"/>
          <w:color w:val="auto"/>
        </w:rPr>
      </w:pPr>
    </w:p>
    <w:p>
      <w:pPr>
        <w:jc w:val="both"/>
        <w:ind w:left="800" w:firstLine="934"/>
        <w:spacing w:after="0"/>
        <w:tabs>
          <w:tab w:leader="none" w:pos="2470" w:val="left"/>
        </w:tabs>
        <w:numPr>
          <w:ilvl w:val="1"/>
          <w:numId w:val="269"/>
        </w:numPr>
        <w:rPr>
          <w:rFonts w:ascii="Arial" w:cs="Arial" w:eastAsia="Arial" w:hAnsi="Arial"/>
          <w:sz w:val="22"/>
          <w:szCs w:val="22"/>
          <w:color w:val="auto"/>
        </w:rPr>
      </w:pPr>
      <w:r>
        <w:rPr>
          <w:rFonts w:ascii="Arial" w:cs="Arial" w:eastAsia="Arial" w:hAnsi="Arial"/>
          <w:sz w:val="22"/>
          <w:szCs w:val="22"/>
          <w:i w:val="1"/>
          <w:iCs w:val="1"/>
          <w:color w:val="auto"/>
        </w:rPr>
        <w:t xml:space="preserve">Related Documents. </w:t>
      </w:r>
      <w:r>
        <w:rPr>
          <w:rFonts w:ascii="Arial" w:cs="Arial" w:eastAsia="Arial" w:hAnsi="Arial"/>
          <w:sz w:val="22"/>
          <w:szCs w:val="22"/>
          <w:color w:val="auto"/>
        </w:rPr>
        <w:t>The Custodian will not dispose of any documents constituting the Related</w:t>
      </w:r>
      <w:r>
        <w:rPr>
          <w:rFonts w:ascii="Arial" w:cs="Arial" w:eastAsia="Arial" w:hAnsi="Arial"/>
          <w:sz w:val="22"/>
          <w:szCs w:val="22"/>
          <w:i w:val="1"/>
          <w:iCs w:val="1"/>
          <w:color w:val="auto"/>
        </w:rPr>
        <w:t xml:space="preserve"> </w:t>
      </w:r>
      <w:r>
        <w:rPr>
          <w:rFonts w:ascii="Arial" w:cs="Arial" w:eastAsia="Arial" w:hAnsi="Arial"/>
          <w:sz w:val="22"/>
          <w:szCs w:val="22"/>
          <w:color w:val="auto"/>
        </w:rPr>
        <w:t>Documents in any manner that is inconsistent with the performance of its obligations as the Custodian pursuant to this Agreement.</w:t>
      </w:r>
    </w:p>
    <w:p>
      <w:pPr>
        <w:spacing w:after="0" w:line="294" w:lineRule="exact"/>
        <w:rPr>
          <w:rFonts w:ascii="Arial" w:cs="Arial" w:eastAsia="Arial" w:hAnsi="Arial"/>
          <w:sz w:val="22"/>
          <w:szCs w:val="22"/>
          <w:color w:val="auto"/>
        </w:rPr>
      </w:pPr>
    </w:p>
    <w:p>
      <w:pPr>
        <w:ind w:left="800" w:right="20" w:firstLine="934"/>
        <w:spacing w:after="0" w:line="328" w:lineRule="auto"/>
        <w:tabs>
          <w:tab w:leader="none" w:pos="2328" w:val="left"/>
        </w:tabs>
        <w:numPr>
          <w:ilvl w:val="1"/>
          <w:numId w:val="269"/>
        </w:numPr>
        <w:rPr>
          <w:rFonts w:ascii="Arial" w:cs="Arial" w:eastAsia="Arial" w:hAnsi="Arial"/>
          <w:sz w:val="19"/>
          <w:szCs w:val="19"/>
          <w:color w:val="auto"/>
        </w:rPr>
      </w:pPr>
      <w:r>
        <w:rPr>
          <w:rFonts w:ascii="Arial" w:cs="Arial" w:eastAsia="Arial" w:hAnsi="Arial"/>
          <w:sz w:val="19"/>
          <w:szCs w:val="19"/>
          <w:i w:val="1"/>
          <w:iCs w:val="1"/>
          <w:color w:val="auto"/>
        </w:rPr>
        <w:t xml:space="preserve">No Changes to Custodian Fee. </w:t>
      </w:r>
      <w:r>
        <w:rPr>
          <w:rFonts w:ascii="Arial" w:cs="Arial" w:eastAsia="Arial" w:hAnsi="Arial"/>
          <w:sz w:val="19"/>
          <w:szCs w:val="19"/>
          <w:color w:val="auto"/>
        </w:rPr>
        <w:t>The Custodian will not make any changes to the custodian fee set forth</w:t>
      </w:r>
      <w:r>
        <w:rPr>
          <w:rFonts w:ascii="Arial" w:cs="Arial" w:eastAsia="Arial" w:hAnsi="Arial"/>
          <w:sz w:val="19"/>
          <w:szCs w:val="19"/>
          <w:i w:val="1"/>
          <w:iCs w:val="1"/>
          <w:color w:val="auto"/>
        </w:rPr>
        <w:t xml:space="preserve"> </w:t>
      </w:r>
      <w:r>
        <w:rPr>
          <w:rFonts w:ascii="Arial" w:cs="Arial" w:eastAsia="Arial" w:hAnsi="Arial"/>
          <w:sz w:val="19"/>
          <w:szCs w:val="19"/>
          <w:color w:val="auto"/>
        </w:rPr>
        <w:t>in the Custodian Fee Letter without the prior written approval of the Administrative Agent and the Borrower.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RTICLE</w:t>
      </w:r>
      <w:r>
        <w:rPr>
          <w:rFonts w:ascii="Arial" w:cs="Arial" w:eastAsia="Arial" w:hAnsi="Arial"/>
          <w:sz w:val="22"/>
          <w:szCs w:val="22"/>
          <w:b w:val="1"/>
          <w:bCs w:val="1"/>
          <w:color w:val="auto"/>
        </w:rPr>
        <w:t xml:space="preserve"> XV</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7"/>
          <w:szCs w:val="17"/>
          <w:b w:val="1"/>
          <w:bCs w:val="1"/>
          <w:color w:val="auto"/>
        </w:rPr>
        <w:t>ISCELLANEOUS</w:t>
      </w:r>
    </w:p>
    <w:p>
      <w:pPr>
        <w:spacing w:after="0" w:line="320" w:lineRule="exact"/>
        <w:rPr>
          <w:sz w:val="20"/>
          <w:szCs w:val="20"/>
          <w:color w:val="auto"/>
        </w:rPr>
      </w:pPr>
    </w:p>
    <w:p>
      <w:pPr>
        <w:jc w:val="both"/>
        <w:ind w:firstLine="337"/>
        <w:spacing w:after="0" w:line="234" w:lineRule="auto"/>
        <w:rPr>
          <w:sz w:val="20"/>
          <w:szCs w:val="20"/>
          <w:color w:val="auto"/>
        </w:rPr>
      </w:pPr>
      <w:r>
        <w:rPr>
          <w:rFonts w:ascii="Arial" w:cs="Arial" w:eastAsia="Arial" w:hAnsi="Arial"/>
          <w:sz w:val="22"/>
          <w:szCs w:val="22"/>
          <w:i w:val="1"/>
          <w:iCs w:val="1"/>
          <w:color w:val="auto"/>
        </w:rPr>
        <w:t>Section 15.01. No Waiver; Modifications in Writing</w:t>
      </w:r>
      <w:r>
        <w:rPr>
          <w:rFonts w:ascii="Arial" w:cs="Arial" w:eastAsia="Arial" w:hAnsi="Arial"/>
          <w:sz w:val="22"/>
          <w:szCs w:val="22"/>
          <w:color w:val="auto"/>
        </w:rPr>
        <w:t>. (a) No failure or delay on the part of any Secured Party exercising</w:t>
      </w:r>
      <w:r>
        <w:rPr>
          <w:rFonts w:ascii="Arial" w:cs="Arial" w:eastAsia="Arial" w:hAnsi="Arial"/>
          <w:sz w:val="22"/>
          <w:szCs w:val="22"/>
          <w:i w:val="1"/>
          <w:iCs w:val="1"/>
          <w:color w:val="auto"/>
        </w:rPr>
        <w:t xml:space="preserve"> </w:t>
      </w:r>
      <w:r>
        <w:rPr>
          <w:rFonts w:ascii="Arial" w:cs="Arial" w:eastAsia="Arial" w:hAnsi="Arial"/>
          <w:sz w:val="22"/>
          <w:szCs w:val="22"/>
          <w:color w:val="auto"/>
        </w:rPr>
        <w:t>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299" w:lineRule="exact"/>
        <w:rPr>
          <w:sz w:val="20"/>
          <w:szCs w:val="20"/>
          <w:color w:val="auto"/>
        </w:rPr>
      </w:pPr>
    </w:p>
    <w:p>
      <w:pPr>
        <w:ind w:firstLine="794"/>
        <w:spacing w:after="0" w:line="250" w:lineRule="auto"/>
        <w:tabs>
          <w:tab w:leader="none" w:pos="1478"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No amendment, modification, supplement or waiver of this Agreement shall be effective unless signed by the Borrower, the Collateral Manager, the Administrative Agent and the Required Lenders,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282" w:lineRule="exact"/>
        <w:rPr>
          <w:rFonts w:ascii="Arial" w:cs="Arial" w:eastAsia="Arial" w:hAnsi="Arial"/>
          <w:sz w:val="22"/>
          <w:szCs w:val="22"/>
          <w:color w:val="auto"/>
        </w:rPr>
      </w:pPr>
    </w:p>
    <w:p>
      <w:pPr>
        <w:ind w:left="2320" w:hanging="532"/>
        <w:spacing w:after="0"/>
        <w:tabs>
          <w:tab w:leader="none" w:pos="232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any Fundamental Amendment shall require the written consent of all Lenders; and</w:t>
      </w:r>
    </w:p>
    <w:p>
      <w:pPr>
        <w:spacing w:after="0" w:line="314" w:lineRule="exact"/>
        <w:rPr>
          <w:rFonts w:ascii="Arial" w:cs="Arial" w:eastAsia="Arial" w:hAnsi="Arial"/>
          <w:sz w:val="22"/>
          <w:szCs w:val="22"/>
          <w:color w:val="auto"/>
        </w:rPr>
      </w:pPr>
    </w:p>
    <w:p>
      <w:pPr>
        <w:jc w:val="both"/>
        <w:ind w:left="800" w:firstLine="934"/>
        <w:spacing w:after="0" w:line="236" w:lineRule="auto"/>
        <w:tabs>
          <w:tab w:leader="none" w:pos="2383" w:val="left"/>
        </w:tabs>
        <w:numPr>
          <w:ilvl w:val="1"/>
          <w:numId w:val="270"/>
        </w:numPr>
        <w:rPr>
          <w:rFonts w:ascii="Arial" w:cs="Arial" w:eastAsia="Arial" w:hAnsi="Arial"/>
          <w:sz w:val="22"/>
          <w:szCs w:val="22"/>
          <w:color w:val="auto"/>
        </w:rPr>
      </w:pPr>
      <w:r>
        <w:rPr>
          <w:rFonts w:ascii="Arial" w:cs="Arial" w:eastAsia="Arial" w:hAnsi="Arial"/>
          <w:sz w:val="22"/>
          <w:szCs w:val="22"/>
          <w:color w:val="auto"/>
        </w:rPr>
        <w:t>no such amendment, modification, supplement or waiver shall amend, modify or otherwise affect the rights or duties of any Agent, the Swingline Lender, the Custodian, the Collateral Administrator or the Backup Collateral Manager (including in its role as successor Collateral Manager if it shall be so appointed) hereunder without the prior written consent of such Agent, the Swingline Lender, Custodian, Collateral Administrator or Backup Collateral Manager, as the case may be.</w:t>
      </w:r>
    </w:p>
    <w:p>
      <w:pPr>
        <w:spacing w:after="0" w:line="295" w:lineRule="exact"/>
        <w:rPr>
          <w:sz w:val="20"/>
          <w:szCs w:val="20"/>
          <w:color w:val="auto"/>
        </w:rPr>
      </w:pPr>
    </w:p>
    <w:p>
      <w:pPr>
        <w:jc w:val="both"/>
        <w:ind w:firstLine="337"/>
        <w:spacing w:after="0" w:line="279" w:lineRule="auto"/>
        <w:rPr>
          <w:sz w:val="20"/>
          <w:szCs w:val="20"/>
          <w:color w:val="auto"/>
        </w:rPr>
      </w:pPr>
      <w:r>
        <w:rPr>
          <w:rFonts w:ascii="Arial" w:cs="Arial" w:eastAsia="Arial" w:hAnsi="Arial"/>
          <w:sz w:val="19"/>
          <w:szCs w:val="19"/>
          <w:i w:val="1"/>
          <w:iCs w:val="1"/>
          <w:color w:val="auto"/>
        </w:rPr>
        <w:t>Section 15.02. Notices, Etc</w:t>
      </w:r>
      <w:r>
        <w:rPr>
          <w:rFonts w:ascii="Arial" w:cs="Arial" w:eastAsia="Arial" w:hAnsi="Arial"/>
          <w:sz w:val="19"/>
          <w:szCs w:val="19"/>
          <w:color w:val="auto"/>
        </w:rPr>
        <w:t>. Except where telephonic instructions are authorized herein to be given, all notices, demands,</w:t>
      </w:r>
      <w:r>
        <w:rPr>
          <w:rFonts w:ascii="Arial" w:cs="Arial" w:eastAsia="Arial" w:hAnsi="Arial"/>
          <w:sz w:val="19"/>
          <w:szCs w:val="19"/>
          <w:i w:val="1"/>
          <w:iCs w:val="1"/>
          <w:color w:val="auto"/>
        </w:rPr>
        <w:t xml:space="preserve"> </w:t>
      </w:r>
      <w:r>
        <w:rPr>
          <w:rFonts w:ascii="Arial" w:cs="Arial" w:eastAsia="Arial" w:hAnsi="Arial"/>
          <w:sz w:val="19"/>
          <w:szCs w:val="19"/>
          <w:color w:val="auto"/>
        </w:rPr>
        <w:t>instructions and other 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Schedule 6</w:t>
      </w:r>
      <w:r>
        <w:rPr>
          <w:rFonts w:ascii="Arial" w:cs="Arial" w:eastAsia="Arial" w:hAnsi="Arial"/>
          <w:sz w:val="19"/>
          <w:szCs w:val="19"/>
          <w:b w:val="1"/>
          <w:bCs w:val="1"/>
          <w:color w:val="auto"/>
        </w:rPr>
        <w:t>)</w:t>
      </w:r>
      <w:r>
        <w:rPr>
          <w:rFonts w:ascii="Arial" w:cs="Arial" w:eastAsia="Arial" w:hAnsi="Arial"/>
          <w:sz w:val="19"/>
          <w:szCs w:val="19"/>
          <w:color w:val="auto"/>
        </w:rPr>
        <w:t xml:space="preserve">, and shall be deemed to be given for purposes of this Agreement on the day that such writing is received by the intended recipient thereof in accordance with the provisions of this </w:t>
      </w:r>
      <w:r>
        <w:rPr>
          <w:rFonts w:ascii="Arial" w:cs="Arial" w:eastAsia="Arial" w:hAnsi="Arial"/>
          <w:sz w:val="19"/>
          <w:szCs w:val="19"/>
          <w:u w:val="single" w:color="auto"/>
          <w:color w:val="auto"/>
        </w:rPr>
        <w:t>Section 15.02</w:t>
      </w:r>
      <w:r>
        <w:rPr>
          <w:rFonts w:ascii="Arial" w:cs="Arial" w:eastAsia="Arial" w:hAnsi="Arial"/>
          <w:sz w:val="19"/>
          <w:szCs w:val="19"/>
          <w:color w:val="auto"/>
        </w:rPr>
        <w:t>. Unless otherwise specified in a notice sent or delivered in accordance with</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267" w:right="339" w:bottom="1440" w:gutter="0" w:footer="0" w:header="0"/>
        </w:sectPr>
      </w:pPr>
    </w:p>
    <w:bookmarkStart w:id="186" w:name="page187"/>
    <w:bookmarkEnd w:id="186"/>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foregoing provisions of this </w:t>
      </w:r>
      <w:r>
        <w:rPr>
          <w:rFonts w:ascii="Arial" w:cs="Arial" w:eastAsia="Arial" w:hAnsi="Arial"/>
          <w:sz w:val="22"/>
          <w:szCs w:val="22"/>
          <w:u w:val="single" w:color="auto"/>
          <w:color w:val="auto"/>
        </w:rPr>
        <w:t>Section 15.02</w:t>
      </w:r>
      <w:r>
        <w:rPr>
          <w:rFonts w:ascii="Arial" w:cs="Arial" w:eastAsia="Arial" w:hAnsi="Arial"/>
          <w:sz w:val="22"/>
          <w:szCs w:val="22"/>
          <w:color w:val="auto"/>
        </w:rPr>
        <w:t>, notices, demands, instructions and other communications in writing shall be given to or made upon the respective parties hereto at their respective addresses (or to their respective facsimile numbers or email addresses) indicated in Schedule 6, and, in the case of telephonic instructions or notices, by calling the telephone number or numbers indicated for such party in Schedule 6.</w:t>
      </w:r>
    </w:p>
    <w:p>
      <w:pPr>
        <w:spacing w:after="0" w:line="293" w:lineRule="exact"/>
        <w:rPr>
          <w:sz w:val="20"/>
          <w:szCs w:val="20"/>
          <w:color w:val="auto"/>
        </w:rPr>
      </w:pPr>
    </w:p>
    <w:p>
      <w:pPr>
        <w:jc w:val="both"/>
        <w:ind w:firstLine="337"/>
        <w:spacing w:after="0" w:line="271" w:lineRule="auto"/>
        <w:rPr>
          <w:sz w:val="20"/>
          <w:szCs w:val="20"/>
          <w:color w:val="auto"/>
        </w:rPr>
      </w:pPr>
      <w:r>
        <w:rPr>
          <w:rFonts w:ascii="Arial" w:cs="Arial" w:eastAsia="Arial" w:hAnsi="Arial"/>
          <w:sz w:val="19"/>
          <w:szCs w:val="19"/>
          <w:i w:val="1"/>
          <w:iCs w:val="1"/>
          <w:color w:val="auto"/>
        </w:rPr>
        <w:t>Section 15.03. Taxes</w:t>
      </w:r>
      <w:r>
        <w:rPr>
          <w:rFonts w:ascii="Arial" w:cs="Arial" w:eastAsia="Arial" w:hAnsi="Arial"/>
          <w:sz w:val="19"/>
          <w:szCs w:val="19"/>
          <w:color w:val="auto"/>
        </w:rPr>
        <w:t>. (a) Any and all payments by the Borrower under this Agreement shall be made, in accordance with</w:t>
      </w:r>
      <w:r>
        <w:rPr>
          <w:rFonts w:ascii="Arial" w:cs="Arial" w:eastAsia="Arial" w:hAnsi="Arial"/>
          <w:sz w:val="19"/>
          <w:szCs w:val="19"/>
          <w:i w:val="1"/>
          <w:iCs w:val="1"/>
          <w:color w:val="auto"/>
        </w:rPr>
        <w:t xml:space="preserve"> </w:t>
      </w:r>
      <w:r>
        <w:rPr>
          <w:rFonts w:ascii="Arial" w:cs="Arial" w:eastAsia="Arial" w:hAnsi="Arial"/>
          <w:sz w:val="19"/>
          <w:szCs w:val="19"/>
          <w:color w:val="auto"/>
        </w:rPr>
        <w:t>this Agreement, free and clear of and without deduction for any and all present or future taxes, levies, imposts, deductions, charges or withholdings, and all liabilities (including penalties, interest and expenses) with respect thereto, excluding, income and franchise taxes imposed (i) in the case of any Secured Party, by the jurisdiction (or any political subdivision thereof) under the laws of which such Secured Party is organized or in which its principal office is located, or in the case of any Lender, in which its applicable lending office is located, or (ii) in the case of any Secured Party or any Lender, by any jurisdiction solely by reason of such Secured Party or such Lender having any other present or former connection with such jurisdiction (other than a connection arising solely from entering into, receiving any payment under or enforcing its rights under this Agreement or any other Facility Document) and also excluding any withholding taxes imposed on payments by the Borrower under FATCA (all such non-excluded taxes, levies, imposts, deductions, charges, withholdings and liabilities being hereinafter referred to as “</w:t>
      </w:r>
      <w:r>
        <w:rPr>
          <w:rFonts w:ascii="Arial" w:cs="Arial" w:eastAsia="Arial" w:hAnsi="Arial"/>
          <w:sz w:val="19"/>
          <w:szCs w:val="19"/>
          <w:i w:val="1"/>
          <w:iCs w:val="1"/>
          <w:color w:val="auto"/>
        </w:rPr>
        <w:t>Taxes</w:t>
      </w:r>
      <w:r>
        <w:rPr>
          <w:rFonts w:ascii="Arial" w:cs="Arial" w:eastAsia="Arial" w:hAnsi="Arial"/>
          <w:sz w:val="19"/>
          <w:szCs w:val="19"/>
          <w:color w:val="auto"/>
        </w:rPr>
        <w:t xml:space="preserve">”). If the Borrower shall be required by law (or by the interpretation or administration thereof) to deduct any Taxes from or in respect of any sum payable by it hereunder or under any other Facility Document to any Secured Party, (i) the sum payable by the Borrower shall be increased as may be necessary so that after making all required deductions (including deductions applicable to additional sums payable under this </w:t>
      </w:r>
      <w:r>
        <w:rPr>
          <w:rFonts w:ascii="Arial" w:cs="Arial" w:eastAsia="Arial" w:hAnsi="Arial"/>
          <w:sz w:val="19"/>
          <w:szCs w:val="19"/>
          <w:u w:val="single" w:color="auto"/>
          <w:color w:val="auto"/>
        </w:rPr>
        <w:t>Section 15.03</w:t>
      </w:r>
      <w:r>
        <w:rPr>
          <w:rFonts w:ascii="Arial" w:cs="Arial" w:eastAsia="Arial" w:hAnsi="Arial"/>
          <w:sz w:val="19"/>
          <w:szCs w:val="19"/>
          <w:color w:val="auto"/>
        </w:rPr>
        <w:t>) such Secured Party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265" w:lineRule="exact"/>
        <w:rPr>
          <w:sz w:val="20"/>
          <w:szCs w:val="20"/>
          <w:color w:val="auto"/>
        </w:rPr>
      </w:pPr>
    </w:p>
    <w:p>
      <w:pPr>
        <w:jc w:val="both"/>
        <w:ind w:firstLine="794"/>
        <w:spacing w:after="0" w:line="235" w:lineRule="auto"/>
        <w:tabs>
          <w:tab w:leader="none" w:pos="1455" w:val="left"/>
        </w:tabs>
        <w:numPr>
          <w:ilvl w:val="0"/>
          <w:numId w:val="271"/>
        </w:numPr>
        <w:rPr>
          <w:rFonts w:ascii="Arial" w:cs="Arial" w:eastAsia="Arial" w:hAnsi="Arial"/>
          <w:sz w:val="22"/>
          <w:szCs w:val="22"/>
          <w:color w:val="auto"/>
        </w:rPr>
      </w:pPr>
      <w:r>
        <w:rPr>
          <w:rFonts w:ascii="Arial" w:cs="Arial" w:eastAsia="Arial" w:hAnsi="Arial"/>
          <w:sz w:val="22"/>
          <w:szCs w:val="22"/>
          <w:color w:val="auto"/>
        </w:rPr>
        <w:t xml:space="preserve">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(hereinafter referred to as </w:t>
      </w:r>
      <w:r>
        <w:rPr>
          <w:rFonts w:ascii="Arial" w:cs="Arial" w:eastAsia="Arial" w:hAnsi="Arial"/>
          <w:sz w:val="22"/>
          <w:szCs w:val="22"/>
          <w:i w:val="1"/>
          <w:iCs w:val="1"/>
          <w:color w:val="auto"/>
        </w:rPr>
        <w:t>“Other Taxes”</w:t>
      </w:r>
      <w:r>
        <w:rPr>
          <w:rFonts w:ascii="Arial" w:cs="Arial" w:eastAsia="Arial" w:hAnsi="Arial"/>
          <w:sz w:val="22"/>
          <w:szCs w:val="22"/>
          <w:color w:val="auto"/>
        </w:rPr>
        <w:t>).</w:t>
      </w:r>
    </w:p>
    <w:p>
      <w:pPr>
        <w:spacing w:after="0" w:line="295" w:lineRule="exact"/>
        <w:rPr>
          <w:rFonts w:ascii="Arial" w:cs="Arial" w:eastAsia="Arial" w:hAnsi="Arial"/>
          <w:sz w:val="22"/>
          <w:szCs w:val="22"/>
          <w:color w:val="auto"/>
        </w:rPr>
      </w:pPr>
    </w:p>
    <w:p>
      <w:pPr>
        <w:jc w:val="both"/>
        <w:ind w:firstLine="794"/>
        <w:spacing w:after="0" w:line="275" w:lineRule="auto"/>
        <w:tabs>
          <w:tab w:leader="none" w:pos="1401"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w:t>
      </w:r>
      <w:r>
        <w:rPr>
          <w:rFonts w:ascii="Arial" w:cs="Arial" w:eastAsia="Arial" w:hAnsi="Arial"/>
          <w:sz w:val="19"/>
          <w:szCs w:val="19"/>
          <w:u w:val="single" w:color="auto"/>
          <w:color w:val="auto"/>
        </w:rPr>
        <w:t>Section 15.03</w:t>
      </w:r>
      <w:r>
        <w:rPr>
          <w:rFonts w:ascii="Arial" w:cs="Arial" w:eastAsia="Arial" w:hAnsi="Arial"/>
          <w:sz w:val="19"/>
          <w:szCs w:val="19"/>
          <w:color w:val="auto"/>
        </w:rPr>
        <w:t>)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267" w:right="339" w:bottom="1440" w:gutter="0" w:footer="0" w:header="0"/>
        </w:sectPr>
      </w:pPr>
    </w:p>
    <w:bookmarkStart w:id="187" w:name="page188"/>
    <w:bookmarkEnd w:id="187"/>
    <w:p>
      <w:pPr>
        <w:jc w:val="both"/>
        <w:ind w:firstLine="794"/>
        <w:spacing w:after="0" w:line="273" w:lineRule="auto"/>
        <w:tabs>
          <w:tab w:leader="none" w:pos="1313" w:val="left"/>
        </w:tabs>
        <w:numPr>
          <w:ilvl w:val="0"/>
          <w:numId w:val="27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Borrower shall not be required to indemnify any Secured Party, or pay any additional amounts to any Secured Party, in respect of United States Federal withholding tax or United States federal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Arial" w:cs="Arial" w:eastAsia="Arial" w:hAnsi="Arial"/>
          <w:sz w:val="19"/>
          <w:szCs w:val="19"/>
          <w:i w:val="1"/>
          <w:iCs w:val="1"/>
          <w:color w:val="auto"/>
        </w:rPr>
        <w:t>“New Lending Office”</w:t>
      </w:r>
      <w:r>
        <w:rPr>
          <w:rFonts w:ascii="Arial" w:cs="Arial" w:eastAsia="Arial" w:hAnsi="Arial"/>
          <w:sz w:val="19"/>
          <w:szCs w:val="19"/>
          <w:color w:val="auto"/>
        </w:rPr>
        <w:t>), the date such Lender designated such New Lending Office with respect to an Advance;</w:t>
      </w:r>
      <w:r>
        <w:rPr>
          <w:rFonts w:ascii="Arial" w:cs="Arial" w:eastAsia="Arial" w:hAnsi="Arial"/>
          <w:sz w:val="19"/>
          <w:szCs w:val="19"/>
          <w:i w:val="1"/>
          <w:iCs w:val="1"/>
          <w:color w:val="auto"/>
        </w:rPr>
        <w:t xml:space="preserve"> provided </w:t>
      </w:r>
      <w:r>
        <w:rPr>
          <w:rFonts w:ascii="Arial" w:cs="Arial" w:eastAsia="Arial" w:hAnsi="Arial"/>
          <w:sz w:val="19"/>
          <w:szCs w:val="19"/>
          <w:color w:val="auto"/>
        </w:rPr>
        <w:t>that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clause (i) shall not apply to the extent the indemnity payment or additional amounts any Secured Party would be entitled to receive (without regard to this clause (i))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w:t>
      </w:r>
      <w:r>
        <w:rPr>
          <w:rFonts w:ascii="Arial" w:cs="Arial" w:eastAsia="Arial" w:hAnsi="Arial"/>
          <w:sz w:val="19"/>
          <w:szCs w:val="19"/>
          <w:u w:val="single" w:color="auto"/>
          <w:color w:val="auto"/>
        </w:rPr>
        <w:t>paragraphs (g) or (h)</w:t>
      </w:r>
      <w:r>
        <w:rPr>
          <w:rFonts w:ascii="Arial" w:cs="Arial" w:eastAsia="Arial" w:hAnsi="Arial"/>
          <w:sz w:val="19"/>
          <w:szCs w:val="19"/>
          <w:color w:val="auto"/>
        </w:rPr>
        <w:t xml:space="preserve"> below.</w:t>
      </w:r>
    </w:p>
    <w:p>
      <w:pPr>
        <w:spacing w:after="0" w:line="268" w:lineRule="exact"/>
        <w:rPr>
          <w:rFonts w:ascii="Arial" w:cs="Arial" w:eastAsia="Arial" w:hAnsi="Arial"/>
          <w:sz w:val="19"/>
          <w:szCs w:val="19"/>
          <w:color w:val="auto"/>
        </w:rPr>
      </w:pPr>
    </w:p>
    <w:p>
      <w:pPr>
        <w:jc w:val="both"/>
        <w:ind w:firstLine="794"/>
        <w:spacing w:after="0"/>
        <w:tabs>
          <w:tab w:leader="none" w:pos="1408" w:val="left"/>
        </w:tabs>
        <w:numPr>
          <w:ilvl w:val="0"/>
          <w:numId w:val="272"/>
        </w:numPr>
        <w:rPr>
          <w:rFonts w:ascii="Arial" w:cs="Arial" w:eastAsia="Arial" w:hAnsi="Arial"/>
          <w:sz w:val="22"/>
          <w:szCs w:val="22"/>
          <w:color w:val="auto"/>
        </w:rPr>
      </w:pPr>
      <w:r>
        <w:rPr>
          <w:rFonts w:ascii="Arial" w:cs="Arial" w:eastAsia="Arial" w:hAnsi="Arial"/>
          <w:sz w:val="22"/>
          <w:szCs w:val="22"/>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294" w:lineRule="exact"/>
        <w:rPr>
          <w:rFonts w:ascii="Arial" w:cs="Arial" w:eastAsia="Arial" w:hAnsi="Arial"/>
          <w:sz w:val="22"/>
          <w:szCs w:val="22"/>
          <w:color w:val="auto"/>
        </w:rPr>
      </w:pPr>
    </w:p>
    <w:p>
      <w:pPr>
        <w:jc w:val="both"/>
        <w:ind w:firstLine="794"/>
        <w:spacing w:after="0" w:line="233" w:lineRule="auto"/>
        <w:tabs>
          <w:tab w:leader="none" w:pos="137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If any payment is made by the Borrower (or the Collateral Manager on its behalf) to or for the account of any Secured Party after deduction for or on account of any Taxes or Other Taxes, and an indemnity payment or additional amounts are paid by the Borrower pursuant to this </w:t>
      </w:r>
      <w:r>
        <w:rPr>
          <w:rFonts w:ascii="Arial" w:cs="Arial" w:eastAsia="Arial" w:hAnsi="Arial"/>
          <w:sz w:val="22"/>
          <w:szCs w:val="22"/>
          <w:u w:val="single" w:color="auto"/>
          <w:color w:val="auto"/>
        </w:rPr>
        <w:t>Section 15.03</w:t>
      </w:r>
      <w:r>
        <w:rPr>
          <w:rFonts w:ascii="Arial" w:cs="Arial" w:eastAsia="Arial" w:hAnsi="Arial"/>
          <w:sz w:val="22"/>
          <w:szCs w:val="22"/>
          <w:color w:val="auto"/>
        </w:rPr>
        <w:t xml:space="preserve">, then, if such Secured Party in its sole discretion determines that it is entitled to a refund of such Taxes or Other Taxes, such Secured Party shall, to the extent that it can do so without prejudice to the retention of the amount of such refund, apply for such refund and reimburse to the Borrower (or the Collateral Manager, as applicable) such amount of any refund received (net of reasonable out-of-pocket expenses incurred) as such Secured Party shall determine in its sole discretion to be attributable to the relevant Taxes or Other Taxes;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event that such Secured Party is required to repay such refund to the relevant taxing authority, the Borrower agrees to return the refund to such Secured Party.</w:t>
      </w:r>
    </w:p>
    <w:p>
      <w:pPr>
        <w:spacing w:after="0" w:line="300" w:lineRule="exact"/>
        <w:rPr>
          <w:rFonts w:ascii="Arial" w:cs="Arial" w:eastAsia="Arial" w:hAnsi="Arial"/>
          <w:sz w:val="22"/>
          <w:szCs w:val="22"/>
          <w:color w:val="auto"/>
        </w:rPr>
      </w:pPr>
    </w:p>
    <w:p>
      <w:pPr>
        <w:jc w:val="both"/>
        <w:ind w:firstLine="794"/>
        <w:spacing w:after="0" w:line="274" w:lineRule="auto"/>
        <w:tabs>
          <w:tab w:leader="none" w:pos="133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Each Secured Party and each Participant that is a U.S. person as that term is defined in </w:t>
      </w:r>
      <w:r>
        <w:rPr>
          <w:rFonts w:ascii="Arial" w:cs="Arial" w:eastAsia="Arial" w:hAnsi="Arial"/>
          <w:sz w:val="19"/>
          <w:szCs w:val="19"/>
          <w:u w:val="single" w:color="auto"/>
          <w:color w:val="auto"/>
        </w:rPr>
        <w:t>Section 7701(a)(30)</w:t>
      </w:r>
      <w:r>
        <w:rPr>
          <w:rFonts w:ascii="Arial" w:cs="Arial" w:eastAsia="Arial" w:hAnsi="Arial"/>
          <w:sz w:val="19"/>
          <w:szCs w:val="19"/>
          <w:color w:val="auto"/>
        </w:rPr>
        <w:t xml:space="preserve"> of the Code (a “</w:t>
      </w:r>
      <w:r>
        <w:rPr>
          <w:rFonts w:ascii="Arial" w:cs="Arial" w:eastAsia="Arial" w:hAnsi="Arial"/>
          <w:sz w:val="19"/>
          <w:szCs w:val="19"/>
          <w:i w:val="1"/>
          <w:iCs w:val="1"/>
          <w:color w:val="auto"/>
        </w:rPr>
        <w:t>U.S. Person</w:t>
      </w:r>
      <w:r>
        <w:rPr>
          <w:rFonts w:ascii="Arial" w:cs="Arial" w:eastAsia="Arial" w:hAnsi="Arial"/>
          <w:sz w:val="19"/>
          <w:szCs w:val="19"/>
          <w:color w:val="auto"/>
        </w:rPr>
        <w:t xml:space="preserve">”) hereby agrees that it shall, no later than the Funding Effective Date or, in the case of a Secured Party or a Participant which becomes a party hereto pursuant to </w:t>
      </w:r>
      <w:r>
        <w:rPr>
          <w:rFonts w:ascii="Arial" w:cs="Arial" w:eastAsia="Arial" w:hAnsi="Arial"/>
          <w:sz w:val="19"/>
          <w:szCs w:val="19"/>
          <w:u w:val="single" w:color="auto"/>
          <w:color w:val="auto"/>
        </w:rPr>
        <w:t>Section 15.06</w:t>
      </w:r>
      <w:r>
        <w:rPr>
          <w:rFonts w:ascii="Arial" w:cs="Arial" w:eastAsia="Arial" w:hAnsi="Arial"/>
          <w:sz w:val="19"/>
          <w:szCs w:val="19"/>
          <w:color w:val="auto"/>
        </w:rPr>
        <w:t>, the date upon which such Secured Party becomes a party hereto or participant herein, deliver to the Borrower and each Agent, if applicable, two accurate, complete and signed copies of U.S. Internal Revenue Service Form W-9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Arial" w:cs="Arial" w:eastAsia="Arial" w:hAnsi="Arial"/>
          <w:sz w:val="19"/>
          <w:szCs w:val="19"/>
          <w:i w:val="1"/>
          <w:iCs w:val="1"/>
          <w:color w:val="auto"/>
        </w:rPr>
        <w:t>Non-U.S. Lender</w:t>
      </w:r>
      <w:r>
        <w:rPr>
          <w:rFonts w:ascii="Arial" w:cs="Arial" w:eastAsia="Arial" w:hAnsi="Arial"/>
          <w:sz w:val="19"/>
          <w:szCs w:val="19"/>
          <w:color w:val="auto"/>
        </w:rPr>
        <w:t xml:space="preserve">”) shall, no later than the date on which such Secured Party becomes a party hereto or a participant herein pursuant to </w:t>
      </w:r>
      <w:r>
        <w:rPr>
          <w:rFonts w:ascii="Arial" w:cs="Arial" w:eastAsia="Arial" w:hAnsi="Arial"/>
          <w:sz w:val="19"/>
          <w:szCs w:val="19"/>
          <w:u w:val="single" w:color="auto"/>
          <w:color w:val="auto"/>
        </w:rPr>
        <w:t>Section 15.06</w:t>
      </w:r>
      <w:r>
        <w:rPr>
          <w:rFonts w:ascii="Arial" w:cs="Arial" w:eastAsia="Arial" w:hAnsi="Arial"/>
          <w:sz w:val="19"/>
          <w:szCs w:val="19"/>
          <w:color w:val="auto"/>
        </w:rPr>
        <w:t>, deliver to the Borrower and each Agent two properly completed and duly executed copies of either U.S. Internal Revenue Service Form W-8BEN,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267" w:right="339" w:bottom="1440" w:gutter="0" w:footer="0" w:header="0"/>
        </w:sectPr>
      </w:pPr>
    </w:p>
    <w:bookmarkStart w:id="188" w:name="page189"/>
    <w:bookmarkEnd w:id="188"/>
    <w:p>
      <w:pPr>
        <w:jc w:val="both"/>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W-8ECI or W-8IMY or any subsequent versions thereof or successors thereto, in each case claiming complete exemption from, or reduced rate of, U.S. Federal withholding tax with respect to payments of interest hereunder. In addition, in the case of a Non-U.S. Lender claiming exemption from U.S. Federal withholding tax under </w:t>
      </w:r>
      <w:r>
        <w:rPr>
          <w:rFonts w:ascii="Arial" w:cs="Arial" w:eastAsia="Arial" w:hAnsi="Arial"/>
          <w:sz w:val="19"/>
          <w:szCs w:val="19"/>
          <w:u w:val="single" w:color="auto"/>
          <w:color w:val="auto"/>
        </w:rPr>
        <w:t>Section 871(h)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881(c)</w:t>
      </w:r>
      <w:r>
        <w:rPr>
          <w:rFonts w:ascii="Arial" w:cs="Arial" w:eastAsia="Arial" w:hAnsi="Arial"/>
          <w:sz w:val="19"/>
          <w:szCs w:val="19"/>
          <w:color w:val="auto"/>
        </w:rPr>
        <w:t xml:space="preserve"> of the Code, such Non-U.S. Lender hereby represents that such Non-U.S. Lender is not a bank for purposes of </w:t>
      </w:r>
      <w:r>
        <w:rPr>
          <w:rFonts w:ascii="Arial" w:cs="Arial" w:eastAsia="Arial" w:hAnsi="Arial"/>
          <w:sz w:val="19"/>
          <w:szCs w:val="19"/>
          <w:u w:val="single" w:color="auto"/>
          <w:color w:val="auto"/>
        </w:rPr>
        <w:t>Section 881(c)</w:t>
      </w:r>
      <w:r>
        <w:rPr>
          <w:rFonts w:ascii="Arial" w:cs="Arial" w:eastAsia="Arial" w:hAnsi="Arial"/>
          <w:sz w:val="19"/>
          <w:szCs w:val="19"/>
          <w:color w:val="auto"/>
        </w:rPr>
        <w:t xml:space="preserve"> of the Internal Revenue Code, is not a 10-percent shareholder (within the meaning of </w:t>
      </w:r>
      <w:r>
        <w:rPr>
          <w:rFonts w:ascii="Arial" w:cs="Arial" w:eastAsia="Arial" w:hAnsi="Arial"/>
          <w:sz w:val="19"/>
          <w:szCs w:val="19"/>
          <w:u w:val="single" w:color="auto"/>
          <w:color w:val="auto"/>
        </w:rPr>
        <w:t>Section 871(h)(3)(B)</w:t>
      </w:r>
      <w:r>
        <w:rPr>
          <w:rFonts w:ascii="Arial" w:cs="Arial" w:eastAsia="Arial" w:hAnsi="Arial"/>
          <w:sz w:val="19"/>
          <w:szCs w:val="19"/>
          <w:color w:val="auto"/>
        </w:rPr>
        <w:t xml:space="preserve"> of the Internal Revenue Code) of the Borrower and is not a controlled foreign corporation related to the Borrower (within the meaning of </w:t>
      </w:r>
      <w:r>
        <w:rPr>
          <w:rFonts w:ascii="Arial" w:cs="Arial" w:eastAsia="Arial" w:hAnsi="Arial"/>
          <w:sz w:val="19"/>
          <w:szCs w:val="19"/>
          <w:u w:val="single" w:color="auto"/>
          <w:color w:val="auto"/>
        </w:rPr>
        <w:t>Section 864(d)(4)</w:t>
      </w:r>
      <w:r>
        <w:rPr>
          <w:rFonts w:ascii="Arial" w:cs="Arial" w:eastAsia="Arial" w:hAnsi="Arial"/>
          <w:sz w:val="19"/>
          <w:szCs w:val="19"/>
          <w:color w:val="auto"/>
        </w:rPr>
        <w:t xml:space="preserve"> of the Code), and such Non-U.S. Lender agrees that it shall notify the Borrower and each Agent in the event any such representation is no longer accurate. Such forms shall be delivered by each Non-U.S. Lender on or before the date it becomes a party to this Agreement or participant herein and on or before the date, if any, such Non-U.S. Lender designates a New Lending Office. In addition, each Non-U.S. Lender shall deliver such forms as promptly as practicable after receipt of a written request therefor from the Borrower or an Agent. Notwithstanding any other provision of this </w:t>
      </w:r>
      <w:r>
        <w:rPr>
          <w:rFonts w:ascii="Arial" w:cs="Arial" w:eastAsia="Arial" w:hAnsi="Arial"/>
          <w:sz w:val="19"/>
          <w:szCs w:val="19"/>
          <w:u w:val="single" w:color="auto"/>
          <w:color w:val="auto"/>
        </w:rPr>
        <w:t>Section 15.03</w:t>
      </w:r>
      <w:r>
        <w:rPr>
          <w:rFonts w:ascii="Arial" w:cs="Arial" w:eastAsia="Arial" w:hAnsi="Arial"/>
          <w:sz w:val="19"/>
          <w:szCs w:val="19"/>
          <w:color w:val="auto"/>
        </w:rPr>
        <w:t xml:space="preserve">, a Non-U.S. Lender shall not be required to deliver any form pursuant to this </w:t>
      </w:r>
      <w:r>
        <w:rPr>
          <w:rFonts w:ascii="Arial" w:cs="Arial" w:eastAsia="Arial" w:hAnsi="Arial"/>
          <w:sz w:val="19"/>
          <w:szCs w:val="19"/>
          <w:u w:val="single" w:color="auto"/>
          <w:color w:val="auto"/>
        </w:rPr>
        <w:t>Section 15.03(g)</w:t>
      </w:r>
      <w:r>
        <w:rPr>
          <w:rFonts w:ascii="Arial" w:cs="Arial" w:eastAsia="Arial" w:hAnsi="Arial"/>
          <w:sz w:val="19"/>
          <w:szCs w:val="19"/>
          <w:color w:val="auto"/>
        </w:rPr>
        <w:t xml:space="preserve"> that such Non-U.S. Lender is not legally able to deliver.</w:t>
      </w:r>
    </w:p>
    <w:p>
      <w:pPr>
        <w:spacing w:after="0" w:line="269" w:lineRule="exact"/>
        <w:rPr>
          <w:sz w:val="20"/>
          <w:szCs w:val="20"/>
          <w:color w:val="auto"/>
        </w:rPr>
      </w:pPr>
    </w:p>
    <w:p>
      <w:pPr>
        <w:jc w:val="both"/>
        <w:ind w:firstLine="794"/>
        <w:spacing w:after="0" w:line="275" w:lineRule="auto"/>
        <w:tabs>
          <w:tab w:leader="none" w:pos="1417"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If any Secured Party requires the Borrower to pay any additional amount to such Secured Party or any taxing Governmental Authority for the account of such Secured Party or to indemnify such Secured Party pursuant to this </w:t>
      </w:r>
      <w:r>
        <w:rPr>
          <w:rFonts w:ascii="Arial" w:cs="Arial" w:eastAsia="Arial" w:hAnsi="Arial"/>
          <w:sz w:val="19"/>
          <w:szCs w:val="19"/>
          <w:u w:val="single" w:color="auto"/>
          <w:color w:val="auto"/>
        </w:rPr>
        <w:t>Section 15.03</w:t>
      </w:r>
      <w:r>
        <w:rPr>
          <w:rFonts w:ascii="Arial" w:cs="Arial" w:eastAsia="Arial" w:hAnsi="Arial"/>
          <w:sz w:val="19"/>
          <w:szCs w:val="19"/>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Arial" w:cs="Arial" w:eastAsia="Arial" w:hAnsi="Arial"/>
          <w:sz w:val="19"/>
          <w:szCs w:val="19"/>
          <w:u w:val="single" w:color="auto"/>
          <w:color w:val="auto"/>
        </w:rPr>
        <w:t>Section 15.03</w:t>
      </w:r>
      <w:r>
        <w:rPr>
          <w:rFonts w:ascii="Arial" w:cs="Arial" w:eastAsia="Arial" w:hAnsi="Arial"/>
          <w:sz w:val="19"/>
          <w:szCs w:val="19"/>
          <w:color w:val="auto"/>
        </w:rPr>
        <w:t xml:space="preserve">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265" w:lineRule="exact"/>
        <w:rPr>
          <w:rFonts w:ascii="Arial" w:cs="Arial" w:eastAsia="Arial" w:hAnsi="Arial"/>
          <w:sz w:val="19"/>
          <w:szCs w:val="19"/>
          <w:color w:val="auto"/>
        </w:rPr>
      </w:pPr>
    </w:p>
    <w:p>
      <w:pPr>
        <w:ind w:firstLine="794"/>
        <w:spacing w:after="0" w:line="250" w:lineRule="auto"/>
        <w:tabs>
          <w:tab w:leader="none" w:pos="1294" w:val="left"/>
        </w:tabs>
        <w:numPr>
          <w:ilvl w:val="0"/>
          <w:numId w:val="273"/>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15.03</w:t>
      </w:r>
      <w:r>
        <w:rPr>
          <w:rFonts w:ascii="Arial" w:cs="Arial" w:eastAsia="Arial" w:hAnsi="Arial"/>
          <w:sz w:val="22"/>
          <w:szCs w:val="22"/>
          <w:color w:val="auto"/>
        </w:rPr>
        <w:t xml:space="preserve"> shall be construed to require any Secured Party to make available its tax returns (or any other information relating to its taxes that it deems confidential) to the Borrower or any other Person.</w:t>
      </w:r>
    </w:p>
    <w:p>
      <w:pPr>
        <w:spacing w:after="0" w:line="282" w:lineRule="exact"/>
        <w:rPr>
          <w:rFonts w:ascii="Arial" w:cs="Arial" w:eastAsia="Arial" w:hAnsi="Arial"/>
          <w:sz w:val="22"/>
          <w:szCs w:val="22"/>
          <w:color w:val="auto"/>
        </w:rPr>
      </w:pPr>
    </w:p>
    <w:p>
      <w:pPr>
        <w:jc w:val="both"/>
        <w:ind w:firstLine="794"/>
        <w:spacing w:after="0" w:line="249" w:lineRule="auto"/>
        <w:tabs>
          <w:tab w:leader="none" w:pos="1341" w:val="left"/>
        </w:tabs>
        <w:numPr>
          <w:ilvl w:val="0"/>
          <w:numId w:val="273"/>
        </w:numPr>
        <w:rPr>
          <w:rFonts w:ascii="Arial" w:cs="Arial" w:eastAsia="Arial" w:hAnsi="Arial"/>
          <w:sz w:val="21"/>
          <w:szCs w:val="21"/>
          <w:color w:val="auto"/>
        </w:rPr>
      </w:pPr>
      <w:r>
        <w:rPr>
          <w:rFonts w:ascii="Arial" w:cs="Arial" w:eastAsia="Arial" w:hAnsi="Arial"/>
          <w:sz w:val="21"/>
          <w:szCs w:val="21"/>
          <w:i w:val="1"/>
          <w:iCs w:val="1"/>
          <w:color w:val="auto"/>
        </w:rPr>
        <w:t xml:space="preserve">Compliance with FATCA. </w:t>
      </w:r>
      <w:r>
        <w:rPr>
          <w:rFonts w:ascii="Arial" w:cs="Arial" w:eastAsia="Arial" w:hAnsi="Arial"/>
          <w:sz w:val="21"/>
          <w:szCs w:val="21"/>
          <w:color w:val="auto"/>
        </w:rPr>
        <w:t>Each Lender that is organized under the laws of a jurisdiction other than the United</w:t>
      </w:r>
      <w:r>
        <w:rPr>
          <w:rFonts w:ascii="Arial" w:cs="Arial" w:eastAsia="Arial" w:hAnsi="Arial"/>
          <w:sz w:val="21"/>
          <w:szCs w:val="21"/>
          <w:i w:val="1"/>
          <w:iCs w:val="1"/>
          <w:color w:val="auto"/>
        </w:rPr>
        <w:t xml:space="preserve"> </w:t>
      </w:r>
      <w:r>
        <w:rPr>
          <w:rFonts w:ascii="Arial" w:cs="Arial" w:eastAsia="Arial" w:hAnsi="Arial"/>
          <w:sz w:val="21"/>
          <w:szCs w:val="21"/>
          <w:color w:val="auto"/>
        </w:rPr>
        <w:t>States shall comply with any 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286" w:lineRule="exact"/>
        <w:rPr>
          <w:sz w:val="20"/>
          <w:szCs w:val="20"/>
          <w:color w:val="auto"/>
        </w:rPr>
      </w:pPr>
    </w:p>
    <w:p>
      <w:pPr>
        <w:jc w:val="both"/>
        <w:ind w:firstLine="337"/>
        <w:spacing w:after="0" w:line="238" w:lineRule="auto"/>
        <w:rPr>
          <w:sz w:val="20"/>
          <w:szCs w:val="20"/>
          <w:color w:val="auto"/>
        </w:rPr>
      </w:pPr>
      <w:r>
        <w:rPr>
          <w:rFonts w:ascii="Arial" w:cs="Arial" w:eastAsia="Arial" w:hAnsi="Arial"/>
          <w:sz w:val="22"/>
          <w:szCs w:val="22"/>
          <w:i w:val="1"/>
          <w:iCs w:val="1"/>
          <w:color w:val="auto"/>
        </w:rPr>
        <w:t>Section 15.04. Costs and Expenses; Indemnification</w:t>
      </w:r>
      <w:r>
        <w:rPr>
          <w:rFonts w:ascii="Arial" w:cs="Arial" w:eastAsia="Arial" w:hAnsi="Arial"/>
          <w:sz w:val="22"/>
          <w:szCs w:val="22"/>
          <w:color w:val="auto"/>
        </w:rPr>
        <w:t>. (a) The Borrower and the Collateral Manager jointly and severally</w:t>
      </w:r>
      <w:r>
        <w:rPr>
          <w:rFonts w:ascii="Arial" w:cs="Arial" w:eastAsia="Arial" w:hAnsi="Arial"/>
          <w:sz w:val="22"/>
          <w:szCs w:val="22"/>
          <w:i w:val="1"/>
          <w:iCs w:val="1"/>
          <w:color w:val="auto"/>
        </w:rPr>
        <w:t xml:space="preserve"> </w:t>
      </w:r>
      <w:r>
        <w:rPr>
          <w:rFonts w:ascii="Arial" w:cs="Arial" w:eastAsia="Arial" w:hAnsi="Arial"/>
          <w:sz w:val="22"/>
          <w:szCs w:val="22"/>
          <w:color w:val="auto"/>
        </w:rPr>
        <w:t>agree to promptly pay on demand (i) all reasonable and documented out-of-pocket costs and expenses of the Agents, the Custodian, the Backup Collateral Manager and the other Lenders in connection with the preparation, review, negotiation, reproduction, execution and delivery of this Agreement and the other Facility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240"/>
          </w:cols>
          <w:pgMar w:left="320" w:top="267" w:right="339" w:bottom="1440" w:gutter="0" w:footer="0" w:header="0"/>
        </w:sectPr>
      </w:pPr>
    </w:p>
    <w:bookmarkStart w:id="189" w:name="page190"/>
    <w:bookmarkEnd w:id="189"/>
    <w:p>
      <w:pPr>
        <w:jc w:val="both"/>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Documents, including the reasonable fees and disbursements of outside counsel for each of the Administrative Agent, the Collateral Agent, the Custodian, the Backup Collateral Manager and the other Lenders, UCC filing fees and all other related fees and expenses in connection therewith; and in connection with any modification or amendment of this Agreement or any other Facility Document. Further, the Borrower shall promptly pay on demand (A) all reasonable out-of-pocket costs and expenses (including all reasonable fees, expenses and disbursements of legal counsel and any auditors, accountants, consultants or appraisers or other professional advisors and agents engaged by the Agents and the Lenders) incurred by the Agents and the Lenders in the preparation, execution, delivery, filing, recordation, administration, performance or enforcement of this Agreement or any other Facility Document or any consent, amendment, waiver or other modification relating thereto, (B) all reasonable out-of-pocket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costs and expenses incurred by the Agents and the Lenders in connection with the preservation, collection, foreclosure or enforcement of the Collateral subject to the Facility Documents or any interest, right, power or remedy of the Agents and the Lenders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Agents and the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there shall be a single primary counsel to the Agents and the Lenders and a single local counsel to the Agents and the Lenders in each relevant jurisdiction (unless there is an actual or perceived conflict of interest or the availability of different claims or defenses among the Agents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200" w:lineRule="exact"/>
        <w:rPr>
          <w:sz w:val="20"/>
          <w:szCs w:val="20"/>
          <w:color w:val="auto"/>
        </w:rPr>
      </w:pPr>
    </w:p>
    <w:p>
      <w:pPr>
        <w:spacing w:after="0" w:line="325" w:lineRule="exact"/>
        <w:rPr>
          <w:sz w:val="20"/>
          <w:szCs w:val="20"/>
          <w:color w:val="auto"/>
        </w:rPr>
      </w:pPr>
    </w:p>
    <w:p>
      <w:pPr>
        <w:jc w:val="both"/>
        <w:ind w:firstLine="794"/>
        <w:spacing w:after="0" w:line="273" w:lineRule="auto"/>
        <w:tabs>
          <w:tab w:leader="none" w:pos="1433" w:val="left"/>
        </w:tabs>
        <w:numPr>
          <w:ilvl w:val="0"/>
          <w:numId w:val="274"/>
        </w:numPr>
        <w:rPr>
          <w:rFonts w:ascii="Arial" w:cs="Arial" w:eastAsia="Arial" w:hAnsi="Arial"/>
          <w:sz w:val="19"/>
          <w:szCs w:val="19"/>
          <w:color w:val="auto"/>
        </w:rPr>
      </w:pPr>
      <w:r>
        <w:rPr>
          <w:rFonts w:ascii="Arial" w:cs="Arial" w:eastAsia="Arial" w:hAnsi="Arial"/>
          <w:sz w:val="19"/>
          <w:szCs w:val="19"/>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9"/>
          <w:szCs w:val="19"/>
          <w:i w:val="1"/>
          <w:iCs w:val="1"/>
          <w:color w:val="auto"/>
        </w:rPr>
        <w:t>Indemnified Party</w:t>
      </w:r>
      <w:r>
        <w:rPr>
          <w:rFonts w:ascii="Arial" w:cs="Arial" w:eastAsia="Arial" w:hAnsi="Arial"/>
          <w:sz w:val="19"/>
          <w:szCs w:val="19"/>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Arial" w:cs="Arial" w:eastAsia="Arial" w:hAnsi="Arial"/>
          <w:sz w:val="19"/>
          <w:szCs w:val="19"/>
          <w:i w:val="1"/>
          <w:iCs w:val="1"/>
          <w:color w:val="auto"/>
        </w:rPr>
        <w:t>Liabilities</w:t>
      </w:r>
      <w:r>
        <w:rPr>
          <w:rFonts w:ascii="Arial" w:cs="Arial" w:eastAsia="Arial" w:hAnsi="Arial"/>
          <w:sz w:val="19"/>
          <w:szCs w:val="19"/>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1240"/>
          </w:cols>
          <w:pgMar w:left="320" w:top="267" w:right="339" w:bottom="1440" w:gutter="0" w:footer="0" w:header="0"/>
        </w:sectPr>
      </w:pPr>
    </w:p>
    <w:bookmarkStart w:id="190" w:name="page191"/>
    <w:bookmarkEnd w:id="190"/>
    <w:p>
      <w:pPr>
        <w:jc w:val="both"/>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Related Document or any of the transactions contemplated hereby or 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w:t>
      </w:r>
    </w:p>
    <w:p>
      <w:pPr>
        <w:spacing w:after="0" w:line="227" w:lineRule="exact"/>
        <w:rPr>
          <w:sz w:val="20"/>
          <w:szCs w:val="20"/>
          <w:color w:val="auto"/>
        </w:rPr>
      </w:pPr>
    </w:p>
    <w:p>
      <w:pPr>
        <w:jc w:val="both"/>
        <w:ind w:firstLine="8"/>
        <w:spacing w:after="0" w:line="270" w:lineRule="auto"/>
        <w:tabs>
          <w:tab w:leader="none" w:pos="325"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Business Day of receipt, Collections on the Collateral Loans remitted to the Borrower, the Collateral Manager or any such agent or representative as provided in this Agreement; and (xii) any Default or Event of Default;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solely from such Indemnified Party’s fraud, bad faith, gross negligence or willful misconduct;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in no event will such Indemnified Party have any liability for any special, exemplary, indirect, punitive or consequential damages in connection with or as a result of such Indemnified Party’s activities related to this Agreement or any Facility Document or any agreement or instrument contemplated hereby or thereby or referred to herein or therein;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9"/>
          <w:szCs w:val="19"/>
          <w:u w:val="single" w:color="auto"/>
          <w:color w:val="auto"/>
        </w:rPr>
        <w:t>Sections 2.09, 2.10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15.03</w:t>
      </w:r>
      <w:r>
        <w:rPr>
          <w:rFonts w:ascii="Arial" w:cs="Arial" w:eastAsia="Arial" w:hAnsi="Arial"/>
          <w:sz w:val="19"/>
          <w:szCs w:val="19"/>
          <w:color w:val="auto"/>
        </w:rPr>
        <w:t xml:space="preserve">, shall not be covered by this </w:t>
      </w:r>
      <w:r>
        <w:rPr>
          <w:rFonts w:ascii="Arial" w:cs="Arial" w:eastAsia="Arial" w:hAnsi="Arial"/>
          <w:sz w:val="19"/>
          <w:szCs w:val="19"/>
          <w:u w:val="single" w:color="auto"/>
          <w:color w:val="auto"/>
        </w:rPr>
        <w:t>Section 15.04(b)</w:t>
      </w:r>
      <w:r>
        <w:rPr>
          <w:rFonts w:ascii="Arial" w:cs="Arial" w:eastAsia="Arial" w:hAnsi="Arial"/>
          <w:sz w:val="19"/>
          <w:szCs w:val="19"/>
          <w:color w:val="auto"/>
        </w:rPr>
        <w:t>.</w:t>
      </w:r>
    </w:p>
    <w:p>
      <w:pPr>
        <w:spacing w:after="0" w:line="272" w:lineRule="exact"/>
        <w:rPr>
          <w:rFonts w:ascii="Arial" w:cs="Arial" w:eastAsia="Arial" w:hAnsi="Arial"/>
          <w:sz w:val="19"/>
          <w:szCs w:val="19"/>
          <w:color w:val="auto"/>
        </w:rPr>
      </w:pPr>
    </w:p>
    <w:p>
      <w:pPr>
        <w:jc w:val="both"/>
        <w:ind w:firstLine="794"/>
        <w:spacing w:after="0" w:line="238" w:lineRule="auto"/>
        <w:tabs>
          <w:tab w:leader="none" w:pos="1357" w:val="left"/>
        </w:tabs>
        <w:numPr>
          <w:ilvl w:val="1"/>
          <w:numId w:val="275"/>
        </w:numPr>
        <w:rPr>
          <w:rFonts w:ascii="Arial" w:cs="Arial" w:eastAsia="Arial" w:hAnsi="Arial"/>
          <w:sz w:val="22"/>
          <w:szCs w:val="22"/>
          <w:color w:val="auto"/>
        </w:rPr>
      </w:pPr>
      <w:r>
        <w:rPr>
          <w:rFonts w:ascii="Arial" w:cs="Arial" w:eastAsia="Arial" w:hAnsi="Arial"/>
          <w:sz w:val="22"/>
          <w:szCs w:val="22"/>
          <w:color w:val="auto"/>
        </w:rPr>
        <w:t xml:space="preserve">No Indemnified Party referred to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240"/>
          </w:cols>
          <w:pgMar w:left="320" w:top="267" w:right="339" w:bottom="1440" w:gutter="0" w:footer="0" w:header="0"/>
        </w:sectPr>
      </w:pPr>
    </w:p>
    <w:bookmarkStart w:id="191" w:name="page192"/>
    <w:bookmarkEnd w:id="191"/>
    <w:p>
      <w:pPr>
        <w:jc w:val="both"/>
        <w:ind w:firstLine="337"/>
        <w:spacing w:after="0" w:line="236"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15.05. Execution in Counterparts</w:t>
      </w:r>
      <w:r>
        <w:rPr>
          <w:rFonts w:ascii="Arial" w:cs="Arial" w:eastAsia="Arial" w:hAnsi="Arial"/>
          <w:sz w:val="22"/>
          <w:szCs w:val="22"/>
          <w:color w:val="auto"/>
        </w:rPr>
        <w:t>. This Agreement may be executed in any number of counterparts and by different</w:t>
      </w:r>
      <w:r>
        <w:rPr>
          <w:rFonts w:ascii="Arial" w:cs="Arial" w:eastAsia="Arial" w:hAnsi="Arial"/>
          <w:sz w:val="22"/>
          <w:szCs w:val="22"/>
          <w:i w:val="1"/>
          <w:iCs w:val="1"/>
          <w:color w:val="auto"/>
        </w:rPr>
        <w:t xml:space="preserve"> </w:t>
      </w:r>
      <w:r>
        <w:rPr>
          <w:rFonts w:ascii="Arial" w:cs="Arial" w:eastAsia="Arial" w:hAnsi="Arial"/>
          <w:sz w:val="22"/>
          <w:szCs w:val="22"/>
          <w:color w:val="auto"/>
        </w:rPr>
        <w:t>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295" w:lineRule="exact"/>
        <w:rPr>
          <w:sz w:val="20"/>
          <w:szCs w:val="20"/>
          <w:color w:val="auto"/>
        </w:rPr>
      </w:pPr>
    </w:p>
    <w:p>
      <w:pPr>
        <w:jc w:val="both"/>
        <w:ind w:firstLine="337"/>
        <w:spacing w:after="0" w:line="235" w:lineRule="auto"/>
        <w:rPr>
          <w:sz w:val="20"/>
          <w:szCs w:val="20"/>
          <w:color w:val="auto"/>
        </w:rPr>
      </w:pPr>
      <w:r>
        <w:rPr>
          <w:rFonts w:ascii="Arial" w:cs="Arial" w:eastAsia="Arial" w:hAnsi="Arial"/>
          <w:sz w:val="22"/>
          <w:szCs w:val="22"/>
          <w:i w:val="1"/>
          <w:iCs w:val="1"/>
          <w:color w:val="auto"/>
        </w:rPr>
        <w:t>Section 15.06. Assignability</w:t>
      </w:r>
      <w:r>
        <w:rPr>
          <w:rFonts w:ascii="Arial" w:cs="Arial" w:eastAsia="Arial" w:hAnsi="Arial"/>
          <w:sz w:val="22"/>
          <w:szCs w:val="22"/>
          <w:color w:val="auto"/>
        </w:rPr>
        <w:t>. (a) Each Lender may, with the consent of the Administrative Agent and the Borrower (in each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case not to be unreasonably withheld or delayed), assign to an assignee all or a portion of its rights and obligations under this Agreement (including all or a portion of its outstanding Advances or interests therein owned by it, together with ratable portions of its Commitment);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Arial" w:cs="Arial" w:eastAsia="Arial" w:hAnsi="Arial"/>
          <w:sz w:val="22"/>
          <w:szCs w:val="22"/>
          <w:i w:val="1"/>
          <w:iCs w:val="1"/>
          <w:color w:val="auto"/>
        </w:rPr>
        <w:t xml:space="preserve">provided further </w:t>
      </w:r>
      <w:r>
        <w:rPr>
          <w:rFonts w:ascii="Arial" w:cs="Arial" w:eastAsia="Arial" w:hAnsi="Arial"/>
          <w:sz w:val="22"/>
          <w:szCs w:val="22"/>
          <w:color w:val="auto"/>
        </w:rPr>
        <w:t>that:</w:t>
      </w:r>
    </w:p>
    <w:p>
      <w:pPr>
        <w:spacing w:after="0" w:line="296" w:lineRule="exact"/>
        <w:rPr>
          <w:sz w:val="20"/>
          <w:szCs w:val="20"/>
          <w:color w:val="auto"/>
        </w:rPr>
      </w:pPr>
    </w:p>
    <w:p>
      <w:pPr>
        <w:ind w:left="800" w:firstLine="887"/>
        <w:spacing w:after="0" w:line="250" w:lineRule="auto"/>
        <w:tabs>
          <w:tab w:leader="none" w:pos="2383" w:val="left"/>
        </w:tabs>
        <w:numPr>
          <w:ilvl w:val="1"/>
          <w:numId w:val="276"/>
        </w:numPr>
        <w:rPr>
          <w:rFonts w:ascii="Arial" w:cs="Arial" w:eastAsia="Arial" w:hAnsi="Arial"/>
          <w:sz w:val="22"/>
          <w:szCs w:val="22"/>
          <w:color w:val="auto"/>
        </w:rPr>
      </w:pPr>
      <w:r>
        <w:rPr>
          <w:rFonts w:ascii="Arial" w:cs="Arial" w:eastAsia="Arial" w:hAnsi="Arial"/>
          <w:sz w:val="22"/>
          <w:szCs w:val="22"/>
          <w:color w:val="auto"/>
        </w:rPr>
        <w:t>the Borrower’s consent to any such assignment shall not be required if the assignee is a Permitted Assignee with respect to such assignor;</w:t>
      </w:r>
    </w:p>
    <w:p>
      <w:pPr>
        <w:spacing w:after="0" w:line="282" w:lineRule="exact"/>
        <w:rPr>
          <w:rFonts w:ascii="Arial" w:cs="Arial" w:eastAsia="Arial" w:hAnsi="Arial"/>
          <w:sz w:val="22"/>
          <w:szCs w:val="22"/>
          <w:color w:val="auto"/>
        </w:rPr>
      </w:pPr>
    </w:p>
    <w:p>
      <w:pPr>
        <w:jc w:val="both"/>
        <w:ind w:left="800" w:firstLine="784"/>
        <w:spacing w:after="0"/>
        <w:tabs>
          <w:tab w:leader="none" w:pos="2206"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xml:space="preserve">the Borrower’s consent to any such assignment pursuant to this </w:t>
      </w:r>
      <w:r>
        <w:rPr>
          <w:rFonts w:ascii="Arial" w:cs="Arial" w:eastAsia="Arial" w:hAnsi="Arial"/>
          <w:sz w:val="22"/>
          <w:szCs w:val="22"/>
          <w:u w:val="single" w:color="auto"/>
          <w:color w:val="auto"/>
        </w:rPr>
        <w:t>Section 15.06(a)</w:t>
      </w:r>
      <w:r>
        <w:rPr>
          <w:rFonts w:ascii="Arial" w:cs="Arial" w:eastAsia="Arial" w:hAnsi="Arial"/>
          <w:sz w:val="22"/>
          <w:szCs w:val="22"/>
          <w:color w:val="auto"/>
        </w:rPr>
        <w:t xml:space="preserve"> shall not be required if an Event of Default shall have occurred and is continuing (and not been waived by the Lenders in accordance with </w:t>
      </w:r>
      <w:r>
        <w:rPr>
          <w:rFonts w:ascii="Arial" w:cs="Arial" w:eastAsia="Arial" w:hAnsi="Arial"/>
          <w:sz w:val="22"/>
          <w:szCs w:val="22"/>
          <w:u w:val="single" w:color="auto"/>
          <w:color w:val="auto"/>
        </w:rPr>
        <w:t>Section 15.01</w:t>
      </w:r>
      <w:r>
        <w:rPr>
          <w:rFonts w:ascii="Arial" w:cs="Arial" w:eastAsia="Arial" w:hAnsi="Arial"/>
          <w:sz w:val="22"/>
          <w:szCs w:val="22"/>
          <w:color w:val="auto"/>
        </w:rPr>
        <w:t>); and</w:t>
      </w:r>
    </w:p>
    <w:p>
      <w:pPr>
        <w:spacing w:after="0" w:line="294" w:lineRule="exact"/>
        <w:rPr>
          <w:rFonts w:ascii="Arial" w:cs="Arial" w:eastAsia="Arial" w:hAnsi="Arial"/>
          <w:sz w:val="22"/>
          <w:szCs w:val="22"/>
          <w:color w:val="auto"/>
        </w:rPr>
      </w:pPr>
    </w:p>
    <w:p>
      <w:pPr>
        <w:ind w:left="2180" w:hanging="655"/>
        <w:spacing w:after="0"/>
        <w:tabs>
          <w:tab w:leader="none" w:pos="218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no such assignment shall be made to a natural person.</w:t>
      </w:r>
    </w:p>
    <w:p>
      <w:pPr>
        <w:spacing w:after="0" w:line="314" w:lineRule="exact"/>
        <w:rPr>
          <w:sz w:val="20"/>
          <w:szCs w:val="20"/>
          <w:color w:val="auto"/>
        </w:rPr>
      </w:pPr>
    </w:p>
    <w:p>
      <w:pPr>
        <w:jc w:val="both"/>
        <w:ind w:firstLine="786"/>
        <w:spacing w:after="0" w:line="277" w:lineRule="auto"/>
        <w:rPr>
          <w:sz w:val="20"/>
          <w:szCs w:val="20"/>
          <w:color w:val="auto"/>
        </w:rPr>
      </w:pPr>
      <w:r>
        <w:rPr>
          <w:rFonts w:ascii="Arial" w:cs="Arial" w:eastAsia="Arial" w:hAnsi="Arial"/>
          <w:sz w:val="19"/>
          <w:szCs w:val="19"/>
          <w:color w:val="auto"/>
        </w:rPr>
        <w:t xml:space="preserve">The parties to each such assignment shall execute and deliver to the Administrative Agent (with a copy to the Collateral Agent) an Assignment and Acceptance and the applicable tax forms required by </w:t>
      </w:r>
      <w:r>
        <w:rPr>
          <w:rFonts w:ascii="Arial" w:cs="Arial" w:eastAsia="Arial" w:hAnsi="Arial"/>
          <w:sz w:val="19"/>
          <w:szCs w:val="19"/>
          <w:u w:val="single" w:color="auto"/>
          <w:color w:val="auto"/>
        </w:rPr>
        <w:t>Section 15.03(g)</w:t>
      </w:r>
      <w:r>
        <w:rPr>
          <w:rFonts w:ascii="Arial" w:cs="Arial" w:eastAsia="Arial" w:hAnsi="Arial"/>
          <w:sz w:val="19"/>
          <w:szCs w:val="19"/>
          <w:color w:val="auto"/>
        </w:rPr>
        <w:t xml:space="preserve">. Notwithstanding any other provision of this </w:t>
      </w:r>
      <w:r>
        <w:rPr>
          <w:rFonts w:ascii="Arial" w:cs="Arial" w:eastAsia="Arial" w:hAnsi="Arial"/>
          <w:sz w:val="19"/>
          <w:szCs w:val="19"/>
          <w:u w:val="single" w:color="auto"/>
          <w:color w:val="auto"/>
        </w:rPr>
        <w:t>Section 15.06</w:t>
      </w:r>
      <w:r>
        <w:rPr>
          <w:rFonts w:ascii="Arial" w:cs="Arial" w:eastAsia="Arial" w:hAnsi="Arial"/>
          <w:sz w:val="19"/>
          <w:szCs w:val="19"/>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pledge or grant of a security interest shall release such Lender from any of its obligations hereunder or substitute any such pledgee or grantee for such Lender as a party hereto.</w:t>
      </w:r>
    </w:p>
    <w:p>
      <w:pPr>
        <w:spacing w:after="0" w:line="260" w:lineRule="exact"/>
        <w:rPr>
          <w:sz w:val="20"/>
          <w:szCs w:val="20"/>
          <w:color w:val="auto"/>
        </w:rPr>
      </w:pPr>
    </w:p>
    <w:p>
      <w:pPr>
        <w:ind w:right="20" w:firstLine="794"/>
        <w:spacing w:after="0" w:line="250" w:lineRule="auto"/>
        <w:tabs>
          <w:tab w:leader="none" w:pos="1378"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The Borrower may not assign its rights or obligations hereunder or any interest herein without the prior written consent of the Agents and the Lenders.</w:t>
      </w:r>
    </w:p>
    <w:p>
      <w:pPr>
        <w:spacing w:after="0" w:line="282" w:lineRule="exact"/>
        <w:rPr>
          <w:rFonts w:ascii="Arial" w:cs="Arial" w:eastAsia="Arial" w:hAnsi="Arial"/>
          <w:sz w:val="22"/>
          <w:szCs w:val="22"/>
          <w:color w:val="auto"/>
        </w:rPr>
      </w:pPr>
    </w:p>
    <w:p>
      <w:pPr>
        <w:jc w:val="both"/>
        <w:ind w:firstLine="794"/>
        <w:spacing w:after="0" w:line="252" w:lineRule="auto"/>
        <w:tabs>
          <w:tab w:leader="none" w:pos="1342" w:val="left"/>
        </w:tabs>
        <w:numPr>
          <w:ilvl w:val="0"/>
          <w:numId w:val="278"/>
        </w:numPr>
        <w:rPr>
          <w:rFonts w:ascii="Arial" w:cs="Arial" w:eastAsia="Arial" w:hAnsi="Arial"/>
          <w:sz w:val="21"/>
          <w:szCs w:val="21"/>
          <w:color w:val="auto"/>
        </w:rPr>
      </w:pPr>
      <w:r>
        <w:rPr>
          <w:rFonts w:ascii="Arial" w:cs="Arial" w:eastAsia="Arial" w:hAnsi="Arial"/>
          <w:sz w:val="21"/>
          <w:szCs w:val="21"/>
          <w:color w:val="auto"/>
        </w:rPr>
        <w:t xml:space="preserve">(i) Any Lender may, without the consent of the Borrower, the Administrative Agent or the Swingline Lender sell participations to one or more banks or other entities (a </w:t>
      </w:r>
      <w:r>
        <w:rPr>
          <w:rFonts w:ascii="Arial" w:cs="Arial" w:eastAsia="Arial" w:hAnsi="Arial"/>
          <w:sz w:val="21"/>
          <w:szCs w:val="21"/>
          <w:i w:val="1"/>
          <w:iCs w:val="1"/>
          <w:color w:val="auto"/>
        </w:rPr>
        <w:t>“Participant”</w:t>
      </w:r>
      <w:r>
        <w:rPr>
          <w:rFonts w:ascii="Arial" w:cs="Arial" w:eastAsia="Arial" w:hAnsi="Arial"/>
          <w:sz w:val="21"/>
          <w:szCs w:val="21"/>
          <w:color w:val="auto"/>
        </w:rPr>
        <w:t xml:space="preserve">) in all or a portion of such Lender’s rights and obligations under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such Lender’s obligations under this Agreement shall remain unchanged, (B) such Lender shall remain solely responsible to the other parties hereto for the performance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40"/>
          </w:cols>
          <w:pgMar w:left="320" w:top="267" w:right="339" w:bottom="1440" w:gutter="0" w:footer="0" w:header="0"/>
        </w:sectPr>
      </w:pPr>
    </w:p>
    <w:bookmarkStart w:id="192" w:name="page193"/>
    <w:bookmarkEnd w:id="192"/>
    <w:p>
      <w:pPr>
        <w:jc w:val="both"/>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obligations, (C) such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9"/>
          <w:szCs w:val="19"/>
          <w:u w:val="single" w:color="auto"/>
          <w:color w:val="auto"/>
        </w:rPr>
        <w:t>Section 15.06(c)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15.09(b)</w:t>
      </w:r>
      <w:r>
        <w:rPr>
          <w:rFonts w:ascii="Arial" w:cs="Arial" w:eastAsia="Arial" w:hAnsi="Arial"/>
          <w:sz w:val="19"/>
          <w:szCs w:val="19"/>
          <w:color w:val="auto"/>
        </w:rPr>
        <w:t xml:space="preserve">, </w:t>
      </w:r>
      <w:r>
        <w:rPr>
          <w:rFonts w:ascii="Arial" w:cs="Arial" w:eastAsia="Arial" w:hAnsi="Arial"/>
          <w:sz w:val="19"/>
          <w:szCs w:val="19"/>
          <w:u w:val="single" w:color="auto"/>
          <w:color w:val="auto"/>
        </w:rPr>
        <w:t>15.15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15.19</w:t>
      </w:r>
      <w:r>
        <w:rPr>
          <w:rFonts w:ascii="Arial" w:cs="Arial" w:eastAsia="Arial" w:hAnsi="Arial"/>
          <w:sz w:val="19"/>
          <w:szCs w:val="19"/>
          <w:color w:val="auto"/>
        </w:rPr>
        <w:t xml:space="preserve">.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may provide that such Lender will not, without the consent of the Participant, agree to any Fundamental Amendment.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15.03</w:t>
      </w:r>
      <w:r>
        <w:rPr>
          <w:rFonts w:ascii="Arial" w:cs="Arial" w:eastAsia="Arial" w:hAnsi="Arial"/>
          <w:sz w:val="19"/>
          <w:szCs w:val="19"/>
          <w:color w:val="auto"/>
        </w:rPr>
        <w:t xml:space="preserve"> shall apply to each Participant as if it were a Lender and had acquired its interest by assignment pursuant to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Participant shall be entitled to any amount under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15.03</w:t>
      </w:r>
      <w:r>
        <w:rPr>
          <w:rFonts w:ascii="Arial" w:cs="Arial" w:eastAsia="Arial" w:hAnsi="Arial"/>
          <w:sz w:val="19"/>
          <w:szCs w:val="19"/>
          <w:color w:val="auto"/>
        </w:rPr>
        <w:t xml:space="preserve"> which is greater than the amount the related Lender would have been entitled to under any such Sections or provisions if the applicable participation had not occurred.</w:t>
      </w:r>
    </w:p>
    <w:p>
      <w:pPr>
        <w:spacing w:after="0" w:line="266" w:lineRule="exact"/>
        <w:rPr>
          <w:sz w:val="20"/>
          <w:szCs w:val="20"/>
          <w:color w:val="auto"/>
        </w:rPr>
      </w:pPr>
    </w:p>
    <w:p>
      <w:pPr>
        <w:jc w:val="both"/>
        <w:ind w:firstLine="794"/>
        <w:spacing w:after="0" w:line="272" w:lineRule="auto"/>
        <w:tabs>
          <w:tab w:leader="none" w:pos="1329"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9"/>
          <w:szCs w:val="19"/>
          <w:i w:val="1"/>
          <w:i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 identity of any participant or any information relating to a participant’s interest in any Commitments, Advances or its other obligations under this Agreement) except to the extent that the relevant parties, acting reasonably and in good faith, determine that such disclosure is necessary to establish that such Commitment, Advance or other obligation is in registered form under </w:t>
      </w:r>
      <w:r>
        <w:rPr>
          <w:rFonts w:ascii="Arial" w:cs="Arial" w:eastAsia="Arial" w:hAnsi="Arial"/>
          <w:sz w:val="19"/>
          <w:szCs w:val="19"/>
          <w:u w:val="single" w:color="auto"/>
          <w:color w:val="auto"/>
        </w:rPr>
        <w:t>Section 5f.103-1(c)</w:t>
      </w:r>
      <w:r>
        <w:rPr>
          <w:rFonts w:ascii="Arial" w:cs="Arial" w:eastAsia="Arial" w:hAnsi="Arial"/>
          <w:sz w:val="19"/>
          <w:szCs w:val="19"/>
          <w:color w:val="auto"/>
        </w:rPr>
        <w:t xml:space="preserve"> of the United States Treasury Regulations. Unless otherwise required by the Internal Revenue Service, any disclosure required by the foregoing sentence shall be made by the relevant Lender directly and solely to the Internal Revenue Service.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error.</w:t>
      </w:r>
    </w:p>
    <w:p>
      <w:pPr>
        <w:spacing w:after="0" w:line="269" w:lineRule="exact"/>
        <w:rPr>
          <w:sz w:val="20"/>
          <w:szCs w:val="20"/>
          <w:color w:val="auto"/>
        </w:rPr>
      </w:pPr>
    </w:p>
    <w:p>
      <w:pPr>
        <w:jc w:val="both"/>
        <w:ind w:firstLine="794"/>
        <w:spacing w:after="0" w:line="273" w:lineRule="auto"/>
        <w:tabs>
          <w:tab w:leader="none" w:pos="1372"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The Collateral Agent, on behalf of and acting solely for this purpose as the nonfiduciary agent of the Borrower, shall maintain at its address specified in </w:t>
      </w:r>
      <w:r>
        <w:rPr>
          <w:rFonts w:ascii="Arial" w:cs="Arial" w:eastAsia="Arial" w:hAnsi="Arial"/>
          <w:sz w:val="19"/>
          <w:szCs w:val="19"/>
          <w:u w:val="single" w:color="auto"/>
          <w:color w:val="auto"/>
        </w:rPr>
        <w:t>Section 15.02</w:t>
      </w:r>
      <w:r>
        <w:rPr>
          <w:rFonts w:ascii="Arial" w:cs="Arial" w:eastAsia="Arial" w:hAnsi="Arial"/>
          <w:sz w:val="19"/>
          <w:szCs w:val="19"/>
          <w:color w:val="auto"/>
        </w:rPr>
        <w:t xml:space="preserve"> or such other address as the Collateral Agent shall designate in writing to the Lenders, a copy of this Agreement and each signature page hereto and each Assignment and Acceptance delivered to and accepted by it and a register (the </w:t>
      </w:r>
      <w:r>
        <w:rPr>
          <w:rFonts w:ascii="Arial" w:cs="Arial" w:eastAsia="Arial" w:hAnsi="Arial"/>
          <w:sz w:val="19"/>
          <w:szCs w:val="19"/>
          <w:i w:val="1"/>
          <w:iCs w:val="1"/>
          <w:color w:val="auto"/>
        </w:rPr>
        <w:t>“Register”</w:t>
      </w:r>
      <w:r>
        <w:rPr>
          <w:rFonts w:ascii="Arial" w:cs="Arial" w:eastAsia="Arial" w:hAnsi="Arial"/>
          <w:sz w:val="19"/>
          <w:szCs w:val="19"/>
          <w:color w:val="auto"/>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w:t>
      </w:r>
      <w:r>
        <w:rPr>
          <w:rFonts w:ascii="Arial" w:cs="Arial" w:eastAsia="Arial" w:hAnsi="Arial"/>
          <w:sz w:val="19"/>
          <w:szCs w:val="19"/>
          <w:u w:val="single" w:color="auto"/>
          <w:color w:val="auto"/>
        </w:rPr>
        <w:t>Section 15.06</w:t>
      </w:r>
      <w:r>
        <w:rPr>
          <w:rFonts w:ascii="Arial" w:cs="Arial" w:eastAsia="Arial" w:hAnsi="Arial"/>
          <w:sz w:val="19"/>
          <w:szCs w:val="19"/>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267" w:right="339" w:bottom="1440" w:gutter="0" w:footer="0" w:header="0"/>
        </w:sectPr>
      </w:pPr>
    </w:p>
    <w:bookmarkStart w:id="193" w:name="page194"/>
    <w:bookmarkEnd w:id="193"/>
    <w:p>
      <w:pPr>
        <w:jc w:val="both"/>
        <w:ind w:firstLine="794"/>
        <w:spacing w:after="0" w:line="277" w:lineRule="auto"/>
        <w:tabs>
          <w:tab w:leader="none" w:pos="1509" w:val="left"/>
        </w:tabs>
        <w:numPr>
          <w:ilvl w:val="0"/>
          <w:numId w:val="281"/>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to the contrary set forth herein or in any other Facility Document, each Lender hereunder, and each Participant, must at all times be a “qualified purchaser” as defined in the Investment Company Act (a “</w:t>
      </w:r>
      <w:r>
        <w:rPr>
          <w:rFonts w:ascii="Arial" w:cs="Arial" w:eastAsia="Arial" w:hAnsi="Arial"/>
          <w:sz w:val="19"/>
          <w:szCs w:val="19"/>
          <w:i w:val="1"/>
          <w:iCs w:val="1"/>
          <w:color w:val="auto"/>
        </w:rPr>
        <w:t>Qualified Purchaser</w:t>
      </w:r>
      <w:r>
        <w:rPr>
          <w:rFonts w:ascii="Arial" w:cs="Arial" w:eastAsia="Arial" w:hAnsi="Arial"/>
          <w:sz w:val="19"/>
          <w:szCs w:val="19"/>
          <w:color w:val="auto"/>
        </w:rPr>
        <w:t>”) and a “qualified institutional buyer” as defined in Rule 144A under the Securities Act (a “</w:t>
      </w:r>
      <w:r>
        <w:rPr>
          <w:rFonts w:ascii="Arial" w:cs="Arial" w:eastAsia="Arial" w:hAnsi="Arial"/>
          <w:sz w:val="19"/>
          <w:szCs w:val="19"/>
          <w:i w:val="1"/>
          <w:iCs w:val="1"/>
          <w:color w:val="auto"/>
        </w:rPr>
        <w:t>QIB</w:t>
      </w:r>
      <w:r>
        <w:rPr>
          <w:rFonts w:ascii="Arial" w:cs="Arial" w:eastAsia="Arial" w:hAnsi="Arial"/>
          <w:sz w:val="19"/>
          <w:szCs w:val="19"/>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any Person unless such Person is a Qualified Purchaser and a QIB.</w:t>
      </w:r>
    </w:p>
    <w:p>
      <w:pPr>
        <w:spacing w:after="0" w:line="260" w:lineRule="exact"/>
        <w:rPr>
          <w:sz w:val="20"/>
          <w:szCs w:val="20"/>
          <w:color w:val="auto"/>
        </w:rPr>
      </w:pPr>
    </w:p>
    <w:p>
      <w:pPr>
        <w:jc w:val="both"/>
        <w:ind w:firstLine="337"/>
        <w:spacing w:after="0"/>
        <w:rPr>
          <w:sz w:val="20"/>
          <w:szCs w:val="20"/>
          <w:color w:val="auto"/>
        </w:rPr>
      </w:pPr>
      <w:r>
        <w:rPr>
          <w:rFonts w:ascii="Arial" w:cs="Arial" w:eastAsia="Arial" w:hAnsi="Arial"/>
          <w:sz w:val="22"/>
          <w:szCs w:val="22"/>
          <w:i w:val="1"/>
          <w:iCs w:val="1"/>
          <w:color w:val="auto"/>
        </w:rPr>
        <w:t>Section 15.07. Governing Law</w:t>
      </w:r>
      <w:r>
        <w:rPr>
          <w:rFonts w:ascii="Arial" w:cs="Arial" w:eastAsia="Arial" w:hAnsi="Arial"/>
          <w:sz w:val="22"/>
          <w:szCs w:val="22"/>
          <w:color w:val="auto"/>
        </w:rPr>
        <w:t>. T</w:t>
      </w:r>
      <w:r>
        <w:rPr>
          <w:rFonts w:ascii="Arial" w:cs="Arial" w:eastAsia="Arial" w:hAnsi="Arial"/>
          <w:sz w:val="17"/>
          <w:szCs w:val="17"/>
          <w:color w:val="auto"/>
        </w:rPr>
        <w:t>HIS</w:t>
      </w:r>
      <w:r>
        <w:rPr>
          <w:rFonts w:ascii="Arial" w:cs="Arial" w:eastAsia="Arial" w:hAnsi="Arial"/>
          <w:sz w:val="22"/>
          <w:szCs w:val="22"/>
          <w:i w:val="1"/>
          <w:iCs w:val="1"/>
          <w:color w:val="auto"/>
        </w:rPr>
        <w:t xml:space="preserve"> </w:t>
      </w:r>
      <w:r>
        <w:rPr>
          <w:rFonts w:ascii="Arial" w:cs="Arial" w:eastAsia="Arial" w:hAnsi="Arial"/>
          <w:sz w:val="22"/>
          <w:szCs w:val="22"/>
          <w:color w:val="auto"/>
        </w:rPr>
        <w:t>A</w:t>
      </w:r>
      <w:r>
        <w:rPr>
          <w:rFonts w:ascii="Arial" w:cs="Arial" w:eastAsia="Arial" w:hAnsi="Arial"/>
          <w:sz w:val="17"/>
          <w:szCs w:val="17"/>
          <w:color w:val="auto"/>
        </w:rPr>
        <w:t>GREEMENT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w:t>
      </w:r>
      <w:r>
        <w:rPr>
          <w:rFonts w:ascii="Arial" w:cs="Arial" w:eastAsia="Arial" w:hAnsi="Arial"/>
          <w:sz w:val="17"/>
          <w:szCs w:val="17"/>
          <w:color w:val="auto"/>
        </w:rPr>
        <w:t>IGHTS AND</w:t>
      </w:r>
      <w:r>
        <w:rPr>
          <w:rFonts w:ascii="Arial" w:cs="Arial" w:eastAsia="Arial" w:hAnsi="Arial"/>
          <w:sz w:val="22"/>
          <w:szCs w:val="22"/>
          <w:i w:val="1"/>
          <w:iCs w:val="1"/>
          <w:color w:val="auto"/>
        </w:rPr>
        <w:t xml:space="preserve"> </w:t>
      </w:r>
      <w:r>
        <w:rPr>
          <w:rFonts w:ascii="Arial" w:cs="Arial" w:eastAsia="Arial" w:hAnsi="Arial"/>
          <w:sz w:val="22"/>
          <w:szCs w:val="22"/>
          <w:color w:val="auto"/>
        </w:rPr>
        <w:t>O</w:t>
      </w:r>
      <w:r>
        <w:rPr>
          <w:rFonts w:ascii="Arial" w:cs="Arial" w:eastAsia="Arial" w:hAnsi="Arial"/>
          <w:sz w:val="17"/>
          <w:szCs w:val="17"/>
          <w:color w:val="auto"/>
        </w:rPr>
        <w:t>BLIGATIONS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P</w:t>
      </w:r>
      <w:r>
        <w:rPr>
          <w:rFonts w:ascii="Arial" w:cs="Arial" w:eastAsia="Arial" w:hAnsi="Arial"/>
          <w:sz w:val="17"/>
          <w:szCs w:val="17"/>
          <w:color w:val="auto"/>
        </w:rPr>
        <w:t>ARTIES</w:t>
      </w:r>
      <w:r>
        <w:rPr>
          <w:rFonts w:ascii="Arial" w:cs="Arial" w:eastAsia="Arial" w:hAnsi="Arial"/>
          <w:sz w:val="22"/>
          <w:szCs w:val="22"/>
          <w:i w:val="1"/>
          <w:iCs w:val="1"/>
          <w:color w:val="auto"/>
        </w:rPr>
        <w:t xml:space="preserve"> </w:t>
      </w:r>
      <w:r>
        <w:rPr>
          <w:rFonts w:ascii="Arial" w:cs="Arial" w:eastAsia="Arial" w:hAnsi="Arial"/>
          <w:sz w:val="22"/>
          <w:szCs w:val="22"/>
          <w:color w:val="auto"/>
        </w:rPr>
        <w:t>U</w:t>
      </w:r>
      <w:r>
        <w:rPr>
          <w:rFonts w:ascii="Arial" w:cs="Arial" w:eastAsia="Arial" w:hAnsi="Arial"/>
          <w:sz w:val="17"/>
          <w:szCs w:val="17"/>
          <w:color w:val="auto"/>
        </w:rPr>
        <w:t>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A</w:t>
      </w:r>
      <w:r>
        <w:rPr>
          <w:rFonts w:ascii="Arial" w:cs="Arial" w:eastAsia="Arial" w:hAnsi="Arial"/>
          <w:sz w:val="17"/>
          <w:szCs w:val="17"/>
          <w:color w:val="auto"/>
        </w:rPr>
        <w:t>GREEMENT</w:t>
      </w:r>
      <w:r>
        <w:rPr>
          <w:rFonts w:ascii="Arial" w:cs="Arial" w:eastAsia="Arial" w:hAnsi="Arial"/>
          <w:sz w:val="22"/>
          <w:szCs w:val="22"/>
          <w:color w:val="auto"/>
        </w:rPr>
        <w:t xml:space="preserve"> S</w:t>
      </w:r>
      <w:r>
        <w:rPr>
          <w:rFonts w:ascii="Arial" w:cs="Arial" w:eastAsia="Arial" w:hAnsi="Arial"/>
          <w:sz w:val="17"/>
          <w:szCs w:val="17"/>
          <w:color w:val="auto"/>
        </w:rPr>
        <w:t>HALL BE</w:t>
      </w:r>
      <w:r>
        <w:rPr>
          <w:rFonts w:ascii="Arial" w:cs="Arial" w:eastAsia="Arial" w:hAnsi="Arial"/>
          <w:sz w:val="22"/>
          <w:szCs w:val="22"/>
          <w:color w:val="auto"/>
        </w:rPr>
        <w:t xml:space="preserve"> G</w:t>
      </w:r>
      <w:r>
        <w:rPr>
          <w:rFonts w:ascii="Arial" w:cs="Arial" w:eastAsia="Arial" w:hAnsi="Arial"/>
          <w:sz w:val="17"/>
          <w:szCs w:val="17"/>
          <w:color w:val="auto"/>
        </w:rPr>
        <w:t>OVERNED BY AND</w:t>
      </w:r>
      <w:r>
        <w:rPr>
          <w:rFonts w:ascii="Arial" w:cs="Arial" w:eastAsia="Arial" w:hAnsi="Arial"/>
          <w:sz w:val="22"/>
          <w:szCs w:val="22"/>
          <w:color w:val="auto"/>
        </w:rPr>
        <w:t xml:space="preserve"> C</w:t>
      </w:r>
      <w:r>
        <w:rPr>
          <w:rFonts w:ascii="Arial" w:cs="Arial" w:eastAsia="Arial" w:hAnsi="Arial"/>
          <w:sz w:val="17"/>
          <w:szCs w:val="17"/>
          <w:color w:val="auto"/>
        </w:rPr>
        <w:t>ONSTRUED IN</w:t>
      </w:r>
      <w:r>
        <w:rPr>
          <w:rFonts w:ascii="Arial" w:cs="Arial" w:eastAsia="Arial" w:hAnsi="Arial"/>
          <w:sz w:val="22"/>
          <w:szCs w:val="22"/>
          <w:color w:val="auto"/>
        </w:rPr>
        <w:t xml:space="preserve"> A</w:t>
      </w:r>
      <w:r>
        <w:rPr>
          <w:rFonts w:ascii="Arial" w:cs="Arial" w:eastAsia="Arial" w:hAnsi="Arial"/>
          <w:sz w:val="17"/>
          <w:szCs w:val="17"/>
          <w:color w:val="auto"/>
        </w:rPr>
        <w:t>CCORDANCE WITH THE</w:t>
      </w:r>
      <w:r>
        <w:rPr>
          <w:rFonts w:ascii="Arial" w:cs="Arial" w:eastAsia="Arial" w:hAnsi="Arial"/>
          <w:sz w:val="22"/>
          <w:szCs w:val="22"/>
          <w:color w:val="auto"/>
        </w:rPr>
        <w:t xml:space="preserve"> I</w:t>
      </w:r>
      <w:r>
        <w:rPr>
          <w:rFonts w:ascii="Arial" w:cs="Arial" w:eastAsia="Arial" w:hAnsi="Arial"/>
          <w:sz w:val="17"/>
          <w:szCs w:val="17"/>
          <w:color w:val="auto"/>
        </w:rPr>
        <w:t>NTERNAL</w:t>
      </w:r>
      <w:r>
        <w:rPr>
          <w:rFonts w:ascii="Arial" w:cs="Arial" w:eastAsia="Arial" w:hAnsi="Arial"/>
          <w:sz w:val="22"/>
          <w:szCs w:val="22"/>
          <w:color w:val="auto"/>
        </w:rPr>
        <w:t xml:space="preserve"> L</w:t>
      </w:r>
      <w:r>
        <w:rPr>
          <w:rFonts w:ascii="Arial" w:cs="Arial" w:eastAsia="Arial" w:hAnsi="Arial"/>
          <w:sz w:val="17"/>
          <w:szCs w:val="17"/>
          <w:color w:val="auto"/>
        </w:rPr>
        <w:t>AW OF THE</w:t>
      </w:r>
      <w:r>
        <w:rPr>
          <w:rFonts w:ascii="Arial" w:cs="Arial" w:eastAsia="Arial" w:hAnsi="Arial"/>
          <w:sz w:val="22"/>
          <w:szCs w:val="22"/>
          <w:color w:val="auto"/>
        </w:rPr>
        <w:t xml:space="preserve"> S</w:t>
      </w:r>
      <w:r>
        <w:rPr>
          <w:rFonts w:ascii="Arial" w:cs="Arial" w:eastAsia="Arial" w:hAnsi="Arial"/>
          <w:sz w:val="17"/>
          <w:szCs w:val="17"/>
          <w:color w:val="auto"/>
        </w:rPr>
        <w:t>TATE OF</w:t>
      </w:r>
      <w:r>
        <w:rPr>
          <w:rFonts w:ascii="Arial" w:cs="Arial" w:eastAsia="Arial" w:hAnsi="Arial"/>
          <w:sz w:val="22"/>
          <w:szCs w:val="22"/>
          <w:color w:val="auto"/>
        </w:rPr>
        <w:t xml:space="preserve"> N</w:t>
      </w:r>
      <w:r>
        <w:rPr>
          <w:rFonts w:ascii="Arial" w:cs="Arial" w:eastAsia="Arial" w:hAnsi="Arial"/>
          <w:sz w:val="17"/>
          <w:szCs w:val="17"/>
          <w:color w:val="auto"/>
        </w:rPr>
        <w:t>EW</w:t>
      </w:r>
      <w:r>
        <w:rPr>
          <w:rFonts w:ascii="Arial" w:cs="Arial" w:eastAsia="Arial" w:hAnsi="Arial"/>
          <w:sz w:val="22"/>
          <w:szCs w:val="22"/>
          <w:color w:val="auto"/>
        </w:rPr>
        <w:t xml:space="preserve"> Y</w:t>
      </w:r>
      <w:r>
        <w:rPr>
          <w:rFonts w:ascii="Arial" w:cs="Arial" w:eastAsia="Arial" w:hAnsi="Arial"/>
          <w:sz w:val="17"/>
          <w:szCs w:val="17"/>
          <w:color w:val="auto"/>
        </w:rPr>
        <w:t>ORK</w:t>
      </w:r>
      <w:r>
        <w:rPr>
          <w:rFonts w:ascii="Arial" w:cs="Arial" w:eastAsia="Arial" w:hAnsi="Arial"/>
          <w:sz w:val="22"/>
          <w:szCs w:val="22"/>
          <w:color w:val="auto"/>
        </w:rPr>
        <w:t>.</w:t>
      </w:r>
    </w:p>
    <w:p>
      <w:pPr>
        <w:spacing w:after="0" w:line="294" w:lineRule="exact"/>
        <w:rPr>
          <w:sz w:val="20"/>
          <w:szCs w:val="20"/>
          <w:color w:val="auto"/>
        </w:rPr>
      </w:pPr>
    </w:p>
    <w:p>
      <w:pPr>
        <w:jc w:val="both"/>
        <w:ind w:firstLine="337"/>
        <w:spacing w:after="0" w:line="297" w:lineRule="auto"/>
        <w:rPr>
          <w:sz w:val="20"/>
          <w:szCs w:val="20"/>
          <w:color w:val="auto"/>
        </w:rPr>
      </w:pPr>
      <w:r>
        <w:rPr>
          <w:rFonts w:ascii="Arial" w:cs="Arial" w:eastAsia="Arial" w:hAnsi="Arial"/>
          <w:sz w:val="19"/>
          <w:szCs w:val="19"/>
          <w:i w:val="1"/>
          <w:iCs w:val="1"/>
          <w:color w:val="auto"/>
        </w:rPr>
        <w:t>Section 15.08. Severability of Provisions</w:t>
      </w:r>
      <w:r>
        <w:rPr>
          <w:rFonts w:ascii="Arial" w:cs="Arial" w:eastAsia="Arial" w:hAnsi="Arial"/>
          <w:sz w:val="19"/>
          <w:szCs w:val="19"/>
          <w:color w:val="auto"/>
        </w:rPr>
        <w:t>. Any provision of this Agreement which is prohibited or unenforceable in any</w:t>
      </w:r>
      <w:r>
        <w:rPr>
          <w:rFonts w:ascii="Arial" w:cs="Arial" w:eastAsia="Arial" w:hAnsi="Arial"/>
          <w:sz w:val="19"/>
          <w:szCs w:val="19"/>
          <w:i w:val="1"/>
          <w:iCs w:val="1"/>
          <w:color w:val="auto"/>
        </w:rPr>
        <w:t xml:space="preserve"> </w:t>
      </w:r>
      <w:r>
        <w:rPr>
          <w:rFonts w:ascii="Arial" w:cs="Arial" w:eastAsia="Arial" w:hAnsi="Arial"/>
          <w:sz w:val="19"/>
          <w:szCs w:val="19"/>
          <w:color w:val="auto"/>
        </w:rPr>
        <w:t>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242" w:lineRule="exact"/>
        <w:rPr>
          <w:sz w:val="20"/>
          <w:szCs w:val="20"/>
          <w:color w:val="auto"/>
        </w:rPr>
      </w:pPr>
    </w:p>
    <w:p>
      <w:pPr>
        <w:jc w:val="both"/>
        <w:ind w:firstLine="337"/>
        <w:spacing w:after="0" w:line="270" w:lineRule="auto"/>
        <w:rPr>
          <w:sz w:val="20"/>
          <w:szCs w:val="20"/>
          <w:color w:val="auto"/>
        </w:rPr>
      </w:pPr>
      <w:r>
        <w:rPr>
          <w:rFonts w:ascii="Arial" w:cs="Arial" w:eastAsia="Arial" w:hAnsi="Arial"/>
          <w:sz w:val="19"/>
          <w:szCs w:val="19"/>
          <w:i w:val="1"/>
          <w:iCs w:val="1"/>
          <w:color w:val="auto"/>
        </w:rPr>
        <w:t>Section 15.09. Confidentiality</w:t>
      </w:r>
      <w:r>
        <w:rPr>
          <w:rFonts w:ascii="Arial" w:cs="Arial" w:eastAsia="Arial" w:hAnsi="Arial"/>
          <w:sz w:val="19"/>
          <w:szCs w:val="19"/>
          <w:color w:val="auto"/>
        </w:rPr>
        <w:t>. (a) Each Secured Party agrees to keep confidential all non-public information provided to it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by the Borrower or the Collateral Manager with respect to the Borrower, its Affiliates, the Collateral or any other information furnished to any Secured Party pursuant to this Agreement or any other Facility Document (collectively, the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w:t>
      </w:r>
      <w:r>
        <w:rPr>
          <w:rFonts w:ascii="Arial" w:cs="Arial" w:eastAsia="Arial" w:hAnsi="Arial"/>
          <w:sz w:val="19"/>
          <w:szCs w:val="19"/>
          <w:i w:val="1"/>
          <w:iCs w:val="1"/>
          <w:color w:val="auto"/>
        </w:rPr>
        <w:t>Information”</w:t>
      </w:r>
      <w:r>
        <w:rPr>
          <w:rFonts w:ascii="Arial" w:cs="Arial" w:eastAsia="Arial" w:hAnsi="Arial"/>
          <w:sz w:val="19"/>
          <w:szCs w:val="19"/>
          <w:color w:val="auto"/>
        </w:rPr>
        <w:t>);</w:t>
      </w:r>
      <w:r>
        <w:rPr>
          <w:rFonts w:ascii="Arial" w:cs="Arial" w:eastAsia="Arial" w:hAnsi="Arial"/>
          <w:sz w:val="19"/>
          <w:szCs w:val="19"/>
          <w:i w:val="1"/>
          <w:iCs w:val="1"/>
          <w:color w:val="auto"/>
        </w:rPr>
        <w:t xml:space="preserve"> provided </w:t>
      </w:r>
      <w:r>
        <w:rPr>
          <w:rFonts w:ascii="Arial" w:cs="Arial" w:eastAsia="Arial" w:hAnsi="Arial"/>
          <w:sz w:val="19"/>
          <w:szCs w:val="19"/>
          <w:color w:val="auto"/>
        </w:rPr>
        <w:t>that nothing herein shall prevent any Secured Party from disclosing any Borrower Information (a)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Arial" w:cs="Arial" w:eastAsia="Arial" w:hAnsi="Arial"/>
          <w:sz w:val="19"/>
          <w:szCs w:val="19"/>
          <w:i w:val="1"/>
          <w:iCs w:val="1"/>
          <w:color w:val="auto"/>
        </w:rPr>
        <w:t>“Secured Party Representatives”</w:t>
      </w:r>
      <w:r>
        <w:rPr>
          <w:rFonts w:ascii="Arial" w:cs="Arial" w:eastAsia="Arial" w:hAnsi="Arial"/>
          <w:sz w:val="19"/>
          <w:szCs w:val="19"/>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or indirect contractual counterparties for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 (f) in connection with the exercise of any remedy hereunder or under any other Facility Document, or (g) with the consent of the Borrower or to any other party to this Agreement. In addition, 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240"/>
          </w:cols>
          <w:pgMar w:left="320" w:top="267" w:right="339" w:bottom="1440" w:gutter="0" w:footer="0" w:header="0"/>
        </w:sectPr>
      </w:pPr>
    </w:p>
    <w:bookmarkStart w:id="194" w:name="page195"/>
    <w:bookmarkEnd w:id="194"/>
    <w:p>
      <w:pPr>
        <w:jc w:val="both"/>
        <w:ind w:firstLine="794"/>
        <w:spacing w:after="0" w:line="273" w:lineRule="auto"/>
        <w:tabs>
          <w:tab w:leader="none" w:pos="1343" w:val="left"/>
        </w:tabs>
        <w:numPr>
          <w:ilvl w:val="0"/>
          <w:numId w:val="28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to the contrary contained herein or in any of the other Transaction Documents, each of the parties hereto acknowledges and agrees that the Administrative Agent or any Lender may post to a secured password-protected internet website maintained by the Administrative Agent or such Lender and required by any Rating Agency rating the commercial paper notes of any CP Conduit in connection with Rule 17g-5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17g-5. “Rule 17g-5” shall mean Rule 17g-5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34-61050, 74 Fed. Reg. 63,832, 63,865 (Dec. 4, 2009)) and subject to such clarification and interpretation as may be provided by the Securities and Exchange Commission or its staff from time to time.</w:t>
      </w:r>
    </w:p>
    <w:p>
      <w:pPr>
        <w:spacing w:after="0" w:line="263" w:lineRule="exact"/>
        <w:rPr>
          <w:sz w:val="20"/>
          <w:szCs w:val="20"/>
          <w:color w:val="auto"/>
        </w:rPr>
      </w:pPr>
    </w:p>
    <w:p>
      <w:pPr>
        <w:jc w:val="both"/>
        <w:ind w:firstLine="337"/>
        <w:spacing w:after="0" w:line="297" w:lineRule="auto"/>
        <w:rPr>
          <w:sz w:val="20"/>
          <w:szCs w:val="20"/>
          <w:color w:val="auto"/>
        </w:rPr>
      </w:pPr>
      <w:r>
        <w:rPr>
          <w:rFonts w:ascii="Arial" w:cs="Arial" w:eastAsia="Arial" w:hAnsi="Arial"/>
          <w:sz w:val="19"/>
          <w:szCs w:val="19"/>
          <w:i w:val="1"/>
          <w:iCs w:val="1"/>
          <w:color w:val="auto"/>
        </w:rPr>
        <w:t>Section 15.10. Merger</w:t>
      </w:r>
      <w:r>
        <w:rPr>
          <w:rFonts w:ascii="Arial" w:cs="Arial" w:eastAsia="Arial" w:hAnsi="Arial"/>
          <w:sz w:val="19"/>
          <w:szCs w:val="19"/>
          <w:color w:val="auto"/>
        </w:rPr>
        <w:t>. This Agreement and the other Facility Documents executed by the Administrative Agent or the</w:t>
      </w:r>
      <w:r>
        <w:rPr>
          <w:rFonts w:ascii="Arial" w:cs="Arial" w:eastAsia="Arial" w:hAnsi="Arial"/>
          <w:sz w:val="19"/>
          <w:szCs w:val="19"/>
          <w:i w:val="1"/>
          <w:iCs w:val="1"/>
          <w:color w:val="auto"/>
        </w:rPr>
        <w:t xml:space="preserve"> </w:t>
      </w:r>
      <w:r>
        <w:rPr>
          <w:rFonts w:ascii="Arial" w:cs="Arial" w:eastAsia="Arial" w:hAnsi="Arial"/>
          <w:sz w:val="19"/>
          <w:szCs w:val="19"/>
          <w:color w:val="auto"/>
        </w:rPr>
        <w:t>Lenders taken as a whole incorporate the entire agreement between the parties thereto concerning the subject matter thereof and such Facility Documents supersede any prior agreements among the parties relating to the subject matter thereof.</w:t>
      </w:r>
    </w:p>
    <w:p>
      <w:pPr>
        <w:spacing w:after="0" w:line="242" w:lineRule="exact"/>
        <w:rPr>
          <w:sz w:val="20"/>
          <w:szCs w:val="20"/>
          <w:color w:val="auto"/>
        </w:rPr>
      </w:pPr>
    </w:p>
    <w:p>
      <w:pPr>
        <w:jc w:val="both"/>
        <w:ind w:firstLine="337"/>
        <w:spacing w:after="0" w:line="249" w:lineRule="auto"/>
        <w:rPr>
          <w:sz w:val="20"/>
          <w:szCs w:val="20"/>
          <w:color w:val="auto"/>
        </w:rPr>
      </w:pPr>
      <w:r>
        <w:rPr>
          <w:rFonts w:ascii="Arial" w:cs="Arial" w:eastAsia="Arial" w:hAnsi="Arial"/>
          <w:sz w:val="21"/>
          <w:szCs w:val="21"/>
          <w:i w:val="1"/>
          <w:iCs w:val="1"/>
          <w:color w:val="auto"/>
        </w:rPr>
        <w:t>Section 15.11. Survival</w:t>
      </w:r>
      <w:r>
        <w:rPr>
          <w:rFonts w:ascii="Arial" w:cs="Arial" w:eastAsia="Arial" w:hAnsi="Arial"/>
          <w:sz w:val="21"/>
          <w:szCs w:val="21"/>
          <w:color w:val="auto"/>
        </w:rPr>
        <w:t>. All representations and warranties made hereunder, in the other Facility Documents and in any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certificate delivered pursuant hereto or thereto or in connection herewith or therewith shall survive the execution and delivery of this Agreement and the making of the Advances hereunder. The agreements in </w:t>
      </w:r>
      <w:r>
        <w:rPr>
          <w:rFonts w:ascii="Arial" w:cs="Arial" w:eastAsia="Arial" w:hAnsi="Arial"/>
          <w:sz w:val="21"/>
          <w:szCs w:val="21"/>
          <w:u w:val="single" w:color="auto"/>
          <w:color w:val="auto"/>
        </w:rPr>
        <w:t>Sections 2.04(f)</w:t>
      </w:r>
      <w:r>
        <w:rPr>
          <w:rFonts w:ascii="Arial" w:cs="Arial" w:eastAsia="Arial" w:hAnsi="Arial"/>
          <w:sz w:val="21"/>
          <w:szCs w:val="21"/>
          <w:color w:val="auto"/>
        </w:rPr>
        <w:t xml:space="preserve">, </w:t>
      </w:r>
      <w:r>
        <w:rPr>
          <w:rFonts w:ascii="Arial" w:cs="Arial" w:eastAsia="Arial" w:hAnsi="Arial"/>
          <w:sz w:val="21"/>
          <w:szCs w:val="21"/>
          <w:u w:val="single" w:color="auto"/>
          <w:color w:val="auto"/>
        </w:rPr>
        <w:t>2.09</w:t>
      </w:r>
      <w:r>
        <w:rPr>
          <w:rFonts w:ascii="Arial" w:cs="Arial" w:eastAsia="Arial" w:hAnsi="Arial"/>
          <w:sz w:val="21"/>
          <w:szCs w:val="21"/>
          <w:color w:val="auto"/>
        </w:rPr>
        <w:t xml:space="preserve">, </w:t>
      </w:r>
      <w:r>
        <w:rPr>
          <w:rFonts w:ascii="Arial" w:cs="Arial" w:eastAsia="Arial" w:hAnsi="Arial"/>
          <w:sz w:val="21"/>
          <w:szCs w:val="21"/>
          <w:u w:val="single" w:color="auto"/>
          <w:color w:val="auto"/>
        </w:rPr>
        <w:t>2.10</w:t>
      </w:r>
      <w:r>
        <w:rPr>
          <w:rFonts w:ascii="Arial" w:cs="Arial" w:eastAsia="Arial" w:hAnsi="Arial"/>
          <w:sz w:val="21"/>
          <w:szCs w:val="21"/>
          <w:color w:val="auto"/>
        </w:rPr>
        <w:t xml:space="preserve">, </w:t>
      </w:r>
      <w:r>
        <w:rPr>
          <w:rFonts w:ascii="Arial" w:cs="Arial" w:eastAsia="Arial" w:hAnsi="Arial"/>
          <w:sz w:val="21"/>
          <w:szCs w:val="21"/>
          <w:u w:val="single" w:color="auto"/>
          <w:color w:val="auto"/>
        </w:rPr>
        <w:t>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15.03</w:t>
      </w:r>
      <w:r>
        <w:rPr>
          <w:rFonts w:ascii="Arial" w:cs="Arial" w:eastAsia="Arial" w:hAnsi="Arial"/>
          <w:sz w:val="21"/>
          <w:szCs w:val="21"/>
          <w:color w:val="auto"/>
        </w:rPr>
        <w:t xml:space="preserve">, </w:t>
      </w:r>
      <w:r>
        <w:rPr>
          <w:rFonts w:ascii="Arial" w:cs="Arial" w:eastAsia="Arial" w:hAnsi="Arial"/>
          <w:sz w:val="21"/>
          <w:szCs w:val="21"/>
          <w:u w:val="single" w:color="auto"/>
          <w:color w:val="auto"/>
        </w:rPr>
        <w:t>15.04</w:t>
      </w:r>
      <w:r>
        <w:rPr>
          <w:rFonts w:ascii="Arial" w:cs="Arial" w:eastAsia="Arial" w:hAnsi="Arial"/>
          <w:sz w:val="21"/>
          <w:szCs w:val="21"/>
          <w:color w:val="auto"/>
        </w:rPr>
        <w:t xml:space="preserve">, </w:t>
      </w:r>
      <w:r>
        <w:rPr>
          <w:rFonts w:ascii="Arial" w:cs="Arial" w:eastAsia="Arial" w:hAnsi="Arial"/>
          <w:sz w:val="21"/>
          <w:szCs w:val="21"/>
          <w:u w:val="single" w:color="auto"/>
          <w:color w:val="auto"/>
        </w:rPr>
        <w:t>15.09</w:t>
      </w:r>
      <w:r>
        <w:rPr>
          <w:rFonts w:ascii="Arial" w:cs="Arial" w:eastAsia="Arial" w:hAnsi="Arial"/>
          <w:sz w:val="21"/>
          <w:szCs w:val="21"/>
          <w:color w:val="auto"/>
        </w:rPr>
        <w:t xml:space="preserve">, </w:t>
      </w:r>
      <w:r>
        <w:rPr>
          <w:rFonts w:ascii="Arial" w:cs="Arial" w:eastAsia="Arial" w:hAnsi="Arial"/>
          <w:sz w:val="21"/>
          <w:szCs w:val="21"/>
          <w:u w:val="single" w:color="auto"/>
          <w:color w:val="auto"/>
        </w:rPr>
        <w:t>15.16</w:t>
      </w:r>
      <w:r>
        <w:rPr>
          <w:rFonts w:ascii="Arial" w:cs="Arial" w:eastAsia="Arial" w:hAnsi="Arial"/>
          <w:sz w:val="21"/>
          <w:szCs w:val="21"/>
          <w:color w:val="auto"/>
        </w:rPr>
        <w:t xml:space="preserve">, </w:t>
      </w:r>
      <w:r>
        <w:rPr>
          <w:rFonts w:ascii="Arial" w:cs="Arial" w:eastAsia="Arial" w:hAnsi="Arial"/>
          <w:sz w:val="21"/>
          <w:szCs w:val="21"/>
          <w:u w:val="single" w:color="auto"/>
          <w:color w:val="auto"/>
        </w:rPr>
        <w:t>15.18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15.19</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15.11</w:t>
      </w:r>
      <w:r>
        <w:rPr>
          <w:rFonts w:ascii="Arial" w:cs="Arial" w:eastAsia="Arial" w:hAnsi="Arial"/>
          <w:sz w:val="21"/>
          <w:szCs w:val="21"/>
          <w:color w:val="auto"/>
        </w:rPr>
        <w:t xml:space="preserve"> shall survive the termination of this Agreement in whole or in part and the payment in full of the principal of and interest on the Advances.</w:t>
      </w:r>
    </w:p>
    <w:p>
      <w:pPr>
        <w:spacing w:after="0" w:line="286" w:lineRule="exact"/>
        <w:rPr>
          <w:sz w:val="20"/>
          <w:szCs w:val="20"/>
          <w:color w:val="auto"/>
        </w:rPr>
      </w:pPr>
    </w:p>
    <w:p>
      <w:pPr>
        <w:ind w:left="340"/>
        <w:spacing w:after="0"/>
        <w:tabs>
          <w:tab w:leader="none" w:pos="1820" w:val="left"/>
          <w:tab w:leader="none" w:pos="5620" w:val="left"/>
        </w:tabs>
        <w:rPr>
          <w:sz w:val="20"/>
          <w:szCs w:val="20"/>
          <w:color w:val="auto"/>
        </w:rPr>
      </w:pPr>
      <w:r>
        <w:rPr>
          <w:rFonts w:ascii="Arial" w:cs="Arial" w:eastAsia="Arial" w:hAnsi="Arial"/>
          <w:sz w:val="22"/>
          <w:szCs w:val="22"/>
          <w:i w:val="1"/>
          <w:iCs w:val="1"/>
          <w:color w:val="auto"/>
        </w:rPr>
        <w:t>Section 15.12.</w:t>
        <w:tab/>
        <w:t>Submission to Jurisdiction; Waivers; Etc.</w:t>
      </w:r>
      <w:r>
        <w:rPr>
          <w:sz w:val="20"/>
          <w:szCs w:val="20"/>
          <w:color w:val="auto"/>
        </w:rPr>
        <w:tab/>
      </w:r>
      <w:r>
        <w:rPr>
          <w:rFonts w:ascii="Arial" w:cs="Arial" w:eastAsia="Arial" w:hAnsi="Arial"/>
          <w:sz w:val="19"/>
          <w:szCs w:val="19"/>
          <w:color w:val="auto"/>
        </w:rPr>
        <w:t>Each party hereto hereby irrevocably and unconditionally:</w:t>
      </w:r>
    </w:p>
    <w:p>
      <w:pPr>
        <w:spacing w:after="0" w:line="314" w:lineRule="exact"/>
        <w:rPr>
          <w:sz w:val="20"/>
          <w:szCs w:val="20"/>
          <w:color w:val="auto"/>
        </w:rPr>
      </w:pPr>
    </w:p>
    <w:p>
      <w:pPr>
        <w:jc w:val="both"/>
        <w:ind w:left="800" w:firstLine="934"/>
        <w:spacing w:after="0" w:line="287" w:lineRule="auto"/>
        <w:tabs>
          <w:tab w:leader="none" w:pos="2332" w:val="left"/>
        </w:tabs>
        <w:numPr>
          <w:ilvl w:val="0"/>
          <w:numId w:val="283"/>
        </w:numPr>
        <w:rPr>
          <w:rFonts w:ascii="Arial" w:cs="Arial" w:eastAsia="Arial" w:hAnsi="Arial"/>
          <w:sz w:val="19"/>
          <w:szCs w:val="19"/>
          <w:color w:val="auto"/>
        </w:rPr>
      </w:pPr>
      <w:r>
        <w:rPr>
          <w:rFonts w:ascii="Arial" w:cs="Arial" w:eastAsia="Arial" w:hAnsi="Arial"/>
          <w:sz w:val="19"/>
          <w:szCs w:val="19"/>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County of New York, the courts of the United States of America for the Southern District of New York, and the appellate courts of any of them;</w:t>
      </w:r>
    </w:p>
    <w:p>
      <w:pPr>
        <w:spacing w:after="0" w:line="250" w:lineRule="exact"/>
        <w:rPr>
          <w:rFonts w:ascii="Arial" w:cs="Arial" w:eastAsia="Arial" w:hAnsi="Arial"/>
          <w:sz w:val="19"/>
          <w:szCs w:val="19"/>
          <w:color w:val="auto"/>
        </w:rPr>
      </w:pPr>
    </w:p>
    <w:p>
      <w:pPr>
        <w:jc w:val="both"/>
        <w:ind w:left="800" w:firstLine="934"/>
        <w:spacing w:after="0" w:line="238" w:lineRule="auto"/>
        <w:tabs>
          <w:tab w:leader="none" w:pos="2292" w:val="left"/>
        </w:tabs>
        <w:numPr>
          <w:ilvl w:val="0"/>
          <w:numId w:val="283"/>
        </w:numPr>
        <w:rPr>
          <w:rFonts w:ascii="Arial" w:cs="Arial" w:eastAsia="Arial" w:hAnsi="Arial"/>
          <w:sz w:val="22"/>
          <w:szCs w:val="22"/>
          <w:color w:val="auto"/>
        </w:rPr>
      </w:pPr>
      <w:r>
        <w:rPr>
          <w:rFonts w:ascii="Arial" w:cs="Arial" w:eastAsia="Arial" w:hAnsi="Arial"/>
          <w:sz w:val="22"/>
          <w:szCs w:val="22"/>
          <w:color w:val="auto"/>
        </w:rPr>
        <w:t xml:space="preserve">consents that any such action or proceeding may be brought in any court described in </w:t>
      </w:r>
      <w:r>
        <w:rPr>
          <w:rFonts w:ascii="Arial" w:cs="Arial" w:eastAsia="Arial" w:hAnsi="Arial"/>
          <w:sz w:val="22"/>
          <w:szCs w:val="22"/>
          <w:u w:val="single" w:color="auto"/>
          <w:color w:val="auto"/>
        </w:rPr>
        <w:t>Section 15.12(a)</w:t>
      </w:r>
      <w:r>
        <w:rPr>
          <w:rFonts w:ascii="Arial" w:cs="Arial" w:eastAsia="Arial" w:hAnsi="Arial"/>
          <w:sz w:val="22"/>
          <w:szCs w:val="22"/>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240"/>
          </w:cols>
          <w:pgMar w:left="320" w:top="267" w:right="339" w:bottom="1440" w:gutter="0" w:footer="0" w:header="0"/>
        </w:sectPr>
      </w:pPr>
    </w:p>
    <w:bookmarkStart w:id="195" w:name="page196"/>
    <w:bookmarkEnd w:id="195"/>
    <w:p>
      <w:pPr>
        <w:jc w:val="both"/>
        <w:ind w:left="800" w:firstLine="934"/>
        <w:spacing w:after="0" w:line="257" w:lineRule="auto"/>
        <w:tabs>
          <w:tab w:leader="none" w:pos="2375" w:val="left"/>
        </w:tabs>
        <w:numPr>
          <w:ilvl w:val="0"/>
          <w:numId w:val="284"/>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21"/>
          <w:szCs w:val="21"/>
          <w:u w:val="single" w:color="auto"/>
          <w:color w:val="auto"/>
        </w:rPr>
        <w:t>Section 15.02</w:t>
      </w:r>
      <w:r>
        <w:rPr>
          <w:rFonts w:ascii="Arial" w:cs="Arial" w:eastAsia="Arial" w:hAnsi="Arial"/>
          <w:sz w:val="21"/>
          <w:szCs w:val="21"/>
          <w:color w:val="auto"/>
        </w:rPr>
        <w:t xml:space="preserve"> or at such other address as may be permitted thereunder;</w:t>
      </w:r>
    </w:p>
    <w:p>
      <w:pPr>
        <w:spacing w:after="0" w:line="277" w:lineRule="exact"/>
        <w:rPr>
          <w:rFonts w:ascii="Arial" w:cs="Arial" w:eastAsia="Arial" w:hAnsi="Arial"/>
          <w:sz w:val="21"/>
          <w:szCs w:val="21"/>
          <w:color w:val="auto"/>
        </w:rPr>
      </w:pPr>
    </w:p>
    <w:p>
      <w:pPr>
        <w:ind w:left="800" w:firstLine="934"/>
        <w:spacing w:after="0" w:line="250" w:lineRule="auto"/>
        <w:tabs>
          <w:tab w:leader="none" w:pos="2455" w:val="left"/>
        </w:tabs>
        <w:numPr>
          <w:ilvl w:val="0"/>
          <w:numId w:val="284"/>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and</w:t>
      </w:r>
    </w:p>
    <w:p>
      <w:pPr>
        <w:spacing w:after="0" w:line="282" w:lineRule="exact"/>
        <w:rPr>
          <w:rFonts w:ascii="Arial" w:cs="Arial" w:eastAsia="Arial" w:hAnsi="Arial"/>
          <w:sz w:val="22"/>
          <w:szCs w:val="22"/>
          <w:color w:val="auto"/>
        </w:rPr>
      </w:pPr>
    </w:p>
    <w:p>
      <w:pPr>
        <w:jc w:val="both"/>
        <w:ind w:left="800" w:firstLine="934"/>
        <w:spacing w:after="0" w:line="287" w:lineRule="auto"/>
        <w:tabs>
          <w:tab w:leader="none" w:pos="2283" w:val="left"/>
        </w:tabs>
        <w:numPr>
          <w:ilvl w:val="0"/>
          <w:numId w:val="284"/>
        </w:numPr>
        <w:rPr>
          <w:rFonts w:ascii="Arial" w:cs="Arial" w:eastAsia="Arial" w:hAnsi="Arial"/>
          <w:sz w:val="19"/>
          <w:szCs w:val="19"/>
          <w:color w:val="auto"/>
        </w:rPr>
      </w:pPr>
      <w:r>
        <w:rPr>
          <w:rFonts w:ascii="Arial" w:cs="Arial" w:eastAsia="Arial" w:hAnsi="Arial"/>
          <w:sz w:val="19"/>
          <w:szCs w:val="19"/>
          <w:color w:val="auto"/>
        </w:rPr>
        <w:t>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251" w:lineRule="exact"/>
        <w:rPr>
          <w:sz w:val="20"/>
          <w:szCs w:val="20"/>
          <w:color w:val="auto"/>
        </w:rPr>
      </w:pPr>
    </w:p>
    <w:p>
      <w:pPr>
        <w:jc w:val="both"/>
        <w:ind w:firstLine="337"/>
        <w:spacing w:after="0" w:line="246" w:lineRule="auto"/>
        <w:rPr>
          <w:sz w:val="20"/>
          <w:szCs w:val="20"/>
          <w:color w:val="auto"/>
        </w:rPr>
      </w:pPr>
      <w:r>
        <w:rPr>
          <w:rFonts w:ascii="Arial" w:cs="Arial" w:eastAsia="Arial" w:hAnsi="Arial"/>
          <w:sz w:val="22"/>
          <w:szCs w:val="22"/>
          <w:i w:val="1"/>
          <w:iCs w:val="1"/>
          <w:color w:val="auto"/>
        </w:rPr>
        <w:t>Section 15.13. Waiver of Jury Trial</w:t>
      </w:r>
      <w:r>
        <w:rPr>
          <w:rFonts w:ascii="Arial" w:cs="Arial" w:eastAsia="Arial" w:hAnsi="Arial"/>
          <w:sz w:val="22"/>
          <w:szCs w:val="22"/>
          <w:color w:val="auto"/>
        </w:rPr>
        <w:t>. E</w:t>
      </w:r>
      <w:r>
        <w:rPr>
          <w:rFonts w:ascii="Arial" w:cs="Arial" w:eastAsia="Arial" w:hAnsi="Arial"/>
          <w:sz w:val="17"/>
          <w:szCs w:val="17"/>
          <w:color w:val="auto"/>
        </w:rPr>
        <w:t>ACH OF THE PARTIES HERETO HEREBY IRREVOCABLY AND UNCONDITIONALLY</w:t>
      </w:r>
      <w:r>
        <w:rPr>
          <w:rFonts w:ascii="Arial" w:cs="Arial" w:eastAsia="Arial" w:hAnsi="Arial"/>
          <w:sz w:val="22"/>
          <w:szCs w:val="22"/>
          <w:i w:val="1"/>
          <w:iCs w:val="1"/>
          <w:color w:val="auto"/>
        </w:rPr>
        <w:t xml:space="preserve"> </w:t>
      </w:r>
      <w:r>
        <w:rPr>
          <w:rFonts w:ascii="Arial" w:cs="Arial" w:eastAsia="Arial" w:hAnsi="Arial"/>
          <w:sz w:val="17"/>
          <w:szCs w:val="17"/>
          <w:color w:val="auto"/>
        </w:rPr>
        <w:t xml:space="preserve">WAIVES TRIAL BY JURY IN ANY LEGAL ACTION OR PROCEEDING RELATING TO THIS </w:t>
      </w:r>
      <w:r>
        <w:rPr>
          <w:rFonts w:ascii="Arial" w:cs="Arial" w:eastAsia="Arial" w:hAnsi="Arial"/>
          <w:sz w:val="21"/>
          <w:szCs w:val="21"/>
          <w:color w:val="auto"/>
        </w:rPr>
        <w:t>A</w:t>
      </w:r>
      <w:r>
        <w:rPr>
          <w:rFonts w:ascii="Arial" w:cs="Arial" w:eastAsia="Arial" w:hAnsi="Arial"/>
          <w:sz w:val="17"/>
          <w:szCs w:val="17"/>
          <w:color w:val="auto"/>
        </w:rPr>
        <w:t xml:space="preserve">GREEMENT OR ANY OTHER </w:t>
      </w:r>
      <w:r>
        <w:rPr>
          <w:rFonts w:ascii="Arial" w:cs="Arial" w:eastAsia="Arial" w:hAnsi="Arial"/>
          <w:sz w:val="21"/>
          <w:szCs w:val="21"/>
          <w:color w:val="auto"/>
        </w:rPr>
        <w:t>F</w:t>
      </w:r>
      <w:r>
        <w:rPr>
          <w:rFonts w:ascii="Arial" w:cs="Arial" w:eastAsia="Arial" w:hAnsi="Arial"/>
          <w:sz w:val="17"/>
          <w:szCs w:val="17"/>
          <w:color w:val="auto"/>
        </w:rPr>
        <w:t xml:space="preserve">ACILITY </w:t>
      </w:r>
      <w:r>
        <w:rPr>
          <w:rFonts w:ascii="Arial" w:cs="Arial" w:eastAsia="Arial" w:hAnsi="Arial"/>
          <w:sz w:val="21"/>
          <w:szCs w:val="21"/>
          <w:color w:val="auto"/>
        </w:rPr>
        <w:t>D</w:t>
      </w:r>
      <w:r>
        <w:rPr>
          <w:rFonts w:ascii="Arial" w:cs="Arial" w:eastAsia="Arial" w:hAnsi="Arial"/>
          <w:sz w:val="17"/>
          <w:szCs w:val="17"/>
          <w:color w:val="auto"/>
        </w:rPr>
        <w:t>OCUMENT OR FOR ANY COUNTERCLAIM THEREIN OR RELATING THERETO</w:t>
      </w:r>
      <w:r>
        <w:rPr>
          <w:rFonts w:ascii="Arial" w:cs="Arial" w:eastAsia="Arial" w:hAnsi="Arial"/>
          <w:sz w:val="21"/>
          <w:szCs w:val="21"/>
          <w:color w:val="auto"/>
        </w:rPr>
        <w:t>.</w:t>
      </w:r>
    </w:p>
    <w:p>
      <w:pPr>
        <w:spacing w:after="0" w:line="287" w:lineRule="exact"/>
        <w:rPr>
          <w:sz w:val="20"/>
          <w:szCs w:val="20"/>
          <w:color w:val="auto"/>
        </w:rPr>
      </w:pPr>
    </w:p>
    <w:p>
      <w:pPr>
        <w:jc w:val="both"/>
        <w:ind w:firstLine="337"/>
        <w:spacing w:after="0"/>
        <w:rPr>
          <w:sz w:val="20"/>
          <w:szCs w:val="20"/>
          <w:color w:val="auto"/>
        </w:rPr>
      </w:pPr>
      <w:r>
        <w:rPr>
          <w:rFonts w:ascii="Arial" w:cs="Arial" w:eastAsia="Arial" w:hAnsi="Arial"/>
          <w:sz w:val="22"/>
          <w:szCs w:val="22"/>
          <w:i w:val="1"/>
          <w:iCs w:val="1"/>
          <w:color w:val="auto"/>
        </w:rPr>
        <w:t>Section 15.14. Service of Process</w:t>
      </w:r>
      <w:r>
        <w:rPr>
          <w:rFonts w:ascii="Arial" w:cs="Arial" w:eastAsia="Arial" w:hAnsi="Arial"/>
          <w:sz w:val="22"/>
          <w:szCs w:val="22"/>
          <w:color w:val="auto"/>
        </w:rPr>
        <w:t>. If the Borrower fails at any time to maintain a business office within the State of New</w:t>
      </w:r>
      <w:r>
        <w:rPr>
          <w:rFonts w:ascii="Arial" w:cs="Arial" w:eastAsia="Arial" w:hAnsi="Arial"/>
          <w:sz w:val="22"/>
          <w:szCs w:val="22"/>
          <w:i w:val="1"/>
          <w:iCs w:val="1"/>
          <w:color w:val="auto"/>
        </w:rPr>
        <w:t xml:space="preserve"> </w:t>
      </w:r>
      <w:r>
        <w:rPr>
          <w:rFonts w:ascii="Arial" w:cs="Arial" w:eastAsia="Arial" w:hAnsi="Arial"/>
          <w:sz w:val="22"/>
          <w:szCs w:val="22"/>
          <w:color w:val="auto"/>
        </w:rPr>
        <w:t>York, it shall immediately (but no later than five (5) Business Days following such occurrence) (i) notify the Administrative Agent and (ii) appoint a process agent in accordance with the procedure set forth below.</w:t>
      </w:r>
    </w:p>
    <w:p>
      <w:pPr>
        <w:spacing w:after="0" w:line="294" w:lineRule="exact"/>
        <w:rPr>
          <w:sz w:val="20"/>
          <w:szCs w:val="20"/>
          <w:color w:val="auto"/>
        </w:rPr>
      </w:pPr>
    </w:p>
    <w:p>
      <w:pPr>
        <w:jc w:val="both"/>
        <w:ind w:firstLine="786"/>
        <w:spacing w:after="0" w:line="271" w:lineRule="auto"/>
        <w:rPr>
          <w:sz w:val="20"/>
          <w:szCs w:val="20"/>
          <w:color w:val="auto"/>
        </w:rPr>
      </w:pPr>
      <w:r>
        <w:rPr>
          <w:rFonts w:ascii="Arial" w:cs="Arial" w:eastAsia="Arial" w:hAnsi="Arial"/>
          <w:sz w:val="19"/>
          <w:szCs w:val="19"/>
          <w:color w:val="auto"/>
        </w:rPr>
        <w:t xml:space="preserve">The Borrower shall irrevocably designate, appoint and empower an agent (the </w:t>
      </w:r>
      <w:r>
        <w:rPr>
          <w:rFonts w:ascii="Arial" w:cs="Arial" w:eastAsia="Arial" w:hAnsi="Arial"/>
          <w:sz w:val="19"/>
          <w:szCs w:val="19"/>
          <w:i w:val="1"/>
          <w:iCs w:val="1"/>
          <w:color w:val="auto"/>
        </w:rPr>
        <w:t>“Process Agent”</w:t>
      </w:r>
      <w:r>
        <w:rPr>
          <w:rFonts w:ascii="Arial" w:cs="Arial" w:eastAsia="Arial" w:hAnsi="Arial"/>
          <w:sz w:val="19"/>
          <w:szCs w:val="19"/>
          <w:color w:val="auto"/>
        </w:rPr>
        <w:t xml:space="preserve">), with an office in New York, New York,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Arial" w:cs="Arial" w:eastAsia="Arial" w:hAnsi="Arial"/>
          <w:sz w:val="19"/>
          <w:szCs w:val="19"/>
          <w:u w:val="single" w:color="auto"/>
          <w:color w:val="auto"/>
        </w:rPr>
        <w:t>Section 15.12</w:t>
      </w:r>
      <w:r>
        <w:rPr>
          <w:rFonts w:ascii="Arial" w:cs="Arial" w:eastAsia="Arial" w:hAnsi="Arial"/>
          <w:sz w:val="19"/>
          <w:szCs w:val="19"/>
          <w:color w:val="auto"/>
        </w:rPr>
        <w:t xml:space="preserve">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w:t>
      </w:r>
      <w:r>
        <w:rPr>
          <w:rFonts w:ascii="Arial" w:cs="Arial" w:eastAsia="Arial" w:hAnsi="Arial"/>
          <w:sz w:val="19"/>
          <w:szCs w:val="19"/>
          <w:u w:val="single" w:color="auto"/>
          <w:color w:val="auto"/>
        </w:rPr>
        <w:t>Section 15.14</w:t>
      </w:r>
      <w:r>
        <w:rPr>
          <w:rFonts w:ascii="Arial" w:cs="Arial" w:eastAsia="Arial" w:hAnsi="Arial"/>
          <w:sz w:val="19"/>
          <w:szCs w:val="19"/>
          <w:color w:val="auto"/>
        </w:rPr>
        <w:t xml:space="preserve">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Arial" w:cs="Arial" w:eastAsia="Arial" w:hAnsi="Arial"/>
          <w:sz w:val="19"/>
          <w:szCs w:val="19"/>
          <w:u w:val="single" w:color="auto"/>
          <w:color w:val="auto"/>
        </w:rPr>
        <w:t>Section 15.14</w:t>
      </w:r>
      <w:r>
        <w:rPr>
          <w:rFonts w:ascii="Arial" w:cs="Arial" w:eastAsia="Arial" w:hAnsi="Arial"/>
          <w:sz w:val="19"/>
          <w:szCs w:val="19"/>
          <w:color w:val="auto"/>
        </w:rPr>
        <w:t>. The Borrower agrees that the failure of the Process Agent to give any notice 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240"/>
          </w:cols>
          <w:pgMar w:left="320" w:top="267" w:right="339" w:bottom="1440" w:gutter="0" w:footer="0" w:header="0"/>
        </w:sectPr>
      </w:pPr>
    </w:p>
    <w:bookmarkStart w:id="196" w:name="page197"/>
    <w:bookmarkEnd w:id="196"/>
    <w:p>
      <w:pPr>
        <w:jc w:val="both"/>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266" w:lineRule="exact"/>
        <w:rPr>
          <w:sz w:val="20"/>
          <w:szCs w:val="20"/>
          <w:color w:val="auto"/>
        </w:rPr>
      </w:pPr>
    </w:p>
    <w:p>
      <w:pPr>
        <w:jc w:val="both"/>
        <w:ind w:firstLine="337"/>
        <w:spacing w:after="0" w:line="274" w:lineRule="auto"/>
        <w:rPr>
          <w:sz w:val="20"/>
          <w:szCs w:val="20"/>
          <w:color w:val="auto"/>
        </w:rPr>
      </w:pPr>
      <w:r>
        <w:rPr>
          <w:rFonts w:ascii="Arial" w:cs="Arial" w:eastAsia="Arial" w:hAnsi="Arial"/>
          <w:sz w:val="21"/>
          <w:szCs w:val="21"/>
          <w:i w:val="1"/>
          <w:iCs w:val="1"/>
          <w:color w:val="auto"/>
        </w:rPr>
        <w:t>Section 15.15. Waiver of Setoff</w:t>
      </w:r>
      <w:r>
        <w:rPr>
          <w:rFonts w:ascii="Arial" w:cs="Arial" w:eastAsia="Arial" w:hAnsi="Arial"/>
          <w:sz w:val="21"/>
          <w:szCs w:val="21"/>
          <w:color w:val="auto"/>
        </w:rPr>
        <w:t>. Each of the Borrowers and the Collateral Manager hereby waives any right of setoff it may</w:t>
      </w:r>
      <w:r>
        <w:rPr>
          <w:rFonts w:ascii="Arial" w:cs="Arial" w:eastAsia="Arial" w:hAnsi="Arial"/>
          <w:sz w:val="21"/>
          <w:szCs w:val="21"/>
          <w:i w:val="1"/>
          <w:iCs w:val="1"/>
          <w:color w:val="auto"/>
        </w:rPr>
        <w:t xml:space="preserve"> </w:t>
      </w:r>
      <w:r>
        <w:rPr>
          <w:rFonts w:ascii="Arial" w:cs="Arial" w:eastAsia="Arial" w:hAnsi="Arial"/>
          <w:sz w:val="21"/>
          <w:szCs w:val="21"/>
          <w:color w:val="auto"/>
        </w:rPr>
        <w:t>have or to which it may be entitled under this Agreement from time to time against any Lender or its assets.</w:t>
      </w:r>
    </w:p>
    <w:p>
      <w:pPr>
        <w:spacing w:after="0" w:line="259" w:lineRule="exact"/>
        <w:rPr>
          <w:sz w:val="20"/>
          <w:szCs w:val="20"/>
          <w:color w:val="auto"/>
        </w:rPr>
      </w:pPr>
    </w:p>
    <w:p>
      <w:pPr>
        <w:jc w:val="both"/>
        <w:ind w:firstLine="337"/>
        <w:spacing w:after="0" w:line="246" w:lineRule="auto"/>
        <w:rPr>
          <w:sz w:val="20"/>
          <w:szCs w:val="20"/>
          <w:color w:val="auto"/>
        </w:rPr>
      </w:pPr>
      <w:r>
        <w:rPr>
          <w:rFonts w:ascii="Arial" w:cs="Arial" w:eastAsia="Arial" w:hAnsi="Arial"/>
          <w:sz w:val="21"/>
          <w:szCs w:val="21"/>
          <w:i w:val="1"/>
          <w:iCs w:val="1"/>
          <w:color w:val="auto"/>
        </w:rPr>
        <w:t>Section 15.16. PATRIOT Act Notice</w:t>
      </w:r>
      <w:r>
        <w:rPr>
          <w:rFonts w:ascii="Arial" w:cs="Arial" w:eastAsia="Arial" w:hAnsi="Arial"/>
          <w:sz w:val="21"/>
          <w:szCs w:val="21"/>
          <w:color w:val="auto"/>
        </w:rPr>
        <w:t>. Each Lender and each of the Administrative Agent, the Collateral Agent,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Custodian and the Backup Collateral Manager hereby notifies the Borrower that pursuant to the requirements of the USA PATRIOT Act (Title III of Pub. L. 107-56 (signed into law on October 26, 2001)) (the </w:t>
      </w:r>
      <w:r>
        <w:rPr>
          <w:rFonts w:ascii="Arial" w:cs="Arial" w:eastAsia="Arial" w:hAnsi="Arial"/>
          <w:sz w:val="21"/>
          <w:szCs w:val="21"/>
          <w:i w:val="1"/>
          <w:iCs w:val="1"/>
          <w:color w:val="auto"/>
        </w:rPr>
        <w:t>“PATRIOT Act”</w:t>
      </w:r>
      <w:r>
        <w:rPr>
          <w:rFonts w:ascii="Arial" w:cs="Arial" w:eastAsia="Arial" w:hAnsi="Arial"/>
          <w:sz w:val="21"/>
          <w:szCs w:val="21"/>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292" w:lineRule="exact"/>
        <w:rPr>
          <w:sz w:val="20"/>
          <w:szCs w:val="20"/>
          <w:color w:val="auto"/>
        </w:rPr>
      </w:pPr>
    </w:p>
    <w:p>
      <w:pPr>
        <w:jc w:val="both"/>
        <w:ind w:firstLine="337"/>
        <w:spacing w:after="0" w:line="282" w:lineRule="auto"/>
        <w:rPr>
          <w:sz w:val="20"/>
          <w:szCs w:val="20"/>
          <w:color w:val="auto"/>
        </w:rPr>
      </w:pPr>
      <w:r>
        <w:rPr>
          <w:rFonts w:ascii="Arial" w:cs="Arial" w:eastAsia="Arial" w:hAnsi="Arial"/>
          <w:sz w:val="19"/>
          <w:szCs w:val="19"/>
          <w:i w:val="1"/>
          <w:iCs w:val="1"/>
          <w:color w:val="auto"/>
        </w:rPr>
        <w:t>Section 15.17. Legal Holidays</w:t>
      </w:r>
      <w:r>
        <w:rPr>
          <w:rFonts w:ascii="Arial" w:cs="Arial" w:eastAsia="Arial" w:hAnsi="Arial"/>
          <w:sz w:val="19"/>
          <w:szCs w:val="19"/>
          <w:color w:val="auto"/>
        </w:rPr>
        <w:t>. In the event that the date of any Payment Date, date of prepayment or Final Maturity Date</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be a Business 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255" w:lineRule="exact"/>
        <w:rPr>
          <w:sz w:val="20"/>
          <w:szCs w:val="20"/>
          <w:color w:val="auto"/>
        </w:rPr>
      </w:pPr>
    </w:p>
    <w:p>
      <w:pPr>
        <w:jc w:val="both"/>
        <w:ind w:firstLine="337"/>
        <w:spacing w:after="0" w:line="279" w:lineRule="auto"/>
        <w:rPr>
          <w:sz w:val="20"/>
          <w:szCs w:val="20"/>
          <w:color w:val="auto"/>
        </w:rPr>
      </w:pPr>
      <w:r>
        <w:rPr>
          <w:rFonts w:ascii="Arial" w:cs="Arial" w:eastAsia="Arial" w:hAnsi="Arial"/>
          <w:sz w:val="19"/>
          <w:szCs w:val="19"/>
          <w:i w:val="1"/>
          <w:iCs w:val="1"/>
          <w:color w:val="auto"/>
        </w:rPr>
        <w:t>Section 15.18. Non-Petition</w:t>
      </w:r>
      <w:r>
        <w:rPr>
          <w:rFonts w:ascii="Arial" w:cs="Arial" w:eastAsia="Arial" w:hAnsi="Arial"/>
          <w:sz w:val="19"/>
          <w:szCs w:val="19"/>
          <w:color w:val="auto"/>
        </w:rPr>
        <w:t>. The Collateral Manager, the Collateral Agent, the Collateral Administrator, the Backup</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Collateral Manager and the 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w:t>
      </w:r>
      <w:r>
        <w:rPr>
          <w:rFonts w:ascii="Arial" w:cs="Arial" w:eastAsia="Arial" w:hAnsi="Arial"/>
          <w:sz w:val="19"/>
          <w:szCs w:val="19"/>
          <w:u w:val="single" w:color="auto"/>
          <w:color w:val="auto"/>
        </w:rPr>
        <w:t>Section 15.18</w:t>
      </w:r>
      <w:r>
        <w:rPr>
          <w:rFonts w:ascii="Arial" w:cs="Arial" w:eastAsia="Arial" w:hAnsi="Arial"/>
          <w:sz w:val="19"/>
          <w:szCs w:val="19"/>
          <w:color w:val="auto"/>
        </w:rPr>
        <w:t xml:space="preserve"> shall survive the termination of this Agreement.</w:t>
      </w:r>
    </w:p>
    <w:p>
      <w:pPr>
        <w:spacing w:after="0" w:line="258" w:lineRule="exact"/>
        <w:rPr>
          <w:sz w:val="20"/>
          <w:szCs w:val="20"/>
          <w:color w:val="auto"/>
        </w:rPr>
      </w:pPr>
    </w:p>
    <w:p>
      <w:pPr>
        <w:jc w:val="both"/>
        <w:ind w:firstLine="337"/>
        <w:spacing w:after="0" w:line="250" w:lineRule="auto"/>
        <w:rPr>
          <w:sz w:val="20"/>
          <w:szCs w:val="20"/>
          <w:color w:val="auto"/>
        </w:rPr>
      </w:pPr>
      <w:r>
        <w:rPr>
          <w:rFonts w:ascii="Arial" w:cs="Arial" w:eastAsia="Arial" w:hAnsi="Arial"/>
          <w:sz w:val="22"/>
          <w:szCs w:val="22"/>
          <w:i w:val="1"/>
          <w:iCs w:val="1"/>
          <w:color w:val="auto"/>
        </w:rPr>
        <w:t>Section 15.19. CP Conduit Provisions</w:t>
      </w:r>
      <w:r>
        <w:rPr>
          <w:rFonts w:ascii="Arial" w:cs="Arial" w:eastAsia="Arial" w:hAnsi="Arial"/>
          <w:sz w:val="22"/>
          <w:szCs w:val="22"/>
          <w:color w:val="auto"/>
        </w:rPr>
        <w:t>. (a)</w:t>
      </w:r>
      <w:r>
        <w:rPr>
          <w:rFonts w:ascii="Arial" w:cs="Arial" w:eastAsia="Arial" w:hAnsi="Arial"/>
          <w:sz w:val="22"/>
          <w:szCs w:val="22"/>
          <w:i w:val="1"/>
          <w:iCs w:val="1"/>
          <w:color w:val="auto"/>
        </w:rPr>
        <w:t xml:space="preserve"> No Proceedings</w:t>
      </w:r>
      <w:r>
        <w:rPr>
          <w:rFonts w:ascii="Arial" w:cs="Arial" w:eastAsia="Arial" w:hAnsi="Arial"/>
          <w:sz w:val="22"/>
          <w:szCs w:val="22"/>
          <w:color w:val="auto"/>
        </w:rPr>
        <w:t>. Each party hereto agrees, for the benefit of the holders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privately or publicly placed indebtedness for borrowed money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1240"/>
          </w:cols>
          <w:pgMar w:left="320" w:top="267" w:right="339" w:bottom="1440" w:gutter="0" w:footer="0" w:header="0"/>
        </w:sectPr>
      </w:pPr>
    </w:p>
    <w:bookmarkStart w:id="197" w:name="page198"/>
    <w:bookmarkEnd w:id="197"/>
    <w:p>
      <w:pPr>
        <w:jc w:val="both"/>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 Bankruptcy Code), (ii) appointing a receiver, liquidator, assignee, trustee, custodian, sequestrator or other similar official for such CP Conduit, or any substantial part of its property, or</w:t>
      </w:r>
    </w:p>
    <w:p>
      <w:pPr>
        <w:spacing w:after="0" w:line="4" w:lineRule="exact"/>
        <w:rPr>
          <w:sz w:val="20"/>
          <w:szCs w:val="20"/>
          <w:color w:val="auto"/>
        </w:rPr>
      </w:pPr>
    </w:p>
    <w:p>
      <w:pPr>
        <w:ind w:right="20" w:firstLine="8"/>
        <w:spacing w:after="0" w:line="236" w:lineRule="auto"/>
        <w:tabs>
          <w:tab w:leader="none" w:pos="378" w:val="left"/>
        </w:tabs>
        <w:numPr>
          <w:ilvl w:val="0"/>
          <w:numId w:val="285"/>
        </w:numPr>
        <w:rPr>
          <w:rFonts w:ascii="Arial" w:cs="Arial" w:eastAsia="Arial" w:hAnsi="Arial"/>
          <w:sz w:val="22"/>
          <w:szCs w:val="22"/>
          <w:color w:val="auto"/>
        </w:rPr>
      </w:pPr>
      <w:r>
        <w:rPr>
          <w:rFonts w:ascii="Arial" w:cs="Arial" w:eastAsia="Arial" w:hAnsi="Arial"/>
          <w:sz w:val="22"/>
          <w:szCs w:val="22"/>
          <w:color w:val="auto"/>
        </w:rPr>
        <w:t xml:space="preserve">ordering the winding up or liquidation of the affairs of such CP Conduit. The provisions of this </w:t>
      </w:r>
      <w:r>
        <w:rPr>
          <w:rFonts w:ascii="Arial" w:cs="Arial" w:eastAsia="Arial" w:hAnsi="Arial"/>
          <w:sz w:val="22"/>
          <w:szCs w:val="22"/>
          <w:u w:val="single" w:color="auto"/>
          <w:color w:val="auto"/>
        </w:rPr>
        <w:t>Section 15.19(a)</w:t>
      </w:r>
      <w:r>
        <w:rPr>
          <w:rFonts w:ascii="Arial" w:cs="Arial" w:eastAsia="Arial" w:hAnsi="Arial"/>
          <w:sz w:val="22"/>
          <w:szCs w:val="22"/>
          <w:color w:val="auto"/>
        </w:rPr>
        <w:t xml:space="preserve"> shall survive the termination of this Agreement.</w:t>
      </w:r>
    </w:p>
    <w:p>
      <w:pPr>
        <w:spacing w:after="0" w:line="294" w:lineRule="exact"/>
        <w:rPr>
          <w:rFonts w:ascii="Arial" w:cs="Arial" w:eastAsia="Arial" w:hAnsi="Arial"/>
          <w:sz w:val="22"/>
          <w:szCs w:val="22"/>
          <w:color w:val="auto"/>
        </w:rPr>
      </w:pPr>
    </w:p>
    <w:p>
      <w:pPr>
        <w:jc w:val="both"/>
        <w:ind w:firstLine="794"/>
        <w:spacing w:after="0" w:line="273" w:lineRule="auto"/>
        <w:tabs>
          <w:tab w:leader="none" w:pos="1335" w:val="left"/>
        </w:tabs>
        <w:numPr>
          <w:ilvl w:val="1"/>
          <w:numId w:val="285"/>
        </w:numPr>
        <w:rPr>
          <w:rFonts w:ascii="Arial" w:cs="Arial" w:eastAsia="Arial" w:hAnsi="Arial"/>
          <w:sz w:val="19"/>
          <w:szCs w:val="19"/>
          <w:color w:val="auto"/>
        </w:rPr>
      </w:pPr>
      <w:r>
        <w:rPr>
          <w:rFonts w:ascii="Arial" w:cs="Arial" w:eastAsia="Arial" w:hAnsi="Arial"/>
          <w:sz w:val="19"/>
          <w:szCs w:val="19"/>
          <w:i w:val="1"/>
          <w:iCs w:val="1"/>
          <w:color w:val="auto"/>
        </w:rPr>
        <w:t>Excess Funds</w:t>
      </w:r>
      <w:r>
        <w:rPr>
          <w:rFonts w:ascii="Arial" w:cs="Arial" w:eastAsia="Arial" w:hAnsi="Arial"/>
          <w:sz w:val="19"/>
          <w:szCs w:val="19"/>
          <w:color w:val="auto"/>
        </w:rPr>
        <w:t>. Notwithstanding any provisions contained in this Agreement to the contrary, no CP Conduit party</w:t>
      </w:r>
      <w:r>
        <w:rPr>
          <w:rFonts w:ascii="Arial" w:cs="Arial" w:eastAsia="Arial" w:hAnsi="Arial"/>
          <w:sz w:val="19"/>
          <w:szCs w:val="19"/>
          <w:i w:val="1"/>
          <w:iCs w:val="1"/>
          <w:color w:val="auto"/>
        </w:rPr>
        <w:t xml:space="preserve"> </w:t>
      </w:r>
      <w:r>
        <w:rPr>
          <w:rFonts w:ascii="Arial" w:cs="Arial" w:eastAsia="Arial" w:hAnsi="Arial"/>
          <w:sz w:val="19"/>
          <w:szCs w:val="19"/>
          <w:color w:val="auto"/>
        </w:rPr>
        <w:t>hereto shall, nor shall be obligated to, pay any amount pursuant to this Agreement unless (i) such CP Conduit has received funds which may be used to make such payment and which funds are not required to repay its commercial paper notes when due and</w:t>
      </w:r>
    </w:p>
    <w:p>
      <w:pPr>
        <w:spacing w:after="0" w:line="1" w:lineRule="exact"/>
        <w:rPr>
          <w:rFonts w:ascii="Arial" w:cs="Arial" w:eastAsia="Arial" w:hAnsi="Arial"/>
          <w:sz w:val="19"/>
          <w:szCs w:val="19"/>
          <w:color w:val="auto"/>
        </w:rPr>
      </w:pPr>
    </w:p>
    <w:p>
      <w:pPr>
        <w:jc w:val="both"/>
        <w:ind w:firstLine="8"/>
        <w:spacing w:after="0" w:line="271" w:lineRule="auto"/>
        <w:tabs>
          <w:tab w:leader="none" w:pos="341"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w:t>
      </w:r>
      <w:r>
        <w:rPr>
          <w:rFonts w:ascii="Arial" w:cs="Arial" w:eastAsia="Arial" w:hAnsi="Arial"/>
          <w:sz w:val="19"/>
          <w:szCs w:val="19"/>
          <w:u w:val="single" w:color="auto"/>
          <w:color w:val="auto"/>
        </w:rPr>
        <w:t>clauses (i) and (ii)</w:t>
      </w:r>
      <w:r>
        <w:rPr>
          <w:rFonts w:ascii="Arial" w:cs="Arial" w:eastAsia="Arial" w:hAnsi="Arial"/>
          <w:sz w:val="19"/>
          <w:szCs w:val="19"/>
          <w:color w:val="auto"/>
        </w:rPr>
        <w:t xml:space="preserve"> above. Notwithstanding the foregoing, if such CP Conduit would (but for the operation of this </w:t>
      </w:r>
      <w:r>
        <w:rPr>
          <w:rFonts w:ascii="Arial" w:cs="Arial" w:eastAsia="Arial" w:hAnsi="Arial"/>
          <w:sz w:val="19"/>
          <w:szCs w:val="19"/>
          <w:u w:val="single" w:color="auto"/>
          <w:color w:val="auto"/>
        </w:rPr>
        <w:t>Section 15.19</w:t>
      </w:r>
      <w:r>
        <w:rPr>
          <w:rFonts w:ascii="Arial" w:cs="Arial" w:eastAsia="Arial" w:hAnsi="Arial"/>
          <w:sz w:val="19"/>
          <w:szCs w:val="19"/>
          <w:color w:val="auto"/>
        </w:rPr>
        <w:t xml:space="preserve">) be obligated to fund any Advance hereunder, or make any other payment hereunder (including, without limitation, under </w:t>
      </w:r>
      <w:r>
        <w:rPr>
          <w:rFonts w:ascii="Arial" w:cs="Arial" w:eastAsia="Arial" w:hAnsi="Arial"/>
          <w:sz w:val="19"/>
          <w:szCs w:val="19"/>
          <w:u w:val="single" w:color="auto"/>
          <w:color w:val="auto"/>
        </w:rPr>
        <w:t>Section 12.04</w:t>
      </w:r>
      <w:r>
        <w:rPr>
          <w:rFonts w:ascii="Arial" w:cs="Arial" w:eastAsia="Arial" w:hAnsi="Arial"/>
          <w:sz w:val="19"/>
          <w:szCs w:val="19"/>
          <w:color w:val="auto"/>
        </w:rPr>
        <w:t xml:space="preserve">),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w:t>
      </w:r>
      <w:r>
        <w:rPr>
          <w:rFonts w:ascii="Arial" w:cs="Arial" w:eastAsia="Arial" w:hAnsi="Arial"/>
          <w:sz w:val="19"/>
          <w:szCs w:val="19"/>
          <w:u w:val="single" w:color="auto"/>
          <w:color w:val="auto"/>
        </w:rPr>
        <w:t>Section 15.19(b)</w:t>
      </w:r>
      <w:r>
        <w:rPr>
          <w:rFonts w:ascii="Arial" w:cs="Arial" w:eastAsia="Arial" w:hAnsi="Arial"/>
          <w:sz w:val="19"/>
          <w:szCs w:val="19"/>
          <w:color w:val="auto"/>
        </w:rPr>
        <w:t xml:space="preserve"> will survive the termination of this Agreement.</w:t>
      </w:r>
    </w:p>
    <w:p>
      <w:pPr>
        <w:spacing w:after="0" w:line="265" w:lineRule="exact"/>
        <w:rPr>
          <w:rFonts w:ascii="Arial" w:cs="Arial" w:eastAsia="Arial" w:hAnsi="Arial"/>
          <w:sz w:val="19"/>
          <w:szCs w:val="19"/>
          <w:color w:val="auto"/>
        </w:rPr>
      </w:pPr>
    </w:p>
    <w:p>
      <w:pPr>
        <w:jc w:val="both"/>
        <w:ind w:firstLine="794"/>
        <w:spacing w:after="0" w:line="238" w:lineRule="auto"/>
        <w:tabs>
          <w:tab w:leader="none" w:pos="1458" w:val="left"/>
        </w:tabs>
        <w:numPr>
          <w:ilvl w:val="1"/>
          <w:numId w:val="286"/>
        </w:numPr>
        <w:rPr>
          <w:rFonts w:ascii="Arial" w:cs="Arial" w:eastAsia="Arial" w:hAnsi="Arial"/>
          <w:sz w:val="22"/>
          <w:szCs w:val="22"/>
          <w:color w:val="auto"/>
        </w:rPr>
      </w:pPr>
      <w:r>
        <w:rPr>
          <w:rFonts w:ascii="Arial" w:cs="Arial" w:eastAsia="Arial" w:hAnsi="Arial"/>
          <w:sz w:val="22"/>
          <w:szCs w:val="22"/>
          <w:i w:val="1"/>
          <w:iCs w:val="1"/>
          <w:color w:val="auto"/>
        </w:rPr>
        <w:t>Funding</w:t>
      </w:r>
      <w:r>
        <w:rPr>
          <w:rFonts w:ascii="Arial" w:cs="Arial" w:eastAsia="Arial" w:hAnsi="Arial"/>
          <w:sz w:val="22"/>
          <w:szCs w:val="22"/>
          <w:color w:val="auto"/>
        </w:rPr>
        <w:t>. For the avoidance of doubt, it is understood and agreed that (i) any CP Conduit that is a Lender</w:t>
      </w:r>
      <w:r>
        <w:rPr>
          <w:rFonts w:ascii="Arial" w:cs="Arial" w:eastAsia="Arial" w:hAnsi="Arial"/>
          <w:sz w:val="22"/>
          <w:szCs w:val="22"/>
          <w:i w:val="1"/>
          <w:iCs w:val="1"/>
          <w:color w:val="auto"/>
        </w:rPr>
        <w:t xml:space="preserve"> </w:t>
      </w:r>
      <w:r>
        <w:rPr>
          <w:rFonts w:ascii="Arial" w:cs="Arial" w:eastAsia="Arial" w:hAnsi="Arial"/>
          <w:sz w:val="22"/>
          <w:szCs w:val="22"/>
          <w:color w:val="auto"/>
        </w:rPr>
        <w:t>hereunder shall not be obligated to fund any Advance through the issuance of commercial paper and (ii) any committed Lender related to a CP Conduit or any affiliate of such committed Lender may purchase the commercial paper issued by such CP Conduit.</w:t>
      </w:r>
    </w:p>
    <w:p>
      <w:pPr>
        <w:spacing w:after="0" w:line="293" w:lineRule="exact"/>
        <w:rPr>
          <w:sz w:val="20"/>
          <w:szCs w:val="20"/>
          <w:color w:val="auto"/>
        </w:rPr>
      </w:pPr>
    </w:p>
    <w:p>
      <w:pPr>
        <w:jc w:val="both"/>
        <w:ind w:firstLine="337"/>
        <w:spacing w:after="0" w:line="250" w:lineRule="auto"/>
        <w:rPr>
          <w:sz w:val="20"/>
          <w:szCs w:val="20"/>
          <w:color w:val="auto"/>
        </w:rPr>
      </w:pPr>
      <w:r>
        <w:rPr>
          <w:rFonts w:ascii="Arial" w:cs="Arial" w:eastAsia="Arial" w:hAnsi="Arial"/>
          <w:sz w:val="22"/>
          <w:szCs w:val="22"/>
          <w:i w:val="1"/>
          <w:iCs w:val="1"/>
          <w:color w:val="auto"/>
        </w:rPr>
        <w:t>Section 15.20. Third Party Beneficiary</w:t>
      </w:r>
      <w:r>
        <w:rPr>
          <w:rFonts w:ascii="Arial" w:cs="Arial" w:eastAsia="Arial" w:hAnsi="Arial"/>
          <w:sz w:val="22"/>
          <w:szCs w:val="22"/>
          <w:color w:val="auto"/>
        </w:rPr>
        <w:t>. The BDC shall be an express third party beneficiary of this Agreement with a right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enforce the provisions of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that inure to its benefit.</w:t>
      </w:r>
    </w:p>
    <w:p>
      <w:pPr>
        <w:spacing w:after="0" w:line="283" w:lineRule="exact"/>
        <w:rPr>
          <w:sz w:val="20"/>
          <w:szCs w:val="20"/>
          <w:color w:val="auto"/>
        </w:rPr>
      </w:pPr>
    </w:p>
    <w:p>
      <w:pPr>
        <w:jc w:val="both"/>
        <w:ind w:firstLine="337"/>
        <w:spacing w:after="0" w:line="236" w:lineRule="auto"/>
        <w:rPr>
          <w:sz w:val="20"/>
          <w:szCs w:val="20"/>
          <w:color w:val="auto"/>
        </w:rPr>
      </w:pPr>
      <w:r>
        <w:rPr>
          <w:rFonts w:ascii="Arial" w:cs="Arial" w:eastAsia="Arial" w:hAnsi="Arial"/>
          <w:sz w:val="22"/>
          <w:szCs w:val="22"/>
          <w:i w:val="1"/>
          <w:iCs w:val="1"/>
          <w:color w:val="auto"/>
        </w:rPr>
        <w:t>Section 15.21. Amendment and Restatement</w:t>
      </w:r>
      <w:r>
        <w:rPr>
          <w:rFonts w:ascii="Arial" w:cs="Arial" w:eastAsia="Arial" w:hAnsi="Arial"/>
          <w:sz w:val="22"/>
          <w:szCs w:val="22"/>
          <w:color w:val="auto"/>
        </w:rPr>
        <w:t>. This Agreement shall become effective on the Third Restatement Effective</w:t>
      </w:r>
      <w:r>
        <w:rPr>
          <w:rFonts w:ascii="Arial" w:cs="Arial" w:eastAsia="Arial" w:hAnsi="Arial"/>
          <w:sz w:val="22"/>
          <w:szCs w:val="22"/>
          <w:i w:val="1"/>
          <w:iCs w:val="1"/>
          <w:color w:val="auto"/>
        </w:rPr>
        <w:t xml:space="preserve"> </w:t>
      </w:r>
      <w:r>
        <w:rPr>
          <w:rFonts w:ascii="Arial" w:cs="Arial" w:eastAsia="Arial" w:hAnsi="Arial"/>
          <w:sz w:val="22"/>
          <w:szCs w:val="22"/>
          <w:color w:val="auto"/>
        </w:rPr>
        <w:t>Date and shall supersede all provisions of the Original Agreement, the Amended and Restated Agreement and the Second Amended and Restated Agreement as of such date. All outstanding Obligations under the Second Amended and Restated Agreement on the Third Restatement Effective Date (and which have not been repaid on the Third Restatement Effective Date) shall continue to remain outstanding under this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240"/>
          </w:cols>
          <w:pgMar w:left="320" w:top="267" w:right="339" w:bottom="1440" w:gutter="0" w:footer="0" w:header="0"/>
        </w:sectPr>
      </w:pPr>
    </w:p>
    <w:bookmarkStart w:id="198" w:name="page199"/>
    <w:bookmarkEnd w:id="198"/>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From and after the date hereof, all references made to the Original Agreement, the Amended and Restated Agreement and the Second Amended and Restated Agreement in any Financing Document or in any other instrument or document shall, without more, be deemed to refer to this Agreement.</w:t>
      </w:r>
    </w:p>
    <w:p>
      <w:pPr>
        <w:spacing w:after="0" w:line="294" w:lineRule="exact"/>
        <w:rPr>
          <w:sz w:val="20"/>
          <w:szCs w:val="20"/>
          <w:color w:val="auto"/>
        </w:rPr>
      </w:pPr>
    </w:p>
    <w:p>
      <w:pPr>
        <w:jc w:val="both"/>
        <w:ind w:firstLine="337"/>
        <w:spacing w:after="0" w:line="270" w:lineRule="auto"/>
        <w:rPr>
          <w:sz w:val="20"/>
          <w:szCs w:val="20"/>
          <w:color w:val="auto"/>
        </w:rPr>
      </w:pPr>
      <w:r>
        <w:rPr>
          <w:rFonts w:ascii="Arial" w:cs="Arial" w:eastAsia="Arial" w:hAnsi="Arial"/>
          <w:sz w:val="19"/>
          <w:szCs w:val="19"/>
          <w:i w:val="1"/>
          <w:iCs w:val="1"/>
          <w:color w:val="auto"/>
        </w:rPr>
        <w:t xml:space="preserve">Section 15.22. No Fiduciary Duty. </w:t>
      </w:r>
      <w:r>
        <w:rPr>
          <w:rFonts w:ascii="Arial" w:cs="Arial" w:eastAsia="Arial" w:hAnsi="Arial"/>
          <w:sz w:val="19"/>
          <w:szCs w:val="19"/>
          <w:color w:val="auto"/>
        </w:rPr>
        <w:t>The Administrative Agent, each Lender and their Affiliates (collectively, solely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purposes of this paragraph, the </w:t>
      </w:r>
      <w:r>
        <w:rPr>
          <w:rFonts w:ascii="Arial" w:cs="Arial" w:eastAsia="Arial" w:hAnsi="Arial"/>
          <w:sz w:val="19"/>
          <w:szCs w:val="19"/>
          <w:i w:val="1"/>
          <w:iCs w:val="1"/>
          <w:color w:val="auto"/>
        </w:rPr>
        <w:t>“Lenders”</w:t>
      </w:r>
      <w:r>
        <w:rPr>
          <w:rFonts w:ascii="Arial" w:cs="Arial" w:eastAsia="Arial" w:hAnsi="Arial"/>
          <w:sz w:val="19"/>
          <w:szCs w:val="19"/>
          <w:color w:val="auto"/>
        </w:rPr>
        <w:t xml:space="preserve">), may have economic interests that conflict with those of the Credit Parties, their stockholders and/or their affiliates. The Borrower, the Collateral Manager and the BDC (collectively, solely for purposes of this paragraph, the </w:t>
      </w:r>
      <w:r>
        <w:rPr>
          <w:rFonts w:ascii="Arial" w:cs="Arial" w:eastAsia="Arial" w:hAnsi="Arial"/>
          <w:sz w:val="19"/>
          <w:szCs w:val="19"/>
          <w:i w:val="1"/>
          <w:iCs w:val="1"/>
          <w:color w:val="auto"/>
        </w:rPr>
        <w:t>“Credit Parties”</w:t>
      </w:r>
      <w:r>
        <w:rPr>
          <w:rFonts w:ascii="Arial" w:cs="Arial" w:eastAsia="Arial" w:hAnsi="Arial"/>
          <w:sz w:val="19"/>
          <w:szCs w:val="19"/>
          <w:color w:val="auto"/>
        </w:rPr>
        <w:t>) each agree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Facility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274" w:lineRule="exact"/>
        <w:rPr>
          <w:sz w:val="20"/>
          <w:szCs w:val="20"/>
          <w:color w:val="auto"/>
        </w:rPr>
      </w:pPr>
    </w:p>
    <w:p>
      <w:pPr>
        <w:jc w:val="both"/>
        <w:ind w:firstLine="337"/>
        <w:spacing w:after="0" w:line="275" w:lineRule="auto"/>
        <w:rPr>
          <w:sz w:val="20"/>
          <w:szCs w:val="20"/>
          <w:color w:val="auto"/>
        </w:rPr>
      </w:pPr>
      <w:r>
        <w:rPr>
          <w:rFonts w:ascii="Arial" w:cs="Arial" w:eastAsia="Arial" w:hAnsi="Arial"/>
          <w:sz w:val="19"/>
          <w:szCs w:val="19"/>
          <w:i w:val="1"/>
          <w:iCs w:val="1"/>
          <w:color w:val="auto"/>
        </w:rPr>
        <w:t xml:space="preserve">Section 15.23. Sharing of Payments by Lenders. </w:t>
      </w:r>
      <w:r>
        <w:rPr>
          <w:rFonts w:ascii="Arial" w:cs="Arial" w:eastAsia="Arial" w:hAnsi="Arial"/>
          <w:sz w:val="19"/>
          <w:szCs w:val="19"/>
          <w:color w:val="auto"/>
        </w:rPr>
        <w:t>If any Lender shall, by exercising any right of setoff or counterclaim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265" w:lineRule="exact"/>
        <w:rPr>
          <w:sz w:val="20"/>
          <w:szCs w:val="20"/>
          <w:color w:val="auto"/>
        </w:rPr>
      </w:pPr>
    </w:p>
    <w:p>
      <w:pPr>
        <w:jc w:val="both"/>
        <w:ind w:left="800" w:firstLine="934"/>
        <w:spacing w:after="0"/>
        <w:tabs>
          <w:tab w:leader="none" w:pos="2357"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294" w:lineRule="exact"/>
        <w:rPr>
          <w:rFonts w:ascii="Arial" w:cs="Arial" w:eastAsia="Arial" w:hAnsi="Arial"/>
          <w:sz w:val="22"/>
          <w:szCs w:val="22"/>
          <w:color w:val="auto"/>
        </w:rPr>
      </w:pPr>
    </w:p>
    <w:p>
      <w:pPr>
        <w:jc w:val="both"/>
        <w:ind w:left="800" w:firstLine="934"/>
        <w:spacing w:after="0" w:line="287" w:lineRule="auto"/>
        <w:tabs>
          <w:tab w:leader="none" w:pos="2279"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240"/>
          </w:cols>
          <w:pgMar w:left="320" w:top="267" w:right="339" w:bottom="1440" w:gutter="0" w:footer="0" w:header="0"/>
        </w:sectPr>
      </w:pPr>
    </w:p>
    <w:bookmarkStart w:id="199" w:name="page200"/>
    <w:bookmarkEnd w:id="199"/>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93" w:lineRule="exact"/>
        <w:rPr>
          <w:sz w:val="20"/>
          <w:szCs w:val="20"/>
          <w:color w:val="auto"/>
        </w:rPr>
      </w:pPr>
    </w:p>
    <w:p>
      <w:pPr>
        <w:jc w:val="both"/>
        <w:ind w:firstLine="786"/>
        <w:spacing w:after="0" w:line="270" w:lineRule="auto"/>
        <w:rPr>
          <w:sz w:val="20"/>
          <w:szCs w:val="20"/>
          <w:color w:val="auto"/>
        </w:rPr>
      </w:pPr>
      <w:r>
        <w:rPr>
          <w:rFonts w:ascii="Arial" w:cs="Arial" w:eastAsia="Arial" w:hAnsi="Arial"/>
          <w:sz w:val="19"/>
          <w:szCs w:val="19"/>
          <w:i w:val="1"/>
          <w:iCs w:val="1"/>
          <w:color w:val="auto"/>
        </w:rPr>
        <w:t xml:space="preserve">Section 15.24. Judgment Currency. </w:t>
      </w:r>
      <w:r>
        <w:rPr>
          <w:rFonts w:ascii="Arial" w:cs="Arial" w:eastAsia="Arial" w:hAnsi="Arial"/>
          <w:sz w:val="19"/>
          <w:szCs w:val="19"/>
          <w:color w:val="auto"/>
        </w:rPr>
        <w:t>This is an international loan transaction in which the specification of Dollars or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Agreed Foreign Currency, as the case may be (the </w:t>
      </w:r>
      <w:r>
        <w:rPr>
          <w:rFonts w:ascii="Arial" w:cs="Arial" w:eastAsia="Arial" w:hAnsi="Arial"/>
          <w:sz w:val="19"/>
          <w:szCs w:val="19"/>
          <w:i w:val="1"/>
          <w:iCs w:val="1"/>
          <w:color w:val="auto"/>
        </w:rPr>
        <w:t>“Specified Currency”</w:t>
      </w:r>
      <w:r>
        <w:rPr>
          <w:rFonts w:ascii="Arial" w:cs="Arial" w:eastAsia="Arial" w:hAnsi="Arial"/>
          <w:sz w:val="19"/>
          <w:szCs w:val="19"/>
          <w:color w:val="auto"/>
        </w:rPr>
        <w:t xml:space="preserve">), and payment in New York City, New York or the country of the Specified Currency, as the case may be (the </w:t>
      </w:r>
      <w:r>
        <w:rPr>
          <w:rFonts w:ascii="Arial" w:cs="Arial" w:eastAsia="Arial" w:hAnsi="Arial"/>
          <w:sz w:val="19"/>
          <w:szCs w:val="19"/>
          <w:i w:val="1"/>
          <w:iCs w:val="1"/>
          <w:color w:val="auto"/>
        </w:rPr>
        <w:t>“Specified Place”</w:t>
      </w:r>
      <w:r>
        <w:rPr>
          <w:rFonts w:ascii="Arial" w:cs="Arial" w:eastAsia="Arial" w:hAnsi="Arial"/>
          <w:sz w:val="19"/>
          <w:szCs w:val="19"/>
          <w:color w:val="auto"/>
        </w:rPr>
        <w:t xml:space="preserve">), is of the essence, and the Specified Currency shall be the currency of account in all events relating to Advances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9"/>
          <w:szCs w:val="19"/>
          <w:i w:val="1"/>
          <w:iCs w:val="1"/>
          <w:color w:val="auto"/>
        </w:rPr>
        <w:t>“Second Currency”</w:t>
      </w:r>
      <w:r>
        <w:rPr>
          <w:rFonts w:ascii="Arial" w:cs="Arial" w:eastAsia="Arial" w:hAnsi="Arial"/>
          <w:sz w:val="19"/>
          <w:szCs w:val="19"/>
          <w:color w:val="auto"/>
        </w:rPr>
        <w:t xml:space="preserve">),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Facility Document (in this Section called an </w:t>
      </w:r>
      <w:r>
        <w:rPr>
          <w:rFonts w:ascii="Arial" w:cs="Arial" w:eastAsia="Arial" w:hAnsi="Arial"/>
          <w:sz w:val="19"/>
          <w:szCs w:val="19"/>
          <w:i w:val="1"/>
          <w:iCs w:val="1"/>
          <w:color w:val="auto"/>
        </w:rPr>
        <w:t>“Entitled Person”</w:t>
      </w:r>
      <w:r>
        <w:rPr>
          <w:rFonts w:ascii="Arial" w:cs="Arial" w:eastAsia="Arial" w:hAnsi="Arial"/>
          <w:sz w:val="19"/>
          <w:szCs w:val="19"/>
          <w:color w:val="auto"/>
        </w:rPr>
        <w:t xml:space="preserve">)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(but subject to the provisos set forth in </w:t>
      </w:r>
      <w:r>
        <w:rPr>
          <w:rFonts w:ascii="Arial" w:cs="Arial" w:eastAsia="Arial" w:hAnsi="Arial"/>
          <w:sz w:val="19"/>
          <w:szCs w:val="19"/>
          <w:u w:val="single" w:color="auto"/>
          <w:color w:val="auto"/>
        </w:rPr>
        <w:t>Section 15.04(b)</w:t>
      </w:r>
      <w:r>
        <w:rPr>
          <w:rFonts w:ascii="Arial" w:cs="Arial" w:eastAsia="Arial" w:hAnsi="Arial"/>
          <w:sz w:val="19"/>
          <w:szCs w:val="19"/>
          <w:color w:val="auto"/>
        </w:rPr>
        <w: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AGES TO</w:t>
      </w:r>
      <w:r>
        <w:rPr>
          <w:rFonts w:ascii="Arial" w:cs="Arial" w:eastAsia="Arial" w:hAnsi="Arial"/>
          <w:sz w:val="22"/>
          <w:szCs w:val="22"/>
          <w:color w:val="auto"/>
        </w:rPr>
        <w:t xml:space="preserve"> F</w:t>
      </w:r>
      <w:r>
        <w:rPr>
          <w:rFonts w:ascii="Arial" w:cs="Arial" w:eastAsia="Arial" w:hAnsi="Arial"/>
          <w:sz w:val="17"/>
          <w:szCs w:val="17"/>
          <w:color w:val="auto"/>
        </w:rPr>
        <w:t>OLLOW</w:t>
      </w:r>
      <w:r>
        <w:rPr>
          <w:rFonts w:ascii="Arial" w:cs="Arial" w:eastAsia="Arial" w:hAnsi="Arial"/>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1240"/>
          </w:cols>
          <w:pgMar w:left="320" w:top="267" w:right="339" w:bottom="1440" w:gutter="0" w:footer="0" w:header="0"/>
        </w:sectPr>
      </w:pPr>
    </w:p>
    <w:bookmarkStart w:id="200" w:name="page201"/>
    <w:bookmarkEnd w:id="200"/>
    <w:p>
      <w:pPr>
        <w:ind w:firstLine="786"/>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7"/>
          <w:szCs w:val="17"/>
          <w:color w:val="auto"/>
        </w:rPr>
        <w:t>N</w:t>
      </w:r>
      <w:r>
        <w:rPr>
          <w:rFonts w:ascii="Arial" w:cs="Arial" w:eastAsia="Arial" w:hAnsi="Arial"/>
          <w:sz w:val="22"/>
          <w:szCs w:val="22"/>
          <w:color w:val="auto"/>
        </w:rPr>
        <w:t xml:space="preserve"> W</w:t>
      </w:r>
      <w:r>
        <w:rPr>
          <w:rFonts w:ascii="Arial" w:cs="Arial" w:eastAsia="Arial" w:hAnsi="Arial"/>
          <w:sz w:val="17"/>
          <w:szCs w:val="17"/>
          <w:color w:val="auto"/>
        </w:rPr>
        <w:t>ITNESS</w:t>
      </w:r>
      <w:r>
        <w:rPr>
          <w:rFonts w:ascii="Arial" w:cs="Arial" w:eastAsia="Arial" w:hAnsi="Arial"/>
          <w:sz w:val="22"/>
          <w:szCs w:val="22"/>
          <w:color w:val="auto"/>
        </w:rPr>
        <w:t xml:space="preserve"> W</w:t>
      </w:r>
      <w:r>
        <w:rPr>
          <w:rFonts w:ascii="Arial" w:cs="Arial" w:eastAsia="Arial" w:hAnsi="Arial"/>
          <w:sz w:val="17"/>
          <w:szCs w:val="17"/>
          <w:color w:val="auto"/>
        </w:rPr>
        <w:t>HEREOF</w:t>
      </w:r>
      <w:r>
        <w:rPr>
          <w:rFonts w:ascii="Arial" w:cs="Arial" w:eastAsia="Arial" w:hAnsi="Arial"/>
          <w:sz w:val="22"/>
          <w:szCs w:val="22"/>
          <w:color w:val="auto"/>
        </w:rPr>
        <w:t>, the parties hereto have caused this Agreement to be executed by their respective officers thereunto duly authorized, as of the date first above written.</w:t>
      </w:r>
    </w:p>
    <w:p>
      <w:pPr>
        <w:spacing w:after="0" w:line="323"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F</w:t>
      </w:r>
      <w:r>
        <w:rPr>
          <w:rFonts w:ascii="Arial" w:cs="Arial" w:eastAsia="Arial" w:hAnsi="Arial"/>
          <w:sz w:val="17"/>
          <w:szCs w:val="17"/>
          <w:color w:val="auto"/>
        </w:rPr>
        <w:t>LOATING</w:t>
      </w:r>
      <w:r>
        <w:rPr>
          <w:rFonts w:ascii="Arial" w:cs="Arial" w:eastAsia="Arial" w:hAnsi="Arial"/>
          <w:sz w:val="22"/>
          <w:szCs w:val="22"/>
          <w:color w:val="auto"/>
        </w:rPr>
        <w:t xml:space="preserve"> R</w:t>
      </w:r>
      <w:r>
        <w:rPr>
          <w:rFonts w:ascii="Arial" w:cs="Arial" w:eastAsia="Arial" w:hAnsi="Arial"/>
          <w:sz w:val="17"/>
          <w:szCs w:val="17"/>
          <w:color w:val="auto"/>
        </w:rPr>
        <w:t>ATE</w:t>
      </w:r>
      <w:r>
        <w:rPr>
          <w:rFonts w:ascii="Arial" w:cs="Arial" w:eastAsia="Arial" w:hAnsi="Arial"/>
          <w:sz w:val="22"/>
          <w:szCs w:val="22"/>
          <w:color w:val="auto"/>
        </w:rPr>
        <w:t xml:space="preserve"> F</w:t>
      </w:r>
      <w:r>
        <w:rPr>
          <w:rFonts w:ascii="Arial" w:cs="Arial" w:eastAsia="Arial" w:hAnsi="Arial"/>
          <w:sz w:val="17"/>
          <w:szCs w:val="17"/>
          <w:color w:val="auto"/>
        </w:rPr>
        <w:t>UNDING</w:t>
      </w:r>
      <w:r>
        <w:rPr>
          <w:rFonts w:ascii="Arial" w:cs="Arial" w:eastAsia="Arial" w:hAnsi="Arial"/>
          <w:sz w:val="22"/>
          <w:szCs w:val="22"/>
          <w:color w:val="auto"/>
        </w:rPr>
        <w:t xml:space="preserve"> I, LLC,</w:t>
      </w:r>
    </w:p>
    <w:p>
      <w:pPr>
        <w:spacing w:after="0" w:line="8"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as Borrower</w:t>
      </w:r>
    </w:p>
    <w:p>
      <w:pPr>
        <w:spacing w:after="0" w:line="296" w:lineRule="exact"/>
        <w:rPr>
          <w:sz w:val="20"/>
          <w:szCs w:val="20"/>
          <w:color w:val="auto"/>
        </w:rPr>
      </w:pPr>
    </w:p>
    <w:p>
      <w:pPr>
        <w:ind w:left="6760"/>
        <w:spacing w:after="0"/>
        <w:rPr>
          <w:sz w:val="20"/>
          <w:szCs w:val="20"/>
          <w:color w:val="auto"/>
        </w:rPr>
      </w:pPr>
      <w:r>
        <w:rPr>
          <w:rFonts w:ascii="Arial" w:cs="Arial" w:eastAsia="Arial" w:hAnsi="Arial"/>
          <w:sz w:val="21"/>
          <w:szCs w:val="21"/>
          <w:color w:val="auto"/>
        </w:rPr>
        <w:t>By: PennantPark Floating Rate Capital Ltd., as</w:t>
      </w:r>
    </w:p>
    <w:p>
      <w:pPr>
        <w:spacing w:after="0" w:line="20"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Designated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64135</wp:posOffset>
            </wp:positionV>
            <wp:extent cx="1320165" cy="4540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20165" cy="45402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6985</wp:posOffset>
            </wp:positionV>
            <wp:extent cx="25800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65"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Name: Arthur Penn</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Title: CEO</w:t>
      </w:r>
    </w:p>
    <w:p>
      <w:pPr>
        <w:spacing w:after="0" w:line="29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I</w:t>
      </w:r>
      <w:r>
        <w:rPr>
          <w:rFonts w:ascii="Arial" w:cs="Arial" w:eastAsia="Arial" w:hAnsi="Arial"/>
          <w:sz w:val="17"/>
          <w:szCs w:val="17"/>
          <w:color w:val="auto"/>
        </w:rPr>
        <w:t>NVESTMENT</w:t>
      </w:r>
      <w:r>
        <w:rPr>
          <w:rFonts w:ascii="Arial" w:cs="Arial" w:eastAsia="Arial" w:hAnsi="Arial"/>
          <w:sz w:val="22"/>
          <w:szCs w:val="22"/>
          <w:color w:val="auto"/>
        </w:rPr>
        <w:t xml:space="preserve"> A</w:t>
      </w:r>
      <w:r>
        <w:rPr>
          <w:rFonts w:ascii="Arial" w:cs="Arial" w:eastAsia="Arial" w:hAnsi="Arial"/>
          <w:sz w:val="17"/>
          <w:szCs w:val="17"/>
          <w:color w:val="auto"/>
        </w:rPr>
        <w:t>DVISERS</w:t>
      </w:r>
      <w:r>
        <w:rPr>
          <w:rFonts w:ascii="Arial" w:cs="Arial" w:eastAsia="Arial" w:hAnsi="Arial"/>
          <w:sz w:val="22"/>
          <w:szCs w:val="22"/>
          <w:color w:val="auto"/>
        </w:rPr>
        <w:t>, LLC, as</w:t>
      </w:r>
    </w:p>
    <w:p>
      <w:pPr>
        <w:spacing w:after="0" w:line="8"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Collateral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64135</wp:posOffset>
            </wp:positionV>
            <wp:extent cx="1354455" cy="420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54455" cy="42037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6985</wp:posOffset>
            </wp:positionV>
            <wp:extent cx="25800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65"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Name: Arthur Penn</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Title: Managing Partner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Third Amended and Restated Revolving Credit and Security Agreement]</w:t>
      </w:r>
    </w:p>
    <w:p>
      <w:pPr>
        <w:sectPr>
          <w:pgSz w:w="11900" w:h="16838" w:orient="portrait"/>
          <w:cols w:equalWidth="0" w:num="1">
            <w:col w:w="11240"/>
          </w:cols>
          <w:pgMar w:left="320" w:top="267" w:right="339" w:bottom="1440" w:gutter="0" w:footer="0" w:header="0"/>
        </w:sectPr>
      </w:pPr>
    </w:p>
    <w:bookmarkStart w:id="201" w:name="page202"/>
    <w:bookmarkEnd w:id="201"/>
    <w:p>
      <w:pPr>
        <w:ind w:left="56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color w:val="auto"/>
        </w:rPr>
        <w:t>UN</w:t>
      </w:r>
      <w:r>
        <w:rPr>
          <w:rFonts w:ascii="Arial" w:cs="Arial" w:eastAsia="Arial" w:hAnsi="Arial"/>
          <w:sz w:val="22"/>
          <w:szCs w:val="22"/>
          <w:color w:val="auto"/>
        </w:rPr>
        <w:t>T</w:t>
      </w:r>
      <w:r>
        <w:rPr>
          <w:rFonts w:ascii="Arial" w:cs="Arial" w:eastAsia="Arial" w:hAnsi="Arial"/>
          <w:sz w:val="17"/>
          <w:szCs w:val="17"/>
          <w:color w:val="auto"/>
        </w:rPr>
        <w:t>RUST</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 as Administrative Agent</w:t>
      </w:r>
    </w:p>
    <w:p>
      <w:pPr>
        <w:spacing w:after="0" w:line="299"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 xml:space="preserve">By: </w:t>
      </w:r>
      <w:r>
        <w:rPr>
          <w:sz w:val="1"/>
          <w:szCs w:val="1"/>
          <w:color w:val="auto"/>
        </w:rPr>
        <w:drawing>
          <wp:inline distT="0" distB="0" distL="0" distR="0">
            <wp:extent cx="1791970" cy="35115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91970" cy="35115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-5715</wp:posOffset>
            </wp:positionV>
            <wp:extent cx="25800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43" w:lineRule="exact"/>
        <w:rPr>
          <w:sz w:val="20"/>
          <w:szCs w:val="20"/>
          <w:color w:val="auto"/>
        </w:rPr>
      </w:pPr>
    </w:p>
    <w:tbl>
      <w:tblPr>
        <w:tblLayout w:type="fixed"/>
        <w:tblInd w:w="5860" w:type="dxa"/>
        <w:tblCellMar>
          <w:top w:w="0" w:type="dxa"/>
          <w:left w:w="0" w:type="dxa"/>
          <w:bottom w:w="0" w:type="dxa"/>
          <w:right w:w="0" w:type="dxa"/>
        </w:tblCellMar>
      </w:tblPr>
      <w:tr>
        <w:trPr>
          <w:trHeight w:val="264"/>
        </w:trPr>
        <w:tc>
          <w:tcPr>
            <w:tcW w:w="640" w:type="dxa"/>
            <w:vAlign w:val="bottom"/>
            <w:gridSpan w:val="2"/>
          </w:tcPr>
          <w:p>
            <w:pPr>
              <w:spacing w:after="0"/>
              <w:rPr>
                <w:sz w:val="20"/>
                <w:szCs w:val="20"/>
                <w:color w:val="auto"/>
              </w:rPr>
            </w:pPr>
            <w:r>
              <w:rPr>
                <w:rFonts w:ascii="Arial" w:cs="Arial" w:eastAsia="Arial" w:hAnsi="Arial"/>
                <w:sz w:val="22"/>
                <w:szCs w:val="22"/>
                <w:color w:val="auto"/>
                <w:w w:val="95"/>
              </w:rPr>
              <w:t>Name:</w:t>
            </w:r>
          </w:p>
        </w:tc>
        <w:tc>
          <w:tcPr>
            <w:tcW w:w="3620" w:type="dxa"/>
            <w:vAlign w:val="bottom"/>
            <w:tcBorders>
              <w:bottom w:val="single" w:sz="8" w:color="auto"/>
            </w:tcBorders>
          </w:tcPr>
          <w:p>
            <w:pPr>
              <w:ind w:left="1100"/>
              <w:spacing w:after="0"/>
              <w:rPr>
                <w:sz w:val="20"/>
                <w:szCs w:val="20"/>
                <w:color w:val="auto"/>
              </w:rPr>
            </w:pPr>
            <w:r>
              <w:rPr>
                <w:rFonts w:ascii="Arial" w:cs="Arial" w:eastAsia="Arial" w:hAnsi="Arial"/>
                <w:sz w:val="22"/>
                <w:szCs w:val="22"/>
                <w:color w:val="auto"/>
              </w:rPr>
              <w:t>Pawan Churiwal</w:t>
            </w:r>
          </w:p>
        </w:tc>
      </w:tr>
      <w:tr>
        <w:trPr>
          <w:trHeight w:val="250"/>
        </w:trPr>
        <w:tc>
          <w:tcPr>
            <w:tcW w:w="500" w:type="dxa"/>
            <w:vAlign w:val="bottom"/>
          </w:tcPr>
          <w:p>
            <w:pPr>
              <w:spacing w:after="0" w:line="250" w:lineRule="exact"/>
              <w:rPr>
                <w:sz w:val="20"/>
                <w:szCs w:val="20"/>
                <w:color w:val="auto"/>
              </w:rPr>
            </w:pPr>
            <w:r>
              <w:rPr>
                <w:rFonts w:ascii="Arial" w:cs="Arial" w:eastAsia="Arial" w:hAnsi="Arial"/>
                <w:sz w:val="22"/>
                <w:szCs w:val="22"/>
                <w:color w:val="auto"/>
              </w:rPr>
              <w:t>Title:</w:t>
            </w:r>
          </w:p>
        </w:tc>
        <w:tc>
          <w:tcPr>
            <w:tcW w:w="1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ind w:left="1120"/>
              <w:spacing w:after="0" w:line="250" w:lineRule="exact"/>
              <w:rPr>
                <w:sz w:val="20"/>
                <w:szCs w:val="20"/>
                <w:color w:val="auto"/>
              </w:rPr>
            </w:pPr>
            <w:r>
              <w:rPr>
                <w:rFonts w:ascii="Arial" w:cs="Arial" w:eastAsia="Arial" w:hAnsi="Arial"/>
                <w:sz w:val="22"/>
                <w:szCs w:val="22"/>
                <w:color w:val="auto"/>
              </w:rPr>
              <w:t>Vice President</w:t>
            </w:r>
          </w:p>
        </w:tc>
      </w:tr>
    </w:tbl>
    <w:p>
      <w:pPr>
        <w:spacing w:after="0" w:line="20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[Signature Page to Third Amended and Restated Revolving Credit and Security Agreement]</w:t>
      </w:r>
    </w:p>
    <w:p>
      <w:pPr>
        <w:sectPr>
          <w:pgSz w:w="11900" w:h="16838" w:orient="portrait"/>
          <w:cols w:equalWidth="0" w:num="1">
            <w:col w:w="10120"/>
          </w:cols>
          <w:pgMar w:left="1440" w:top="267"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color w:val="auto"/>
        </w:rPr>
        <w:t>UN</w:t>
      </w:r>
      <w:r>
        <w:rPr>
          <w:rFonts w:ascii="Arial" w:cs="Arial" w:eastAsia="Arial" w:hAnsi="Arial"/>
          <w:sz w:val="22"/>
          <w:szCs w:val="22"/>
          <w:color w:val="auto"/>
        </w:rPr>
        <w:t>T</w:t>
      </w:r>
      <w:r>
        <w:rPr>
          <w:rFonts w:ascii="Arial" w:cs="Arial" w:eastAsia="Arial" w:hAnsi="Arial"/>
          <w:sz w:val="17"/>
          <w:szCs w:val="17"/>
          <w:color w:val="auto"/>
        </w:rPr>
        <w:t>RUST</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 as Lender and Swingline Lender</w:t>
      </w:r>
    </w:p>
    <w:p>
      <w:pPr>
        <w:spacing w:after="0" w:line="200" w:lineRule="exact"/>
        <w:rPr>
          <w:sz w:val="20"/>
          <w:szCs w:val="20"/>
          <w:color w:val="auto"/>
        </w:rPr>
      </w:pPr>
    </w:p>
    <w:p>
      <w:pPr>
        <w:spacing w:after="0" w:line="33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6985</wp:posOffset>
            </wp:positionV>
            <wp:extent cx="25800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4445</wp:posOffset>
            </wp:positionV>
            <wp:extent cx="22974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4445</wp:posOffset>
            </wp:positionV>
            <wp:extent cx="23831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w:t>
      </w:r>
      <w:r>
        <w:rPr>
          <w:rFonts w:ascii="Arial" w:cs="Arial" w:eastAsia="Arial" w:hAnsi="Arial"/>
          <w:sz w:val="17"/>
          <w:szCs w:val="17"/>
          <w:color w:val="auto"/>
        </w:rPr>
        <w:t>OLDMAN</w:t>
      </w:r>
      <w:r>
        <w:rPr>
          <w:rFonts w:ascii="Arial" w:cs="Arial" w:eastAsia="Arial" w:hAnsi="Arial"/>
          <w:sz w:val="22"/>
          <w:szCs w:val="22"/>
          <w:color w:val="auto"/>
        </w:rPr>
        <w:t xml:space="preserve"> S</w:t>
      </w:r>
      <w:r>
        <w:rPr>
          <w:rFonts w:ascii="Arial" w:cs="Arial" w:eastAsia="Arial" w:hAnsi="Arial"/>
          <w:sz w:val="17"/>
          <w:szCs w:val="17"/>
          <w:color w:val="auto"/>
        </w:rPr>
        <w:t>ACHS</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 xml:space="preserve"> USA,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187325</wp:posOffset>
            </wp:positionV>
            <wp:extent cx="1534795" cy="522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3479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6985</wp:posOffset>
            </wp:positionV>
            <wp:extent cx="25800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65"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Jamie Minieri</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Authorized Signatory</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M</w:t>
      </w:r>
      <w:r>
        <w:rPr>
          <w:rFonts w:ascii="Arial" w:cs="Arial" w:eastAsia="Arial" w:hAnsi="Arial"/>
          <w:sz w:val="17"/>
          <w:szCs w:val="17"/>
          <w:color w:val="auto"/>
        </w:rPr>
        <w:t>ORGAN</w:t>
      </w:r>
      <w:r>
        <w:rPr>
          <w:rFonts w:ascii="Arial" w:cs="Arial" w:eastAsia="Arial" w:hAnsi="Arial"/>
          <w:sz w:val="22"/>
          <w:szCs w:val="22"/>
          <w:color w:val="auto"/>
        </w:rPr>
        <w:t xml:space="preserve"> S</w:t>
      </w:r>
      <w:r>
        <w:rPr>
          <w:rFonts w:ascii="Arial" w:cs="Arial" w:eastAsia="Arial" w:hAnsi="Arial"/>
          <w:sz w:val="17"/>
          <w:szCs w:val="17"/>
          <w:color w:val="auto"/>
        </w:rPr>
        <w:t>TANLEY</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 N.A., as Lender</w:t>
      </w:r>
    </w:p>
    <w:p>
      <w:pPr>
        <w:spacing w:after="0" w:line="200" w:lineRule="exact"/>
        <w:rPr>
          <w:sz w:val="20"/>
          <w:szCs w:val="20"/>
          <w:color w:val="auto"/>
        </w:rPr>
      </w:pPr>
    </w:p>
    <w:p>
      <w:pPr>
        <w:spacing w:after="0" w:line="33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6985</wp:posOffset>
            </wp:positionV>
            <wp:extent cx="25800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4445</wp:posOffset>
            </wp:positionV>
            <wp:extent cx="22974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4445</wp:posOffset>
            </wp:positionV>
            <wp:extent cx="23831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as Collateral</w:t>
      </w:r>
    </w:p>
    <w:p>
      <w:pPr>
        <w:spacing w:after="0" w:line="20"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Agent</w:t>
      </w:r>
    </w:p>
    <w:p>
      <w:pPr>
        <w:spacing w:after="0" w:line="200" w:lineRule="exact"/>
        <w:rPr>
          <w:sz w:val="20"/>
          <w:szCs w:val="20"/>
          <w:color w:val="auto"/>
        </w:rPr>
      </w:pPr>
    </w:p>
    <w:p>
      <w:pPr>
        <w:spacing w:after="0" w:line="31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6985</wp:posOffset>
            </wp:positionV>
            <wp:extent cx="25800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4445</wp:posOffset>
            </wp:positionV>
            <wp:extent cx="22974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4445</wp:posOffset>
            </wp:positionV>
            <wp:extent cx="23831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U.S. B</w:t>
      </w:r>
      <w:r>
        <w:rPr>
          <w:rFonts w:ascii="Arial" w:cs="Arial" w:eastAsia="Arial" w:hAnsi="Arial"/>
          <w:sz w:val="17"/>
          <w:szCs w:val="17"/>
          <w:color w:val="auto"/>
        </w:rPr>
        <w:t>ANK</w:t>
      </w:r>
      <w:r>
        <w:rPr>
          <w:rFonts w:ascii="Arial" w:cs="Arial" w:eastAsia="Arial" w:hAnsi="Arial"/>
          <w:sz w:val="22"/>
          <w:szCs w:val="22"/>
          <w:color w:val="auto"/>
        </w:rPr>
        <w:t xml:space="preserve"> N</w:t>
      </w:r>
      <w:r>
        <w:rPr>
          <w:rFonts w:ascii="Arial" w:cs="Arial" w:eastAsia="Arial" w:hAnsi="Arial"/>
          <w:sz w:val="17"/>
          <w:szCs w:val="17"/>
          <w:color w:val="auto"/>
        </w:rPr>
        <w:t>ATIONAL</w:t>
      </w:r>
      <w:r>
        <w:rPr>
          <w:rFonts w:ascii="Arial" w:cs="Arial" w:eastAsia="Arial" w:hAnsi="Arial"/>
          <w:sz w:val="22"/>
          <w:szCs w:val="22"/>
          <w:color w:val="auto"/>
        </w:rPr>
        <w:t xml:space="preserve"> A</w:t>
      </w:r>
      <w:r>
        <w:rPr>
          <w:rFonts w:ascii="Arial" w:cs="Arial" w:eastAsia="Arial" w:hAnsi="Arial"/>
          <w:sz w:val="17"/>
          <w:szCs w:val="17"/>
          <w:color w:val="auto"/>
        </w:rPr>
        <w:t>SSOCIATION</w:t>
      </w:r>
      <w:r>
        <w:rPr>
          <w:rFonts w:ascii="Arial" w:cs="Arial" w:eastAsia="Arial" w:hAnsi="Arial"/>
          <w:sz w:val="22"/>
          <w:szCs w:val="22"/>
          <w:color w:val="auto"/>
        </w:rPr>
        <w:t>, as Backup</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Collateral Manager</w:t>
      </w:r>
    </w:p>
    <w:p>
      <w:pPr>
        <w:spacing w:after="0" w:line="200" w:lineRule="exact"/>
        <w:rPr>
          <w:sz w:val="20"/>
          <w:szCs w:val="20"/>
          <w:color w:val="auto"/>
        </w:rPr>
      </w:pPr>
    </w:p>
    <w:p>
      <w:pPr>
        <w:spacing w:after="0" w:line="31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6985</wp:posOffset>
            </wp:positionV>
            <wp:extent cx="25800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4445</wp:posOffset>
            </wp:positionV>
            <wp:extent cx="22974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4445</wp:posOffset>
            </wp:positionV>
            <wp:extent cx="23914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[Signature Page to Third Amended and Restated Revolving Credit and Security Agreement]</w:t>
      </w:r>
    </w:p>
    <w:p>
      <w:pPr>
        <w:sectPr>
          <w:pgSz w:w="11900" w:h="16838" w:orient="portrait"/>
          <w:cols w:equalWidth="0" w:num="1">
            <w:col w:w="10120"/>
          </w:cols>
          <w:pgMar w:left="1440" w:top="267"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w:t>
      </w:r>
      <w:r>
        <w:rPr>
          <w:rFonts w:ascii="Arial" w:cs="Arial" w:eastAsia="Arial" w:hAnsi="Arial"/>
          <w:sz w:val="17"/>
          <w:szCs w:val="17"/>
          <w:color w:val="auto"/>
        </w:rPr>
        <w:t>ORGAN</w:t>
      </w:r>
      <w:r>
        <w:rPr>
          <w:rFonts w:ascii="Arial" w:cs="Arial" w:eastAsia="Arial" w:hAnsi="Arial"/>
          <w:sz w:val="22"/>
          <w:szCs w:val="22"/>
          <w:color w:val="auto"/>
        </w:rPr>
        <w:t xml:space="preserve"> S</w:t>
      </w:r>
      <w:r>
        <w:rPr>
          <w:rFonts w:ascii="Arial" w:cs="Arial" w:eastAsia="Arial" w:hAnsi="Arial"/>
          <w:sz w:val="17"/>
          <w:szCs w:val="17"/>
          <w:color w:val="auto"/>
        </w:rPr>
        <w:t>TANLEY</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 N.A., 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6985</wp:posOffset>
            </wp:positionV>
            <wp:extent cx="25800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2"/>
          <w:szCs w:val="22"/>
          <w:color w:val="auto"/>
        </w:rPr>
        <w:t>Name: Harry Comninellis</w:t>
      </w:r>
    </w:p>
    <w:p>
      <w:pPr>
        <w:ind w:left="5860"/>
        <w:spacing w:after="0"/>
        <w:rPr>
          <w:sz w:val="20"/>
          <w:szCs w:val="20"/>
          <w:color w:val="auto"/>
        </w:rPr>
      </w:pPr>
      <w:r>
        <w:rPr>
          <w:rFonts w:ascii="Arial" w:cs="Arial" w:eastAsia="Arial" w:hAnsi="Arial"/>
          <w:sz w:val="22"/>
          <w:szCs w:val="22"/>
          <w:color w:val="auto"/>
        </w:rPr>
        <w:t>Title: Authorized Signatory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[Signature Page to Third Amended and Restated Revolving Credit and Security Agreement]</w:t>
      </w:r>
    </w:p>
    <w:p>
      <w:pPr>
        <w:sectPr>
          <w:pgSz w:w="11900" w:h="16838" w:orient="portrait"/>
          <w:cols w:equalWidth="0" w:num="1">
            <w:col w:w="9420"/>
          </w:cols>
          <w:pgMar w:left="1440" w:top="267" w:right="1039" w:bottom="1440" w:gutter="0" w:footer="0" w:header="0"/>
        </w:sectPr>
      </w:pPr>
    </w:p>
    <w:bookmarkStart w:id="204" w:name="page205"/>
    <w:bookmarkEnd w:id="204"/>
    <w:p>
      <w:pPr>
        <w:ind w:left="56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as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1885950" cy="6172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859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tbl>
      <w:tblPr>
        <w:tblLayout w:type="fixed"/>
        <w:tblInd w:w="58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r>
        <w:trPr>
          <w:trHeight w:val="217"/>
        </w:trPr>
        <w:tc>
          <w:tcPr>
            <w:tcW w:w="640" w:type="dxa"/>
            <w:vAlign w:val="bottom"/>
            <w:gridSpan w:val="3"/>
          </w:tcPr>
          <w:p>
            <w:pPr>
              <w:spacing w:after="0" w:line="217" w:lineRule="exact"/>
              <w:rPr>
                <w:sz w:val="20"/>
                <w:szCs w:val="20"/>
                <w:color w:val="auto"/>
              </w:rPr>
            </w:pPr>
            <w:r>
              <w:rPr>
                <w:rFonts w:ascii="Arial" w:cs="Arial" w:eastAsia="Arial" w:hAnsi="Arial"/>
                <w:sz w:val="22"/>
                <w:szCs w:val="22"/>
                <w:color w:val="auto"/>
                <w:w w:val="95"/>
              </w:rPr>
              <w:t>Name:</w:t>
            </w:r>
          </w:p>
        </w:tc>
        <w:tc>
          <w:tcPr>
            <w:tcW w:w="3620" w:type="dxa"/>
            <w:vAlign w:val="bottom"/>
            <w:tcBorders>
              <w:bottom w:val="single" w:sz="8" w:color="auto"/>
            </w:tcBorders>
          </w:tcPr>
          <w:p>
            <w:pPr>
              <w:ind w:left="440"/>
              <w:spacing w:after="0" w:line="217" w:lineRule="exact"/>
              <w:rPr>
                <w:sz w:val="20"/>
                <w:szCs w:val="20"/>
                <w:color w:val="auto"/>
              </w:rPr>
            </w:pPr>
            <w:r>
              <w:rPr>
                <w:rFonts w:ascii="Arial" w:cs="Arial" w:eastAsia="Arial" w:hAnsi="Arial"/>
                <w:sz w:val="22"/>
                <w:szCs w:val="22"/>
                <w:color w:val="auto"/>
              </w:rPr>
              <w:t>Jennifer L. Vlasuk</w:t>
            </w:r>
          </w:p>
        </w:tc>
      </w:tr>
      <w:tr>
        <w:trPr>
          <w:trHeight w:val="250"/>
        </w:trPr>
        <w:tc>
          <w:tcPr>
            <w:tcW w:w="500" w:type="dxa"/>
            <w:vAlign w:val="bottom"/>
            <w:gridSpan w:val="2"/>
          </w:tcPr>
          <w:p>
            <w:pPr>
              <w:spacing w:after="0" w:line="250" w:lineRule="exact"/>
              <w:rPr>
                <w:sz w:val="20"/>
                <w:szCs w:val="20"/>
                <w:color w:val="auto"/>
              </w:rPr>
            </w:pPr>
            <w:r>
              <w:rPr>
                <w:rFonts w:ascii="Arial" w:cs="Arial" w:eastAsia="Arial" w:hAnsi="Arial"/>
                <w:sz w:val="22"/>
                <w:szCs w:val="22"/>
                <w:color w:val="auto"/>
              </w:rPr>
              <w:t>Title:</w:t>
            </w:r>
          </w:p>
        </w:tc>
        <w:tc>
          <w:tcPr>
            <w:tcW w:w="1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ind w:left="560"/>
              <w:spacing w:after="0" w:line="250" w:lineRule="exact"/>
              <w:rPr>
                <w:sz w:val="20"/>
                <w:szCs w:val="20"/>
                <w:color w:val="auto"/>
              </w:rPr>
            </w:pPr>
            <w:r>
              <w:rPr>
                <w:rFonts w:ascii="Arial" w:cs="Arial" w:eastAsia="Arial" w:hAnsi="Arial"/>
                <w:sz w:val="22"/>
                <w:szCs w:val="22"/>
                <w:color w:val="auto"/>
              </w:rPr>
              <w:t>Vice President</w:t>
            </w:r>
          </w:p>
        </w:tc>
      </w:tr>
    </w:tbl>
    <w:p>
      <w:pPr>
        <w:spacing w:after="0" w:line="20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[Signature Page to Third Amended and Restated Revolving Credit and Security Agreement]</w:t>
      </w:r>
    </w:p>
    <w:p>
      <w:pPr>
        <w:sectPr>
          <w:pgSz w:w="11900" w:h="16838" w:orient="portrait"/>
          <w:cols w:equalWidth="0" w:num="1">
            <w:col w:w="10120"/>
          </w:cols>
          <w:pgMar w:left="1440" w:top="267" w:right="339" w:bottom="1440" w:gutter="0" w:footer="0" w:header="0"/>
        </w:sectPr>
      </w:pPr>
    </w:p>
    <w:bookmarkStart w:id="205" w:name="page206"/>
    <w:bookmarkEnd w:id="205"/>
    <w:p>
      <w:pPr>
        <w:ind w:left="56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as Collateral</w:t>
      </w:r>
    </w:p>
    <w:p>
      <w:pPr>
        <w:spacing w:after="0" w:line="20"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64135</wp:posOffset>
            </wp:positionV>
            <wp:extent cx="1431925" cy="4629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31925" cy="46291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tbl>
      <w:tblPr>
        <w:tblLayout w:type="fixed"/>
        <w:tblInd w:w="58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r>
        <w:trPr>
          <w:trHeight w:val="217"/>
        </w:trPr>
        <w:tc>
          <w:tcPr>
            <w:tcW w:w="640" w:type="dxa"/>
            <w:vAlign w:val="bottom"/>
            <w:gridSpan w:val="3"/>
          </w:tcPr>
          <w:p>
            <w:pPr>
              <w:spacing w:after="0" w:line="217" w:lineRule="exact"/>
              <w:rPr>
                <w:sz w:val="20"/>
                <w:szCs w:val="20"/>
                <w:color w:val="auto"/>
              </w:rPr>
            </w:pPr>
            <w:r>
              <w:rPr>
                <w:rFonts w:ascii="Arial" w:cs="Arial" w:eastAsia="Arial" w:hAnsi="Arial"/>
                <w:sz w:val="22"/>
                <w:szCs w:val="22"/>
                <w:color w:val="auto"/>
                <w:w w:val="95"/>
              </w:rPr>
              <w:t>Name:</w:t>
            </w:r>
          </w:p>
        </w:tc>
        <w:tc>
          <w:tcPr>
            <w:tcW w:w="3620" w:type="dxa"/>
            <w:vAlign w:val="bottom"/>
            <w:tcBorders>
              <w:bottom w:val="single" w:sz="8" w:color="auto"/>
            </w:tcBorders>
          </w:tcPr>
          <w:p>
            <w:pPr>
              <w:ind w:left="220"/>
              <w:spacing w:after="0" w:line="217" w:lineRule="exact"/>
              <w:rPr>
                <w:sz w:val="20"/>
                <w:szCs w:val="20"/>
                <w:color w:val="auto"/>
              </w:rPr>
            </w:pPr>
            <w:r>
              <w:rPr>
                <w:rFonts w:ascii="Arial" w:cs="Arial" w:eastAsia="Arial" w:hAnsi="Arial"/>
                <w:sz w:val="22"/>
                <w:szCs w:val="22"/>
                <w:color w:val="auto"/>
              </w:rPr>
              <w:t>Jennifer L. Vlasuk</w:t>
            </w:r>
          </w:p>
        </w:tc>
      </w:tr>
      <w:tr>
        <w:trPr>
          <w:trHeight w:val="250"/>
        </w:trPr>
        <w:tc>
          <w:tcPr>
            <w:tcW w:w="500" w:type="dxa"/>
            <w:vAlign w:val="bottom"/>
            <w:gridSpan w:val="2"/>
          </w:tcPr>
          <w:p>
            <w:pPr>
              <w:spacing w:after="0" w:line="250" w:lineRule="exact"/>
              <w:rPr>
                <w:sz w:val="20"/>
                <w:szCs w:val="20"/>
                <w:color w:val="auto"/>
              </w:rPr>
            </w:pPr>
            <w:r>
              <w:rPr>
                <w:rFonts w:ascii="Arial" w:cs="Arial" w:eastAsia="Arial" w:hAnsi="Arial"/>
                <w:sz w:val="22"/>
                <w:szCs w:val="22"/>
                <w:color w:val="auto"/>
              </w:rPr>
              <w:t>Title:</w:t>
            </w:r>
          </w:p>
        </w:tc>
        <w:tc>
          <w:tcPr>
            <w:tcW w:w="1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ind w:left="340"/>
              <w:spacing w:after="0" w:line="250" w:lineRule="exact"/>
              <w:rPr>
                <w:sz w:val="20"/>
                <w:szCs w:val="20"/>
                <w:color w:val="auto"/>
              </w:rPr>
            </w:pPr>
            <w:r>
              <w:rPr>
                <w:rFonts w:ascii="Arial" w:cs="Arial" w:eastAsia="Arial" w:hAnsi="Arial"/>
                <w:sz w:val="22"/>
                <w:szCs w:val="22"/>
                <w:color w:val="auto"/>
              </w:rPr>
              <w:t>Vice President</w:t>
            </w:r>
          </w:p>
        </w:tc>
      </w:tr>
    </w:tbl>
    <w:p>
      <w:pPr>
        <w:spacing w:after="0" w:line="20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[Signature Page to Third Amended and Restated Revolving Credit and Security Agreement]</w:t>
      </w:r>
    </w:p>
    <w:p>
      <w:pPr>
        <w:sectPr>
          <w:pgSz w:w="11900" w:h="16838" w:orient="portrait"/>
          <w:cols w:equalWidth="0" w:num="1">
            <w:col w:w="10120"/>
          </w:cols>
          <w:pgMar w:left="1440" w:top="267" w:right="339" w:bottom="1440" w:gutter="0" w:footer="0" w:header="0"/>
        </w:sectPr>
      </w:pPr>
    </w:p>
    <w:bookmarkStart w:id="206" w:name="page207"/>
    <w:bookmarkEnd w:id="206"/>
    <w:p>
      <w:pPr>
        <w:ind w:left="56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as Collateral</w:t>
      </w:r>
    </w:p>
    <w:p>
      <w:pPr>
        <w:spacing w:after="0" w:line="20"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-3810</wp:posOffset>
            </wp:positionV>
            <wp:extent cx="1748790" cy="651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487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tbl>
      <w:tblPr>
        <w:tblLayout w:type="fixed"/>
        <w:tblInd w:w="586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r>
        <w:trPr>
          <w:trHeight w:val="217"/>
        </w:trPr>
        <w:tc>
          <w:tcPr>
            <w:tcW w:w="640" w:type="dxa"/>
            <w:vAlign w:val="bottom"/>
            <w:gridSpan w:val="3"/>
          </w:tcPr>
          <w:p>
            <w:pPr>
              <w:spacing w:after="0" w:line="217" w:lineRule="exact"/>
              <w:rPr>
                <w:sz w:val="20"/>
                <w:szCs w:val="20"/>
                <w:color w:val="auto"/>
              </w:rPr>
            </w:pPr>
            <w:r>
              <w:rPr>
                <w:rFonts w:ascii="Arial" w:cs="Arial" w:eastAsia="Arial" w:hAnsi="Arial"/>
                <w:sz w:val="22"/>
                <w:szCs w:val="22"/>
                <w:color w:val="auto"/>
                <w:w w:val="95"/>
              </w:rPr>
              <w:t>Name:</w:t>
            </w:r>
          </w:p>
        </w:tc>
        <w:tc>
          <w:tcPr>
            <w:tcW w:w="3620" w:type="dxa"/>
            <w:vAlign w:val="bottom"/>
            <w:tcBorders>
              <w:bottom w:val="single" w:sz="8" w:color="auto"/>
            </w:tcBorders>
          </w:tcPr>
          <w:p>
            <w:pPr>
              <w:ind w:left="220"/>
              <w:spacing w:after="0" w:line="217" w:lineRule="exact"/>
              <w:rPr>
                <w:sz w:val="20"/>
                <w:szCs w:val="20"/>
                <w:color w:val="auto"/>
              </w:rPr>
            </w:pPr>
            <w:r>
              <w:rPr>
                <w:rFonts w:ascii="Arial" w:cs="Arial" w:eastAsia="Arial" w:hAnsi="Arial"/>
                <w:sz w:val="22"/>
                <w:szCs w:val="22"/>
                <w:color w:val="auto"/>
              </w:rPr>
              <w:t>Jennifer L. Vlasuk</w:t>
            </w:r>
          </w:p>
        </w:tc>
      </w:tr>
      <w:tr>
        <w:trPr>
          <w:trHeight w:val="250"/>
        </w:trPr>
        <w:tc>
          <w:tcPr>
            <w:tcW w:w="500" w:type="dxa"/>
            <w:vAlign w:val="bottom"/>
            <w:gridSpan w:val="2"/>
          </w:tcPr>
          <w:p>
            <w:pPr>
              <w:spacing w:after="0" w:line="250" w:lineRule="exact"/>
              <w:rPr>
                <w:sz w:val="20"/>
                <w:szCs w:val="20"/>
                <w:color w:val="auto"/>
              </w:rPr>
            </w:pPr>
            <w:r>
              <w:rPr>
                <w:rFonts w:ascii="Arial" w:cs="Arial" w:eastAsia="Arial" w:hAnsi="Arial"/>
                <w:sz w:val="22"/>
                <w:szCs w:val="22"/>
                <w:color w:val="auto"/>
              </w:rPr>
              <w:t>Title:</w:t>
            </w:r>
          </w:p>
        </w:tc>
        <w:tc>
          <w:tcPr>
            <w:tcW w:w="1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ind w:left="340"/>
              <w:spacing w:after="0" w:line="250" w:lineRule="exact"/>
              <w:rPr>
                <w:sz w:val="20"/>
                <w:szCs w:val="20"/>
                <w:color w:val="auto"/>
              </w:rPr>
            </w:pPr>
            <w:r>
              <w:rPr>
                <w:rFonts w:ascii="Arial" w:cs="Arial" w:eastAsia="Arial" w:hAnsi="Arial"/>
                <w:sz w:val="22"/>
                <w:szCs w:val="22"/>
                <w:color w:val="auto"/>
              </w:rPr>
              <w:t>Vice President</w:t>
            </w:r>
          </w:p>
        </w:tc>
      </w:tr>
    </w:tbl>
    <w:p>
      <w:pPr>
        <w:spacing w:after="0" w:line="20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[Signature Page to Third Amended and Restated Revolving Credit and Security Agreement]</w:t>
      </w:r>
    </w:p>
    <w:p>
      <w:pPr>
        <w:sectPr>
          <w:pgSz w:w="11900" w:h="16838" w:orient="portrait"/>
          <w:cols w:equalWidth="0" w:num="1">
            <w:col w:w="10120"/>
          </w:cols>
          <w:pgMar w:left="1440" w:top="267"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OMMITMENTS AND</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ERCENTAGES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40" w:type="dxa"/>
            <w:vAlign w:val="bottom"/>
          </w:tcPr>
          <w:p>
            <w:pPr>
              <w:ind w:left="1300"/>
              <w:spacing w:after="0"/>
              <w:rPr>
                <w:sz w:val="20"/>
                <w:szCs w:val="20"/>
                <w:color w:val="auto"/>
              </w:rPr>
            </w:pPr>
            <w:r>
              <w:rPr>
                <w:rFonts w:ascii="Arial" w:cs="Arial" w:eastAsia="Arial" w:hAnsi="Arial"/>
                <w:sz w:val="20"/>
                <w:szCs w:val="20"/>
                <w:color w:val="auto"/>
              </w:rPr>
              <w:t>L</w:t>
            </w:r>
            <w:r>
              <w:rPr>
                <w:rFonts w:ascii="Arial" w:cs="Arial" w:eastAsia="Arial" w:hAnsi="Arial"/>
                <w:sz w:val="16"/>
                <w:szCs w:val="16"/>
                <w:color w:val="auto"/>
              </w:rPr>
              <w:t>ENDER</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C</w:t>
            </w:r>
            <w:r>
              <w:rPr>
                <w:rFonts w:ascii="Arial" w:cs="Arial" w:eastAsia="Arial" w:hAnsi="Arial"/>
                <w:sz w:val="16"/>
                <w:szCs w:val="16"/>
                <w:color w:val="auto"/>
              </w:rPr>
              <w:t>OMMITMENT</w:t>
            </w: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20"/>
                <w:szCs w:val="20"/>
                <w:color w:val="auto"/>
              </w:rPr>
              <w:t>P</w:t>
            </w:r>
            <w:r>
              <w:rPr>
                <w:rFonts w:ascii="Arial" w:cs="Arial" w:eastAsia="Arial" w:hAnsi="Arial"/>
                <w:sz w:val="16"/>
                <w:szCs w:val="16"/>
                <w:color w:val="auto"/>
              </w:rPr>
              <w:t>ERCENTAGE</w:t>
            </w:r>
          </w:p>
        </w:tc>
      </w:tr>
      <w:tr>
        <w:trPr>
          <w:trHeight w:val="252"/>
        </w:trPr>
        <w:tc>
          <w:tcPr>
            <w:tcW w:w="6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SunTrust Bank</w:t>
            </w:r>
          </w:p>
        </w:tc>
        <w:tc>
          <w:tcPr>
            <w:tcW w:w="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6"/>
              </w:rPr>
              <w:t>125,000,000.00</w:t>
            </w:r>
          </w:p>
        </w:tc>
        <w:tc>
          <w:tcPr>
            <w:tcW w:w="3040" w:type="dxa"/>
            <w:vAlign w:val="bottom"/>
            <w:gridSpan w:val="5"/>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62.5000000%</w:t>
            </w:r>
          </w:p>
        </w:tc>
      </w:tr>
      <w:tr>
        <w:trPr>
          <w:trHeight w:val="510"/>
        </w:trPr>
        <w:tc>
          <w:tcPr>
            <w:tcW w:w="6740" w:type="dxa"/>
            <w:vAlign w:val="bottom"/>
          </w:tcPr>
          <w:p>
            <w:pPr>
              <w:ind w:left="120"/>
              <w:spacing w:after="0"/>
              <w:rPr>
                <w:sz w:val="20"/>
                <w:szCs w:val="20"/>
                <w:color w:val="auto"/>
              </w:rPr>
            </w:pPr>
            <w:r>
              <w:rPr>
                <w:rFonts w:ascii="Arial" w:cs="Arial" w:eastAsia="Arial" w:hAnsi="Arial"/>
                <w:sz w:val="22"/>
                <w:szCs w:val="22"/>
                <w:color w:val="auto"/>
              </w:rPr>
              <w:t>Goldman Sachs Bank USA</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Pr>
          <w:p>
            <w:pPr>
              <w:jc w:val="right"/>
              <w:spacing w:after="0"/>
              <w:rPr>
                <w:sz w:val="20"/>
                <w:szCs w:val="20"/>
                <w:color w:val="auto"/>
              </w:rPr>
            </w:pPr>
            <w:r>
              <w:rPr>
                <w:rFonts w:ascii="Arial" w:cs="Arial" w:eastAsia="Arial" w:hAnsi="Arial"/>
                <w:sz w:val="22"/>
                <w:szCs w:val="22"/>
                <w:color w:val="auto"/>
                <w:w w:val="93"/>
              </w:rPr>
              <w:t>15,000,000.00</w:t>
            </w:r>
          </w:p>
        </w:tc>
        <w:tc>
          <w:tcPr>
            <w:tcW w:w="3040" w:type="dxa"/>
            <w:vAlign w:val="bottom"/>
            <w:gridSpan w:val="5"/>
          </w:tcPr>
          <w:p>
            <w:pPr>
              <w:jc w:val="right"/>
              <w:ind w:right="160"/>
              <w:spacing w:after="0"/>
              <w:rPr>
                <w:sz w:val="20"/>
                <w:szCs w:val="20"/>
                <w:color w:val="auto"/>
              </w:rPr>
            </w:pPr>
            <w:r>
              <w:rPr>
                <w:rFonts w:ascii="Arial" w:cs="Arial" w:eastAsia="Arial" w:hAnsi="Arial"/>
                <w:sz w:val="22"/>
                <w:szCs w:val="22"/>
                <w:color w:val="auto"/>
              </w:rPr>
              <w:t>7.5000000%</w:t>
            </w:r>
          </w:p>
        </w:tc>
      </w:tr>
      <w:tr>
        <w:trPr>
          <w:trHeight w:val="246"/>
        </w:trPr>
        <w:tc>
          <w:tcPr>
            <w:tcW w:w="6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Morgan Stanley Bank, N.A.</w:t>
            </w:r>
          </w:p>
        </w:tc>
        <w:tc>
          <w:tcPr>
            <w:tcW w:w="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93"/>
              </w:rPr>
              <w:t>10,000,000.00</w:t>
            </w:r>
          </w:p>
        </w:tc>
        <w:tc>
          <w:tcPr>
            <w:tcW w:w="3040" w:type="dxa"/>
            <w:vAlign w:val="bottom"/>
            <w:gridSpan w:val="5"/>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5.0000000%</w:t>
            </w:r>
          </w:p>
        </w:tc>
      </w:tr>
      <w:tr>
        <w:trPr>
          <w:trHeight w:val="509"/>
        </w:trPr>
        <w:tc>
          <w:tcPr>
            <w:tcW w:w="6740" w:type="dxa"/>
            <w:vAlign w:val="bottom"/>
          </w:tcPr>
          <w:p>
            <w:pPr>
              <w:ind w:left="120"/>
              <w:spacing w:after="0"/>
              <w:rPr>
                <w:sz w:val="20"/>
                <w:szCs w:val="20"/>
                <w:color w:val="auto"/>
              </w:rPr>
            </w:pPr>
            <w:r>
              <w:rPr>
                <w:rFonts w:ascii="Arial" w:cs="Arial" w:eastAsia="Arial" w:hAnsi="Arial"/>
                <w:sz w:val="22"/>
                <w:szCs w:val="22"/>
                <w:color w:val="auto"/>
              </w:rPr>
              <w:t>Capital One, N.A.</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Pr>
          <w:p>
            <w:pPr>
              <w:jc w:val="right"/>
              <w:spacing w:after="0"/>
              <w:rPr>
                <w:sz w:val="20"/>
                <w:szCs w:val="20"/>
                <w:color w:val="auto"/>
              </w:rPr>
            </w:pPr>
            <w:r>
              <w:rPr>
                <w:rFonts w:ascii="Arial" w:cs="Arial" w:eastAsia="Arial" w:hAnsi="Arial"/>
                <w:sz w:val="22"/>
                <w:szCs w:val="22"/>
                <w:color w:val="auto"/>
                <w:w w:val="93"/>
              </w:rPr>
              <w:t>35,000,000.00</w:t>
            </w:r>
          </w:p>
        </w:tc>
        <w:tc>
          <w:tcPr>
            <w:tcW w:w="3040" w:type="dxa"/>
            <w:vAlign w:val="bottom"/>
            <w:gridSpan w:val="5"/>
          </w:tcPr>
          <w:p>
            <w:pPr>
              <w:jc w:val="right"/>
              <w:ind w:right="160"/>
              <w:spacing w:after="0"/>
              <w:rPr>
                <w:sz w:val="20"/>
                <w:szCs w:val="20"/>
                <w:color w:val="auto"/>
              </w:rPr>
            </w:pPr>
            <w:r>
              <w:rPr>
                <w:rFonts w:ascii="Arial" w:cs="Arial" w:eastAsia="Arial" w:hAnsi="Arial"/>
                <w:sz w:val="22"/>
                <w:szCs w:val="22"/>
                <w:color w:val="auto"/>
              </w:rPr>
              <w:t>17.5000000%</w:t>
            </w:r>
          </w:p>
        </w:tc>
      </w:tr>
      <w:tr>
        <w:trPr>
          <w:trHeight w:val="247"/>
        </w:trPr>
        <w:tc>
          <w:tcPr>
            <w:tcW w:w="6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6740" w:type="dxa"/>
            <w:vAlign w:val="bottom"/>
            <w:tcBorders>
              <w:bottom w:val="single" w:sz="8" w:color="CCEEFF"/>
            </w:tcBorders>
            <w:shd w:val="clear" w:color="auto" w:fill="CCEEFF"/>
          </w:tcPr>
          <w:p>
            <w:pPr>
              <w:ind w:left="120"/>
              <w:spacing w:after="0" w:line="203" w:lineRule="exact"/>
              <w:rPr>
                <w:sz w:val="20"/>
                <w:szCs w:val="20"/>
                <w:color w:val="auto"/>
              </w:rPr>
            </w:pPr>
            <w:r>
              <w:rPr>
                <w:rFonts w:ascii="Arial" w:cs="Arial" w:eastAsia="Arial" w:hAnsi="Arial"/>
                <w:sz w:val="22"/>
                <w:szCs w:val="22"/>
                <w:color w:val="auto"/>
              </w:rPr>
              <w:t>City National Bank</w:t>
            </w: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2"/>
                <w:szCs w:val="22"/>
                <w:color w:val="auto"/>
                <w:w w:val="93"/>
              </w:rPr>
              <w:t>15,000,000.00</w:t>
            </w:r>
          </w:p>
        </w:tc>
        <w:tc>
          <w:tcPr>
            <w:tcW w:w="1680" w:type="dxa"/>
            <w:vAlign w:val="bottom"/>
            <w:tcBorders>
              <w:bottom w:val="single" w:sz="8" w:color="CCEEFF"/>
            </w:tcBorders>
            <w:gridSpan w:val="2"/>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w w:val="95"/>
              </w:rPr>
              <w:t>7.</w:t>
            </w:r>
            <w:r>
              <w:rPr>
                <w:rFonts w:ascii="Arial" w:cs="Arial" w:eastAsia="Arial" w:hAnsi="Arial"/>
                <w:sz w:val="22"/>
                <w:szCs w:val="22"/>
                <w:u w:val="single" w:color="auto"/>
                <w:color w:val="auto"/>
                <w:w w:val="95"/>
              </w:rPr>
              <w:t>5000000%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459"/>
        </w:trPr>
        <w:tc>
          <w:tcPr>
            <w:tcW w:w="6740" w:type="dxa"/>
            <w:vAlign w:val="bottom"/>
          </w:tcPr>
          <w:p>
            <w:pPr>
              <w:ind w:left="820"/>
              <w:spacing w:after="0"/>
              <w:rPr>
                <w:sz w:val="20"/>
                <w:szCs w:val="20"/>
                <w:color w:val="auto"/>
              </w:rPr>
            </w:pPr>
            <w:r>
              <w:rPr>
                <w:rFonts w:ascii="Arial" w:cs="Arial" w:eastAsia="Arial" w:hAnsi="Arial"/>
                <w:sz w:val="22"/>
                <w:szCs w:val="22"/>
                <w:color w:val="auto"/>
              </w:rPr>
              <w:t>F</w:t>
            </w:r>
            <w:r>
              <w:rPr>
                <w:rFonts w:ascii="Arial" w:cs="Arial" w:eastAsia="Arial" w:hAnsi="Arial"/>
                <w:sz w:val="17"/>
                <w:szCs w:val="17"/>
                <w:color w:val="auto"/>
              </w:rPr>
              <w:t>ACILITY</w:t>
            </w:r>
            <w:r>
              <w:rPr>
                <w:rFonts w:ascii="Arial" w:cs="Arial" w:eastAsia="Arial" w:hAnsi="Arial"/>
                <w:sz w:val="22"/>
                <w:szCs w:val="22"/>
                <w:color w:val="auto"/>
              </w:rPr>
              <w:t xml:space="preserve"> A</w:t>
            </w:r>
            <w:r>
              <w:rPr>
                <w:rFonts w:ascii="Arial" w:cs="Arial" w:eastAsia="Arial" w:hAnsi="Arial"/>
                <w:sz w:val="17"/>
                <w:szCs w:val="17"/>
                <w:color w:val="auto"/>
              </w:rPr>
              <w:t>MOUNT</w:t>
            </w:r>
          </w:p>
        </w:tc>
        <w:tc>
          <w:tcPr>
            <w:tcW w:w="120" w:type="dxa"/>
            <w:vAlign w:val="bottom"/>
          </w:tcPr>
          <w:p>
            <w:pPr>
              <w:jc w:val="right"/>
              <w:spacing w:after="0"/>
              <w:rPr>
                <w:sz w:val="20"/>
                <w:szCs w:val="20"/>
                <w:color w:val="auto"/>
              </w:rPr>
            </w:pPr>
            <w:r>
              <w:rPr>
                <w:rFonts w:ascii="Arial" w:cs="Arial" w:eastAsia="Arial" w:hAnsi="Arial"/>
                <w:sz w:val="22"/>
                <w:szCs w:val="22"/>
                <w:u w:val="single" w:color="auto"/>
                <w:color w:val="auto"/>
                <w:w w:val="81"/>
              </w:rPr>
              <w:t>$</w:t>
            </w:r>
          </w:p>
        </w:tc>
        <w:tc>
          <w:tcPr>
            <w:tcW w:w="1340" w:type="dxa"/>
            <w:vAlign w:val="bottom"/>
          </w:tcPr>
          <w:p>
            <w:pPr>
              <w:jc w:val="right"/>
              <w:spacing w:after="0"/>
              <w:rPr>
                <w:sz w:val="20"/>
                <w:szCs w:val="20"/>
                <w:color w:val="auto"/>
              </w:rPr>
            </w:pPr>
            <w:r>
              <w:rPr>
                <w:rFonts w:ascii="Arial" w:cs="Arial" w:eastAsia="Arial" w:hAnsi="Arial"/>
                <w:sz w:val="22"/>
                <w:szCs w:val="22"/>
                <w:color w:val="auto"/>
                <w:w w:val="86"/>
              </w:rPr>
              <w:t>200,000,000.00</w:t>
            </w:r>
          </w:p>
        </w:tc>
        <w:tc>
          <w:tcPr>
            <w:tcW w:w="3040" w:type="dxa"/>
            <w:vAlign w:val="bottom"/>
            <w:gridSpan w:val="5"/>
          </w:tcPr>
          <w:p>
            <w:pPr>
              <w:jc w:val="right"/>
              <w:ind w:right="100"/>
              <w:spacing w:after="0"/>
              <w:rPr>
                <w:sz w:val="20"/>
                <w:szCs w:val="20"/>
                <w:color w:val="auto"/>
              </w:rPr>
            </w:pPr>
            <w:r>
              <w:rPr>
                <w:rFonts w:ascii="Arial" w:cs="Arial" w:eastAsia="Arial" w:hAnsi="Arial"/>
                <w:sz w:val="22"/>
                <w:szCs w:val="22"/>
                <w:color w:val="auto"/>
              </w:rPr>
              <w:t>100.0000000%</w:t>
            </w:r>
          </w:p>
        </w:tc>
      </w:tr>
      <w:tr>
        <w:trPr>
          <w:trHeight w:val="34"/>
        </w:trPr>
        <w:tc>
          <w:tcPr>
            <w:tcW w:w="67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ectPr>
          <w:pgSz w:w="11900" w:h="16838" w:orient="portrait"/>
          <w:cols w:equalWidth="0" w:num="1">
            <w:col w:w="11240"/>
          </w:cols>
          <w:pgMar w:left="320" w:top="26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ORMS OF</w:t>
      </w:r>
      <w:r>
        <w:rPr>
          <w:rFonts w:ascii="Arial" w:cs="Arial" w:eastAsia="Arial" w:hAnsi="Arial"/>
          <w:sz w:val="22"/>
          <w:szCs w:val="22"/>
          <w:b w:val="1"/>
          <w:bCs w:val="1"/>
          <w:color w:val="auto"/>
        </w:rPr>
        <w:t xml:space="preserve"> M</w:t>
      </w:r>
      <w:r>
        <w:rPr>
          <w:rFonts w:ascii="Arial" w:cs="Arial" w:eastAsia="Arial" w:hAnsi="Arial"/>
          <w:sz w:val="17"/>
          <w:szCs w:val="17"/>
          <w:b w:val="1"/>
          <w:bCs w:val="1"/>
          <w:color w:val="auto"/>
        </w:rPr>
        <w:t>ONTHLY</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EPORT AND</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AYMENT</w:t>
      </w:r>
      <w:r>
        <w:rPr>
          <w:rFonts w:ascii="Arial" w:cs="Arial" w:eastAsia="Arial" w:hAnsi="Arial"/>
          <w:sz w:val="22"/>
          <w:szCs w:val="22"/>
          <w:b w:val="1"/>
          <w:bCs w:val="1"/>
          <w:color w:val="auto"/>
        </w:rPr>
        <w:t xml:space="preserve"> D</w:t>
      </w:r>
      <w:r>
        <w:rPr>
          <w:rFonts w:ascii="Arial" w:cs="Arial" w:eastAsia="Arial" w:hAnsi="Arial"/>
          <w:sz w:val="17"/>
          <w:szCs w:val="17"/>
          <w:b w:val="1"/>
          <w:bCs w:val="1"/>
          <w:color w:val="auto"/>
        </w:rPr>
        <w:t>ATE</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EPORT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on File with Administrative Agent and the Borrower</w:t>
      </w:r>
    </w:p>
    <w:p>
      <w:pPr>
        <w:sectPr>
          <w:pgSz w:w="11900" w:h="16838" w:orient="portrait"/>
          <w:cols w:equalWidth="0" w:num="1">
            <w:col w:w="9019"/>
          </w:cols>
          <w:pgMar w:left="1440" w:top="261" w:right="1440" w:bottom="1440" w:gutter="0" w:footer="0" w:header="0"/>
        </w:sectPr>
      </w:pPr>
    </w:p>
    <w:bookmarkStart w:id="209" w:name="page210"/>
    <w:bookmarkEnd w:id="20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NITIAL</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OLLATERAL</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OANS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On File with the Administrative Agent</w:t>
      </w:r>
    </w:p>
    <w:p>
      <w:pPr>
        <w:sectPr>
          <w:pgSz w:w="11900" w:h="16838" w:orient="portrait"/>
          <w:cols w:equalWidth="0" w:num="1">
            <w:col w:w="9019"/>
          </w:cols>
          <w:pgMar w:left="1440" w:top="261" w:right="1440" w:bottom="1440" w:gutter="0" w:footer="0" w:header="0"/>
        </w:sectPr>
      </w:pPr>
    </w:p>
    <w:bookmarkStart w:id="210" w:name="page211"/>
    <w:bookmarkEnd w:id="210"/>
    <w:tbl>
      <w:tblPr>
        <w:tblLayout w:type="fixed"/>
        <w:tblInd w:w="1140" w:type="dxa"/>
        <w:tblCellMar>
          <w:top w:w="0" w:type="dxa"/>
          <w:left w:w="0" w:type="dxa"/>
          <w:bottom w:w="0" w:type="dxa"/>
          <w:right w:w="0" w:type="dxa"/>
        </w:tblCellMar>
      </w:tblPr>
      <w:tr>
        <w:trPr>
          <w:trHeight w:val="280"/>
        </w:trPr>
        <w:tc>
          <w:tcPr>
            <w:tcW w:w="5860" w:type="dxa"/>
            <w:vAlign w:val="bottom"/>
          </w:tcPr>
          <w:p>
            <w:pPr>
              <w:ind w:left="278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4</w:t>
            </w:r>
          </w:p>
        </w:tc>
        <w:tc>
          <w:tcPr>
            <w:tcW w:w="880" w:type="dxa"/>
            <w:vAlign w:val="bottom"/>
          </w:tcPr>
          <w:p>
            <w:pPr>
              <w:spacing w:after="0"/>
              <w:rPr>
                <w:sz w:val="24"/>
                <w:szCs w:val="24"/>
                <w:color w:val="auto"/>
              </w:rPr>
            </w:pPr>
          </w:p>
        </w:tc>
      </w:tr>
      <w:tr>
        <w:trPr>
          <w:trHeight w:val="499"/>
        </w:trPr>
        <w:tc>
          <w:tcPr>
            <w:tcW w:w="5860" w:type="dxa"/>
            <w:vAlign w:val="bottom"/>
          </w:tcPr>
          <w:p>
            <w:pPr>
              <w:ind w:left="154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7"/>
                <w:szCs w:val="17"/>
                <w:b w:val="1"/>
                <w:bCs w:val="1"/>
                <w:color w:val="auto"/>
              </w:rPr>
              <w:t>OODY</w:t>
            </w:r>
            <w:r>
              <w:rPr>
                <w:rFonts w:ascii="Arial" w:cs="Arial" w:eastAsia="Arial" w:hAnsi="Arial"/>
                <w:sz w:val="22"/>
                <w:szCs w:val="22"/>
                <w:b w:val="1"/>
                <w:bCs w:val="1"/>
                <w:color w:val="auto"/>
              </w:rPr>
              <w:t>’</w:t>
            </w:r>
            <w:r>
              <w:rPr>
                <w:rFonts w:ascii="Arial" w:cs="Arial" w:eastAsia="Arial" w:hAnsi="Arial"/>
                <w:sz w:val="17"/>
                <w:szCs w:val="17"/>
                <w:b w:val="1"/>
                <w:bCs w:val="1"/>
                <w:color w:val="auto"/>
              </w:rPr>
              <w:t>S</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NDUSTRY</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LASSIFICATIONS</w:t>
            </w:r>
          </w:p>
        </w:tc>
        <w:tc>
          <w:tcPr>
            <w:tcW w:w="880" w:type="dxa"/>
            <w:vAlign w:val="bottom"/>
          </w:tcPr>
          <w:p>
            <w:pPr>
              <w:spacing w:after="0"/>
              <w:rPr>
                <w:sz w:val="24"/>
                <w:szCs w:val="24"/>
                <w:color w:val="auto"/>
              </w:rPr>
            </w:pPr>
          </w:p>
        </w:tc>
      </w:tr>
      <w:tr>
        <w:trPr>
          <w:trHeight w:val="571"/>
        </w:trPr>
        <w:tc>
          <w:tcPr>
            <w:tcW w:w="5860" w:type="dxa"/>
            <w:vAlign w:val="bottom"/>
          </w:tcPr>
          <w:p>
            <w:pPr>
              <w:spacing w:after="0"/>
              <w:rPr>
                <w:sz w:val="20"/>
                <w:szCs w:val="20"/>
                <w:color w:val="auto"/>
              </w:rPr>
            </w:pPr>
            <w:r>
              <w:rPr>
                <w:rFonts w:ascii="Arial" w:cs="Arial" w:eastAsia="Arial" w:hAnsi="Arial"/>
                <w:sz w:val="18"/>
                <w:szCs w:val="18"/>
                <w:color w:val="auto"/>
              </w:rPr>
              <w:t>CORP - Aerospace &amp; Defense</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Automotive</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Banking, Finance, Insurance &amp; Real Estate</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Beverage, Food &amp; Tobacco</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Capital Equipment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Chemicals, Plastics, &amp; Rubber</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Construction &amp; Building</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Consumer goods: Durable</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Consumer goods: Non-durable</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Containers, Packaging &amp; Glass</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Energy: Electricity</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Energy: Oil &amp; Gas</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Environmental Industries</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Forest Products &amp; Paper</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Healthcare &amp; Pharmaceuticals</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High Tech Industries</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Hotel, Gaming &amp; Leisure</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Media: Advertising, Printing &amp; Publishing</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Media: Broadcasting &amp; Subscription</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Media: Diversified &amp; Production</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Metals &amp; Mining</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Retail</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Services: Business</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Services: Consumer</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Sovereign &amp; Public Finance</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2"/>
        </w:trPr>
        <w:tc>
          <w:tcPr>
            <w:tcW w:w="5860" w:type="dxa"/>
            <w:vAlign w:val="bottom"/>
          </w:tcPr>
          <w:p>
            <w:pPr>
              <w:spacing w:after="0"/>
              <w:rPr>
                <w:sz w:val="20"/>
                <w:szCs w:val="20"/>
                <w:color w:val="auto"/>
              </w:rPr>
            </w:pPr>
            <w:r>
              <w:rPr>
                <w:rFonts w:ascii="Arial" w:cs="Arial" w:eastAsia="Arial" w:hAnsi="Arial"/>
                <w:sz w:val="18"/>
                <w:szCs w:val="18"/>
                <w:color w:val="auto"/>
              </w:rPr>
              <w:t>CORP - Telecommunications</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Transportation: Cargo</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Transportation: Consumer</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Utilities: Electric</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Utilities: Oil &amp; Gas</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Utilities: Water</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91"/>
        </w:trPr>
        <w:tc>
          <w:tcPr>
            <w:tcW w:w="5860" w:type="dxa"/>
            <w:vAlign w:val="bottom"/>
          </w:tcPr>
          <w:p>
            <w:pPr>
              <w:spacing w:after="0"/>
              <w:rPr>
                <w:sz w:val="20"/>
                <w:szCs w:val="20"/>
                <w:color w:val="auto"/>
              </w:rPr>
            </w:pPr>
            <w:r>
              <w:rPr>
                <w:rFonts w:ascii="Arial" w:cs="Arial" w:eastAsia="Arial" w:hAnsi="Arial"/>
                <w:sz w:val="18"/>
                <w:szCs w:val="18"/>
                <w:color w:val="auto"/>
              </w:rPr>
              <w:t>CORP - Wholesale</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bl>
    <w:p>
      <w:pPr>
        <w:jc w:val="right"/>
        <w:spacing w:after="0"/>
        <w:rPr>
          <w:sz w:val="20"/>
          <w:szCs w:val="20"/>
          <w:color w:val="auto"/>
        </w:rPr>
        <w:sectPr>
          <w:pgSz w:w="11900" w:h="16838" w:orient="portrait"/>
          <w:cols w:equalWidth="0" w:num="1">
            <w:col w:w="9019"/>
          </w:cols>
          <w:pgMar w:left="1440" w:top="261"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1" w:name="page212"/>
    <w:bookmarkEnd w:id="211"/>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5</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7"/>
          <w:szCs w:val="17"/>
          <w:b w:val="1"/>
          <w:bCs w:val="1"/>
          <w:color w:val="auto"/>
        </w:rPr>
        <w:t>ATRIX</w:t>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700" w:type="dxa"/>
            <w:vAlign w:val="bottom"/>
            <w:tcBorders>
              <w:top w:val="single" w:sz="8" w:color="auto"/>
              <w:left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Minimum</w:t>
            </w:r>
          </w:p>
        </w:tc>
        <w:tc>
          <w:tcPr>
            <w:tcW w:w="880" w:type="dxa"/>
            <w:vAlign w:val="bottom"/>
            <w:tcBorders>
              <w:top w:val="single" w:sz="8" w:color="auto"/>
              <w:right w:val="single" w:sz="8" w:color="auto"/>
            </w:tcBorders>
          </w:tcPr>
          <w:p>
            <w:pPr>
              <w:spacing w:after="0"/>
              <w:rPr>
                <w:sz w:val="17"/>
                <w:szCs w:val="17"/>
                <w:color w:val="auto"/>
              </w:rPr>
            </w:pPr>
          </w:p>
        </w:tc>
        <w:tc>
          <w:tcPr>
            <w:tcW w:w="300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31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Minimum</w:t>
            </w:r>
          </w:p>
        </w:tc>
        <w:tc>
          <w:tcPr>
            <w:tcW w:w="30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Advance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Diversity</w:t>
            </w:r>
          </w:p>
        </w:tc>
        <w:tc>
          <w:tcPr>
            <w:tcW w:w="30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Borders>
              <w:left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Row</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Spread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Score</w:t>
            </w:r>
          </w:p>
        </w:tc>
        <w:tc>
          <w:tcPr>
            <w:tcW w:w="3000" w:type="dxa"/>
            <w:vAlign w:val="bottom"/>
            <w:tcBorders>
              <w:righ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6"/>
              </w:rPr>
              <w:t>Maximum Obligor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Ratings</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Maximum Loan Types</w:t>
            </w:r>
          </w:p>
        </w:tc>
        <w:tc>
          <w:tcPr>
            <w:tcW w:w="0" w:type="dxa"/>
            <w:vAlign w:val="bottom"/>
          </w:tcPr>
          <w:p>
            <w:pPr>
              <w:spacing w:after="0"/>
              <w:rPr>
                <w:sz w:val="1"/>
                <w:szCs w:val="1"/>
                <w:color w:val="auto"/>
              </w:rPr>
            </w:pPr>
          </w:p>
        </w:tc>
      </w:tr>
      <w:tr>
        <w:trPr>
          <w:trHeight w:val="100"/>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700" w:type="dxa"/>
            <w:vAlign w:val="bottom"/>
            <w:tcBorders>
              <w:left w:val="single" w:sz="8" w:color="auto"/>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50.00%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None</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Largest Obligor shall not exceed 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Senior B Loan Obligations plus Eligible</w:t>
            </w:r>
          </w:p>
        </w:tc>
        <w:tc>
          <w:tcPr>
            <w:tcW w:w="0" w:type="dxa"/>
            <w:vAlign w:val="bottom"/>
          </w:tcPr>
          <w:p>
            <w:pPr>
              <w:spacing w:after="0"/>
              <w:rPr>
                <w:sz w:val="1"/>
                <w:szCs w:val="1"/>
                <w:color w:val="auto"/>
              </w:rPr>
            </w:pPr>
          </w:p>
        </w:tc>
      </w:tr>
      <w:tr>
        <w:trPr>
          <w:trHeight w:val="203"/>
        </w:trPr>
        <w:tc>
          <w:tcPr>
            <w:tcW w:w="70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2nd-6th largest Obligors shall not exceed</w:t>
            </w:r>
          </w:p>
        </w:tc>
        <w:tc>
          <w:tcPr>
            <w:tcW w:w="178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Second Lien Obligations shall not exceed</w:t>
            </w: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30%</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93"/>
              </w:rPr>
              <w:t>7.5%</w:t>
            </w:r>
          </w:p>
        </w:tc>
        <w:tc>
          <w:tcPr>
            <w:tcW w:w="1780" w:type="dxa"/>
            <w:vAlign w:val="bottom"/>
            <w:tcBorders>
              <w:right w:val="single" w:sz="8" w:color="auto"/>
            </w:tcBorders>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Eligible Second Lien Obligations shall not</w:t>
            </w: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No other Obligor shall exceed 5%</w:t>
            </w:r>
          </w:p>
        </w:tc>
        <w:tc>
          <w:tcPr>
            <w:tcW w:w="178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exceed 20%</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700" w:type="dxa"/>
            <w:vAlign w:val="bottom"/>
            <w:tcBorders>
              <w:left w:val="single" w:sz="8" w:color="auto"/>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56.00%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4.50%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None</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Largest Obligor shall not exceed 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Senior B Loan Obligations plus Eligible</w:t>
            </w:r>
          </w:p>
        </w:tc>
        <w:tc>
          <w:tcPr>
            <w:tcW w:w="0" w:type="dxa"/>
            <w:vAlign w:val="bottom"/>
          </w:tcPr>
          <w:p>
            <w:pPr>
              <w:spacing w:after="0"/>
              <w:rPr>
                <w:sz w:val="1"/>
                <w:szCs w:val="1"/>
                <w:color w:val="auto"/>
              </w:rPr>
            </w:pPr>
          </w:p>
        </w:tc>
      </w:tr>
      <w:tr>
        <w:trPr>
          <w:trHeight w:val="203"/>
        </w:trPr>
        <w:tc>
          <w:tcPr>
            <w:tcW w:w="70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2nd-6th largest Obligors shall not exceed</w:t>
            </w:r>
          </w:p>
        </w:tc>
        <w:tc>
          <w:tcPr>
            <w:tcW w:w="178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Second Lien Obligations shall not exceed</w:t>
            </w: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15%</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93"/>
              </w:rPr>
              <w:t>7.5%</w:t>
            </w:r>
          </w:p>
        </w:tc>
        <w:tc>
          <w:tcPr>
            <w:tcW w:w="1780" w:type="dxa"/>
            <w:vAlign w:val="bottom"/>
            <w:tcBorders>
              <w:right w:val="single" w:sz="8" w:color="auto"/>
            </w:tcBorders>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Eligible Second Lien Obligations shall not</w:t>
            </w: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No other Obligor shall exceed 5%</w:t>
            </w:r>
          </w:p>
        </w:tc>
        <w:tc>
          <w:tcPr>
            <w:tcW w:w="178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exceed 10%</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700" w:type="dxa"/>
            <w:vAlign w:val="bottom"/>
            <w:tcBorders>
              <w:left w:val="single" w:sz="8" w:color="auto"/>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58.00%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4.50%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None</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Largest Obligor shall not exceed 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Senior B Loan Obligations plus Eligible</w:t>
            </w:r>
          </w:p>
        </w:tc>
        <w:tc>
          <w:tcPr>
            <w:tcW w:w="0" w:type="dxa"/>
            <w:vAlign w:val="bottom"/>
          </w:tcPr>
          <w:p>
            <w:pPr>
              <w:spacing w:after="0"/>
              <w:rPr>
                <w:sz w:val="1"/>
                <w:szCs w:val="1"/>
                <w:color w:val="auto"/>
              </w:rPr>
            </w:pPr>
          </w:p>
        </w:tc>
      </w:tr>
      <w:tr>
        <w:trPr>
          <w:trHeight w:val="203"/>
        </w:trPr>
        <w:tc>
          <w:tcPr>
            <w:tcW w:w="70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2nd-6th largest Obligors shall not exceed</w:t>
            </w:r>
          </w:p>
        </w:tc>
        <w:tc>
          <w:tcPr>
            <w:tcW w:w="178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Second Lien Obligations shall not exceed</w:t>
            </w: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93"/>
              </w:rPr>
              <w:t>7.5%</w:t>
            </w:r>
          </w:p>
        </w:tc>
        <w:tc>
          <w:tcPr>
            <w:tcW w:w="1780" w:type="dxa"/>
            <w:vAlign w:val="bottom"/>
            <w:tcBorders>
              <w:right w:val="single" w:sz="8" w:color="auto"/>
            </w:tcBorders>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Eligible Second Lien Obligations shall not</w:t>
            </w: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No other Obligor shall exceed 5%</w:t>
            </w:r>
          </w:p>
        </w:tc>
        <w:tc>
          <w:tcPr>
            <w:tcW w:w="178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exceed 0%</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700" w:type="dxa"/>
            <w:vAlign w:val="bottom"/>
            <w:tcBorders>
              <w:left w:val="single" w:sz="8" w:color="auto"/>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58.50%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4.50%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None</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Largest Obligor shall not exceed 10%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50% of Aggregate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Senior B Loan Obligations plus Eligible</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2nd-6th largest Obligors shall not exceed</w:t>
            </w:r>
          </w:p>
        </w:tc>
        <w:tc>
          <w:tcPr>
            <w:tcW w:w="1780" w:type="dxa"/>
            <w:vAlign w:val="bottom"/>
            <w:tcBorders>
              <w:right w:val="single" w:sz="8" w:color="auto"/>
            </w:tcBorders>
          </w:tcPr>
          <w:p>
            <w:pPr>
              <w:jc w:val="center"/>
              <w:ind w:left="19"/>
              <w:spacing w:after="0"/>
              <w:rPr>
                <w:sz w:val="20"/>
                <w:szCs w:val="20"/>
                <w:color w:val="auto"/>
              </w:rPr>
            </w:pPr>
            <w:r>
              <w:rPr>
                <w:rFonts w:ascii="Arial" w:cs="Arial" w:eastAsia="Arial" w:hAnsi="Arial"/>
                <w:sz w:val="16"/>
                <w:szCs w:val="16"/>
                <w:color w:val="auto"/>
                <w:w w:val="92"/>
              </w:rPr>
              <w:t>Collateral Balance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Second Lien Obligations shall not exceed</w:t>
            </w: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must be B/B2 or better</w:t>
            </w: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15%</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93"/>
              </w:rPr>
              <w:t>7.5%</w:t>
            </w:r>
          </w:p>
        </w:tc>
        <w:tc>
          <w:tcPr>
            <w:tcW w:w="1780" w:type="dxa"/>
            <w:vAlign w:val="bottom"/>
            <w:tcBorders>
              <w:right w:val="single" w:sz="8" w:color="auto"/>
            </w:tcBorders>
            <w:vMerge w:val="continue"/>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Eligible Second Lien Obligations shall not</w:t>
            </w: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No other Obligor shall exceed 5%</w:t>
            </w:r>
          </w:p>
        </w:tc>
        <w:tc>
          <w:tcPr>
            <w:tcW w:w="178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exceed 10%</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700" w:type="dxa"/>
            <w:vAlign w:val="bottom"/>
            <w:tcBorders>
              <w:left w:val="single" w:sz="8" w:color="auto"/>
              <w:right w:val="single" w:sz="8" w:color="auto"/>
            </w:tcBorders>
            <w:vMerge w:val="restart"/>
          </w:tcPr>
          <w:p>
            <w:pPr>
              <w:jc w:val="right"/>
              <w:ind w:right="199"/>
              <w:spacing w:after="0"/>
              <w:rPr>
                <w:sz w:val="20"/>
                <w:szCs w:val="20"/>
                <w:color w:val="auto"/>
              </w:rPr>
            </w:pPr>
            <w:r>
              <w:rPr>
                <w:rFonts w:ascii="Arial" w:cs="Arial" w:eastAsia="Arial" w:hAnsi="Arial"/>
                <w:sz w:val="16"/>
                <w:szCs w:val="16"/>
                <w:b w:val="1"/>
                <w:bCs w:val="1"/>
                <w:color w:val="auto"/>
              </w:rPr>
              <w:t>5</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60.00%</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4.50%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15</w:t>
            </w: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Largest 2 Obligors shall not exceed 7.5%</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50% of Aggregate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Senior B Loan Obligations plus Eligible</w:t>
            </w: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300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vMerge w:val="continue"/>
          </w:tcPr>
          <w:p>
            <w:pPr>
              <w:spacing w:after="0"/>
              <w:rPr>
                <w:sz w:val="7"/>
                <w:szCs w:val="7"/>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Second Lien Obligations shall not exceed</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92"/>
              </w:rPr>
              <w:t>Collateral Balance</w:t>
            </w:r>
          </w:p>
        </w:tc>
        <w:tc>
          <w:tcPr>
            <w:tcW w:w="3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3rd-7th largest Obligors shall not exceed</w:t>
            </w:r>
          </w:p>
        </w:tc>
        <w:tc>
          <w:tcPr>
            <w:tcW w:w="1780" w:type="dxa"/>
            <w:vAlign w:val="bottom"/>
            <w:tcBorders>
              <w:right w:val="single" w:sz="8" w:color="auto"/>
            </w:tcBorders>
            <w:vMerge w:val="continue"/>
          </w:tcPr>
          <w:p>
            <w:pPr>
              <w:spacing w:after="0"/>
              <w:rPr>
                <w:sz w:val="7"/>
                <w:szCs w:val="7"/>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15%</w:t>
            </w: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must be B/B2 or better</w:t>
            </w:r>
          </w:p>
        </w:tc>
        <w:tc>
          <w:tcPr>
            <w:tcW w:w="31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6"/>
              </w:rPr>
              <w:t>5%</w:t>
            </w:r>
          </w:p>
        </w:tc>
        <w:tc>
          <w:tcPr>
            <w:tcW w:w="1780" w:type="dxa"/>
            <w:vAlign w:val="bottom"/>
            <w:tcBorders>
              <w:right w:val="single" w:sz="8" w:color="auto"/>
            </w:tcBorders>
            <w:vMerge w:val="continue"/>
          </w:tcPr>
          <w:p>
            <w:pPr>
              <w:spacing w:after="0"/>
              <w:rPr>
                <w:sz w:val="4"/>
                <w:szCs w:val="4"/>
                <w:color w:val="auto"/>
              </w:rPr>
            </w:pPr>
          </w:p>
        </w:tc>
        <w:tc>
          <w:tcPr>
            <w:tcW w:w="3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Eligible Second Lien Obligations shall not</w:t>
            </w:r>
          </w:p>
        </w:tc>
        <w:tc>
          <w:tcPr>
            <w:tcW w:w="0" w:type="dxa"/>
            <w:vAlign w:val="bottom"/>
          </w:tcPr>
          <w:p>
            <w:pPr>
              <w:spacing w:after="0"/>
              <w:rPr>
                <w:sz w:val="1"/>
                <w:szCs w:val="1"/>
                <w:color w:val="auto"/>
              </w:rPr>
            </w:pPr>
          </w:p>
        </w:tc>
      </w:tr>
      <w:tr>
        <w:trPr>
          <w:trHeight w:val="114"/>
        </w:trPr>
        <w:tc>
          <w:tcPr>
            <w:tcW w:w="70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700" w:type="dxa"/>
            <w:vAlign w:val="bottom"/>
            <w:tcBorders>
              <w:left w:val="single" w:sz="8" w:color="auto"/>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No other Obligor shall exceed 4%</w:t>
            </w:r>
          </w:p>
        </w:tc>
        <w:tc>
          <w:tcPr>
            <w:tcW w:w="17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exceed 10%</w:t>
            </w:r>
          </w:p>
        </w:tc>
        <w:tc>
          <w:tcPr>
            <w:tcW w:w="0" w:type="dxa"/>
            <w:vAlign w:val="bottom"/>
          </w:tcPr>
          <w:p>
            <w:pPr>
              <w:spacing w:after="0"/>
              <w:rPr>
                <w:sz w:val="1"/>
                <w:szCs w:val="1"/>
                <w:color w:val="auto"/>
              </w:rPr>
            </w:pPr>
          </w:p>
        </w:tc>
      </w:tr>
      <w:tr>
        <w:trPr>
          <w:trHeight w:val="100"/>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700" w:type="dxa"/>
            <w:vAlign w:val="bottom"/>
            <w:tcBorders>
              <w:left w:val="single" w:sz="8" w:color="auto"/>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60.50%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4.50%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None</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Largest 2 Obligors shall not exceed 7.5%</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50% of Aggregate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Senior B Loan Obligations plus Eligible</w:t>
            </w:r>
          </w:p>
        </w:tc>
        <w:tc>
          <w:tcPr>
            <w:tcW w:w="0" w:type="dxa"/>
            <w:vAlign w:val="bottom"/>
          </w:tcPr>
          <w:p>
            <w:pPr>
              <w:spacing w:after="0"/>
              <w:rPr>
                <w:sz w:val="1"/>
                <w:szCs w:val="1"/>
                <w:color w:val="auto"/>
              </w:rPr>
            </w:pPr>
          </w:p>
        </w:tc>
      </w:tr>
      <w:tr>
        <w:trPr>
          <w:trHeight w:val="203"/>
        </w:trPr>
        <w:tc>
          <w:tcPr>
            <w:tcW w:w="700" w:type="dxa"/>
            <w:vAlign w:val="bottom"/>
            <w:tcBorders>
              <w:left w:val="single" w:sz="8" w:color="auto"/>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3rd-7th largest Obligors shall not exceed</w:t>
            </w:r>
          </w:p>
        </w:tc>
        <w:tc>
          <w:tcPr>
            <w:tcW w:w="1780" w:type="dxa"/>
            <w:vAlign w:val="bottom"/>
            <w:tcBorders>
              <w:right w:val="single" w:sz="8" w:color="auto"/>
            </w:tcBorders>
          </w:tcPr>
          <w:p>
            <w:pPr>
              <w:jc w:val="center"/>
              <w:ind w:left="19"/>
              <w:spacing w:after="0"/>
              <w:rPr>
                <w:sz w:val="20"/>
                <w:szCs w:val="20"/>
                <w:color w:val="auto"/>
              </w:rPr>
            </w:pPr>
            <w:r>
              <w:rPr>
                <w:rFonts w:ascii="Arial" w:cs="Arial" w:eastAsia="Arial" w:hAnsi="Arial"/>
                <w:sz w:val="16"/>
                <w:szCs w:val="16"/>
                <w:color w:val="auto"/>
                <w:w w:val="92"/>
              </w:rPr>
              <w:t>Collateral Balance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Second Lien Obligations shall not exceed</w:t>
            </w: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must be B/B2 or better</w:t>
            </w: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6"/>
              </w:rPr>
              <w:t>5%</w:t>
            </w:r>
          </w:p>
        </w:tc>
        <w:tc>
          <w:tcPr>
            <w:tcW w:w="1780" w:type="dxa"/>
            <w:vAlign w:val="bottom"/>
            <w:tcBorders>
              <w:right w:val="single" w:sz="8" w:color="auto"/>
            </w:tcBorders>
            <w:vMerge w:val="continue"/>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Eligible Second Lien Obligations shall not</w:t>
            </w: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No other Obligor shall exceed 4%</w:t>
            </w:r>
          </w:p>
        </w:tc>
        <w:tc>
          <w:tcPr>
            <w:tcW w:w="178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 w:type="dxa"/>
            <w:vAlign w:val="bottom"/>
            <w:tcBorders>
              <w:left w:val="single" w:sz="8" w:color="auto"/>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8"/>
              </w:rPr>
              <w:t>exceed 0%</w:t>
            </w:r>
          </w:p>
        </w:tc>
        <w:tc>
          <w:tcPr>
            <w:tcW w:w="0" w:type="dxa"/>
            <w:vAlign w:val="bottom"/>
          </w:tcPr>
          <w:p>
            <w:pPr>
              <w:spacing w:after="0"/>
              <w:rPr>
                <w:sz w:val="1"/>
                <w:szCs w:val="1"/>
                <w:color w:val="auto"/>
              </w:rPr>
            </w:pPr>
          </w:p>
        </w:tc>
      </w:tr>
      <w:tr>
        <w:trPr>
          <w:trHeight w:val="54"/>
        </w:trPr>
        <w:tc>
          <w:tcPr>
            <w:tcW w:w="700" w:type="dxa"/>
            <w:vAlign w:val="bottom"/>
            <w:tcBorders>
              <w:left w:val="single" w:sz="8" w:color="auto"/>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3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700" w:type="dxa"/>
            <w:vAlign w:val="bottom"/>
            <w:tcBorders>
              <w:left w:val="single" w:sz="8" w:color="auto"/>
              <w:bottom w:val="single" w:sz="8" w:color="auto"/>
              <w:right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300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3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61" w:right="319" w:bottom="1440" w:gutter="0" w:footer="0" w:header="0"/>
        </w:sectPr>
      </w:pPr>
    </w:p>
    <w:bookmarkStart w:id="212" w:name="page213"/>
    <w:bookmarkEnd w:id="212"/>
    <w:p>
      <w:pPr>
        <w:ind w:left="50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6</w:t>
      </w:r>
    </w:p>
    <w:p>
      <w:pPr>
        <w:spacing w:after="0" w:line="38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7"/>
          <w:szCs w:val="17"/>
          <w:b w:val="1"/>
          <w:bCs w:val="1"/>
          <w:color w:val="auto"/>
        </w:rPr>
        <w:t>OTICE</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NFORMATION</w:t>
      </w:r>
    </w:p>
    <w:p>
      <w:pPr>
        <w:sectPr>
          <w:pgSz w:w="11900" w:h="16838" w:orient="portrait"/>
          <w:cols w:equalWidth="0" w:num="1">
            <w:col w:w="10139"/>
          </w:cols>
          <w:pgMar w:left="320" w:top="261"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the Administrative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Peden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404.813.5006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404.813.0000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Michael.Peden@SunTrust.com</w:t>
      </w:r>
    </w:p>
    <w:p>
      <w:pPr>
        <w:spacing w:after="0" w:line="200" w:lineRule="exact"/>
        <w:rPr>
          <w:sz w:val="20"/>
          <w:szCs w:val="20"/>
          <w:color w:val="auto"/>
        </w:rPr>
      </w:pPr>
    </w:p>
    <w:p>
      <w:pPr>
        <w:sectPr>
          <w:pgSz w:w="11900" w:h="16838" w:orient="portrait"/>
          <w:cols w:equalWidth="0" w:num="2">
            <w:col w:w="3240" w:space="720"/>
            <w:col w:w="6179"/>
          </w:cols>
          <w:pgMar w:left="320" w:top="261" w:right="1440"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SunTrust Bank:</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2639"/>
        <w:spacing w:after="0"/>
        <w:rPr>
          <w:sz w:val="20"/>
          <w:szCs w:val="20"/>
          <w:color w:val="auto"/>
        </w:rPr>
      </w:pPr>
      <w:r>
        <w:rPr>
          <w:rFonts w:ascii="Arial" w:cs="Arial" w:eastAsia="Arial" w:hAnsi="Arial"/>
          <w:sz w:val="16"/>
          <w:szCs w:val="16"/>
          <w:color w:val="auto"/>
        </w:rPr>
        <w:t>If for Notices of Borrowing or Paydown Notices:</w:t>
      </w:r>
    </w:p>
    <w:p>
      <w:pPr>
        <w:spacing w:after="0" w:line="200" w:lineRule="exact"/>
        <w:rPr>
          <w:sz w:val="20"/>
          <w:szCs w:val="20"/>
          <w:color w:val="auto"/>
        </w:rPr>
      </w:pPr>
    </w:p>
    <w:p>
      <w:pPr>
        <w:sectPr>
          <w:pgSz w:w="11900" w:h="16838" w:orient="portrait"/>
          <w:cols w:equalWidth="0" w:num="2">
            <w:col w:w="3240" w:space="720"/>
            <w:col w:w="6179"/>
          </w:cols>
          <w:pgMar w:left="320" w:top="261" w:right="1440" w:bottom="1440" w:gutter="0" w:footer="0" w:header="0"/>
          <w:type w:val="continuous"/>
        </w:sectPr>
      </w:pPr>
    </w:p>
    <w:p>
      <w:pPr>
        <w:spacing w:after="0" w:line="1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303 Peachtree Street, NE, 24th Floor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Email:  Three.Pillars@SunTrust.com</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Attention: ASG Funding</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Telephone: (404) 658-4568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(404) 495-2171</w:t>
      </w:r>
    </w:p>
    <w:p>
      <w:pPr>
        <w:spacing w:after="0" w:line="27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With a copy to:</w:t>
      </w:r>
    </w:p>
    <w:p>
      <w:pPr>
        <w:spacing w:after="0" w:line="29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303 Peachtree Street NE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24th Floor, MC 3950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Email:  TPFC.AssetManagement@SunTrust.com</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Attention: ASG Portfolio Management</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Telephone: (404) 813-5006</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(404) 813-0000</w:t>
      </w:r>
    </w:p>
    <w:p>
      <w:pPr>
        <w:spacing w:after="0" w:line="27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If for reporting or compliance submissions:</w:t>
      </w:r>
    </w:p>
    <w:p>
      <w:pPr>
        <w:spacing w:after="0" w:line="29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303 Peachtree Street, NE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24th Floor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Email:  TPFC.AssetManagement@SunTrust.com</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Phone: (404) 813-5006</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Fax: (404) 813-0000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Primary Contact: Michael Peden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Secondary Contact: Charles Gentles</w:t>
      </w:r>
    </w:p>
    <w:p>
      <w:pPr>
        <w:sectPr>
          <w:pgSz w:w="11900" w:h="16838" w:orient="portrait"/>
          <w:cols w:equalWidth="0" w:num="1">
            <w:col w:w="10139"/>
          </w:cols>
          <w:pgMar w:left="320" w:top="261" w:right="1440" w:bottom="1440" w:gutter="0" w:footer="0" w:header="0"/>
          <w:type w:val="continuous"/>
        </w:sectPr>
      </w:pPr>
    </w:p>
    <w:bookmarkStart w:id="213" w:name="page214"/>
    <w:bookmarkEnd w:id="213"/>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Goldman Sachs Bank USA</w:t>
            </w: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200 West Street</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color w:val="auto"/>
              </w:rPr>
              <w:t>New York, New York 10282</w:t>
            </w:r>
          </w:p>
        </w:tc>
      </w:tr>
      <w:tr>
        <w:trPr>
          <w:trHeight w:val="216"/>
        </w:trPr>
        <w:tc>
          <w:tcPr>
            <w:tcW w:w="302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Attn:</w:t>
            </w:r>
          </w:p>
        </w:tc>
        <w:tc>
          <w:tcPr>
            <w:tcW w:w="3100" w:type="dxa"/>
            <w:vAlign w:val="bottom"/>
            <w:gridSpan w:val="5"/>
          </w:tcPr>
          <w:p>
            <w:pPr>
              <w:ind w:left="20"/>
              <w:spacing w:after="0"/>
              <w:rPr>
                <w:sz w:val="20"/>
                <w:szCs w:val="20"/>
                <w:color w:val="auto"/>
              </w:rPr>
            </w:pPr>
            <w:r>
              <w:rPr>
                <w:rFonts w:ascii="Arial" w:cs="Arial" w:eastAsia="Arial" w:hAnsi="Arial"/>
                <w:sz w:val="18"/>
                <w:szCs w:val="18"/>
                <w:color w:val="auto"/>
              </w:rPr>
              <w:t>Shakhi Majumdar</w:t>
            </w:r>
          </w:p>
        </w:tc>
      </w:tr>
      <w:tr>
        <w:trPr>
          <w:trHeight w:val="216"/>
        </w:trPr>
        <w:tc>
          <w:tcPr>
            <w:tcW w:w="302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E-mail:</w:t>
            </w:r>
          </w:p>
        </w:tc>
        <w:tc>
          <w:tcPr>
            <w:tcW w:w="3100" w:type="dxa"/>
            <w:vAlign w:val="bottom"/>
            <w:gridSpan w:val="5"/>
          </w:tcPr>
          <w:p>
            <w:pPr>
              <w:spacing w:after="0"/>
              <w:rPr>
                <w:sz w:val="20"/>
                <w:szCs w:val="20"/>
                <w:color w:val="auto"/>
              </w:rPr>
            </w:pPr>
            <w:r>
              <w:rPr>
                <w:rFonts w:ascii="Arial" w:cs="Arial" w:eastAsia="Arial" w:hAnsi="Arial"/>
                <w:sz w:val="18"/>
                <w:szCs w:val="18"/>
                <w:color w:val="auto"/>
              </w:rPr>
              <w:t>shakhi.majumdar@gs.com</w:t>
            </w:r>
          </w:p>
        </w:tc>
      </w:tr>
      <w:tr>
        <w:trPr>
          <w:trHeight w:val="230"/>
        </w:trPr>
        <w:tc>
          <w:tcPr>
            <w:tcW w:w="3020" w:type="dxa"/>
            <w:vAlign w:val="bottom"/>
          </w:tcPr>
          <w:p>
            <w:pPr>
              <w:spacing w:after="0"/>
              <w:rPr>
                <w:sz w:val="20"/>
                <w:szCs w:val="20"/>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Telephone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(917) 343-4050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00"/>
        </w:trPr>
        <w:tc>
          <w:tcPr>
            <w:tcW w:w="3020" w:type="dxa"/>
            <w:vAlign w:val="bottom"/>
          </w:tcPr>
          <w:p>
            <w:pPr>
              <w:spacing w:after="0"/>
              <w:rPr>
                <w:sz w:val="20"/>
                <w:szCs w:val="20"/>
                <w:color w:val="auto"/>
              </w:rPr>
            </w:pPr>
            <w:r>
              <w:rPr>
                <w:rFonts w:ascii="Arial" w:cs="Arial" w:eastAsia="Arial" w:hAnsi="Arial"/>
                <w:sz w:val="18"/>
                <w:szCs w:val="18"/>
                <w:color w:val="auto"/>
              </w:rPr>
              <w:t>Morgan Stanley Bank, N.A.</w:t>
            </w:r>
            <w:r>
              <w:rPr>
                <w:rFonts w:ascii="Arial" w:cs="Arial" w:eastAsia="Arial" w:hAnsi="Arial"/>
                <w:sz w:val="18"/>
                <w:szCs w:val="18"/>
                <w:b w:val="1"/>
                <w:bCs w:val="1"/>
                <w:color w:val="auto"/>
              </w:rPr>
              <w:t>:</w:t>
            </w:r>
          </w:p>
        </w:tc>
        <w:tc>
          <w:tcPr>
            <w:tcW w:w="4740" w:type="dxa"/>
            <w:vAlign w:val="bottom"/>
            <w:gridSpan w:val="6"/>
          </w:tcPr>
          <w:p>
            <w:pPr>
              <w:ind w:left="940"/>
              <w:spacing w:after="0"/>
              <w:rPr>
                <w:sz w:val="20"/>
                <w:szCs w:val="20"/>
                <w:color w:val="auto"/>
              </w:rPr>
            </w:pPr>
            <w:r>
              <w:rPr>
                <w:rFonts w:ascii="Arial" w:cs="Arial" w:eastAsia="Arial" w:hAnsi="Arial"/>
                <w:sz w:val="18"/>
                <w:szCs w:val="18"/>
                <w:b w:val="1"/>
                <w:bCs w:val="1"/>
                <w:color w:val="auto"/>
                <w:w w:val="90"/>
              </w:rPr>
              <w:t>Initial Funding, Closing and Upfront Fee Notices:</w:t>
            </w:r>
          </w:p>
        </w:tc>
      </w:tr>
      <w:tr>
        <w:trPr>
          <w:trHeight w:val="485"/>
        </w:trPr>
        <w:tc>
          <w:tcPr>
            <w:tcW w:w="3020" w:type="dxa"/>
            <w:vAlign w:val="bottom"/>
          </w:tcPr>
          <w:p>
            <w:pPr>
              <w:spacing w:after="0"/>
              <w:rPr>
                <w:sz w:val="24"/>
                <w:szCs w:val="24"/>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w w:val="99"/>
              </w:rPr>
              <w:t>1 New York Plaza</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color w:val="auto"/>
              </w:rPr>
              <w:t>New York, New York 10004</w:t>
            </w:r>
          </w:p>
        </w:tc>
      </w:tr>
      <w:tr>
        <w:trPr>
          <w:trHeight w:val="216"/>
        </w:trPr>
        <w:tc>
          <w:tcPr>
            <w:tcW w:w="302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Attn:</w:t>
            </w:r>
          </w:p>
        </w:tc>
        <w:tc>
          <w:tcPr>
            <w:tcW w:w="3100" w:type="dxa"/>
            <w:vAlign w:val="bottom"/>
            <w:gridSpan w:val="5"/>
          </w:tcPr>
          <w:p>
            <w:pPr>
              <w:ind w:left="20"/>
              <w:spacing w:after="0"/>
              <w:rPr>
                <w:sz w:val="20"/>
                <w:szCs w:val="20"/>
                <w:color w:val="auto"/>
              </w:rPr>
            </w:pPr>
            <w:r>
              <w:rPr>
                <w:rFonts w:ascii="Arial" w:cs="Arial" w:eastAsia="Arial" w:hAnsi="Arial"/>
                <w:sz w:val="18"/>
                <w:szCs w:val="18"/>
                <w:color w:val="auto"/>
              </w:rPr>
              <w:t>John Leidner</w:t>
            </w:r>
          </w:p>
        </w:tc>
      </w:tr>
      <w:tr>
        <w:trPr>
          <w:trHeight w:val="190"/>
        </w:trPr>
        <w:tc>
          <w:tcPr>
            <w:tcW w:w="3020" w:type="dxa"/>
            <w:vAlign w:val="bottom"/>
          </w:tcPr>
          <w:p>
            <w:pPr>
              <w:spacing w:after="0"/>
              <w:rPr>
                <w:sz w:val="16"/>
                <w:szCs w:val="16"/>
                <w:color w:val="auto"/>
              </w:rPr>
            </w:pPr>
          </w:p>
        </w:tc>
        <w:tc>
          <w:tcPr>
            <w:tcW w:w="1640" w:type="dxa"/>
            <w:vAlign w:val="bottom"/>
          </w:tcPr>
          <w:p>
            <w:pPr>
              <w:ind w:left="940"/>
              <w:spacing w:after="0" w:line="190" w:lineRule="exact"/>
              <w:rPr>
                <w:sz w:val="20"/>
                <w:szCs w:val="20"/>
                <w:color w:val="auto"/>
              </w:rPr>
            </w:pPr>
            <w:r>
              <w:rPr>
                <w:rFonts w:ascii="Arial" w:cs="Arial" w:eastAsia="Arial" w:hAnsi="Arial"/>
                <w:sz w:val="18"/>
                <w:szCs w:val="18"/>
                <w:color w:val="auto"/>
              </w:rPr>
              <w:t>E-mail:</w:t>
            </w:r>
          </w:p>
        </w:tc>
        <w:tc>
          <w:tcPr>
            <w:tcW w:w="248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89"/>
              </w:rPr>
              <w:t>primarydocs@morganstanley.com</w:t>
            </w:r>
          </w:p>
        </w:tc>
        <w:tc>
          <w:tcPr>
            <w:tcW w:w="620" w:type="dxa"/>
            <w:vAlign w:val="bottom"/>
            <w:gridSpan w:val="2"/>
          </w:tcPr>
          <w:p>
            <w:pPr>
              <w:spacing w:after="0"/>
              <w:rPr>
                <w:sz w:val="16"/>
                <w:szCs w:val="16"/>
                <w:color w:val="auto"/>
              </w:rPr>
            </w:pPr>
          </w:p>
        </w:tc>
      </w:tr>
      <w:tr>
        <w:trPr>
          <w:trHeight w:val="222"/>
        </w:trPr>
        <w:tc>
          <w:tcPr>
            <w:tcW w:w="3020" w:type="dxa"/>
            <w:vAlign w:val="bottom"/>
          </w:tcPr>
          <w:p>
            <w:pPr>
              <w:spacing w:after="0"/>
              <w:rPr>
                <w:sz w:val="19"/>
                <w:szCs w:val="19"/>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Facsimile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(718) 233-2132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Telephone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(917) 260-5332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99"/>
        </w:trPr>
        <w:tc>
          <w:tcPr>
            <w:tcW w:w="3020" w:type="dxa"/>
            <w:vAlign w:val="bottom"/>
          </w:tcPr>
          <w:p>
            <w:pPr>
              <w:spacing w:after="0"/>
              <w:rPr>
                <w:sz w:val="24"/>
                <w:szCs w:val="24"/>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b w:val="1"/>
                <w:bCs w:val="1"/>
                <w:color w:val="auto"/>
              </w:rPr>
              <w:t>Borrowing Notices:</w:t>
            </w:r>
          </w:p>
        </w:tc>
      </w:tr>
      <w:tr>
        <w:trPr>
          <w:trHeight w:val="485"/>
        </w:trPr>
        <w:tc>
          <w:tcPr>
            <w:tcW w:w="3020" w:type="dxa"/>
            <w:vAlign w:val="bottom"/>
          </w:tcPr>
          <w:p>
            <w:pPr>
              <w:spacing w:after="0"/>
              <w:rPr>
                <w:sz w:val="24"/>
                <w:szCs w:val="24"/>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w w:val="87"/>
              </w:rPr>
              <w:t>1300 Thames Street</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color w:val="auto"/>
              </w:rPr>
              <w:t>Thames Street Wharf, 4th Floor</w:t>
            </w:r>
          </w:p>
        </w:tc>
      </w:tr>
      <w:tr>
        <w:trPr>
          <w:trHeight w:val="216"/>
        </w:trPr>
        <w:tc>
          <w:tcPr>
            <w:tcW w:w="3020" w:type="dxa"/>
            <w:vAlign w:val="bottom"/>
          </w:tcPr>
          <w:p>
            <w:pPr>
              <w:spacing w:after="0"/>
              <w:rPr>
                <w:sz w:val="18"/>
                <w:szCs w:val="18"/>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color w:val="auto"/>
              </w:rPr>
              <w:t>Baltimore, Maryland 21231</w:t>
            </w:r>
          </w:p>
        </w:tc>
      </w:tr>
      <w:tr>
        <w:trPr>
          <w:trHeight w:val="216"/>
        </w:trPr>
        <w:tc>
          <w:tcPr>
            <w:tcW w:w="302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Attn:</w:t>
            </w:r>
          </w:p>
        </w:tc>
        <w:tc>
          <w:tcPr>
            <w:tcW w:w="3100" w:type="dxa"/>
            <w:vAlign w:val="bottom"/>
            <w:gridSpan w:val="5"/>
          </w:tcPr>
          <w:p>
            <w:pPr>
              <w:ind w:left="20"/>
              <w:spacing w:after="0"/>
              <w:rPr>
                <w:sz w:val="20"/>
                <w:szCs w:val="20"/>
                <w:color w:val="auto"/>
              </w:rPr>
            </w:pPr>
            <w:r>
              <w:rPr>
                <w:rFonts w:ascii="Arial" w:cs="Arial" w:eastAsia="Arial" w:hAnsi="Arial"/>
                <w:sz w:val="18"/>
                <w:szCs w:val="18"/>
                <w:color w:val="auto"/>
              </w:rPr>
              <w:t>Morgan Stanley Loan Servicing</w:t>
            </w:r>
          </w:p>
        </w:tc>
      </w:tr>
      <w:tr>
        <w:trPr>
          <w:trHeight w:val="216"/>
        </w:trPr>
        <w:tc>
          <w:tcPr>
            <w:tcW w:w="3020" w:type="dxa"/>
            <w:vAlign w:val="bottom"/>
          </w:tcPr>
          <w:p>
            <w:pPr>
              <w:spacing w:after="0"/>
              <w:rPr>
                <w:sz w:val="18"/>
                <w:szCs w:val="18"/>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Facsimile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(718) 233-2140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Telephone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(443) 627-4355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99"/>
        </w:trPr>
        <w:tc>
          <w:tcPr>
            <w:tcW w:w="3020" w:type="dxa"/>
            <w:vAlign w:val="bottom"/>
          </w:tcPr>
          <w:p>
            <w:pPr>
              <w:spacing w:after="0"/>
              <w:rPr>
                <w:sz w:val="24"/>
                <w:szCs w:val="24"/>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b w:val="1"/>
                <w:bCs w:val="1"/>
                <w:color w:val="auto"/>
              </w:rPr>
              <w:t>Documentation and Servicing Notices:</w:t>
            </w:r>
          </w:p>
        </w:tc>
      </w:tr>
      <w:tr>
        <w:trPr>
          <w:trHeight w:val="485"/>
        </w:trPr>
        <w:tc>
          <w:tcPr>
            <w:tcW w:w="3020" w:type="dxa"/>
            <w:vAlign w:val="bottom"/>
          </w:tcPr>
          <w:p>
            <w:pPr>
              <w:spacing w:after="0"/>
              <w:rPr>
                <w:sz w:val="24"/>
                <w:szCs w:val="24"/>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w w:val="87"/>
              </w:rPr>
              <w:t>1300 Thames Street</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color w:val="auto"/>
              </w:rPr>
              <w:t>Thames Street Wharf, 4th Floor</w:t>
            </w:r>
          </w:p>
        </w:tc>
      </w:tr>
      <w:tr>
        <w:trPr>
          <w:trHeight w:val="216"/>
        </w:trPr>
        <w:tc>
          <w:tcPr>
            <w:tcW w:w="3020" w:type="dxa"/>
            <w:vAlign w:val="bottom"/>
          </w:tcPr>
          <w:p>
            <w:pPr>
              <w:spacing w:after="0"/>
              <w:rPr>
                <w:sz w:val="18"/>
                <w:szCs w:val="18"/>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color w:val="auto"/>
              </w:rPr>
              <w:t>Baltimore, Maryland 21231</w:t>
            </w:r>
          </w:p>
        </w:tc>
      </w:tr>
      <w:tr>
        <w:trPr>
          <w:trHeight w:val="216"/>
        </w:trPr>
        <w:tc>
          <w:tcPr>
            <w:tcW w:w="302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Attn:</w:t>
            </w:r>
          </w:p>
        </w:tc>
        <w:tc>
          <w:tcPr>
            <w:tcW w:w="3100" w:type="dxa"/>
            <w:vAlign w:val="bottom"/>
            <w:gridSpan w:val="5"/>
          </w:tcPr>
          <w:p>
            <w:pPr>
              <w:ind w:left="20"/>
              <w:spacing w:after="0"/>
              <w:rPr>
                <w:sz w:val="20"/>
                <w:szCs w:val="20"/>
                <w:color w:val="auto"/>
              </w:rPr>
            </w:pPr>
            <w:r>
              <w:rPr>
                <w:rFonts w:ascii="Arial" w:cs="Arial" w:eastAsia="Arial" w:hAnsi="Arial"/>
                <w:sz w:val="18"/>
                <w:szCs w:val="18"/>
                <w:color w:val="auto"/>
              </w:rPr>
              <w:t>Steve Delany</w:t>
            </w:r>
          </w:p>
        </w:tc>
      </w:tr>
      <w:tr>
        <w:trPr>
          <w:trHeight w:val="190"/>
        </w:trPr>
        <w:tc>
          <w:tcPr>
            <w:tcW w:w="3020" w:type="dxa"/>
            <w:vAlign w:val="bottom"/>
          </w:tcPr>
          <w:p>
            <w:pPr>
              <w:spacing w:after="0"/>
              <w:rPr>
                <w:sz w:val="16"/>
                <w:szCs w:val="16"/>
                <w:color w:val="auto"/>
              </w:rPr>
            </w:pPr>
          </w:p>
        </w:tc>
        <w:tc>
          <w:tcPr>
            <w:tcW w:w="1640" w:type="dxa"/>
            <w:vAlign w:val="bottom"/>
          </w:tcPr>
          <w:p>
            <w:pPr>
              <w:ind w:left="940"/>
              <w:spacing w:after="0" w:line="190" w:lineRule="exact"/>
              <w:rPr>
                <w:sz w:val="20"/>
                <w:szCs w:val="20"/>
                <w:color w:val="auto"/>
              </w:rPr>
            </w:pPr>
            <w:r>
              <w:rPr>
                <w:rFonts w:ascii="Arial" w:cs="Arial" w:eastAsia="Arial" w:hAnsi="Arial"/>
                <w:sz w:val="18"/>
                <w:szCs w:val="18"/>
                <w:color w:val="auto"/>
              </w:rPr>
              <w:t>E-mail:</w:t>
            </w:r>
          </w:p>
        </w:tc>
        <w:tc>
          <w:tcPr>
            <w:tcW w:w="2880" w:type="dxa"/>
            <w:vAlign w:val="bottom"/>
            <w:tcBorders>
              <w:bottom w:val="single" w:sz="8" w:color="auto"/>
            </w:tcBorders>
            <w:gridSpan w:val="4"/>
          </w:tcPr>
          <w:p>
            <w:pPr>
              <w:spacing w:after="0" w:line="190" w:lineRule="exact"/>
              <w:rPr>
                <w:sz w:val="20"/>
                <w:szCs w:val="20"/>
                <w:color w:val="auto"/>
              </w:rPr>
            </w:pPr>
            <w:r>
              <w:rPr>
                <w:rFonts w:ascii="Arial" w:cs="Arial" w:eastAsia="Arial" w:hAnsi="Arial"/>
                <w:sz w:val="18"/>
                <w:szCs w:val="18"/>
                <w:color w:val="auto"/>
                <w:w w:val="90"/>
              </w:rPr>
              <w:t>doc4specportfolio@morganstanley.com</w:t>
            </w:r>
          </w:p>
        </w:tc>
        <w:tc>
          <w:tcPr>
            <w:tcW w:w="220" w:type="dxa"/>
            <w:vAlign w:val="bottom"/>
          </w:tcPr>
          <w:p>
            <w:pPr>
              <w:spacing w:after="0"/>
              <w:rPr>
                <w:sz w:val="16"/>
                <w:szCs w:val="16"/>
                <w:color w:val="auto"/>
              </w:rPr>
            </w:pPr>
          </w:p>
        </w:tc>
      </w:tr>
      <w:tr>
        <w:trPr>
          <w:trHeight w:val="222"/>
        </w:trPr>
        <w:tc>
          <w:tcPr>
            <w:tcW w:w="3020" w:type="dxa"/>
            <w:vAlign w:val="bottom"/>
          </w:tcPr>
          <w:p>
            <w:pPr>
              <w:spacing w:after="0"/>
              <w:rPr>
                <w:sz w:val="19"/>
                <w:szCs w:val="19"/>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Facsimile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(212) 404-9645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Telephone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(443) 627-4326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99"/>
        </w:trPr>
        <w:tc>
          <w:tcPr>
            <w:tcW w:w="3020" w:type="dxa"/>
            <w:vAlign w:val="bottom"/>
          </w:tcPr>
          <w:p>
            <w:pPr>
              <w:spacing w:after="0"/>
              <w:rPr>
                <w:sz w:val="24"/>
                <w:szCs w:val="24"/>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With a copy to:</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85"/>
        </w:trPr>
        <w:tc>
          <w:tcPr>
            <w:tcW w:w="3020" w:type="dxa"/>
            <w:vAlign w:val="bottom"/>
          </w:tcPr>
          <w:p>
            <w:pPr>
              <w:spacing w:after="0"/>
              <w:rPr>
                <w:sz w:val="24"/>
                <w:szCs w:val="24"/>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color w:val="auto"/>
              </w:rPr>
              <w:t>1585 Broadway Avenue, 2nd Floor</w:t>
            </w:r>
          </w:p>
        </w:tc>
      </w:tr>
      <w:tr>
        <w:trPr>
          <w:trHeight w:val="216"/>
        </w:trPr>
        <w:tc>
          <w:tcPr>
            <w:tcW w:w="3020" w:type="dxa"/>
            <w:vAlign w:val="bottom"/>
          </w:tcPr>
          <w:p>
            <w:pPr>
              <w:spacing w:after="0"/>
              <w:rPr>
                <w:sz w:val="18"/>
                <w:szCs w:val="18"/>
                <w:color w:val="auto"/>
              </w:rPr>
            </w:pPr>
          </w:p>
        </w:tc>
        <w:tc>
          <w:tcPr>
            <w:tcW w:w="4740" w:type="dxa"/>
            <w:vAlign w:val="bottom"/>
            <w:gridSpan w:val="6"/>
          </w:tcPr>
          <w:p>
            <w:pPr>
              <w:ind w:left="940"/>
              <w:spacing w:after="0"/>
              <w:rPr>
                <w:sz w:val="20"/>
                <w:szCs w:val="20"/>
                <w:color w:val="auto"/>
              </w:rPr>
            </w:pPr>
            <w:r>
              <w:rPr>
                <w:rFonts w:ascii="Arial" w:cs="Arial" w:eastAsia="Arial" w:hAnsi="Arial"/>
                <w:sz w:val="18"/>
                <w:szCs w:val="18"/>
                <w:color w:val="auto"/>
              </w:rPr>
              <w:t>New York, New York 10036</w:t>
            </w:r>
          </w:p>
        </w:tc>
      </w:tr>
      <w:tr>
        <w:trPr>
          <w:trHeight w:val="216"/>
        </w:trPr>
        <w:tc>
          <w:tcPr>
            <w:tcW w:w="302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Attn:</w:t>
            </w:r>
          </w:p>
        </w:tc>
        <w:tc>
          <w:tcPr>
            <w:tcW w:w="3100" w:type="dxa"/>
            <w:vAlign w:val="bottom"/>
            <w:gridSpan w:val="5"/>
          </w:tcPr>
          <w:p>
            <w:pPr>
              <w:ind w:left="20"/>
              <w:spacing w:after="0"/>
              <w:rPr>
                <w:sz w:val="20"/>
                <w:szCs w:val="20"/>
                <w:color w:val="auto"/>
              </w:rPr>
            </w:pPr>
            <w:r>
              <w:rPr>
                <w:rFonts w:ascii="Arial" w:cs="Arial" w:eastAsia="Arial" w:hAnsi="Arial"/>
                <w:sz w:val="18"/>
                <w:szCs w:val="18"/>
                <w:color w:val="auto"/>
              </w:rPr>
              <w:t>Kelly Chin</w:t>
            </w:r>
          </w:p>
        </w:tc>
      </w:tr>
      <w:tr>
        <w:trPr>
          <w:trHeight w:val="190"/>
        </w:trPr>
        <w:tc>
          <w:tcPr>
            <w:tcW w:w="3020" w:type="dxa"/>
            <w:vAlign w:val="bottom"/>
          </w:tcPr>
          <w:p>
            <w:pPr>
              <w:spacing w:after="0"/>
              <w:rPr>
                <w:sz w:val="16"/>
                <w:szCs w:val="16"/>
                <w:color w:val="auto"/>
              </w:rPr>
            </w:pPr>
          </w:p>
        </w:tc>
        <w:tc>
          <w:tcPr>
            <w:tcW w:w="1640" w:type="dxa"/>
            <w:vAlign w:val="bottom"/>
          </w:tcPr>
          <w:p>
            <w:pPr>
              <w:ind w:left="940"/>
              <w:spacing w:after="0" w:line="190" w:lineRule="exact"/>
              <w:rPr>
                <w:sz w:val="20"/>
                <w:szCs w:val="20"/>
                <w:color w:val="auto"/>
              </w:rPr>
            </w:pPr>
            <w:r>
              <w:rPr>
                <w:rFonts w:ascii="Arial" w:cs="Arial" w:eastAsia="Arial" w:hAnsi="Arial"/>
                <w:sz w:val="18"/>
                <w:szCs w:val="18"/>
                <w:color w:val="auto"/>
              </w:rPr>
              <w:t>E-mail:</w:t>
            </w:r>
          </w:p>
        </w:tc>
        <w:tc>
          <w:tcPr>
            <w:tcW w:w="22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kelly.chin@morganstanley.com</w:t>
            </w:r>
          </w:p>
        </w:tc>
        <w:tc>
          <w:tcPr>
            <w:tcW w:w="820" w:type="dxa"/>
            <w:vAlign w:val="bottom"/>
            <w:gridSpan w:val="3"/>
          </w:tcPr>
          <w:p>
            <w:pPr>
              <w:spacing w:after="0"/>
              <w:rPr>
                <w:sz w:val="16"/>
                <w:szCs w:val="16"/>
                <w:color w:val="auto"/>
              </w:rPr>
            </w:pPr>
          </w:p>
        </w:tc>
      </w:tr>
      <w:tr>
        <w:trPr>
          <w:trHeight w:val="222"/>
        </w:trPr>
        <w:tc>
          <w:tcPr>
            <w:tcW w:w="3020" w:type="dxa"/>
            <w:vAlign w:val="bottom"/>
          </w:tcPr>
          <w:p>
            <w:pPr>
              <w:spacing w:after="0"/>
              <w:rPr>
                <w:sz w:val="19"/>
                <w:szCs w:val="19"/>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Facsimile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(646) 290-2831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p>
        </w:tc>
        <w:tc>
          <w:tcPr>
            <w:tcW w:w="2380" w:type="dxa"/>
            <w:vAlign w:val="bottom"/>
            <w:gridSpan w:val="2"/>
          </w:tcPr>
          <w:p>
            <w:pPr>
              <w:ind w:left="940"/>
              <w:spacing w:after="0"/>
              <w:rPr>
                <w:sz w:val="20"/>
                <w:szCs w:val="20"/>
                <w:color w:val="auto"/>
              </w:rPr>
            </w:pPr>
            <w:r>
              <w:rPr>
                <w:rFonts w:ascii="Arial" w:cs="Arial" w:eastAsia="Arial" w:hAnsi="Arial"/>
                <w:sz w:val="18"/>
                <w:szCs w:val="18"/>
                <w:color w:val="auto"/>
              </w:rPr>
              <w:t>Telephone No:</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w w:val="90"/>
              </w:rPr>
              <w:t>(212) 761-7319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139"/>
          </w:cols>
          <w:pgMar w:left="32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4" w:name="page215"/>
    <w:bookmarkEnd w:id="214"/>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b w:val="1"/>
                <w:bCs w:val="1"/>
                <w:color w:val="auto"/>
                <w:w w:val="89"/>
              </w:rPr>
              <w:t>Legal Notices:</w:t>
            </w:r>
          </w:p>
        </w:tc>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8"/>
        </w:trPr>
        <w:tc>
          <w:tcPr>
            <w:tcW w:w="3420" w:type="dxa"/>
            <w:vAlign w:val="bottom"/>
          </w:tcPr>
          <w:p>
            <w:pPr>
              <w:spacing w:after="0"/>
              <w:rPr>
                <w:sz w:val="24"/>
                <w:szCs w:val="24"/>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1221 Avenue of the Americas, 34th Floor</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New York, New York 10020</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Attn:   Legal and Compliance Division</w:t>
            </w:r>
          </w:p>
        </w:tc>
      </w:tr>
      <w:tr>
        <w:trPr>
          <w:trHeight w:val="230"/>
        </w:trPr>
        <w:tc>
          <w:tcPr>
            <w:tcW w:w="34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96"/>
              </w:rPr>
              <w:t>Facsimile No.:</w:t>
            </w:r>
          </w:p>
        </w:tc>
        <w:tc>
          <w:tcPr>
            <w:tcW w:w="1600" w:type="dxa"/>
            <w:vAlign w:val="bottom"/>
          </w:tcPr>
          <w:p>
            <w:pPr>
              <w:ind w:left="200"/>
              <w:spacing w:after="0"/>
              <w:rPr>
                <w:sz w:val="20"/>
                <w:szCs w:val="20"/>
                <w:color w:val="auto"/>
              </w:rPr>
            </w:pPr>
            <w:r>
              <w:rPr>
                <w:rFonts w:ascii="Arial" w:cs="Arial" w:eastAsia="Arial" w:hAnsi="Arial"/>
                <w:sz w:val="18"/>
                <w:szCs w:val="18"/>
                <w:color w:val="auto"/>
              </w:rPr>
              <w:t>(646) 202-9232</w:t>
            </w:r>
          </w:p>
        </w:tc>
        <w:tc>
          <w:tcPr>
            <w:tcW w:w="1160" w:type="dxa"/>
            <w:vAlign w:val="bottom"/>
          </w:tcPr>
          <w:p>
            <w:pPr>
              <w:spacing w:after="0"/>
              <w:rPr>
                <w:sz w:val="20"/>
                <w:szCs w:val="20"/>
                <w:color w:val="auto"/>
              </w:rPr>
            </w:pPr>
          </w:p>
        </w:tc>
      </w:tr>
      <w:tr>
        <w:trPr>
          <w:trHeight w:val="485"/>
        </w:trPr>
        <w:tc>
          <w:tcPr>
            <w:tcW w:w="3420" w:type="dxa"/>
            <w:vAlign w:val="bottom"/>
          </w:tcPr>
          <w:p>
            <w:pPr>
              <w:spacing w:after="0"/>
              <w:rPr>
                <w:sz w:val="20"/>
                <w:szCs w:val="20"/>
                <w:color w:val="auto"/>
              </w:rPr>
            </w:pPr>
            <w:r>
              <w:rPr>
                <w:rFonts w:ascii="Arial" w:cs="Arial" w:eastAsia="Arial" w:hAnsi="Arial"/>
                <w:sz w:val="18"/>
                <w:szCs w:val="18"/>
                <w:color w:val="auto"/>
              </w:rPr>
              <w:t>Capital One, N.A.:</w:t>
            </w: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Capital One, N.A.</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90 Park Avenue, 6</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New York, New York 10016</w:t>
            </w: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440"/>
              <w:spacing w:after="0"/>
              <w:rPr>
                <w:sz w:val="20"/>
                <w:szCs w:val="20"/>
                <w:color w:val="auto"/>
              </w:rPr>
            </w:pPr>
            <w:r>
              <w:rPr>
                <w:rFonts w:ascii="Arial" w:cs="Arial" w:eastAsia="Arial" w:hAnsi="Arial"/>
                <w:sz w:val="18"/>
                <w:szCs w:val="18"/>
                <w:color w:val="auto"/>
              </w:rPr>
              <w:t>Matt Tallo</w:t>
            </w: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89"/>
              </w:rPr>
              <w:t>Telephone No.:</w:t>
            </w:r>
          </w:p>
        </w:tc>
        <w:tc>
          <w:tcPr>
            <w:tcW w:w="1600" w:type="dxa"/>
            <w:vAlign w:val="bottom"/>
          </w:tcPr>
          <w:p>
            <w:pPr>
              <w:ind w:left="440"/>
              <w:spacing w:after="0"/>
              <w:rPr>
                <w:sz w:val="20"/>
                <w:szCs w:val="20"/>
                <w:color w:val="auto"/>
              </w:rPr>
            </w:pPr>
            <w:r>
              <w:rPr>
                <w:rFonts w:ascii="Arial" w:cs="Arial" w:eastAsia="Arial" w:hAnsi="Arial"/>
                <w:sz w:val="18"/>
                <w:szCs w:val="18"/>
                <w:color w:val="auto"/>
              </w:rPr>
              <w:t>212.834.1619</w:t>
            </w:r>
          </w:p>
        </w:tc>
        <w:tc>
          <w:tcPr>
            <w:tcW w:w="116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96"/>
              </w:rPr>
              <w:t>Facsimile No.:</w:t>
            </w:r>
          </w:p>
        </w:tc>
        <w:tc>
          <w:tcPr>
            <w:tcW w:w="1600" w:type="dxa"/>
            <w:vAlign w:val="bottom"/>
          </w:tcPr>
          <w:p>
            <w:pPr>
              <w:ind w:left="440"/>
              <w:spacing w:after="0"/>
              <w:rPr>
                <w:sz w:val="20"/>
                <w:szCs w:val="20"/>
                <w:color w:val="auto"/>
              </w:rPr>
            </w:pPr>
            <w:r>
              <w:rPr>
                <w:rFonts w:ascii="Arial" w:cs="Arial" w:eastAsia="Arial" w:hAnsi="Arial"/>
                <w:sz w:val="18"/>
                <w:szCs w:val="18"/>
                <w:color w:val="auto"/>
              </w:rPr>
              <w:t>212.834.1747</w:t>
            </w:r>
          </w:p>
        </w:tc>
        <w:tc>
          <w:tcPr>
            <w:tcW w:w="116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Email:</w:t>
            </w:r>
          </w:p>
        </w:tc>
        <w:tc>
          <w:tcPr>
            <w:tcW w:w="2760" w:type="dxa"/>
            <w:vAlign w:val="bottom"/>
            <w:gridSpan w:val="2"/>
          </w:tcPr>
          <w:p>
            <w:pPr>
              <w:ind w:left="440"/>
              <w:spacing w:after="0"/>
              <w:rPr>
                <w:sz w:val="20"/>
                <w:szCs w:val="20"/>
                <w:color w:val="auto"/>
              </w:rPr>
            </w:pPr>
            <w:r>
              <w:rPr>
                <w:rFonts w:ascii="Arial" w:cs="Arial" w:eastAsia="Arial" w:hAnsi="Arial"/>
                <w:sz w:val="18"/>
                <w:szCs w:val="18"/>
                <w:color w:val="auto"/>
              </w:rPr>
              <w:t>matt.tallo@capitalone.com</w:t>
            </w:r>
          </w:p>
        </w:tc>
      </w:tr>
      <w:tr>
        <w:trPr>
          <w:trHeight w:val="485"/>
        </w:trPr>
        <w:tc>
          <w:tcPr>
            <w:tcW w:w="3420" w:type="dxa"/>
            <w:vAlign w:val="bottom"/>
          </w:tcPr>
          <w:p>
            <w:pPr>
              <w:spacing w:after="0"/>
              <w:rPr>
                <w:sz w:val="20"/>
                <w:szCs w:val="20"/>
                <w:color w:val="auto"/>
              </w:rPr>
            </w:pPr>
            <w:r>
              <w:rPr>
                <w:rFonts w:ascii="Arial" w:cs="Arial" w:eastAsia="Arial" w:hAnsi="Arial"/>
                <w:sz w:val="18"/>
                <w:szCs w:val="18"/>
                <w:color w:val="auto"/>
              </w:rPr>
              <w:t>With a copy to:</w:t>
            </w: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Capital One, N.A.</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4445 Willard Avenue, 6F</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Chevy Chase, Maryland 20815</w:t>
            </w: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440"/>
              <w:spacing w:after="0"/>
              <w:rPr>
                <w:sz w:val="20"/>
                <w:szCs w:val="20"/>
                <w:color w:val="auto"/>
              </w:rPr>
            </w:pPr>
            <w:r>
              <w:rPr>
                <w:rFonts w:ascii="Arial" w:cs="Arial" w:eastAsia="Arial" w:hAnsi="Arial"/>
                <w:sz w:val="18"/>
                <w:szCs w:val="18"/>
                <w:color w:val="auto"/>
              </w:rPr>
              <w:t>Bridget Rainero</w:t>
            </w: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89"/>
              </w:rPr>
              <w:t>Telephone No.:</w:t>
            </w:r>
          </w:p>
        </w:tc>
        <w:tc>
          <w:tcPr>
            <w:tcW w:w="1600" w:type="dxa"/>
            <w:vAlign w:val="bottom"/>
          </w:tcPr>
          <w:p>
            <w:pPr>
              <w:ind w:left="440"/>
              <w:spacing w:after="0"/>
              <w:rPr>
                <w:sz w:val="20"/>
                <w:szCs w:val="20"/>
                <w:color w:val="auto"/>
              </w:rPr>
            </w:pPr>
            <w:r>
              <w:rPr>
                <w:rFonts w:ascii="Arial" w:cs="Arial" w:eastAsia="Arial" w:hAnsi="Arial"/>
                <w:sz w:val="18"/>
                <w:szCs w:val="18"/>
                <w:color w:val="auto"/>
              </w:rPr>
              <w:t>301-280-2592</w:t>
            </w:r>
          </w:p>
        </w:tc>
        <w:tc>
          <w:tcPr>
            <w:tcW w:w="116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96"/>
              </w:rPr>
              <w:t>Facsimile No.:</w:t>
            </w:r>
          </w:p>
        </w:tc>
        <w:tc>
          <w:tcPr>
            <w:tcW w:w="1600" w:type="dxa"/>
            <w:vAlign w:val="bottom"/>
          </w:tcPr>
          <w:p>
            <w:pPr>
              <w:ind w:left="440"/>
              <w:spacing w:after="0"/>
              <w:rPr>
                <w:sz w:val="20"/>
                <w:szCs w:val="20"/>
                <w:color w:val="auto"/>
              </w:rPr>
            </w:pPr>
            <w:r>
              <w:rPr>
                <w:rFonts w:ascii="Arial" w:cs="Arial" w:eastAsia="Arial" w:hAnsi="Arial"/>
                <w:sz w:val="18"/>
                <w:szCs w:val="18"/>
                <w:color w:val="auto"/>
              </w:rPr>
              <w:t>301-280-0296</w:t>
            </w:r>
          </w:p>
        </w:tc>
        <w:tc>
          <w:tcPr>
            <w:tcW w:w="116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Email:</w:t>
            </w:r>
          </w:p>
        </w:tc>
        <w:tc>
          <w:tcPr>
            <w:tcW w:w="2760" w:type="dxa"/>
            <w:vAlign w:val="bottom"/>
            <w:gridSpan w:val="2"/>
          </w:tcPr>
          <w:p>
            <w:pPr>
              <w:ind w:left="440"/>
              <w:spacing w:after="0"/>
              <w:rPr>
                <w:sz w:val="20"/>
                <w:szCs w:val="20"/>
                <w:color w:val="auto"/>
              </w:rPr>
            </w:pPr>
            <w:r>
              <w:rPr>
                <w:rFonts w:ascii="Arial" w:cs="Arial" w:eastAsia="Arial" w:hAnsi="Arial"/>
                <w:sz w:val="18"/>
                <w:szCs w:val="18"/>
                <w:color w:val="auto"/>
                <w:w w:val="90"/>
              </w:rPr>
              <w:t>bridget.rainero@capitalone.com</w:t>
            </w:r>
          </w:p>
        </w:tc>
      </w:tr>
      <w:tr>
        <w:trPr>
          <w:trHeight w:val="485"/>
        </w:trPr>
        <w:tc>
          <w:tcPr>
            <w:tcW w:w="3420" w:type="dxa"/>
            <w:vAlign w:val="bottom"/>
          </w:tcPr>
          <w:p>
            <w:pPr>
              <w:spacing w:after="0"/>
              <w:rPr>
                <w:sz w:val="20"/>
                <w:szCs w:val="20"/>
                <w:color w:val="auto"/>
              </w:rPr>
            </w:pPr>
            <w:r>
              <w:rPr>
                <w:rFonts w:ascii="Arial" w:cs="Arial" w:eastAsia="Arial" w:hAnsi="Arial"/>
                <w:sz w:val="18"/>
                <w:szCs w:val="18"/>
                <w:color w:val="auto"/>
              </w:rPr>
              <w:t>City National Bank:</w:t>
            </w: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City National Bank</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555 South Flower Street, 24</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Los Angeles, California 90071</w:t>
            </w: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440"/>
              <w:spacing w:after="0"/>
              <w:rPr>
                <w:sz w:val="20"/>
                <w:szCs w:val="20"/>
                <w:color w:val="auto"/>
              </w:rPr>
            </w:pPr>
            <w:r>
              <w:rPr>
                <w:rFonts w:ascii="Arial" w:cs="Arial" w:eastAsia="Arial" w:hAnsi="Arial"/>
                <w:sz w:val="18"/>
                <w:szCs w:val="18"/>
                <w:color w:val="auto"/>
              </w:rPr>
              <w:t>Diane Morgan</w:t>
            </w: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89"/>
              </w:rPr>
              <w:t>Telephone No.:</w:t>
            </w:r>
          </w:p>
        </w:tc>
        <w:tc>
          <w:tcPr>
            <w:tcW w:w="1600" w:type="dxa"/>
            <w:vAlign w:val="bottom"/>
          </w:tcPr>
          <w:p>
            <w:pPr>
              <w:ind w:left="440"/>
              <w:spacing w:after="0"/>
              <w:rPr>
                <w:sz w:val="20"/>
                <w:szCs w:val="20"/>
                <w:color w:val="auto"/>
              </w:rPr>
            </w:pPr>
            <w:r>
              <w:rPr>
                <w:rFonts w:ascii="Arial" w:cs="Arial" w:eastAsia="Arial" w:hAnsi="Arial"/>
                <w:sz w:val="18"/>
                <w:szCs w:val="18"/>
                <w:color w:val="auto"/>
              </w:rPr>
              <w:t>213.673.9091</w:t>
            </w:r>
          </w:p>
        </w:tc>
        <w:tc>
          <w:tcPr>
            <w:tcW w:w="116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96"/>
              </w:rPr>
              <w:t>Facsimile No.:</w:t>
            </w:r>
          </w:p>
        </w:tc>
        <w:tc>
          <w:tcPr>
            <w:tcW w:w="1600" w:type="dxa"/>
            <w:vAlign w:val="bottom"/>
          </w:tcPr>
          <w:p>
            <w:pPr>
              <w:ind w:left="440"/>
              <w:spacing w:after="0"/>
              <w:rPr>
                <w:sz w:val="20"/>
                <w:szCs w:val="20"/>
                <w:color w:val="auto"/>
              </w:rPr>
            </w:pPr>
            <w:r>
              <w:rPr>
                <w:rFonts w:ascii="Arial" w:cs="Arial" w:eastAsia="Arial" w:hAnsi="Arial"/>
                <w:sz w:val="18"/>
                <w:szCs w:val="18"/>
                <w:color w:val="auto"/>
              </w:rPr>
              <w:t>213.673.0414</w:t>
            </w:r>
          </w:p>
        </w:tc>
        <w:tc>
          <w:tcPr>
            <w:tcW w:w="116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Email:</w:t>
            </w:r>
          </w:p>
        </w:tc>
        <w:tc>
          <w:tcPr>
            <w:tcW w:w="2760" w:type="dxa"/>
            <w:vAlign w:val="bottom"/>
            <w:gridSpan w:val="2"/>
          </w:tcPr>
          <w:p>
            <w:pPr>
              <w:ind w:left="440"/>
              <w:spacing w:after="0"/>
              <w:rPr>
                <w:sz w:val="20"/>
                <w:szCs w:val="20"/>
                <w:color w:val="auto"/>
              </w:rPr>
            </w:pPr>
            <w:r>
              <w:rPr>
                <w:rFonts w:ascii="Arial" w:cs="Arial" w:eastAsia="Arial" w:hAnsi="Arial"/>
                <w:sz w:val="18"/>
                <w:szCs w:val="18"/>
                <w:color w:val="auto"/>
              </w:rPr>
              <w:t>diane.morgan@cnb.com</w:t>
            </w:r>
          </w:p>
        </w:tc>
      </w:tr>
      <w:tr>
        <w:trPr>
          <w:trHeight w:val="485"/>
        </w:trPr>
        <w:tc>
          <w:tcPr>
            <w:tcW w:w="3420" w:type="dxa"/>
            <w:vAlign w:val="bottom"/>
          </w:tcPr>
          <w:p>
            <w:pPr>
              <w:spacing w:after="0"/>
              <w:rPr>
                <w:sz w:val="20"/>
                <w:szCs w:val="20"/>
                <w:color w:val="auto"/>
              </w:rPr>
            </w:pPr>
            <w:r>
              <w:rPr>
                <w:rFonts w:ascii="Arial" w:cs="Arial" w:eastAsia="Arial" w:hAnsi="Arial"/>
                <w:sz w:val="18"/>
                <w:szCs w:val="18"/>
                <w:color w:val="auto"/>
              </w:rPr>
              <w:t>If to the Collateral Agent, the Collateral</w:t>
            </w: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Administrator or the Securities</w:t>
            </w: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Corporate Trust Services – CDO Unit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Intermediary:</w:t>
            </w: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One Federal Street, Third Floor</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Boston, Massachusetts</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Attn: Jennifer Vlasuk</w:t>
            </w: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420" w:type="dxa"/>
            <w:vAlign w:val="bottom"/>
          </w:tcPr>
          <w:p>
            <w:pPr>
              <w:spacing w:after="0"/>
              <w:rPr>
                <w:sz w:val="18"/>
                <w:szCs w:val="18"/>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96"/>
              </w:rPr>
              <w:t>Facsimile No.:</w:t>
            </w:r>
          </w:p>
        </w:tc>
        <w:tc>
          <w:tcPr>
            <w:tcW w:w="1600" w:type="dxa"/>
            <w:vAlign w:val="bottom"/>
          </w:tcPr>
          <w:p>
            <w:pPr>
              <w:ind w:left="20"/>
              <w:spacing w:after="0"/>
              <w:rPr>
                <w:sz w:val="20"/>
                <w:szCs w:val="20"/>
                <w:color w:val="auto"/>
              </w:rPr>
            </w:pPr>
            <w:r>
              <w:rPr>
                <w:rFonts w:ascii="Arial" w:cs="Arial" w:eastAsia="Arial" w:hAnsi="Arial"/>
                <w:sz w:val="18"/>
                <w:szCs w:val="18"/>
                <w:color w:val="auto"/>
              </w:rPr>
              <w:t>866-350-2904</w:t>
            </w:r>
          </w:p>
        </w:tc>
        <w:tc>
          <w:tcPr>
            <w:tcW w:w="116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4420" w:type="dxa"/>
            <w:vAlign w:val="bottom"/>
            <w:gridSpan w:val="4"/>
          </w:tcPr>
          <w:p>
            <w:pPr>
              <w:ind w:left="540"/>
              <w:spacing w:after="0"/>
              <w:rPr>
                <w:sz w:val="20"/>
                <w:szCs w:val="20"/>
                <w:color w:val="auto"/>
              </w:rPr>
            </w:pPr>
            <w:r>
              <w:rPr>
                <w:rFonts w:ascii="Arial" w:cs="Arial" w:eastAsia="Arial" w:hAnsi="Arial"/>
                <w:sz w:val="18"/>
                <w:szCs w:val="18"/>
                <w:color w:val="auto"/>
              </w:rPr>
              <w:t>Telephone No: 617-603-6461</w:t>
            </w:r>
          </w:p>
        </w:tc>
      </w:tr>
      <w:tr>
        <w:trPr>
          <w:trHeight w:val="190"/>
        </w:trPr>
        <w:tc>
          <w:tcPr>
            <w:tcW w:w="3420" w:type="dxa"/>
            <w:vAlign w:val="bottom"/>
          </w:tcPr>
          <w:p>
            <w:pPr>
              <w:spacing w:after="0"/>
              <w:rPr>
                <w:sz w:val="16"/>
                <w:szCs w:val="16"/>
                <w:color w:val="auto"/>
              </w:rPr>
            </w:pPr>
          </w:p>
        </w:tc>
        <w:tc>
          <w:tcPr>
            <w:tcW w:w="4420" w:type="dxa"/>
            <w:vAlign w:val="bottom"/>
            <w:gridSpan w:val="4"/>
          </w:tcPr>
          <w:p>
            <w:pPr>
              <w:ind w:left="54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jennifer.vlasuk@usbank.com</w:t>
            </w:r>
          </w:p>
        </w:tc>
      </w:tr>
      <w:tr>
        <w:trPr>
          <w:trHeight w:val="20"/>
        </w:trPr>
        <w:tc>
          <w:tcPr>
            <w:tcW w:w="3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139"/>
          </w:cols>
          <w:pgMar w:left="32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5" w:name="page216"/>
    <w:bookmarkEnd w:id="215"/>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If to the Custodian:</w:t>
            </w: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1719 Range Way</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Florence, South Carolina 29501</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Mail Code: Ex - SC - FLOR</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Attn: Steven Garrett</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E-mail: steven.garrett@usbank.com</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Facsimile No.: 843-673-0162</w:t>
            </w:r>
          </w:p>
        </w:tc>
      </w:tr>
      <w:tr>
        <w:trPr>
          <w:trHeight w:val="230"/>
        </w:trPr>
        <w:tc>
          <w:tcPr>
            <w:tcW w:w="3300" w:type="dxa"/>
            <w:vAlign w:val="bottom"/>
          </w:tcPr>
          <w:p>
            <w:pPr>
              <w:spacing w:after="0"/>
              <w:rPr>
                <w:sz w:val="20"/>
                <w:szCs w:val="20"/>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Telephone No: 843-676-8901</w:t>
            </w:r>
          </w:p>
        </w:tc>
      </w:tr>
      <w:tr>
        <w:trPr>
          <w:trHeight w:val="485"/>
        </w:trPr>
        <w:tc>
          <w:tcPr>
            <w:tcW w:w="3300" w:type="dxa"/>
            <w:vAlign w:val="bottom"/>
          </w:tcPr>
          <w:p>
            <w:pPr>
              <w:spacing w:after="0"/>
              <w:rPr>
                <w:sz w:val="20"/>
                <w:szCs w:val="20"/>
                <w:color w:val="auto"/>
              </w:rPr>
            </w:pPr>
            <w:r>
              <w:rPr>
                <w:rFonts w:ascii="Arial" w:cs="Arial" w:eastAsia="Arial" w:hAnsi="Arial"/>
                <w:sz w:val="18"/>
                <w:szCs w:val="18"/>
                <w:color w:val="auto"/>
              </w:rPr>
              <w:t>If to the Backup Collateral Manager:</w:t>
            </w: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Corporate Trust Services</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w w:val="90"/>
              </w:rPr>
              <w:t>Backup Servicing/PennantPark Floating Rate Funding</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EP-MN-WS3D</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60 Livingston Avenue</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St. Paul, MN 55107</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Attn Deborah Jones Franco</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Facsimile: 651-495-8090</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Telephone No.: 651-495-3413</w:t>
            </w:r>
          </w:p>
        </w:tc>
      </w:tr>
      <w:tr>
        <w:trPr>
          <w:trHeight w:val="230"/>
        </w:trPr>
        <w:tc>
          <w:tcPr>
            <w:tcW w:w="3300" w:type="dxa"/>
            <w:vAlign w:val="bottom"/>
          </w:tcPr>
          <w:p>
            <w:pPr>
              <w:spacing w:after="0"/>
              <w:rPr>
                <w:sz w:val="20"/>
                <w:szCs w:val="20"/>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E-mail: Deborah.Franco@USBank.com</w:t>
            </w:r>
          </w:p>
        </w:tc>
      </w:tr>
      <w:tr>
        <w:trPr>
          <w:trHeight w:val="485"/>
        </w:trPr>
        <w:tc>
          <w:tcPr>
            <w:tcW w:w="3300" w:type="dxa"/>
            <w:vAlign w:val="bottom"/>
          </w:tcPr>
          <w:p>
            <w:pPr>
              <w:spacing w:after="0"/>
              <w:rPr>
                <w:sz w:val="20"/>
                <w:szCs w:val="20"/>
                <w:color w:val="auto"/>
              </w:rPr>
            </w:pPr>
            <w:r>
              <w:rPr>
                <w:rFonts w:ascii="Arial" w:cs="Arial" w:eastAsia="Arial" w:hAnsi="Arial"/>
                <w:sz w:val="18"/>
                <w:szCs w:val="18"/>
                <w:color w:val="auto"/>
              </w:rPr>
              <w:t>If to the Borrower:</w:t>
            </w: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PennantPark Floating Rate Funding I, LLC</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c/o PennantPark Investment Advisers, LLC</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New York, NY 10022</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Attention: Arthur Penn</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Telephone No.: (212) 905-1010</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Facsimile No.: (212) 905-1075</w:t>
            </w:r>
          </w:p>
        </w:tc>
      </w:tr>
      <w:tr>
        <w:trPr>
          <w:trHeight w:val="190"/>
        </w:trPr>
        <w:tc>
          <w:tcPr>
            <w:tcW w:w="3300" w:type="dxa"/>
            <w:vAlign w:val="bottom"/>
          </w:tcPr>
          <w:p>
            <w:pPr>
              <w:spacing w:after="0"/>
              <w:rPr>
                <w:sz w:val="16"/>
                <w:szCs w:val="16"/>
                <w:color w:val="auto"/>
              </w:rPr>
            </w:pPr>
          </w:p>
        </w:tc>
        <w:tc>
          <w:tcPr>
            <w:tcW w:w="4560" w:type="dxa"/>
            <w:vAlign w:val="bottom"/>
            <w:gridSpan w:val="3"/>
          </w:tcPr>
          <w:p>
            <w:pPr>
              <w:ind w:left="66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Penn@pennantpark.com</w:t>
            </w:r>
          </w:p>
        </w:tc>
      </w:tr>
      <w:tr>
        <w:trPr>
          <w:trHeight w:val="520"/>
        </w:trPr>
        <w:tc>
          <w:tcPr>
            <w:tcW w:w="3300" w:type="dxa"/>
            <w:vAlign w:val="bottom"/>
          </w:tcPr>
          <w:p>
            <w:pPr>
              <w:spacing w:after="0"/>
              <w:rPr>
                <w:sz w:val="24"/>
                <w:szCs w:val="24"/>
                <w:color w:val="auto"/>
              </w:rPr>
            </w:pPr>
          </w:p>
        </w:tc>
        <w:tc>
          <w:tcPr>
            <w:tcW w:w="1180" w:type="dxa"/>
            <w:vAlign w:val="bottom"/>
          </w:tcPr>
          <w:p>
            <w:pPr>
              <w:ind w:left="660"/>
              <w:spacing w:after="0"/>
              <w:rPr>
                <w:sz w:val="20"/>
                <w:szCs w:val="20"/>
                <w:color w:val="auto"/>
              </w:rPr>
            </w:pPr>
            <w:r>
              <w:rPr>
                <w:rFonts w:ascii="Arial" w:cs="Arial" w:eastAsia="Arial" w:hAnsi="Arial"/>
                <w:sz w:val="18"/>
                <w:szCs w:val="18"/>
                <w:color w:val="auto"/>
              </w:rPr>
              <w:t>and:</w:t>
            </w:r>
          </w:p>
        </w:tc>
        <w:tc>
          <w:tcPr>
            <w:tcW w:w="1760" w:type="dxa"/>
            <w:vAlign w:val="bottom"/>
            <w:tcBorders>
              <w:top w:val="single" w:sz="8" w:color="0000FF"/>
            </w:tcBorders>
          </w:tcPr>
          <w:p>
            <w:pPr>
              <w:spacing w:after="0"/>
              <w:rPr>
                <w:sz w:val="24"/>
                <w:szCs w:val="24"/>
                <w:color w:val="auto"/>
              </w:rPr>
            </w:pPr>
          </w:p>
        </w:tc>
        <w:tc>
          <w:tcPr>
            <w:tcW w:w="1620" w:type="dxa"/>
            <w:vAlign w:val="bottom"/>
          </w:tcPr>
          <w:p>
            <w:pPr>
              <w:spacing w:after="0"/>
              <w:rPr>
                <w:sz w:val="24"/>
                <w:szCs w:val="24"/>
                <w:color w:val="auto"/>
              </w:rPr>
            </w:pPr>
          </w:p>
        </w:tc>
      </w:tr>
      <w:tr>
        <w:trPr>
          <w:trHeight w:val="485"/>
        </w:trPr>
        <w:tc>
          <w:tcPr>
            <w:tcW w:w="3300" w:type="dxa"/>
            <w:vAlign w:val="bottom"/>
          </w:tcPr>
          <w:p>
            <w:pPr>
              <w:spacing w:after="0"/>
              <w:rPr>
                <w:sz w:val="24"/>
                <w:szCs w:val="24"/>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Attention: Aviv Efrat</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Phone: (212) 905-1001</w:t>
            </w:r>
          </w:p>
        </w:tc>
      </w:tr>
      <w:tr>
        <w:trPr>
          <w:trHeight w:val="216"/>
        </w:trPr>
        <w:tc>
          <w:tcPr>
            <w:tcW w:w="330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8"/>
                <w:szCs w:val="18"/>
                <w:color w:val="auto"/>
              </w:rPr>
              <w:t>Facsimile No.: (212) 905-1075</w:t>
            </w:r>
          </w:p>
        </w:tc>
      </w:tr>
      <w:tr>
        <w:trPr>
          <w:trHeight w:val="190"/>
        </w:trPr>
        <w:tc>
          <w:tcPr>
            <w:tcW w:w="3300" w:type="dxa"/>
            <w:vAlign w:val="bottom"/>
          </w:tcPr>
          <w:p>
            <w:pPr>
              <w:spacing w:after="0"/>
              <w:rPr>
                <w:sz w:val="16"/>
                <w:szCs w:val="16"/>
                <w:color w:val="auto"/>
              </w:rPr>
            </w:pPr>
          </w:p>
        </w:tc>
        <w:tc>
          <w:tcPr>
            <w:tcW w:w="4560" w:type="dxa"/>
            <w:vAlign w:val="bottom"/>
            <w:gridSpan w:val="3"/>
          </w:tcPr>
          <w:p>
            <w:pPr>
              <w:ind w:left="66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Efrat@pennantpark.com</w:t>
            </w:r>
          </w:p>
        </w:tc>
      </w:tr>
      <w:tr>
        <w:trPr>
          <w:trHeight w:val="20"/>
        </w:trPr>
        <w:tc>
          <w:tcPr>
            <w:tcW w:w="3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139"/>
          </w:cols>
          <w:pgMar w:left="32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6" w:name="page217"/>
    <w:bookmarkEnd w:id="216"/>
    <w:p>
      <w:pPr>
        <w:spacing w:after="0"/>
        <w:rPr>
          <w:sz w:val="20"/>
          <w:szCs w:val="20"/>
          <w:color w:val="auto"/>
        </w:rPr>
      </w:pPr>
      <w:r>
        <w:rPr>
          <w:rFonts w:ascii="Arial" w:cs="Arial" w:eastAsia="Arial" w:hAnsi="Arial"/>
          <w:sz w:val="16"/>
          <w:szCs w:val="16"/>
          <w:color w:val="auto"/>
        </w:rPr>
        <w:t>If to the Collateral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PennantPark Investment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-201295</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Arthur Penn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905-1010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 905-1075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Penn@pennantpark.com</w:t>
      </w:r>
    </w:p>
    <w:p>
      <w:pPr>
        <w:spacing w:after="0" w:line="200" w:lineRule="exact"/>
        <w:rPr>
          <w:sz w:val="20"/>
          <w:szCs w:val="20"/>
          <w:color w:val="auto"/>
        </w:rPr>
      </w:pPr>
    </w:p>
    <w:p>
      <w:pPr>
        <w:sectPr>
          <w:pgSz w:w="11900" w:h="16838" w:orient="portrait"/>
          <w:cols w:equalWidth="0" w:num="2">
            <w:col w:w="3240" w:space="720"/>
            <w:col w:w="6179"/>
          </w:cols>
          <w:pgMar w:left="320" w:top="274" w:right="1440" w:bottom="1440" w:gutter="0" w:footer="0" w:header="0"/>
        </w:sectPr>
      </w:pPr>
    </w:p>
    <w:p>
      <w:pPr>
        <w:spacing w:after="0" w:line="7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and:</w:t>
      </w:r>
    </w:p>
    <w:p>
      <w:pPr>
        <w:spacing w:after="0" w:line="29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Attention: Sal Giannetti III</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Phone: (212) 905-1050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No.: (212) 905-1075</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Email: Giannetti@pennantpark.com</w:t>
      </w:r>
    </w:p>
    <w:p>
      <w:pPr>
        <w:sectPr>
          <w:pgSz w:w="11900" w:h="16838" w:orient="portrait"/>
          <w:cols w:equalWidth="0" w:num="1">
            <w:col w:w="10139"/>
          </w:cols>
          <w:pgMar w:left="320" w:top="274" w:right="1440" w:bottom="1440" w:gutter="0" w:footer="0" w:header="0"/>
          <w:type w:val="continuous"/>
        </w:sectPr>
      </w:pPr>
    </w:p>
    <w:bookmarkStart w:id="217" w:name="page218"/>
    <w:bookmarkEnd w:id="217"/>
    <w:p>
      <w:pPr>
        <w:ind w:left="50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7</w:t>
      </w:r>
    </w:p>
    <w:p>
      <w:pPr>
        <w:spacing w:after="0" w:line="38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OVERED</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CCOUNT</w:t>
      </w:r>
      <w:r>
        <w:rPr>
          <w:rFonts w:ascii="Arial" w:cs="Arial" w:eastAsia="Arial" w:hAnsi="Arial"/>
          <w:sz w:val="22"/>
          <w:szCs w:val="22"/>
          <w:b w:val="1"/>
          <w:bCs w:val="1"/>
          <w:color w:val="auto"/>
        </w:rPr>
        <w:t xml:space="preserve"> D</w:t>
      </w:r>
      <w:r>
        <w:rPr>
          <w:rFonts w:ascii="Arial" w:cs="Arial" w:eastAsia="Arial" w:hAnsi="Arial"/>
          <w:sz w:val="17"/>
          <w:szCs w:val="17"/>
          <w:b w:val="1"/>
          <w:bCs w:val="1"/>
          <w:color w:val="auto"/>
        </w:rPr>
        <w:t>ETAILS</w:t>
      </w:r>
    </w:p>
    <w:p>
      <w:pPr>
        <w:sectPr>
          <w:pgSz w:w="11900" w:h="16838" w:orient="portrait"/>
          <w:cols w:equalWidth="0" w:num="1">
            <w:col w:w="10139"/>
          </w:cols>
          <w:pgMar w:left="320" w:top="26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Collection Account</w:t>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auto"/>
        </w:rPr>
        <w:t>Interest Collection Subaccount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(Dollars)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719"/>
        <w:spacing w:after="0" w:line="684" w:lineRule="auto"/>
        <w:rPr>
          <w:sz w:val="20"/>
          <w:szCs w:val="20"/>
          <w:color w:val="auto"/>
        </w:rPr>
      </w:pPr>
      <w:r>
        <w:rPr>
          <w:rFonts w:ascii="Arial" w:cs="Arial" w:eastAsia="Arial" w:hAnsi="Arial"/>
          <w:sz w:val="19"/>
          <w:szCs w:val="19"/>
          <w:color w:val="auto"/>
        </w:rPr>
        <w:t>U.S. Bank National Association, Account Number 148599-201 U.S. Bank National Association, Account Number 148599-202</w:t>
      </w:r>
    </w:p>
    <w:p>
      <w:pPr>
        <w:spacing w:after="0" w:line="132" w:lineRule="exact"/>
        <w:rPr>
          <w:sz w:val="20"/>
          <w:szCs w:val="20"/>
          <w:color w:val="auto"/>
        </w:rPr>
      </w:pPr>
    </w:p>
    <w:p>
      <w:pPr>
        <w:sectPr>
          <w:pgSz w:w="11900" w:h="16838" w:orient="portrait"/>
          <w:cols w:equalWidth="0" w:num="2">
            <w:col w:w="3240" w:space="720"/>
            <w:col w:w="6179"/>
          </w:cols>
          <w:pgMar w:left="320" w:top="261" w:right="1440" w:bottom="1440" w:gutter="0" w:footer="0" w:header="0"/>
          <w:type w:val="continuous"/>
        </w:sectPr>
      </w:pPr>
    </w:p>
    <w:p>
      <w:pPr>
        <w:ind w:right="440"/>
        <w:spacing w:after="0" w:line="250" w:lineRule="auto"/>
        <w:rPr>
          <w:sz w:val="20"/>
          <w:szCs w:val="20"/>
          <w:color w:val="auto"/>
        </w:rPr>
      </w:pPr>
      <w:r>
        <w:rPr>
          <w:rFonts w:ascii="Arial" w:cs="Arial" w:eastAsia="Arial" w:hAnsi="Arial"/>
          <w:sz w:val="22"/>
          <w:szCs w:val="22"/>
          <w:color w:val="auto"/>
        </w:rPr>
        <w:t>Principal Collection Subaccount (Dollars)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 Bank National Association, Account Number 148599-203</w:t>
      </w:r>
    </w:p>
    <w:p>
      <w:pPr>
        <w:spacing w:after="0" w:line="508" w:lineRule="exact"/>
        <w:rPr>
          <w:sz w:val="20"/>
          <w:szCs w:val="20"/>
          <w:color w:val="auto"/>
        </w:rPr>
      </w:pPr>
    </w:p>
    <w:p>
      <w:pPr>
        <w:sectPr>
          <w:pgSz w:w="11900" w:h="16838" w:orient="portrait"/>
          <w:cols w:equalWidth="0" w:num="2">
            <w:col w:w="3240" w:space="720"/>
            <w:col w:w="6179"/>
          </w:cols>
          <w:pgMar w:left="320" w:top="261" w:right="1440" w:bottom="1440" w:gutter="0" w:footer="0" w:header="0"/>
          <w:type w:val="continuous"/>
        </w:sectPr>
      </w:pPr>
    </w:p>
    <w:p>
      <w:pPr>
        <w:spacing w:after="0" w:line="83" w:lineRule="exact"/>
        <w:rPr>
          <w:sz w:val="20"/>
          <w:szCs w:val="20"/>
          <w:color w:val="auto"/>
        </w:rPr>
      </w:pPr>
    </w:p>
    <w:p>
      <w:pPr>
        <w:ind w:right="560"/>
        <w:spacing w:after="0" w:line="475" w:lineRule="auto"/>
        <w:rPr>
          <w:sz w:val="20"/>
          <w:szCs w:val="20"/>
          <w:color w:val="auto"/>
        </w:rPr>
      </w:pPr>
      <w:r>
        <w:rPr>
          <w:rFonts w:ascii="Arial" w:cs="Arial" w:eastAsia="Arial" w:hAnsi="Arial"/>
          <w:sz w:val="19"/>
          <w:szCs w:val="19"/>
          <w:color w:val="auto"/>
        </w:rPr>
        <w:t>Payment Account (Dollars) Interest Collection Subaccount (Canadian Dollars)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ind w:right="719"/>
        <w:spacing w:after="0" w:line="684" w:lineRule="auto"/>
        <w:rPr>
          <w:sz w:val="20"/>
          <w:szCs w:val="20"/>
          <w:color w:val="auto"/>
        </w:rPr>
      </w:pPr>
      <w:r>
        <w:rPr>
          <w:rFonts w:ascii="Arial" w:cs="Arial" w:eastAsia="Arial" w:hAnsi="Arial"/>
          <w:sz w:val="19"/>
          <w:szCs w:val="19"/>
          <w:color w:val="auto"/>
        </w:rPr>
        <w:t>U.S. Bank National Association, Account Number 148599-200 U.S. Bank National Association, Account Number 148599-206</w:t>
      </w:r>
    </w:p>
    <w:p>
      <w:pPr>
        <w:spacing w:after="0" w:line="131" w:lineRule="exact"/>
        <w:rPr>
          <w:sz w:val="20"/>
          <w:szCs w:val="20"/>
          <w:color w:val="auto"/>
        </w:rPr>
      </w:pPr>
    </w:p>
    <w:p>
      <w:pPr>
        <w:sectPr>
          <w:pgSz w:w="11900" w:h="16838" w:orient="portrait"/>
          <w:cols w:equalWidth="0" w:num="2">
            <w:col w:w="3240" w:space="720"/>
            <w:col w:w="6179"/>
          </w:cols>
          <w:pgMar w:left="320" w:top="261" w:right="1440" w:bottom="1440" w:gutter="0" w:footer="0" w:header="0"/>
          <w:type w:val="continuous"/>
        </w:sectPr>
      </w:pPr>
    </w:p>
    <w:p>
      <w:pPr>
        <w:ind w:right="440"/>
        <w:spacing w:after="0" w:line="328" w:lineRule="auto"/>
        <w:rPr>
          <w:sz w:val="20"/>
          <w:szCs w:val="20"/>
          <w:color w:val="auto"/>
        </w:rPr>
      </w:pPr>
      <w:r>
        <w:rPr>
          <w:rFonts w:ascii="Arial" w:cs="Arial" w:eastAsia="Arial" w:hAnsi="Arial"/>
          <w:sz w:val="19"/>
          <w:szCs w:val="19"/>
          <w:color w:val="auto"/>
        </w:rPr>
        <w:t>Principal Collection Subaccount (Canadian Dollars)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 Bank National Association, Account Number 148599-207</w:t>
      </w:r>
    </w:p>
    <w:p>
      <w:pPr>
        <w:spacing w:after="0" w:line="578" w:lineRule="exact"/>
        <w:rPr>
          <w:sz w:val="20"/>
          <w:szCs w:val="20"/>
          <w:color w:val="auto"/>
        </w:rPr>
      </w:pPr>
    </w:p>
    <w:p>
      <w:pPr>
        <w:sectPr>
          <w:pgSz w:w="11900" w:h="16838" w:orient="portrait"/>
          <w:cols w:equalWidth="0" w:num="2">
            <w:col w:w="3240" w:space="720"/>
            <w:col w:w="6179"/>
          </w:cols>
          <w:pgMar w:left="320" w:top="261" w:right="1440" w:bottom="1440" w:gutter="0" w:footer="0" w:header="0"/>
          <w:type w:val="continuous"/>
        </w:sectPr>
      </w:pPr>
    </w:p>
    <w:p>
      <w:pPr>
        <w:spacing w:after="0" w:line="13" w:lineRule="exact"/>
        <w:rPr>
          <w:sz w:val="20"/>
          <w:szCs w:val="20"/>
          <w:color w:val="auto"/>
        </w:rPr>
      </w:pPr>
    </w:p>
    <w:p>
      <w:pPr>
        <w:spacing w:after="0" w:line="394" w:lineRule="auto"/>
        <w:rPr>
          <w:sz w:val="20"/>
          <w:szCs w:val="20"/>
          <w:color w:val="auto"/>
        </w:rPr>
      </w:pPr>
      <w:r>
        <w:rPr>
          <w:rFonts w:ascii="Arial" w:cs="Arial" w:eastAsia="Arial" w:hAnsi="Arial"/>
          <w:sz w:val="22"/>
          <w:szCs w:val="22"/>
          <w:color w:val="auto"/>
        </w:rPr>
        <w:t>Payment Account (Canadian Dollars) Interest Collection Subaccount (Pounds Sterling)</w:t>
      </w:r>
    </w:p>
    <w:p>
      <w:pPr>
        <w:spacing w:after="0" w:line="20" w:lineRule="exact"/>
        <w:rPr>
          <w:sz w:val="20"/>
          <w:szCs w:val="20"/>
          <w:color w:val="auto"/>
        </w:rPr>
      </w:pPr>
      <w:r>
        <w:rPr>
          <w:sz w:val="20"/>
          <w:szCs w:val="20"/>
          <w:color w:val="auto"/>
        </w:rPr>
        <w:br w:type="column"/>
      </w:r>
    </w:p>
    <w:p>
      <w:pPr>
        <w:jc w:val="both"/>
        <w:ind w:right="719"/>
        <w:spacing w:after="0" w:line="684" w:lineRule="auto"/>
        <w:rPr>
          <w:sz w:val="20"/>
          <w:szCs w:val="20"/>
          <w:color w:val="auto"/>
        </w:rPr>
      </w:pPr>
      <w:r>
        <w:rPr>
          <w:rFonts w:ascii="Arial" w:cs="Arial" w:eastAsia="Arial" w:hAnsi="Arial"/>
          <w:sz w:val="19"/>
          <w:szCs w:val="19"/>
          <w:color w:val="auto"/>
        </w:rPr>
        <w:t>U.S. Bank National Association, Account Number 148599-205 U.S. Bank National Association, Account Number 148599-215</w:t>
      </w:r>
    </w:p>
    <w:p>
      <w:pPr>
        <w:spacing w:after="0" w:line="131" w:lineRule="exact"/>
        <w:rPr>
          <w:sz w:val="20"/>
          <w:szCs w:val="20"/>
          <w:color w:val="auto"/>
        </w:rPr>
      </w:pPr>
    </w:p>
    <w:p>
      <w:pPr>
        <w:sectPr>
          <w:pgSz w:w="11900" w:h="16838" w:orient="portrait"/>
          <w:cols w:equalWidth="0" w:num="2">
            <w:col w:w="3440" w:space="520"/>
            <w:col w:w="6179"/>
          </w:cols>
          <w:pgMar w:left="320" w:top="261" w:right="1440" w:bottom="1440" w:gutter="0" w:footer="0" w:header="0"/>
          <w:type w:val="continuous"/>
        </w:sectPr>
      </w:pPr>
    </w:p>
    <w:p>
      <w:pPr>
        <w:ind w:right="440"/>
        <w:spacing w:after="0" w:line="274" w:lineRule="auto"/>
        <w:rPr>
          <w:sz w:val="20"/>
          <w:szCs w:val="20"/>
          <w:color w:val="auto"/>
        </w:rPr>
      </w:pPr>
      <w:r>
        <w:rPr>
          <w:rFonts w:ascii="Arial" w:cs="Arial" w:eastAsia="Arial" w:hAnsi="Arial"/>
          <w:sz w:val="21"/>
          <w:szCs w:val="21"/>
          <w:color w:val="auto"/>
        </w:rPr>
        <w:t>Principal Collection Subaccount (Pounds Sterling)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 Bank National Association, Account Number 148599-216</w:t>
      </w:r>
    </w:p>
    <w:p>
      <w:pPr>
        <w:spacing w:after="0" w:line="532" w:lineRule="exact"/>
        <w:rPr>
          <w:sz w:val="20"/>
          <w:szCs w:val="20"/>
          <w:color w:val="auto"/>
        </w:rPr>
      </w:pPr>
    </w:p>
    <w:p>
      <w:pPr>
        <w:sectPr>
          <w:pgSz w:w="11900" w:h="16838" w:orient="portrait"/>
          <w:cols w:equalWidth="0" w:num="2">
            <w:col w:w="3240" w:space="720"/>
            <w:col w:w="6179"/>
          </w:cols>
          <w:pgMar w:left="320" w:top="261" w:right="1440" w:bottom="1440" w:gutter="0" w:footer="0" w:header="0"/>
          <w:type w:val="continuous"/>
        </w:sectPr>
      </w:pPr>
    </w:p>
    <w:p>
      <w:pPr>
        <w:spacing w:after="0" w:line="59" w:lineRule="exact"/>
        <w:rPr>
          <w:sz w:val="20"/>
          <w:szCs w:val="20"/>
          <w:color w:val="auto"/>
        </w:rPr>
      </w:pPr>
    </w:p>
    <w:p>
      <w:pPr>
        <w:spacing w:after="0" w:line="442" w:lineRule="auto"/>
        <w:rPr>
          <w:sz w:val="20"/>
          <w:szCs w:val="20"/>
          <w:color w:val="auto"/>
        </w:rPr>
      </w:pPr>
      <w:r>
        <w:rPr>
          <w:rFonts w:ascii="Arial" w:cs="Arial" w:eastAsia="Arial" w:hAnsi="Arial"/>
          <w:sz w:val="22"/>
          <w:szCs w:val="22"/>
          <w:color w:val="auto"/>
        </w:rPr>
        <w:t>Payment Account (Pounds Sterling) Interest Collection Subaccount (Euros) Principal Collection Subaccount (Euros)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both"/>
        <w:ind w:right="719"/>
        <w:spacing w:after="0" w:line="653" w:lineRule="auto"/>
        <w:rPr>
          <w:sz w:val="20"/>
          <w:szCs w:val="20"/>
          <w:color w:val="auto"/>
        </w:rPr>
      </w:pPr>
      <w:r>
        <w:rPr>
          <w:rFonts w:ascii="Arial" w:cs="Arial" w:eastAsia="Arial" w:hAnsi="Arial"/>
          <w:sz w:val="19"/>
          <w:szCs w:val="19"/>
          <w:color w:val="auto"/>
        </w:rPr>
        <w:t>U.S. Bank National Association, Account Number 148599-214 U.S. Bank National Association, Account Number 148599-212 U.S. Bank National Association, Account Number 148599-213</w:t>
      </w:r>
    </w:p>
    <w:p>
      <w:pPr>
        <w:spacing w:after="0" w:line="160" w:lineRule="exact"/>
        <w:rPr>
          <w:sz w:val="20"/>
          <w:szCs w:val="20"/>
          <w:color w:val="auto"/>
        </w:rPr>
      </w:pPr>
    </w:p>
    <w:p>
      <w:pPr>
        <w:sectPr>
          <w:pgSz w:w="11900" w:h="16838" w:orient="portrait"/>
          <w:cols w:equalWidth="0" w:num="2">
            <w:col w:w="3380" w:space="580"/>
            <w:col w:w="6179"/>
          </w:cols>
          <w:pgMar w:left="320" w:top="261" w:right="1440" w:bottom="1440" w:gutter="0" w:footer="0" w:header="0"/>
          <w:type w:val="continuous"/>
        </w:sectPr>
      </w:pPr>
    </w:p>
    <w:p>
      <w:pPr>
        <w:ind w:right="560"/>
        <w:spacing w:after="0" w:line="475" w:lineRule="auto"/>
        <w:rPr>
          <w:sz w:val="20"/>
          <w:szCs w:val="20"/>
          <w:color w:val="auto"/>
        </w:rPr>
      </w:pPr>
      <w:r>
        <w:rPr>
          <w:rFonts w:ascii="Arial" w:cs="Arial" w:eastAsia="Arial" w:hAnsi="Arial"/>
          <w:sz w:val="19"/>
          <w:szCs w:val="19"/>
          <w:color w:val="auto"/>
        </w:rPr>
        <w:t>Payment Account (Euros) Interest Collection Subaccount (Australian Dollars)</w:t>
      </w:r>
    </w:p>
    <w:p>
      <w:pPr>
        <w:spacing w:after="0" w:line="20" w:lineRule="exact"/>
        <w:rPr>
          <w:sz w:val="20"/>
          <w:szCs w:val="20"/>
          <w:color w:val="auto"/>
        </w:rPr>
      </w:pPr>
      <w:r>
        <w:rPr>
          <w:sz w:val="20"/>
          <w:szCs w:val="20"/>
          <w:color w:val="auto"/>
        </w:rPr>
        <w:br w:type="column"/>
      </w:r>
    </w:p>
    <w:p>
      <w:pPr>
        <w:jc w:val="both"/>
        <w:ind w:right="719"/>
        <w:spacing w:after="0" w:line="684" w:lineRule="auto"/>
        <w:rPr>
          <w:sz w:val="20"/>
          <w:szCs w:val="20"/>
          <w:color w:val="auto"/>
        </w:rPr>
      </w:pPr>
      <w:r>
        <w:rPr>
          <w:rFonts w:ascii="Arial" w:cs="Arial" w:eastAsia="Arial" w:hAnsi="Arial"/>
          <w:sz w:val="19"/>
          <w:szCs w:val="19"/>
          <w:color w:val="auto"/>
        </w:rPr>
        <w:t>U.S. Bank National Association, Account Number 148599-211 U.S. Bank National Association, Account Number 148599-209</w:t>
      </w:r>
    </w:p>
    <w:p>
      <w:pPr>
        <w:sectPr>
          <w:pgSz w:w="11900" w:h="16838" w:orient="portrait"/>
          <w:cols w:equalWidth="0" w:num="2">
            <w:col w:w="3240" w:space="720"/>
            <w:col w:w="6179"/>
          </w:cols>
          <w:pgMar w:left="320" w:top="261" w:right="1440" w:bottom="1440" w:gutter="0" w:footer="0" w:header="0"/>
          <w:type w:val="continuous"/>
        </w:sectPr>
      </w:pPr>
    </w:p>
    <w:bookmarkStart w:id="218" w:name="page219"/>
    <w:bookmarkEnd w:id="218"/>
    <w:p>
      <w:pPr>
        <w:ind w:right="440"/>
        <w:spacing w:after="0" w:line="328" w:lineRule="auto"/>
        <w:rPr>
          <w:sz w:val="20"/>
          <w:szCs w:val="20"/>
          <w:color w:val="auto"/>
        </w:rPr>
      </w:pPr>
      <w:r>
        <w:rPr>
          <w:rFonts w:ascii="Arial" w:cs="Arial" w:eastAsia="Arial" w:hAnsi="Arial"/>
          <w:sz w:val="19"/>
          <w:szCs w:val="19"/>
          <w:color w:val="auto"/>
        </w:rPr>
        <w:t>Principal Collection Subaccount (Australian Dollars)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 Bank National Association, Account Number 148599-210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-424815</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578" w:lineRule="exact"/>
        <w:rPr>
          <w:sz w:val="20"/>
          <w:szCs w:val="20"/>
          <w:color w:val="auto"/>
        </w:rPr>
      </w:pPr>
    </w:p>
    <w:p>
      <w:pPr>
        <w:sectPr>
          <w:pgSz w:w="11900" w:h="16838" w:orient="portrait"/>
          <w:cols w:equalWidth="0" w:num="2">
            <w:col w:w="3240" w:space="720"/>
            <w:col w:w="6179"/>
          </w:cols>
          <w:pgMar w:left="320" w:top="591" w:right="1440"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Payment Account (Australian Dollars)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 Bank National Association, Account Number 148599-208</w:t>
      </w:r>
    </w:p>
    <w:p>
      <w:pPr>
        <w:spacing w:after="0" w:line="200" w:lineRule="exact"/>
        <w:rPr>
          <w:sz w:val="20"/>
          <w:szCs w:val="20"/>
          <w:color w:val="auto"/>
        </w:rPr>
      </w:pPr>
    </w:p>
    <w:p>
      <w:pPr>
        <w:sectPr>
          <w:pgSz w:w="11900" w:h="16838" w:orient="portrait"/>
          <w:cols w:equalWidth="0" w:num="2">
            <w:col w:w="3340" w:space="620"/>
            <w:col w:w="6179"/>
          </w:cols>
          <w:pgMar w:left="320" w:top="591"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Revolving Reserve Account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U.S. Bank National Association, Account Number 148599-100</w:t>
      </w:r>
    </w:p>
    <w:p>
      <w:pPr>
        <w:spacing w:after="0" w:line="200" w:lineRule="exact"/>
        <w:rPr>
          <w:sz w:val="20"/>
          <w:szCs w:val="20"/>
          <w:color w:val="auto"/>
        </w:rPr>
      </w:pPr>
    </w:p>
    <w:p>
      <w:pPr>
        <w:sectPr>
          <w:pgSz w:w="11900" w:h="16838" w:orient="portrait"/>
          <w:cols w:equalWidth="0" w:num="2">
            <w:col w:w="3240" w:space="720"/>
            <w:col w:w="6179"/>
          </w:cols>
          <w:pgMar w:left="320" w:top="591"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Custodial Account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U.S. Bank National Association, Account Number 148599-700</w:t>
      </w:r>
    </w:p>
    <w:p>
      <w:pPr>
        <w:sectPr>
          <w:pgSz w:w="11900" w:h="16838" w:orient="portrait"/>
          <w:cols w:equalWidth="0" w:num="2">
            <w:col w:w="3240" w:space="720"/>
            <w:col w:w="6179"/>
          </w:cols>
          <w:pgMar w:left="320" w:top="591" w:right="1440" w:bottom="1440" w:gutter="0" w:footer="0" w:header="0"/>
          <w:type w:val="continuous"/>
        </w:sectPr>
      </w:pPr>
    </w:p>
    <w:bookmarkStart w:id="219" w:name="page220"/>
    <w:bookmarkEnd w:id="21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7"/>
          <w:szCs w:val="17"/>
          <w:b w:val="1"/>
          <w:bCs w:val="1"/>
          <w:color w:val="auto"/>
        </w:rPr>
        <w:t>IVERSITY</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CORE</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ALCULATION</w:t>
      </w:r>
      <w:r>
        <w:rPr>
          <w:rFonts w:ascii="Arial" w:cs="Arial" w:eastAsia="Arial" w:hAnsi="Arial"/>
          <w:sz w:val="18"/>
          <w:szCs w:val="18"/>
          <w:b w:val="1"/>
          <w:bCs w:val="1"/>
          <w:color w:val="auto"/>
        </w:rPr>
        <w:t>2</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The Diversity Score is calculated as follows:</w:t>
      </w:r>
    </w:p>
    <w:p>
      <w:pPr>
        <w:spacing w:after="0" w:line="328" w:lineRule="exact"/>
        <w:rPr>
          <w:sz w:val="20"/>
          <w:szCs w:val="20"/>
          <w:color w:val="auto"/>
        </w:rPr>
      </w:pPr>
    </w:p>
    <w:p>
      <w:pPr>
        <w:ind w:left="800" w:hanging="792"/>
        <w:spacing w:after="0" w:line="250" w:lineRule="auto"/>
        <w:tabs>
          <w:tab w:leader="none" w:pos="8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i w:val="1"/>
          <w:iCs w:val="1"/>
          <w:color w:val="auto"/>
        </w:rPr>
        <w:t>Obligor Par Amount</w:t>
      </w:r>
      <w:r>
        <w:rPr>
          <w:rFonts w:ascii="Arial" w:cs="Arial" w:eastAsia="Arial" w:hAnsi="Arial"/>
          <w:sz w:val="22"/>
          <w:szCs w:val="22"/>
          <w:color w:val="auto"/>
        </w:rPr>
        <w:t>” is calculated for each Obligor of a Collateral Loan, and is equal to the Aggregate Principal Balance of all Collateral Loans issued by that Obligor and all Affiliates.</w:t>
      </w:r>
    </w:p>
    <w:p>
      <w:pPr>
        <w:spacing w:after="0" w:line="296" w:lineRule="exact"/>
        <w:rPr>
          <w:rFonts w:ascii="Arial" w:cs="Arial" w:eastAsia="Arial" w:hAnsi="Arial"/>
          <w:sz w:val="22"/>
          <w:szCs w:val="22"/>
          <w:color w:val="auto"/>
        </w:rPr>
      </w:pPr>
    </w:p>
    <w:p>
      <w:pPr>
        <w:ind w:left="800" w:hanging="792"/>
        <w:spacing w:after="0" w:line="250" w:lineRule="auto"/>
        <w:tabs>
          <w:tab w:leader="none" w:pos="8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i w:val="1"/>
          <w:iCs w:val="1"/>
          <w:color w:val="auto"/>
        </w:rPr>
        <w:t>Average Par Amount</w:t>
      </w:r>
      <w:r>
        <w:rPr>
          <w:rFonts w:ascii="Arial" w:cs="Arial" w:eastAsia="Arial" w:hAnsi="Arial"/>
          <w:sz w:val="22"/>
          <w:szCs w:val="22"/>
          <w:color w:val="auto"/>
        </w:rPr>
        <w:t>” is calculated by summing the Obligor Par Amounts for all Obligors, and dividing by the number of Obligors.</w:t>
      </w:r>
    </w:p>
    <w:p>
      <w:pPr>
        <w:spacing w:after="0" w:line="296" w:lineRule="exact"/>
        <w:rPr>
          <w:rFonts w:ascii="Arial" w:cs="Arial" w:eastAsia="Arial" w:hAnsi="Arial"/>
          <w:sz w:val="22"/>
          <w:szCs w:val="22"/>
          <w:color w:val="auto"/>
        </w:rPr>
      </w:pPr>
    </w:p>
    <w:p>
      <w:pPr>
        <w:ind w:left="800" w:hanging="792"/>
        <w:spacing w:after="0" w:line="250" w:lineRule="auto"/>
        <w:tabs>
          <w:tab w:leader="none" w:pos="8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i w:val="1"/>
          <w:iCs w:val="1"/>
          <w:color w:val="auto"/>
        </w:rPr>
        <w:t>Equivalent Unit Score</w:t>
      </w:r>
      <w:r>
        <w:rPr>
          <w:rFonts w:ascii="Arial" w:cs="Arial" w:eastAsia="Arial" w:hAnsi="Arial"/>
          <w:sz w:val="22"/>
          <w:szCs w:val="22"/>
          <w:color w:val="auto"/>
        </w:rPr>
        <w:t>” is calculated for each Obligor, and is equal to the lesser of (x) one and (y) the Obligor Par Amount for such Obligor divided by the Average Par Amount.</w:t>
      </w:r>
    </w:p>
    <w:p>
      <w:pPr>
        <w:spacing w:after="0" w:line="296" w:lineRule="exact"/>
        <w:rPr>
          <w:rFonts w:ascii="Arial" w:cs="Arial" w:eastAsia="Arial" w:hAnsi="Arial"/>
          <w:sz w:val="22"/>
          <w:szCs w:val="22"/>
          <w:color w:val="auto"/>
        </w:rPr>
      </w:pPr>
    </w:p>
    <w:p>
      <w:pPr>
        <w:jc w:val="both"/>
        <w:ind w:left="800" w:hanging="792"/>
        <w:spacing w:after="0"/>
        <w:tabs>
          <w:tab w:leader="none" w:pos="8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i w:val="1"/>
          <w:iCs w:val="1"/>
          <w:color w:val="auto"/>
        </w:rPr>
        <w:t>Aggregate Industry Equivalent Unit Score</w:t>
      </w:r>
      <w:r>
        <w:rPr>
          <w:rFonts w:ascii="Arial" w:cs="Arial" w:eastAsia="Arial" w:hAnsi="Arial"/>
          <w:sz w:val="22"/>
          <w:szCs w:val="22"/>
          <w:color w:val="auto"/>
        </w:rPr>
        <w:t xml:space="preserve">” is then calculated for each of the Moody’s Industry Classification groups, shown on </w:t>
      </w:r>
      <w:r>
        <w:rPr>
          <w:rFonts w:ascii="Arial" w:cs="Arial" w:eastAsia="Arial" w:hAnsi="Arial"/>
          <w:sz w:val="22"/>
          <w:szCs w:val="22"/>
          <w:u w:val="single" w:color="auto"/>
          <w:color w:val="auto"/>
        </w:rPr>
        <w:t>Schedule 4</w:t>
      </w:r>
      <w:r>
        <w:rPr>
          <w:rFonts w:ascii="Arial" w:cs="Arial" w:eastAsia="Arial" w:hAnsi="Arial"/>
          <w:sz w:val="22"/>
          <w:szCs w:val="22"/>
          <w:color w:val="auto"/>
        </w:rPr>
        <w:t>, and is equal to the sum of the Equivalent Unit Scores for each Obligor in such Moody’s Industry Classification group.</w:t>
      </w:r>
    </w:p>
    <w:p>
      <w:pPr>
        <w:spacing w:after="0" w:line="307" w:lineRule="exact"/>
        <w:rPr>
          <w:rFonts w:ascii="Arial" w:cs="Arial" w:eastAsia="Arial" w:hAnsi="Arial"/>
          <w:sz w:val="22"/>
          <w:szCs w:val="22"/>
          <w:color w:val="auto"/>
        </w:rPr>
      </w:pPr>
    </w:p>
    <w:p>
      <w:pPr>
        <w:jc w:val="both"/>
        <w:ind w:left="800" w:hanging="792"/>
        <w:spacing w:after="0" w:line="238" w:lineRule="auto"/>
        <w:tabs>
          <w:tab w:leader="none" w:pos="8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i w:val="1"/>
          <w:iCs w:val="1"/>
          <w:color w:val="auto"/>
        </w:rPr>
        <w:t>Industry Diversity Score</w:t>
      </w:r>
      <w:r>
        <w:rPr>
          <w:rFonts w:ascii="Arial" w:cs="Arial" w:eastAsia="Arial" w:hAnsi="Arial"/>
          <w:sz w:val="22"/>
          <w:szCs w:val="22"/>
          <w:color w:val="auto"/>
        </w:rPr>
        <w:t xml:space="preserve">” is then established for each Moody’s Industry Classification group, shown on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by reference to the following table for the related Aggregate Industry Equivalent Unit Score;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any Aggregate Industry Equivalent Unit Score falls between any two such scores, the applicable Industry Diversity Score will be the lower of the two Industry Diversity Scores: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Industry</w:t>
            </w:r>
          </w:p>
        </w:tc>
        <w:tc>
          <w:tcPr>
            <w:tcW w:w="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Industry</w:t>
            </w: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Industry</w:t>
            </w:r>
          </w:p>
        </w:tc>
        <w:tc>
          <w:tcPr>
            <w:tcW w:w="6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Industry</w:t>
            </w:r>
          </w:p>
        </w:tc>
      </w:t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6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6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Diversity</w:t>
            </w:r>
          </w:p>
        </w:tc>
      </w:tr>
      <w:tr>
        <w:trPr>
          <w:trHeight w:val="190"/>
        </w:trPr>
        <w:tc>
          <w:tcPr>
            <w:tcW w:w="20" w:type="dxa"/>
            <w:vAlign w:val="bottom"/>
          </w:tcPr>
          <w:p>
            <w:pPr>
              <w:spacing w:after="0"/>
              <w:rPr>
                <w:sz w:val="16"/>
                <w:szCs w:val="16"/>
                <w:color w:val="auto"/>
              </w:rPr>
            </w:pPr>
          </w:p>
        </w:tc>
        <w:tc>
          <w:tcPr>
            <w:tcW w:w="860" w:type="dxa"/>
            <w:vAlign w:val="bottom"/>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40" w:type="dxa"/>
            <w:vAlign w:val="bottom"/>
          </w:tcPr>
          <w:p>
            <w:pPr>
              <w:spacing w:after="0"/>
              <w:rPr>
                <w:sz w:val="16"/>
                <w:szCs w:val="16"/>
                <w:color w:val="auto"/>
              </w:rPr>
            </w:pPr>
          </w:p>
        </w:tc>
        <w:tc>
          <w:tcPr>
            <w:tcW w:w="780" w:type="dxa"/>
            <w:vAlign w:val="bottom"/>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640" w:type="dxa"/>
            <w:vAlign w:val="bottom"/>
          </w:tcPr>
          <w:p>
            <w:pPr>
              <w:spacing w:after="0"/>
              <w:rPr>
                <w:sz w:val="16"/>
                <w:szCs w:val="16"/>
                <w:color w:val="auto"/>
              </w:rPr>
            </w:pPr>
          </w:p>
        </w:tc>
        <w:tc>
          <w:tcPr>
            <w:tcW w:w="860" w:type="dxa"/>
            <w:vAlign w:val="bottom"/>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60" w:type="dxa"/>
            <w:vAlign w:val="bottom"/>
          </w:tcPr>
          <w:p>
            <w:pPr>
              <w:spacing w:after="0"/>
              <w:rPr>
                <w:sz w:val="16"/>
                <w:szCs w:val="16"/>
                <w:color w:val="auto"/>
              </w:rPr>
            </w:pPr>
          </w:p>
        </w:tc>
        <w:tc>
          <w:tcPr>
            <w:tcW w:w="760" w:type="dxa"/>
            <w:vAlign w:val="bottom"/>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660" w:type="dxa"/>
            <w:vAlign w:val="bottom"/>
          </w:tcPr>
          <w:p>
            <w:pPr>
              <w:spacing w:after="0"/>
              <w:rPr>
                <w:sz w:val="16"/>
                <w:szCs w:val="16"/>
                <w:color w:val="auto"/>
              </w:rPr>
            </w:pPr>
          </w:p>
        </w:tc>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0"/>
              </w:rPr>
              <w:t>Unit Score</w:t>
            </w:r>
          </w:p>
        </w:tc>
        <w:tc>
          <w:tcPr>
            <w:tcW w:w="660" w:type="dxa"/>
            <w:vAlign w:val="bottom"/>
          </w:tcPr>
          <w:p>
            <w:pPr>
              <w:spacing w:after="0"/>
              <w:rPr>
                <w:sz w:val="16"/>
                <w:szCs w:val="16"/>
                <w:color w:val="auto"/>
              </w:rPr>
            </w:pPr>
          </w:p>
        </w:tc>
        <w:tc>
          <w:tcPr>
            <w:tcW w:w="760" w:type="dxa"/>
            <w:vAlign w:val="bottom"/>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660" w:type="dxa"/>
            <w:vAlign w:val="bottom"/>
          </w:tcPr>
          <w:p>
            <w:pPr>
              <w:spacing w:after="0"/>
              <w:rPr>
                <w:sz w:val="16"/>
                <w:szCs w:val="16"/>
                <w:color w:val="auto"/>
              </w:rPr>
            </w:pPr>
          </w:p>
        </w:tc>
        <w:tc>
          <w:tcPr>
            <w:tcW w:w="860" w:type="dxa"/>
            <w:vAlign w:val="bottom"/>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60" w:type="dxa"/>
            <w:vAlign w:val="bottom"/>
          </w:tcPr>
          <w:p>
            <w:pPr>
              <w:spacing w:after="0"/>
              <w:rPr>
                <w:sz w:val="16"/>
                <w:szCs w:val="16"/>
                <w:color w:val="auto"/>
              </w:rPr>
            </w:pPr>
          </w:p>
        </w:tc>
        <w:tc>
          <w:tcPr>
            <w:tcW w:w="88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89"/>
              </w:rPr>
              <w:t>Score</w:t>
            </w:r>
          </w:p>
        </w:tc>
      </w:tr>
      <w:tr>
        <w:trPr>
          <w:trHeight w:val="304"/>
        </w:trPr>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0.0500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2.7333</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10.2500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4.0300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15.3500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4.5400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0.2500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0.3000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5.3500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10.4500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4.0500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15.5500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4.5600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0.4500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0.5000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2.8667</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10.6500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4.0700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15.7500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4.5800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4.5900</w:t>
            </w:r>
          </w:p>
        </w:tc>
        <w:tc>
          <w:tcPr>
            <w:tcW w:w="100" w:type="dxa"/>
            <w:vAlign w:val="bottom"/>
            <w:shd w:val="clear" w:color="auto" w:fill="CCEEFF"/>
          </w:tcPr>
          <w:p>
            <w:pPr>
              <w:spacing w:after="0"/>
              <w:rPr>
                <w:sz w:val="18"/>
                <w:szCs w:val="18"/>
                <w:color w:val="auto"/>
              </w:rPr>
            </w:pPr>
          </w:p>
        </w:tc>
      </w:tr>
      <w:tr>
        <w:trPr>
          <w:trHeight w:val="230"/>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0.6500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0.7000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2.9333</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10.8500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4.0900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15.9500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516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56" w:lineRule="exact"/>
        <w:rPr>
          <w:sz w:val="20"/>
          <w:szCs w:val="20"/>
          <w:color w:val="auto"/>
        </w:rPr>
      </w:pPr>
    </w:p>
    <w:p>
      <w:pPr>
        <w:ind w:left="800" w:hanging="792"/>
        <w:spacing w:after="0" w:line="194" w:lineRule="auto"/>
        <w:tabs>
          <w:tab w:leader="none" w:pos="800" w:val="left"/>
        </w:tabs>
        <w:numPr>
          <w:ilvl w:val="0"/>
          <w:numId w:val="289"/>
        </w:numPr>
        <w:rPr>
          <w:rFonts w:ascii="Arial" w:cs="Arial" w:eastAsia="Arial" w:hAnsi="Arial"/>
          <w:sz w:val="32"/>
          <w:szCs w:val="32"/>
          <w:color w:val="auto"/>
          <w:vertAlign w:val="superscript"/>
        </w:rPr>
      </w:pPr>
      <w:r>
        <w:rPr>
          <w:rFonts w:ascii="Arial" w:cs="Arial" w:eastAsia="Arial" w:hAnsi="Arial"/>
          <w:sz w:val="16"/>
          <w:szCs w:val="16"/>
          <w:color w:val="auto"/>
        </w:rPr>
        <w:t>Unless otherwise indicated herein, all monetary calculations under this Schedule 8 shall be in Dollars (and any amounts denominated in an Agreed Foreign Currency shall be converted to the Dollar Equivalent of such Agreed Foreign Currency for such calculations, as applicable).</w:t>
      </w:r>
    </w:p>
    <w:p>
      <w:pPr>
        <w:sectPr>
          <w:pgSz w:w="11900" w:h="16838" w:orient="portrait"/>
          <w:cols w:equalWidth="0" w:num="1">
            <w:col w:w="11240"/>
          </w:cols>
          <w:pgMar w:left="320" w:top="261" w:right="3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Industry</w:t>
            </w:r>
          </w:p>
        </w:tc>
        <w:tc>
          <w:tcPr>
            <w:tcW w:w="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Industry</w:t>
            </w: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Industry</w:t>
            </w:r>
          </w:p>
        </w:tc>
        <w:tc>
          <w:tcPr>
            <w:tcW w:w="6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Industry</w:t>
            </w:r>
          </w:p>
        </w:tc>
      </w:t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6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6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Diversity</w:t>
            </w:r>
          </w:p>
        </w:tc>
      </w:tr>
      <w:tr>
        <w:trPr>
          <w:trHeight w:val="190"/>
        </w:trPr>
        <w:tc>
          <w:tcPr>
            <w:tcW w:w="20" w:type="dxa"/>
            <w:vAlign w:val="bottom"/>
          </w:tcPr>
          <w:p>
            <w:pPr>
              <w:spacing w:after="0"/>
              <w:rPr>
                <w:sz w:val="16"/>
                <w:szCs w:val="16"/>
                <w:color w:val="auto"/>
              </w:rPr>
            </w:pPr>
          </w:p>
        </w:tc>
        <w:tc>
          <w:tcPr>
            <w:tcW w:w="860" w:type="dxa"/>
            <w:vAlign w:val="bottom"/>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40" w:type="dxa"/>
            <w:vAlign w:val="bottom"/>
          </w:tcPr>
          <w:p>
            <w:pPr>
              <w:spacing w:after="0"/>
              <w:rPr>
                <w:sz w:val="16"/>
                <w:szCs w:val="16"/>
                <w:color w:val="auto"/>
              </w:rPr>
            </w:pPr>
          </w:p>
        </w:tc>
        <w:tc>
          <w:tcPr>
            <w:tcW w:w="780" w:type="dxa"/>
            <w:vAlign w:val="bottom"/>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640" w:type="dxa"/>
            <w:vAlign w:val="bottom"/>
          </w:tcPr>
          <w:p>
            <w:pPr>
              <w:spacing w:after="0"/>
              <w:rPr>
                <w:sz w:val="16"/>
                <w:szCs w:val="16"/>
                <w:color w:val="auto"/>
              </w:rPr>
            </w:pPr>
          </w:p>
        </w:tc>
        <w:tc>
          <w:tcPr>
            <w:tcW w:w="860" w:type="dxa"/>
            <w:vAlign w:val="bottom"/>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60" w:type="dxa"/>
            <w:vAlign w:val="bottom"/>
          </w:tcPr>
          <w:p>
            <w:pPr>
              <w:spacing w:after="0"/>
              <w:rPr>
                <w:sz w:val="16"/>
                <w:szCs w:val="16"/>
                <w:color w:val="auto"/>
              </w:rPr>
            </w:pPr>
          </w:p>
        </w:tc>
        <w:tc>
          <w:tcPr>
            <w:tcW w:w="760" w:type="dxa"/>
            <w:vAlign w:val="bottom"/>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660" w:type="dxa"/>
            <w:vAlign w:val="bottom"/>
          </w:tcPr>
          <w:p>
            <w:pPr>
              <w:spacing w:after="0"/>
              <w:rPr>
                <w:sz w:val="16"/>
                <w:szCs w:val="16"/>
                <w:color w:val="auto"/>
              </w:rPr>
            </w:pPr>
          </w:p>
        </w:tc>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0"/>
              </w:rPr>
              <w:t>Unit Score</w:t>
            </w:r>
          </w:p>
        </w:tc>
        <w:tc>
          <w:tcPr>
            <w:tcW w:w="660" w:type="dxa"/>
            <w:vAlign w:val="bottom"/>
          </w:tcPr>
          <w:p>
            <w:pPr>
              <w:spacing w:after="0"/>
              <w:rPr>
                <w:sz w:val="16"/>
                <w:szCs w:val="16"/>
                <w:color w:val="auto"/>
              </w:rPr>
            </w:pPr>
          </w:p>
        </w:tc>
        <w:tc>
          <w:tcPr>
            <w:tcW w:w="760" w:type="dxa"/>
            <w:vAlign w:val="bottom"/>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660" w:type="dxa"/>
            <w:vAlign w:val="bottom"/>
          </w:tcPr>
          <w:p>
            <w:pPr>
              <w:spacing w:after="0"/>
              <w:rPr>
                <w:sz w:val="16"/>
                <w:szCs w:val="16"/>
                <w:color w:val="auto"/>
              </w:rPr>
            </w:pPr>
          </w:p>
        </w:tc>
        <w:tc>
          <w:tcPr>
            <w:tcW w:w="860" w:type="dxa"/>
            <w:vAlign w:val="bottom"/>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60" w:type="dxa"/>
            <w:vAlign w:val="bottom"/>
          </w:tcPr>
          <w:p>
            <w:pPr>
              <w:spacing w:after="0"/>
              <w:rPr>
                <w:sz w:val="16"/>
                <w:szCs w:val="16"/>
                <w:color w:val="auto"/>
              </w:rPr>
            </w:pPr>
          </w:p>
        </w:tc>
        <w:tc>
          <w:tcPr>
            <w:tcW w:w="88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89"/>
              </w:rPr>
              <w:t>Score</w:t>
            </w:r>
          </w:p>
        </w:tc>
      </w:tr>
      <w:tr>
        <w:trPr>
          <w:trHeight w:val="304"/>
        </w:trPr>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2.9667</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0.8500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0.9000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11.0500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16.1500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4.6200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6.1500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11.2500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4.1300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16.3500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4.6400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6.3500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11.4500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4.1500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16.5500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4.6600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11.6500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4.1700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16.7500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4.6800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11.8500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4.1900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16.9500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6.9500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12.0500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17.1500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4.7200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7.1500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12.2500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4.2300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17.3500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3.3500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12.4500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4.2500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17.5500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4.7600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12.6500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4.2700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17.7500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4.7800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7.7500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12.8500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4.2900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17.9500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13.0500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18.1500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4.8200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3.0500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2.0333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8.1500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13.2500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4.3300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18.3500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4.8400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3.2500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8.3500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13.4500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4.3500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18.5500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4.8600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3.4500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2.1667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8.5500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13.6500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4.3700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4.8800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3.6500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2.2333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8.7500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13.8500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4.3900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18.9500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8.9500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14.0500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19.1500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2.3333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4.0500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2.3667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9.1500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14.2500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4.4300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19.3500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4.9400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4.2500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2.4333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9.3500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14.4500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4.4500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19.5500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4.9600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4.4500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3.9000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14.6500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4.4700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19.7500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4.9800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2.5667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3.9500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14.8500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4.4900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19.9500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14.9500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sectPr>
          <w:pgSz w:w="11900" w:h="16838" w:orient="portrait"/>
          <w:cols w:equalWidth="0" w:num="1">
            <w:col w:w="11240"/>
          </w:cols>
          <w:pgMar w:left="32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21" w:name="page222"/>
    <w:bookmarkEnd w:id="22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Industry</w:t>
            </w:r>
          </w:p>
        </w:tc>
        <w:tc>
          <w:tcPr>
            <w:tcW w:w="6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Industry</w:t>
            </w:r>
          </w:p>
        </w:tc>
        <w:tc>
          <w:tcPr>
            <w:tcW w:w="7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Industry</w:t>
            </w:r>
          </w:p>
        </w:tc>
        <w:tc>
          <w:tcPr>
            <w:tcW w:w="6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Industry</w:t>
            </w: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Industry</w:t>
            </w:r>
          </w:p>
        </w:tc>
      </w:tr>
      <w:tr>
        <w:trPr>
          <w:trHeight w:val="216"/>
        </w:trPr>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6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7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Diversity</w:t>
            </w:r>
          </w:p>
        </w:tc>
        <w:tc>
          <w:tcPr>
            <w:tcW w:w="6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Equivalent</w:t>
            </w: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Diversity</w:t>
            </w:r>
          </w:p>
        </w:tc>
      </w:tr>
      <w:tr>
        <w:trPr>
          <w:trHeight w:val="190"/>
        </w:trPr>
        <w:tc>
          <w:tcPr>
            <w:tcW w:w="20" w:type="dxa"/>
            <w:vAlign w:val="bottom"/>
          </w:tcPr>
          <w:p>
            <w:pPr>
              <w:spacing w:after="0"/>
              <w:rPr>
                <w:sz w:val="16"/>
                <w:szCs w:val="16"/>
                <w:color w:val="auto"/>
              </w:rPr>
            </w:pPr>
          </w:p>
        </w:tc>
        <w:tc>
          <w:tcPr>
            <w:tcW w:w="8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80" w:type="dxa"/>
            <w:vAlign w:val="bottom"/>
          </w:tcPr>
          <w:p>
            <w:pPr>
              <w:spacing w:after="0"/>
              <w:rPr>
                <w:sz w:val="16"/>
                <w:szCs w:val="16"/>
                <w:color w:val="auto"/>
              </w:rPr>
            </w:pPr>
          </w:p>
        </w:tc>
        <w:tc>
          <w:tcPr>
            <w:tcW w:w="76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680" w:type="dxa"/>
            <w:vAlign w:val="bottom"/>
          </w:tcPr>
          <w:p>
            <w:pPr>
              <w:spacing w:after="0"/>
              <w:rPr>
                <w:sz w:val="16"/>
                <w:szCs w:val="16"/>
                <w:color w:val="auto"/>
              </w:rPr>
            </w:pPr>
          </w:p>
        </w:tc>
        <w:tc>
          <w:tcPr>
            <w:tcW w:w="8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80" w:type="dxa"/>
            <w:vAlign w:val="bottom"/>
          </w:tcPr>
          <w:p>
            <w:pPr>
              <w:spacing w:after="0"/>
              <w:rPr>
                <w:sz w:val="16"/>
                <w:szCs w:val="16"/>
                <w:color w:val="auto"/>
              </w:rPr>
            </w:pPr>
          </w:p>
        </w:tc>
        <w:tc>
          <w:tcPr>
            <w:tcW w:w="76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700" w:type="dxa"/>
            <w:vAlign w:val="bottom"/>
          </w:tcPr>
          <w:p>
            <w:pPr>
              <w:spacing w:after="0"/>
              <w:rPr>
                <w:sz w:val="16"/>
                <w:szCs w:val="16"/>
                <w:color w:val="auto"/>
              </w:rPr>
            </w:pPr>
          </w:p>
        </w:tc>
        <w:tc>
          <w:tcPr>
            <w:tcW w:w="8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Unit Score</w:t>
            </w:r>
          </w:p>
        </w:tc>
        <w:tc>
          <w:tcPr>
            <w:tcW w:w="680" w:type="dxa"/>
            <w:vAlign w:val="bottom"/>
          </w:tcPr>
          <w:p>
            <w:pPr>
              <w:spacing w:after="0"/>
              <w:rPr>
                <w:sz w:val="16"/>
                <w:szCs w:val="16"/>
                <w:color w:val="auto"/>
              </w:rPr>
            </w:pPr>
          </w:p>
        </w:tc>
        <w:tc>
          <w:tcPr>
            <w:tcW w:w="78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rPr>
              <w:t>Score</w:t>
            </w:r>
          </w:p>
        </w:tc>
        <w:tc>
          <w:tcPr>
            <w:tcW w:w="680" w:type="dxa"/>
            <w:vAlign w:val="bottom"/>
          </w:tcPr>
          <w:p>
            <w:pPr>
              <w:spacing w:after="0"/>
              <w:rPr>
                <w:sz w:val="16"/>
                <w:szCs w:val="16"/>
                <w:color w:val="auto"/>
              </w:rPr>
            </w:pPr>
          </w:p>
        </w:tc>
        <w:tc>
          <w:tcPr>
            <w:tcW w:w="8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Unit Score</w:t>
            </w:r>
          </w:p>
        </w:tc>
        <w:tc>
          <w:tcPr>
            <w:tcW w:w="600" w:type="dxa"/>
            <w:vAlign w:val="bottom"/>
          </w:tcPr>
          <w:p>
            <w:pPr>
              <w:spacing w:after="0"/>
              <w:rPr>
                <w:sz w:val="16"/>
                <w:szCs w:val="16"/>
                <w:color w:val="auto"/>
              </w:rPr>
            </w:pPr>
          </w:p>
        </w:tc>
        <w:tc>
          <w:tcPr>
            <w:tcW w:w="7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9"/>
              </w:rPr>
              <w:t>Score</w:t>
            </w:r>
          </w:p>
        </w:tc>
      </w:tr>
      <w:tr>
        <w:trPr>
          <w:trHeight w:val="30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2.6333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4.5100</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4.9500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2.6667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4.0100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15.1500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4.5200</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800" w:hanging="792"/>
        <w:spacing w:after="0" w:line="277" w:lineRule="auto"/>
        <w:tabs>
          <w:tab w:leader="none" w:pos="8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The Diversity Score is then calculated by summing each of the Industry Diversity Scores for each Moody’s Industry Classification group shown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291"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For purposes of calculating the Diversity Score, affiliated Obligors in the same Industry are deemed to be a single Obligor except as otherwise agreed to by Moody’s.</w:t>
      </w:r>
    </w:p>
    <w:p>
      <w:pPr>
        <w:sectPr>
          <w:pgSz w:w="11900" w:h="16838" w:orient="portrait"/>
          <w:cols w:equalWidth="0" w:num="1">
            <w:col w:w="11240"/>
          </w:cols>
          <w:pgMar w:left="320" w:top="274"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9</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7"/>
          <w:szCs w:val="17"/>
          <w:b w:val="1"/>
          <w:bCs w:val="1"/>
          <w:color w:val="auto"/>
        </w:rPr>
        <w:t>OODY</w:t>
      </w:r>
      <w:r>
        <w:rPr>
          <w:rFonts w:ascii="Arial" w:cs="Arial" w:eastAsia="Arial" w:hAnsi="Arial"/>
          <w:sz w:val="22"/>
          <w:szCs w:val="22"/>
          <w:b w:val="1"/>
          <w:bCs w:val="1"/>
          <w:color w:val="auto"/>
        </w:rPr>
        <w:t>’</w:t>
      </w:r>
      <w:r>
        <w:rPr>
          <w:rFonts w:ascii="Arial" w:cs="Arial" w:eastAsia="Arial" w:hAnsi="Arial"/>
          <w:sz w:val="17"/>
          <w:szCs w:val="17"/>
          <w:b w:val="1"/>
          <w:bCs w:val="1"/>
          <w:color w:val="auto"/>
        </w:rPr>
        <w:t>S</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ATING</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RITERIA</w:t>
      </w:r>
    </w:p>
    <w:p>
      <w:pPr>
        <w:spacing w:after="0" w:line="320" w:lineRule="exact"/>
        <w:rPr>
          <w:sz w:val="20"/>
          <w:szCs w:val="20"/>
          <w:color w:val="auto"/>
        </w:rPr>
      </w:pPr>
    </w:p>
    <w:p>
      <w:pPr>
        <w:jc w:val="both"/>
        <w:ind w:firstLine="786"/>
        <w:spacing w:after="0" w:line="246" w:lineRule="auto"/>
        <w:rPr>
          <w:sz w:val="20"/>
          <w:szCs w:val="20"/>
          <w:color w:val="auto"/>
        </w:rPr>
      </w:pPr>
      <w:r>
        <w:rPr>
          <w:rFonts w:ascii="Arial" w:cs="Arial" w:eastAsia="Arial" w:hAnsi="Arial"/>
          <w:sz w:val="21"/>
          <w:szCs w:val="21"/>
          <w:i w:val="1"/>
          <w:iCs w:val="1"/>
          <w:color w:val="auto"/>
        </w:rPr>
        <w:t xml:space="preserve">“Moody’s Rating” </w:t>
      </w:r>
      <w:r>
        <w:rPr>
          <w:rFonts w:ascii="Arial" w:cs="Arial" w:eastAsia="Arial" w:hAnsi="Arial"/>
          <w:sz w:val="21"/>
          <w:szCs w:val="21"/>
          <w:color w:val="auto"/>
        </w:rPr>
        <w:t>means, with respect to a Collateral Loan (A) if the obligor of such Collateral Loan has a corporate</w:t>
      </w:r>
      <w:r>
        <w:rPr>
          <w:rFonts w:ascii="Arial" w:cs="Arial" w:eastAsia="Arial" w:hAnsi="Arial"/>
          <w:sz w:val="21"/>
          <w:szCs w:val="21"/>
          <w:i w:val="1"/>
          <w:iCs w:val="1"/>
          <w:color w:val="auto"/>
        </w:rPr>
        <w:t xml:space="preserve"> </w:t>
      </w:r>
      <w:r>
        <w:rPr>
          <w:rFonts w:ascii="Arial" w:cs="Arial" w:eastAsia="Arial" w:hAnsi="Arial"/>
          <w:sz w:val="21"/>
          <w:szCs w:val="21"/>
          <w:color w:val="auto"/>
        </w:rPr>
        <w:t>family rating by Moody’s, then such corporate family rating, (B) if not determined pursuant to clause (A) above, if such Collateral Loan is publicly rated by Moody’s, such public rating, or (C) if not determined pursuant to clause (A) or (B) above, if such Collateral Loan is not publicly rated by Moody’s but a rating or rating estimate has been assigned to such Collateral Loan by Moody’s upon the request of the Borrower or the Collateral Manager, such rating or, in the case of a rating estimate, the applicable rating estimate for such obligation. For purposes of calculating a Moody’s Rating, each applicable rating on credit watch by Moody’s with positive or negative implication at the time of calculation will be treated as having been upgraded or downgraded by one rating subcategory, as the case may be.</w:t>
      </w:r>
    </w:p>
    <w:p>
      <w:pPr>
        <w:sectPr>
          <w:pgSz w:w="11900" w:h="16838" w:orient="portrait"/>
          <w:cols w:equalWidth="0" w:num="1">
            <w:col w:w="11240"/>
          </w:cols>
          <w:pgMar w:left="320" w:top="261"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10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S&amp;P R</w:t>
      </w:r>
      <w:r>
        <w:rPr>
          <w:rFonts w:ascii="Arial" w:cs="Arial" w:eastAsia="Arial" w:hAnsi="Arial"/>
          <w:sz w:val="17"/>
          <w:szCs w:val="17"/>
          <w:b w:val="1"/>
          <w:bCs w:val="1"/>
          <w:color w:val="auto"/>
        </w:rPr>
        <w:t>ATING</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RITERIA</w:t>
      </w:r>
    </w:p>
    <w:p>
      <w:pPr>
        <w:spacing w:after="0" w:line="320" w:lineRule="exact"/>
        <w:rPr>
          <w:sz w:val="20"/>
          <w:szCs w:val="20"/>
          <w:color w:val="auto"/>
        </w:rPr>
      </w:pPr>
    </w:p>
    <w:p>
      <w:pPr>
        <w:jc w:val="both"/>
        <w:ind w:firstLine="786"/>
        <w:spacing w:after="0" w:line="244" w:lineRule="auto"/>
        <w:rPr>
          <w:sz w:val="20"/>
          <w:szCs w:val="20"/>
          <w:color w:val="auto"/>
        </w:rPr>
      </w:pPr>
      <w:r>
        <w:rPr>
          <w:rFonts w:ascii="Arial" w:cs="Arial" w:eastAsia="Arial" w:hAnsi="Arial"/>
          <w:sz w:val="21"/>
          <w:szCs w:val="21"/>
          <w:i w:val="1"/>
          <w:iCs w:val="1"/>
          <w:color w:val="auto"/>
        </w:rPr>
        <w:t xml:space="preserve">“S&amp;P Rating” </w:t>
      </w:r>
      <w:r>
        <w:rPr>
          <w:rFonts w:ascii="Arial" w:cs="Arial" w:eastAsia="Arial" w:hAnsi="Arial"/>
          <w:sz w:val="21"/>
          <w:szCs w:val="21"/>
          <w:color w:val="auto"/>
        </w:rPr>
        <w:t>means, with respect to any Collateral Loan, as of any date of determination, if there is an issuer credit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rating of the Obligor of such Collateral Loan by S&amp;P as published by S&amp;P, or the guarantor which unconditionally and irrevocably guarantees such Collateral Loan pursuant to a form of guaranty approved by S&amp;P for use in connection with this transaction, then the S&amp;P Rating shall be such rating (regardless of whether there is a published rating by S&amp;P on the Collateral Loans of such obligor held by the Borrower;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private ratings (that is, ratings provided at the request of the Obligor) may be used for purposes of this definition if the related Obligor has consented to the disclosure thereof and a copy of such consent has been provided to S&amp;P);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for purposes of the determination of the S&amp;P Rating, (x) if the applicable rating assigned by S&amp;P to an Obligor or its obligations is on “credit watch positive” by S&amp;P, such rating will be treated as being one sub-category above such assigned rating and (y) if the applicable rating assigned by S&amp;P to an Obligor or its obligations is on “credit watch negative” by S&amp;P, such rating will be treated as being one sub-category below such assigned rating.</w:t>
      </w:r>
    </w:p>
    <w:p>
      <w:pPr>
        <w:sectPr>
          <w:pgSz w:w="11900" w:h="16838" w:orient="portrait"/>
          <w:cols w:equalWidth="0" w:num="1">
            <w:col w:w="11240"/>
          </w:cols>
          <w:pgMar w:left="320" w:top="261" w:right="339" w:bottom="1440" w:gutter="0" w:footer="0" w:header="0"/>
        </w:sectPr>
      </w:pPr>
    </w:p>
    <w:bookmarkStart w:id="224" w:name="page225"/>
    <w:bookmarkEnd w:id="224"/>
    <w:p>
      <w:pPr>
        <w:jc w:val="center"/>
        <w:ind w:right="-7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A</w:t>
      </w:r>
    </w:p>
    <w:p>
      <w:pPr>
        <w:spacing w:after="0" w:line="314"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XCESS</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NTEREST</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ROCEEDS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STIMATE</w:t>
      </w:r>
      <w:r>
        <w:rPr>
          <w:rFonts w:ascii="Arial" w:cs="Arial" w:eastAsia="Arial" w:hAnsi="Arial"/>
          <w:sz w:val="22"/>
          <w:szCs w:val="22"/>
          <w:b w:val="1"/>
          <w:bCs w:val="1"/>
          <w:color w:val="auto"/>
        </w:rPr>
        <w:t>]</w:t>
      </w:r>
    </w:p>
    <w:p>
      <w:pPr>
        <w:spacing w:after="0" w:line="28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Excess Interest Proceeds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-10160</wp:posOffset>
            </wp:positionV>
            <wp:extent cx="10280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86" w:lineRule="exact"/>
        <w:rPr>
          <w:sz w:val="20"/>
          <w:szCs w:val="20"/>
          <w:color w:val="auto"/>
        </w:rPr>
      </w:pPr>
    </w:p>
    <w:p>
      <w:pPr>
        <w:spacing w:after="0"/>
        <w:tabs>
          <w:tab w:leader="none" w:pos="1760" w:val="left"/>
          <w:tab w:leader="none" w:pos="7760" w:val="left"/>
          <w:tab w:leader="none" w:pos="10060" w:val="left"/>
        </w:tabs>
        <w:rPr>
          <w:sz w:val="20"/>
          <w:szCs w:val="20"/>
          <w:color w:val="auto"/>
        </w:rPr>
      </w:pPr>
      <w:r>
        <w:rPr>
          <w:rFonts w:ascii="Arial" w:cs="Arial" w:eastAsia="Arial" w:hAnsi="Arial"/>
          <w:sz w:val="18"/>
          <w:szCs w:val="18"/>
          <w:color w:val="auto"/>
        </w:rPr>
        <w:t>Report Date:</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8"/>
          <w:szCs w:val="18"/>
          <w:color w:val="auto"/>
        </w:rPr>
        <w:t>Next Payment Date:</w:t>
      </w:r>
      <w:r>
        <w:rPr>
          <w:sz w:val="20"/>
          <w:szCs w:val="20"/>
          <w:color w:val="auto"/>
        </w:rPr>
        <w:tab/>
      </w:r>
      <w:r>
        <w:rPr>
          <w:rFonts w:ascii="Arial" w:cs="Arial" w:eastAsia="Arial" w:hAnsi="Arial"/>
          <w:sz w:val="16"/>
          <w:szCs w:val="16"/>
          <w:color w:val="auto"/>
        </w:rPr>
        <w:t>,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-10160</wp:posOffset>
            </wp:positionV>
            <wp:extent cx="5143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-10160</wp:posOffset>
            </wp:positionV>
            <wp:extent cx="1143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-10160</wp:posOffset>
            </wp:positionV>
            <wp:extent cx="5143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-10160</wp:posOffset>
            </wp:positionV>
            <wp:extent cx="1143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27" w:lineRule="exact"/>
        <w:rPr>
          <w:sz w:val="20"/>
          <w:szCs w:val="20"/>
          <w:color w:val="auto"/>
        </w:rPr>
      </w:pPr>
    </w:p>
    <w:p>
      <w:pPr>
        <w:ind w:left="480" w:right="3920" w:hanging="472"/>
        <w:spacing w:after="0" w:line="375" w:lineRule="auto"/>
        <w:tabs>
          <w:tab w:leader="none" w:pos="4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Dollar Equivalent of Interest Proceeds on deposit in the Interest Collection Account </w:t>
      </w:r>
      <w:r>
        <w:rPr>
          <w:rFonts w:ascii="Arial" w:cs="Arial" w:eastAsia="Arial" w:hAnsi="Arial"/>
          <w:sz w:val="18"/>
          <w:szCs w:val="18"/>
          <w:u w:val="single" w:color="auto"/>
          <w:color w:val="auto"/>
        </w:rPr>
        <w:t>Dollar Equivalent of the Estimated Fees, Interest and Expenses</w:t>
      </w:r>
    </w:p>
    <w:p>
      <w:pPr>
        <w:spacing w:after="0" w:line="1" w:lineRule="exact"/>
        <w:rPr>
          <w:rFonts w:ascii="Arial" w:cs="Arial" w:eastAsia="Arial" w:hAnsi="Arial"/>
          <w:sz w:val="18"/>
          <w:szCs w:val="18"/>
          <w:color w:val="auto"/>
        </w:rPr>
      </w:pPr>
    </w:p>
    <w:p>
      <w:pPr>
        <w:ind w:left="920" w:hanging="440"/>
        <w:spacing w:after="0"/>
        <w:tabs>
          <w:tab w:leader="none" w:pos="9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Out of Pocket Expenses of the Collateral Agent:</w:t>
      </w:r>
    </w:p>
    <w:p>
      <w:pPr>
        <w:spacing w:after="0" w:line="117" w:lineRule="exact"/>
        <w:rPr>
          <w:rFonts w:ascii="Arial" w:cs="Arial" w:eastAsia="Arial" w:hAnsi="Arial"/>
          <w:sz w:val="18"/>
          <w:szCs w:val="18"/>
          <w:color w:val="auto"/>
        </w:rPr>
      </w:pPr>
    </w:p>
    <w:p>
      <w:pPr>
        <w:ind w:left="920" w:hanging="440"/>
        <w:spacing w:after="0"/>
        <w:tabs>
          <w:tab w:leader="none" w:pos="9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Administrative Expenses</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Collateral Agent Fees and Expenses:</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Collateral Administrator Fees and Expenses:</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Backup Collateral Manager Fees and Expenses:</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Securities Intermediary Fees and Expenses:</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Document Custodian Fees and Expenses:</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Fees and accrued expenses of Administrative Agent:</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Expenses (and indemnities) incurred by Collateral Manager:</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Fees and expenses of Independent Accountants, agents and counsel:</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Fees and expenses of Rating Agencies :</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Expenses incurred by any other Person :</w:t>
      </w:r>
    </w:p>
    <w:p>
      <w:pPr>
        <w:spacing w:after="0" w:line="117" w:lineRule="exact"/>
        <w:rPr>
          <w:rFonts w:ascii="Arial" w:cs="Arial" w:eastAsia="Arial" w:hAnsi="Arial"/>
          <w:sz w:val="18"/>
          <w:szCs w:val="18"/>
          <w:color w:val="auto"/>
        </w:rPr>
      </w:pPr>
    </w:p>
    <w:p>
      <w:pPr>
        <w:ind w:left="1340" w:hanging="428"/>
        <w:spacing w:after="0"/>
        <w:tabs>
          <w:tab w:leader="none" w:pos="1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Expenses incurred by Lenders and Agents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-2890520</wp:posOffset>
            </wp:positionV>
            <wp:extent cx="7143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-2479040</wp:posOffset>
            </wp:positionV>
            <wp:extent cx="7143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-2273300</wp:posOffset>
            </wp:positionV>
            <wp:extent cx="7423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-2067560</wp:posOffset>
            </wp:positionV>
            <wp:extent cx="7423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-1861820</wp:posOffset>
            </wp:positionV>
            <wp:extent cx="7423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-1656080</wp:posOffset>
            </wp:positionV>
            <wp:extent cx="7423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-1450340</wp:posOffset>
            </wp:positionV>
            <wp:extent cx="7423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4231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-1244600</wp:posOffset>
            </wp:positionV>
            <wp:extent cx="7423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-1038860</wp:posOffset>
            </wp:positionV>
            <wp:extent cx="7423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-833120</wp:posOffset>
            </wp:positionV>
            <wp:extent cx="7423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-627380</wp:posOffset>
            </wp:positionV>
            <wp:extent cx="7423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4231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-421640</wp:posOffset>
            </wp:positionV>
            <wp:extent cx="7423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-215900</wp:posOffset>
            </wp:positionV>
            <wp:extent cx="7423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-10160</wp:posOffset>
            </wp:positionV>
            <wp:extent cx="7423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color w:val="auto"/>
              </w:rPr>
              <w:t>Total Administrative Expenses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6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(3)</w:t>
            </w:r>
          </w:p>
        </w:tc>
        <w:tc>
          <w:tcPr>
            <w:tcW w:w="7260" w:type="dxa"/>
            <w:vAlign w:val="bottom"/>
          </w:tcPr>
          <w:p>
            <w:pPr>
              <w:ind w:left="120"/>
              <w:spacing w:after="0"/>
              <w:rPr>
                <w:sz w:val="20"/>
                <w:szCs w:val="20"/>
                <w:color w:val="auto"/>
              </w:rPr>
            </w:pPr>
            <w:r>
              <w:rPr>
                <w:rFonts w:ascii="Arial" w:cs="Arial" w:eastAsia="Arial" w:hAnsi="Arial"/>
                <w:sz w:val="18"/>
                <w:szCs w:val="18"/>
                <w:color w:val="auto"/>
              </w:rPr>
              <w:t>One-Time Successor Servicer Engagement Fee:</w:t>
            </w:r>
          </w:p>
        </w:tc>
        <w:tc>
          <w:tcPr>
            <w:tcW w:w="22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(4)</w:t>
            </w:r>
          </w:p>
        </w:tc>
        <w:tc>
          <w:tcPr>
            <w:tcW w:w="7260" w:type="dxa"/>
            <w:vAlign w:val="bottom"/>
          </w:tcPr>
          <w:p>
            <w:pPr>
              <w:ind w:left="120"/>
              <w:spacing w:after="0"/>
              <w:rPr>
                <w:sz w:val="20"/>
                <w:szCs w:val="20"/>
                <w:color w:val="auto"/>
              </w:rPr>
            </w:pPr>
            <w:r>
              <w:rPr>
                <w:rFonts w:ascii="Arial" w:cs="Arial" w:eastAsia="Arial" w:hAnsi="Arial"/>
                <w:sz w:val="18"/>
                <w:szCs w:val="18"/>
                <w:color w:val="auto"/>
              </w:rPr>
              <w:t>Hedge agreement expenses:</w:t>
            </w:r>
          </w:p>
        </w:tc>
        <w:tc>
          <w:tcPr>
            <w:tcW w:w="22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(5)</w:t>
            </w:r>
          </w:p>
        </w:tc>
        <w:tc>
          <w:tcPr>
            <w:tcW w:w="7260" w:type="dxa"/>
            <w:vAlign w:val="bottom"/>
          </w:tcPr>
          <w:p>
            <w:pPr>
              <w:ind w:left="120"/>
              <w:spacing w:after="0"/>
              <w:rPr>
                <w:sz w:val="20"/>
                <w:szCs w:val="20"/>
                <w:color w:val="auto"/>
              </w:rPr>
            </w:pPr>
            <w:r>
              <w:rPr>
                <w:rFonts w:ascii="Arial" w:cs="Arial" w:eastAsia="Arial" w:hAnsi="Arial"/>
                <w:sz w:val="18"/>
                <w:szCs w:val="18"/>
                <w:color w:val="auto"/>
              </w:rPr>
              <w:t>Unpaid Senior Collateral Management Fees:</w:t>
            </w:r>
          </w:p>
        </w:tc>
        <w:tc>
          <w:tcPr>
            <w:tcW w:w="220" w:type="dxa"/>
            <w:vAlign w:val="bottom"/>
          </w:tcPr>
          <w:p>
            <w:pPr>
              <w:spacing w:after="0"/>
              <w:rPr>
                <w:sz w:val="24"/>
                <w:szCs w:val="24"/>
                <w:color w:val="auto"/>
              </w:rPr>
            </w:pPr>
          </w:p>
        </w:tc>
      </w:tr>
      <w:tr>
        <w:trPr>
          <w:trHeight w:val="310"/>
        </w:trPr>
        <w:tc>
          <w:tcPr>
            <w:tcW w:w="36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(6)</w:t>
            </w:r>
          </w:p>
        </w:tc>
        <w:tc>
          <w:tcPr>
            <w:tcW w:w="7260" w:type="dxa"/>
            <w:vAlign w:val="bottom"/>
          </w:tcPr>
          <w:p>
            <w:pPr>
              <w:ind w:left="120"/>
              <w:spacing w:after="0"/>
              <w:rPr>
                <w:sz w:val="20"/>
                <w:szCs w:val="20"/>
                <w:color w:val="auto"/>
              </w:rPr>
            </w:pPr>
            <w:r>
              <w:rPr>
                <w:rFonts w:ascii="Arial" w:cs="Arial" w:eastAsia="Arial" w:hAnsi="Arial"/>
                <w:sz w:val="18"/>
                <w:szCs w:val="18"/>
                <w:color w:val="auto"/>
                <w:w w:val="96"/>
              </w:rPr>
              <w:t>Accrued and unpaid interest on Advances, Commitment Fees and breakage costs due to the</w:t>
            </w:r>
          </w:p>
        </w:tc>
        <w:tc>
          <w:tcPr>
            <w:tcW w:w="2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color w:val="auto"/>
              </w:rPr>
              <w:t>Lenders:</w:t>
            </w:r>
          </w:p>
        </w:tc>
        <w:tc>
          <w:tcPr>
            <w:tcW w:w="220" w:type="dxa"/>
            <w:vAlign w:val="bottom"/>
          </w:tcPr>
          <w:p>
            <w:pPr>
              <w:spacing w:after="0"/>
              <w:rPr>
                <w:sz w:val="20"/>
                <w:szCs w:val="20"/>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Total Estimated Fees, Interest and Expenses (Sum of Lines 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Stressed Expense Estimate (Line (B) multiplied by 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(D)</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Excess Interest Proceeds Amount (Line (A) minus Line (C)):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-1602740</wp:posOffset>
            </wp:positionV>
            <wp:extent cx="6858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-1396365</wp:posOffset>
            </wp:positionV>
            <wp:extent cx="7143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-1191260</wp:posOffset>
            </wp:positionV>
            <wp:extent cx="7143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-985520</wp:posOffset>
            </wp:positionV>
            <wp:extent cx="7143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-779780</wp:posOffset>
            </wp:positionV>
            <wp:extent cx="7143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-436880</wp:posOffset>
            </wp:positionV>
            <wp:extent cx="7143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-231140</wp:posOffset>
            </wp:positionV>
            <wp:extent cx="7143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7143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3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as Collateral Manager</w:t>
      </w:r>
    </w:p>
    <w:p>
      <w:pPr>
        <w:spacing w:after="0" w:line="3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ectPr>
          <w:pgSz w:w="11900" w:h="16838" w:orient="portrait"/>
          <w:cols w:equalWidth="0" w:num="1">
            <w:col w:w="10440"/>
          </w:cols>
          <w:pgMar w:left="320" w:top="261" w:right="11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B</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N</w:t>
      </w:r>
      <w:r>
        <w:rPr>
          <w:rFonts w:ascii="Arial" w:cs="Arial" w:eastAsia="Arial" w:hAnsi="Arial"/>
          <w:sz w:val="17"/>
          <w:szCs w:val="17"/>
          <w:b w:val="1"/>
          <w:bCs w:val="1"/>
          <w:color w:val="auto"/>
        </w:rPr>
        <w:t>OTICE OF</w:t>
      </w:r>
      <w:r>
        <w:rPr>
          <w:rFonts w:ascii="Arial" w:cs="Arial" w:eastAsia="Arial" w:hAnsi="Arial"/>
          <w:sz w:val="22"/>
          <w:szCs w:val="22"/>
          <w:b w:val="1"/>
          <w:bCs w:val="1"/>
          <w:color w:val="auto"/>
        </w:rPr>
        <w:t xml:space="preserve"> B</w:t>
      </w:r>
      <w:r>
        <w:rPr>
          <w:rFonts w:ascii="Arial" w:cs="Arial" w:eastAsia="Arial" w:hAnsi="Arial"/>
          <w:sz w:val="17"/>
          <w:szCs w:val="17"/>
          <w:b w:val="1"/>
          <w:bCs w:val="1"/>
          <w:color w:val="auto"/>
        </w:rPr>
        <w:t>ORROWING</w:t>
      </w:r>
      <w:r>
        <w:rPr>
          <w:rFonts w:ascii="Arial" w:cs="Arial" w:eastAsia="Arial" w:hAnsi="Arial"/>
          <w:sz w:val="22"/>
          <w:szCs w:val="22"/>
          <w:b w:val="1"/>
          <w:bCs w:val="1"/>
          <w:color w:val="auto"/>
        </w:rPr>
        <w:t>]</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38" w:lineRule="auto"/>
        <w:rPr>
          <w:sz w:val="20"/>
          <w:szCs w:val="20"/>
          <w:color w:val="auto"/>
        </w:rPr>
      </w:pPr>
      <w:r>
        <w:rPr>
          <w:rFonts w:ascii="Arial" w:cs="Arial" w:eastAsia="Arial" w:hAnsi="Arial"/>
          <w:sz w:val="22"/>
          <w:szCs w:val="22"/>
          <w:color w:val="auto"/>
        </w:rPr>
        <w:t>SunTrust Bank</w:t>
      </w:r>
    </w:p>
    <w:p>
      <w:pPr>
        <w:spacing w:after="0" w:line="230" w:lineRule="auto"/>
        <w:rPr>
          <w:sz w:val="20"/>
          <w:szCs w:val="20"/>
          <w:color w:val="auto"/>
        </w:rPr>
      </w:pPr>
      <w:r>
        <w:rPr>
          <w:rFonts w:ascii="Arial" w:cs="Arial" w:eastAsia="Arial" w:hAnsi="Arial"/>
          <w:sz w:val="22"/>
          <w:szCs w:val="22"/>
          <w:color w:val="auto"/>
        </w:rPr>
        <w:t>as Administrative Agent</w:t>
      </w:r>
    </w:p>
    <w:p>
      <w:pPr>
        <w:spacing w:after="0" w:line="231" w:lineRule="auto"/>
        <w:rPr>
          <w:sz w:val="20"/>
          <w:szCs w:val="20"/>
          <w:color w:val="auto"/>
        </w:rPr>
      </w:pPr>
      <w:r>
        <w:rPr>
          <w:rFonts w:ascii="Arial" w:cs="Arial" w:eastAsia="Arial" w:hAnsi="Arial"/>
          <w:sz w:val="22"/>
          <w:szCs w:val="22"/>
          <w:color w:val="auto"/>
        </w:rPr>
        <w:t>303 Peachtree St., NE, 24th Floor</w:t>
      </w:r>
    </w:p>
    <w:p>
      <w:pPr>
        <w:spacing w:after="0"/>
        <w:rPr>
          <w:sz w:val="20"/>
          <w:szCs w:val="20"/>
          <w:color w:val="auto"/>
        </w:rPr>
      </w:pPr>
      <w:r>
        <w:rPr>
          <w:rFonts w:ascii="Arial" w:cs="Arial" w:eastAsia="Arial" w:hAnsi="Arial"/>
          <w:sz w:val="22"/>
          <w:szCs w:val="22"/>
          <w:color w:val="auto"/>
        </w:rPr>
        <w:t>Atlanta, Georgia 30308</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ind w:left="120"/>
        <w:spacing w:after="0" w:line="238" w:lineRule="auto"/>
        <w:rPr>
          <w:sz w:val="20"/>
          <w:szCs w:val="20"/>
          <w:color w:val="auto"/>
        </w:rPr>
      </w:pPr>
      <w:r>
        <w:rPr>
          <w:rFonts w:ascii="Arial" w:cs="Arial" w:eastAsia="Arial" w:hAnsi="Arial"/>
          <w:sz w:val="22"/>
          <w:szCs w:val="22"/>
          <w:color w:val="auto"/>
        </w:rPr>
        <w:t>as Collateral Agent</w:t>
      </w:r>
    </w:p>
    <w:p>
      <w:pPr>
        <w:spacing w:after="0" w:line="230" w:lineRule="auto"/>
        <w:rPr>
          <w:sz w:val="20"/>
          <w:szCs w:val="20"/>
          <w:color w:val="auto"/>
        </w:rPr>
      </w:pPr>
      <w:r>
        <w:rPr>
          <w:rFonts w:ascii="Arial" w:cs="Arial" w:eastAsia="Arial" w:hAnsi="Arial"/>
          <w:sz w:val="22"/>
          <w:szCs w:val="22"/>
          <w:color w:val="auto"/>
        </w:rPr>
        <w:t>Corporate Trust Services – CDO Unit</w:t>
      </w:r>
    </w:p>
    <w:p>
      <w:pPr>
        <w:spacing w:after="0" w:line="231" w:lineRule="auto"/>
        <w:rPr>
          <w:sz w:val="20"/>
          <w:szCs w:val="20"/>
          <w:color w:val="auto"/>
        </w:rPr>
      </w:pPr>
      <w:r>
        <w:rPr>
          <w:rFonts w:ascii="Arial" w:cs="Arial" w:eastAsia="Arial" w:hAnsi="Arial"/>
          <w:sz w:val="22"/>
          <w:szCs w:val="22"/>
          <w:color w:val="auto"/>
        </w:rPr>
        <w:t>One Federal Street, Third Floor</w:t>
      </w:r>
    </w:p>
    <w:p>
      <w:pPr>
        <w:spacing w:after="0" w:line="230" w:lineRule="auto"/>
        <w:rPr>
          <w:sz w:val="20"/>
          <w:szCs w:val="20"/>
          <w:color w:val="auto"/>
        </w:rPr>
      </w:pPr>
      <w:r>
        <w:rPr>
          <w:rFonts w:ascii="Arial" w:cs="Arial" w:eastAsia="Arial" w:hAnsi="Arial"/>
          <w:sz w:val="22"/>
          <w:szCs w:val="22"/>
          <w:color w:val="auto"/>
        </w:rPr>
        <w:t>Boston, Massachusetts</w:t>
      </w:r>
    </w:p>
    <w:p>
      <w:pPr>
        <w:spacing w:after="0" w:line="231" w:lineRule="auto"/>
        <w:rPr>
          <w:sz w:val="20"/>
          <w:szCs w:val="20"/>
          <w:color w:val="auto"/>
        </w:rPr>
      </w:pPr>
      <w:r>
        <w:rPr>
          <w:rFonts w:ascii="Arial" w:cs="Arial" w:eastAsia="Arial" w:hAnsi="Arial"/>
          <w:sz w:val="22"/>
          <w:szCs w:val="22"/>
          <w:color w:val="auto"/>
        </w:rPr>
        <w:t>Attn: Jennifer Vlasuk</w:t>
      </w:r>
    </w:p>
    <w:p>
      <w:pPr>
        <w:spacing w:after="0"/>
        <w:rPr>
          <w:sz w:val="20"/>
          <w:szCs w:val="20"/>
          <w:color w:val="auto"/>
        </w:rPr>
      </w:pPr>
      <w:r>
        <w:rPr>
          <w:rFonts w:ascii="Arial" w:cs="Arial" w:eastAsia="Arial" w:hAnsi="Arial"/>
          <w:sz w:val="22"/>
          <w:szCs w:val="22"/>
          <w:color w:val="auto"/>
        </w:rPr>
        <w:t>Ref: PennantPark Floating Rate Funding I, LLC</w:t>
      </w:r>
    </w:p>
    <w:p>
      <w:pPr>
        <w:spacing w:after="0" w:line="256" w:lineRule="exact"/>
        <w:rPr>
          <w:sz w:val="20"/>
          <w:szCs w:val="20"/>
          <w:color w:val="auto"/>
        </w:rPr>
      </w:pPr>
    </w:p>
    <w:p>
      <w:pPr>
        <w:jc w:val="both"/>
        <w:ind w:firstLine="786"/>
        <w:spacing w:after="0" w:line="272" w:lineRule="auto"/>
        <w:rPr>
          <w:sz w:val="20"/>
          <w:szCs w:val="20"/>
          <w:color w:val="auto"/>
        </w:rPr>
      </w:pPr>
      <w:r>
        <w:rPr>
          <w:rFonts w:ascii="Arial" w:cs="Arial" w:eastAsia="Arial" w:hAnsi="Arial"/>
          <w:sz w:val="19"/>
          <w:szCs w:val="19"/>
          <w:color w:val="auto"/>
        </w:rPr>
        <w:t xml:space="preserve">This Notice of Borrowing is made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of that certain Third Amended and Restated Revolving Credit and Security Agreement dated as of May 22, 2015 (as the same may from time to time be amended, supplemented, waived or modified, the </w:t>
      </w:r>
      <w:r>
        <w:rPr>
          <w:rFonts w:ascii="Arial" w:cs="Arial" w:eastAsia="Arial" w:hAnsi="Arial"/>
          <w:sz w:val="19"/>
          <w:szCs w:val="19"/>
          <w:i w:val="1"/>
          <w:iCs w:val="1"/>
          <w:color w:val="auto"/>
        </w:rPr>
        <w:t>“Credit Agreement”</w:t>
      </w:r>
      <w:r>
        <w:rPr>
          <w:rFonts w:ascii="Arial" w:cs="Arial" w:eastAsia="Arial" w:hAnsi="Arial"/>
          <w:sz w:val="19"/>
          <w:szCs w:val="19"/>
          <w:color w:val="auto"/>
        </w:rPr>
        <w:t xml:space="preserve">) among PennantPark Floating Rate Funding I, LLC, a Delaware limited liability company, as borrower (together with its permitted successors and assigns, the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PennantPark Investment Advisers, LLC, a Delaware limited liability company, as the collateral manager (together with its permitted successors and assigns, the </w:t>
      </w:r>
      <w:r>
        <w:rPr>
          <w:rFonts w:ascii="Arial" w:cs="Arial" w:eastAsia="Arial" w:hAnsi="Arial"/>
          <w:sz w:val="19"/>
          <w:szCs w:val="19"/>
          <w:i w:val="1"/>
          <w:iCs w:val="1"/>
          <w:color w:val="auto"/>
        </w:rPr>
        <w:t>“Collateral</w:t>
      </w:r>
      <w:r>
        <w:rPr>
          <w:rFonts w:ascii="Arial" w:cs="Arial" w:eastAsia="Arial" w:hAnsi="Arial"/>
          <w:sz w:val="19"/>
          <w:szCs w:val="19"/>
          <w:color w:val="auto"/>
        </w:rPr>
        <w:t xml:space="preserve"> </w:t>
      </w:r>
      <w:r>
        <w:rPr>
          <w:rFonts w:ascii="Arial" w:cs="Arial" w:eastAsia="Arial" w:hAnsi="Arial"/>
          <w:sz w:val="19"/>
          <w:szCs w:val="19"/>
          <w:i w:val="1"/>
          <w:iCs w:val="1"/>
          <w:color w:val="auto"/>
        </w:rPr>
        <w:t>Manager”</w:t>
      </w:r>
      <w:r>
        <w:rPr>
          <w:rFonts w:ascii="Arial" w:cs="Arial" w:eastAsia="Arial" w:hAnsi="Arial"/>
          <w:sz w:val="19"/>
          <w:szCs w:val="19"/>
          <w:color w:val="auto"/>
        </w:rPr>
        <w:t>), the Lenders from time to time party thereto; SunTrust Bank, as administrative agent for the Secured Parties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hereinafter defined) (in such capacity, together with its successors and assigns, the </w:t>
      </w:r>
      <w:r>
        <w:rPr>
          <w:rFonts w:ascii="Arial" w:cs="Arial" w:eastAsia="Arial" w:hAnsi="Arial"/>
          <w:sz w:val="19"/>
          <w:szCs w:val="19"/>
          <w:i w:val="1"/>
          <w:iCs w:val="1"/>
          <w:color w:val="auto"/>
        </w:rPr>
        <w:t>“Administrative Agent”</w:t>
      </w:r>
      <w:r>
        <w:rPr>
          <w:rFonts w:ascii="Arial" w:cs="Arial" w:eastAsia="Arial" w:hAnsi="Arial"/>
          <w:sz w:val="19"/>
          <w:szCs w:val="19"/>
          <w:color w:val="auto"/>
        </w:rPr>
        <w:t>), S</w:t>
      </w:r>
      <w:r>
        <w:rPr>
          <w:rFonts w:ascii="Arial" w:cs="Arial" w:eastAsia="Arial" w:hAnsi="Arial"/>
          <w:sz w:val="15"/>
          <w:szCs w:val="15"/>
          <w:color w:val="auto"/>
        </w:rPr>
        <w:t>UN</w:t>
      </w:r>
      <w:r>
        <w:rPr>
          <w:rFonts w:ascii="Arial" w:cs="Arial" w:eastAsia="Arial" w:hAnsi="Arial"/>
          <w:sz w:val="19"/>
          <w:szCs w:val="19"/>
          <w:color w:val="auto"/>
        </w:rPr>
        <w:t>T</w:t>
      </w:r>
      <w:r>
        <w:rPr>
          <w:rFonts w:ascii="Arial" w:cs="Arial" w:eastAsia="Arial" w:hAnsi="Arial"/>
          <w:sz w:val="15"/>
          <w:szCs w:val="15"/>
          <w:color w:val="auto"/>
        </w:rPr>
        <w:t>RUST</w:t>
      </w:r>
      <w:r>
        <w:rPr>
          <w:rFonts w:ascii="Arial" w:cs="Arial" w:eastAsia="Arial" w:hAnsi="Arial"/>
          <w:sz w:val="19"/>
          <w:szCs w:val="19"/>
          <w:color w:val="auto"/>
        </w:rPr>
        <w:t xml:space="preserve"> B</w:t>
      </w:r>
      <w:r>
        <w:rPr>
          <w:rFonts w:ascii="Arial" w:cs="Arial" w:eastAsia="Arial" w:hAnsi="Arial"/>
          <w:sz w:val="15"/>
          <w:szCs w:val="15"/>
          <w:color w:val="auto"/>
        </w:rPr>
        <w:t>ANK</w:t>
      </w:r>
      <w:r>
        <w:rPr>
          <w:rFonts w:ascii="Arial" w:cs="Arial" w:eastAsia="Arial" w:hAnsi="Arial"/>
          <w:sz w:val="19"/>
          <w:szCs w:val="19"/>
          <w:color w:val="auto"/>
        </w:rPr>
        <w:t>, as the swingline lender (the “</w:t>
      </w:r>
      <w:r>
        <w:rPr>
          <w:rFonts w:ascii="Arial" w:cs="Arial" w:eastAsia="Arial" w:hAnsi="Arial"/>
          <w:sz w:val="19"/>
          <w:szCs w:val="19"/>
          <w:i w:val="1"/>
          <w:iCs w:val="1"/>
          <w:color w:val="auto"/>
        </w:rPr>
        <w:t>Swingline Lender</w:t>
      </w:r>
      <w:r>
        <w:rPr>
          <w:rFonts w:ascii="Arial" w:cs="Arial" w:eastAsia="Arial" w:hAnsi="Arial"/>
          <w:sz w:val="19"/>
          <w:szCs w:val="19"/>
          <w:color w:val="auto"/>
        </w:rPr>
        <w:t xml:space="preserve">”), U.S. Bank National Association, as collateral agent for the Secured Parties (in such capacity, together with its successors and assigns, the </w:t>
      </w:r>
      <w:r>
        <w:rPr>
          <w:rFonts w:ascii="Arial" w:cs="Arial" w:eastAsia="Arial" w:hAnsi="Arial"/>
          <w:sz w:val="19"/>
          <w:szCs w:val="19"/>
          <w:i w:val="1"/>
          <w:iCs w:val="1"/>
          <w:color w:val="auto"/>
        </w:rPr>
        <w:t>“Collateral Agent”</w:t>
      </w:r>
      <w:r>
        <w:rPr>
          <w:rFonts w:ascii="Arial" w:cs="Arial" w:eastAsia="Arial" w:hAnsi="Arial"/>
          <w:sz w:val="19"/>
          <w:szCs w:val="19"/>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200" w:lineRule="exact"/>
        <w:rPr>
          <w:sz w:val="20"/>
          <w:szCs w:val="20"/>
          <w:color w:val="auto"/>
        </w:rPr>
      </w:pPr>
    </w:p>
    <w:p>
      <w:pPr>
        <w:spacing w:after="0" w:line="28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Insert for Syndicated Borrowings: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1400" w:type="dxa"/>
            <w:vAlign w:val="bottom"/>
          </w:tcPr>
          <w:p>
            <w:pPr>
              <w:jc w:val="right"/>
              <w:ind w:right="92"/>
              <w:spacing w:after="0"/>
              <w:rPr>
                <w:sz w:val="20"/>
                <w:szCs w:val="20"/>
                <w:color w:val="auto"/>
              </w:rPr>
            </w:pPr>
            <w:r>
              <w:rPr>
                <w:rFonts w:ascii="Arial" w:cs="Arial" w:eastAsia="Arial" w:hAnsi="Arial"/>
                <w:sz w:val="22"/>
                <w:szCs w:val="22"/>
                <w:color w:val="auto"/>
              </w:rPr>
              <w:t>1.</w:t>
            </w:r>
          </w:p>
        </w:tc>
        <w:tc>
          <w:tcPr>
            <w:tcW w:w="3560" w:type="dxa"/>
            <w:vAlign w:val="bottom"/>
          </w:tcPr>
          <w:p>
            <w:pPr>
              <w:ind w:left="180"/>
              <w:spacing w:after="0"/>
              <w:rPr>
                <w:sz w:val="20"/>
                <w:szCs w:val="20"/>
                <w:color w:val="auto"/>
              </w:rPr>
            </w:pPr>
            <w:r>
              <w:rPr>
                <w:rFonts w:ascii="Arial" w:cs="Arial" w:eastAsia="Arial" w:hAnsi="Arial"/>
                <w:sz w:val="22"/>
                <w:szCs w:val="22"/>
                <w:color w:val="auto"/>
                <w:w w:val="90"/>
              </w:rPr>
              <w:t>The Borrower hereby requests that on</w:t>
            </w:r>
          </w:p>
        </w:tc>
        <w:tc>
          <w:tcPr>
            <w:tcW w:w="1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60" w:type="dxa"/>
            <w:vAlign w:val="bottom"/>
            <w:gridSpan w:val="5"/>
          </w:tcPr>
          <w:p>
            <w:pPr>
              <w:jc w:val="right"/>
              <w:spacing w:after="0"/>
              <w:rPr>
                <w:sz w:val="20"/>
                <w:szCs w:val="20"/>
                <w:color w:val="auto"/>
              </w:rPr>
            </w:pPr>
            <w:r>
              <w:rPr>
                <w:rFonts w:ascii="Arial" w:cs="Arial" w:eastAsia="Arial" w:hAnsi="Arial"/>
                <w:sz w:val="22"/>
                <w:szCs w:val="22"/>
                <w:color w:val="auto"/>
                <w:w w:val="97"/>
              </w:rPr>
              <w:t xml:space="preserve">, 201  (the </w:t>
            </w:r>
            <w:r>
              <w:rPr>
                <w:rFonts w:ascii="Arial" w:cs="Arial" w:eastAsia="Arial" w:hAnsi="Arial"/>
                <w:sz w:val="22"/>
                <w:szCs w:val="22"/>
                <w:i w:val="1"/>
                <w:iCs w:val="1"/>
                <w:color w:val="auto"/>
                <w:w w:val="97"/>
              </w:rPr>
              <w:t>“Borrowing Date”</w:t>
            </w:r>
            <w:r>
              <w:rPr>
                <w:rFonts w:ascii="Arial" w:cs="Arial" w:eastAsia="Arial" w:hAnsi="Arial"/>
                <w:sz w:val="22"/>
                <w:szCs w:val="22"/>
                <w:color w:val="auto"/>
                <w:w w:val="97"/>
              </w:rPr>
              <w:t>) it receive</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w w:val="99"/>
              </w:rPr>
              <w:t>[USD$] [AUS$]</w:t>
            </w:r>
          </w:p>
        </w:tc>
        <w:tc>
          <w:tcPr>
            <w:tcW w:w="0" w:type="dxa"/>
            <w:vAlign w:val="bottom"/>
          </w:tcPr>
          <w:p>
            <w:pPr>
              <w:spacing w:after="0" w:line="20" w:lineRule="exact"/>
              <w:rPr>
                <w:sz w:val="1"/>
                <w:szCs w:val="1"/>
                <w:color w:val="auto"/>
              </w:rPr>
            </w:pPr>
          </w:p>
        </w:tc>
      </w:tr>
      <w:tr>
        <w:trPr>
          <w:trHeight w:val="223"/>
        </w:trPr>
        <w:tc>
          <w:tcPr>
            <w:tcW w:w="7760" w:type="dxa"/>
            <w:vAlign w:val="bottom"/>
            <w:gridSpan w:val="7"/>
          </w:tcPr>
          <w:p>
            <w:pPr>
              <w:spacing w:after="0" w:line="223" w:lineRule="exact"/>
              <w:rPr>
                <w:sz w:val="20"/>
                <w:szCs w:val="20"/>
                <w:color w:val="auto"/>
              </w:rPr>
            </w:pPr>
            <w:r>
              <w:rPr>
                <w:rFonts w:ascii="Arial" w:cs="Arial" w:eastAsia="Arial" w:hAnsi="Arial"/>
                <w:sz w:val="22"/>
                <w:szCs w:val="22"/>
                <w:color w:val="auto"/>
                <w:w w:val="90"/>
              </w:rPr>
              <w:t>Syndicated Borrowings under the Credit Agreement in an aggregate principal amount of</w:t>
            </w:r>
          </w:p>
        </w:tc>
        <w:tc>
          <w:tcPr>
            <w:tcW w:w="1180" w:type="dxa"/>
            <w:vAlign w:val="bottom"/>
            <w:tcBorders>
              <w:bottom w:val="single" w:sz="8" w:color="auto"/>
            </w:tcBorders>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220" w:type="dxa"/>
            <w:vAlign w:val="bottom"/>
            <w:gridSpan w:val="3"/>
          </w:tcPr>
          <w:p>
            <w:pPr>
              <w:spacing w:after="0"/>
              <w:rPr>
                <w:sz w:val="20"/>
                <w:szCs w:val="20"/>
                <w:color w:val="auto"/>
              </w:rPr>
            </w:pPr>
            <w:r>
              <w:rPr>
                <w:rFonts w:ascii="Arial" w:cs="Arial" w:eastAsia="Arial" w:hAnsi="Arial"/>
                <w:sz w:val="22"/>
                <w:szCs w:val="22"/>
                <w:color w:val="auto"/>
              </w:rPr>
              <w:t xml:space="preserve">[Euro €] [CAD$] [Pounds Sterling £] (the </w:t>
            </w:r>
            <w:r>
              <w:rPr>
                <w:rFonts w:ascii="Arial" w:cs="Arial" w:eastAsia="Arial" w:hAnsi="Arial"/>
                <w:sz w:val="22"/>
                <w:szCs w:val="22"/>
                <w:i w:val="1"/>
                <w:iCs w:val="1"/>
                <w:color w:val="auto"/>
              </w:rPr>
              <w:t>“Requested Amount”</w:t>
            </w:r>
            <w:r>
              <w:rPr>
                <w:rFonts w:ascii="Arial" w:cs="Arial" w:eastAsia="Arial" w:hAnsi="Arial"/>
                <w:sz w:val="22"/>
                <w:szCs w:val="22"/>
                <w:color w:val="auto"/>
              </w:rPr>
              <w:t>).</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800" w:firstLine="1039"/>
        <w:spacing w:after="0"/>
        <w:tabs>
          <w:tab w:leader="none" w:pos="244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 xml:space="preserve">The Borrower hereby gives notice of its request for Syndicated Advances in an aggregate principal amount equal to the Requested Amount to the Collateral Agent (who shall forward such request to the Lenders) pursuant to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of the Credit</w:t>
      </w:r>
    </w:p>
    <w:p>
      <w:pPr>
        <w:sectPr>
          <w:pgSz w:w="11900" w:h="16838" w:orient="portrait"/>
          <w:cols w:equalWidth="0" w:num="1">
            <w:col w:w="11240"/>
          </w:cols>
          <w:pgMar w:left="320" w:top="261" w:right="339" w:bottom="1440" w:gutter="0" w:footer="0" w:header="0"/>
        </w:sectPr>
      </w:pPr>
    </w:p>
    <w:bookmarkStart w:id="226" w:name="page227"/>
    <w:bookmarkEnd w:id="226"/>
    <w:p>
      <w:pPr>
        <w:ind w:left="800"/>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Agreement and requests that the Lenders remit, or cause to be remitted, the proceeds thereof to the Principal Collection Subaccount in the respective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amounts in accordance with the following wiring instructions:</w:t>
      </w:r>
    </w:p>
    <w:p>
      <w:pPr>
        <w:spacing w:after="0" w:line="218"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US Bank National Association</w:t>
      </w:r>
    </w:p>
    <w:p>
      <w:pPr>
        <w:ind w:left="2480"/>
        <w:spacing w:after="0" w:line="238" w:lineRule="auto"/>
        <w:rPr>
          <w:sz w:val="20"/>
          <w:szCs w:val="20"/>
          <w:color w:val="auto"/>
        </w:rPr>
      </w:pPr>
      <w:r>
        <w:rPr>
          <w:rFonts w:ascii="Arial" w:cs="Arial" w:eastAsia="Arial" w:hAnsi="Arial"/>
          <w:sz w:val="22"/>
          <w:szCs w:val="22"/>
          <w:color w:val="auto"/>
        </w:rPr>
        <w:t>St Paul, Minnesota</w:t>
      </w:r>
    </w:p>
    <w:p>
      <w:pPr>
        <w:ind w:left="2480"/>
        <w:spacing w:after="0" w:line="230" w:lineRule="auto"/>
        <w:rPr>
          <w:sz w:val="20"/>
          <w:szCs w:val="20"/>
          <w:color w:val="auto"/>
        </w:rPr>
      </w:pPr>
      <w:r>
        <w:rPr>
          <w:rFonts w:ascii="Arial" w:cs="Arial" w:eastAsia="Arial" w:hAnsi="Arial"/>
          <w:sz w:val="22"/>
          <w:szCs w:val="22"/>
          <w:color w:val="auto"/>
        </w:rPr>
        <w:t>ABA 091 000 022</w:t>
      </w:r>
    </w:p>
    <w:p>
      <w:pPr>
        <w:ind w:left="2480"/>
        <w:spacing w:after="0" w:line="231" w:lineRule="auto"/>
        <w:rPr>
          <w:sz w:val="20"/>
          <w:szCs w:val="20"/>
          <w:color w:val="auto"/>
        </w:rPr>
      </w:pPr>
      <w:r>
        <w:rPr>
          <w:rFonts w:ascii="Arial" w:cs="Arial" w:eastAsia="Arial" w:hAnsi="Arial"/>
          <w:sz w:val="22"/>
          <w:szCs w:val="22"/>
          <w:color w:val="auto"/>
        </w:rPr>
        <w:t>Acct 1047 9006 2574</w:t>
      </w:r>
    </w:p>
    <w:p>
      <w:pPr>
        <w:ind w:left="2480"/>
        <w:spacing w:after="0" w:line="230" w:lineRule="auto"/>
        <w:rPr>
          <w:sz w:val="20"/>
          <w:szCs w:val="20"/>
          <w:color w:val="auto"/>
        </w:rPr>
      </w:pPr>
      <w:r>
        <w:rPr>
          <w:rFonts w:ascii="Arial" w:cs="Arial" w:eastAsia="Arial" w:hAnsi="Arial"/>
          <w:sz w:val="22"/>
          <w:szCs w:val="22"/>
          <w:color w:val="auto"/>
        </w:rPr>
        <w:t>Acct name: PennantPark Floating Rate Fd 1</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Reference: Sender’s name</w:t>
      </w:r>
    </w:p>
    <w:p>
      <w:pPr>
        <w:spacing w:after="0" w:line="269" w:lineRule="exact"/>
        <w:rPr>
          <w:sz w:val="20"/>
          <w:szCs w:val="20"/>
          <w:color w:val="auto"/>
        </w:rPr>
      </w:pPr>
    </w:p>
    <w:p>
      <w:pPr>
        <w:jc w:val="both"/>
        <w:ind w:left="800" w:firstLine="1039"/>
        <w:spacing w:after="0"/>
        <w:tabs>
          <w:tab w:leader="none" w:pos="2604" w:val="left"/>
        </w:tabs>
        <w:numPr>
          <w:ilvl w:val="0"/>
          <w:numId w:val="293"/>
        </w:numPr>
        <w:rPr>
          <w:rFonts w:ascii="Arial" w:cs="Arial" w:eastAsia="Arial" w:hAnsi="Arial"/>
          <w:sz w:val="22"/>
          <w:szCs w:val="22"/>
          <w:color w:val="auto"/>
        </w:rPr>
      </w:pPr>
      <w:r>
        <w:rPr>
          <w:rFonts w:ascii="Arial" w:cs="Arial" w:eastAsia="Arial" w:hAnsi="Arial"/>
          <w:sz w:val="22"/>
          <w:szCs w:val="22"/>
          <w:color w:val="auto"/>
        </w:rPr>
        <w:t xml:space="preserve">The Borrower certifies that immediately after giving effect to the proposed Borrowing on the Borrowing Date each of the applicable conditions precedent set forth in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of the Credit Agreement is satisfied, including:</w:t>
      </w:r>
    </w:p>
    <w:p>
      <w:pPr>
        <w:spacing w:after="0" w:line="253" w:lineRule="exact"/>
        <w:rPr>
          <w:rFonts w:ascii="Arial" w:cs="Arial" w:eastAsia="Arial" w:hAnsi="Arial"/>
          <w:sz w:val="22"/>
          <w:szCs w:val="22"/>
          <w:color w:val="auto"/>
        </w:rPr>
      </w:pPr>
    </w:p>
    <w:p>
      <w:pPr>
        <w:jc w:val="both"/>
        <w:ind w:left="1700" w:firstLine="852"/>
        <w:spacing w:after="0" w:line="297" w:lineRule="auto"/>
        <w:tabs>
          <w:tab w:leader="none" w:pos="3149" w:val="left"/>
        </w:tabs>
        <w:numPr>
          <w:ilvl w:val="1"/>
          <w:numId w:val="293"/>
        </w:numPr>
        <w:rPr>
          <w:rFonts w:ascii="Arial" w:cs="Arial" w:eastAsia="Arial" w:hAnsi="Arial"/>
          <w:sz w:val="19"/>
          <w:szCs w:val="19"/>
          <w:color w:val="auto"/>
        </w:rPr>
      </w:pPr>
      <w:r>
        <w:rPr>
          <w:rFonts w:ascii="Arial" w:cs="Arial" w:eastAsia="Arial" w:hAnsi="Arial"/>
          <w:sz w:val="19"/>
          <w:szCs w:val="19"/>
          <w:color w:val="auto"/>
        </w:rPr>
        <w:t xml:space="preserve">the Matrix Inputs that are applicable as of the Borrowing Date shall be those set forth in Row </w:t>
      </w:r>
      <w:r>
        <w:rPr>
          <w:rFonts w:ascii="Arial" w:cs="Arial" w:eastAsia="Arial" w:hAnsi="Arial"/>
          <w:sz w:val="19"/>
          <w:szCs w:val="19"/>
          <w:b w:val="1"/>
          <w:bCs w:val="1"/>
          <w:color w:val="auto"/>
        </w:rPr>
        <w:t xml:space="preserve">[ ] </w:t>
      </w:r>
      <w:r>
        <w:rPr>
          <w:rFonts w:ascii="Arial" w:cs="Arial" w:eastAsia="Arial" w:hAnsi="Arial"/>
          <w:sz w:val="19"/>
          <w:szCs w:val="19"/>
          <w:color w:val="auto"/>
        </w:rPr>
        <w:t>of the Matrix, and immediately after the making of such Advance on the Borrowing Date, each Coverage</w:t>
      </w:r>
      <w:r>
        <w:rPr>
          <w:rFonts w:ascii="Arial" w:cs="Arial" w:eastAsia="Arial" w:hAnsi="Arial"/>
          <w:sz w:val="19"/>
          <w:szCs w:val="19"/>
          <w:b w:val="1"/>
          <w:bCs w:val="1"/>
          <w:color w:val="auto"/>
        </w:rPr>
        <w:t xml:space="preserve"> </w:t>
      </w:r>
      <w:r>
        <w:rPr>
          <w:rFonts w:ascii="Arial" w:cs="Arial" w:eastAsia="Arial" w:hAnsi="Arial"/>
          <w:sz w:val="19"/>
          <w:szCs w:val="19"/>
          <w:color w:val="auto"/>
        </w:rPr>
        <w:t>Test shall be satisfied (as demonstrated on the Borrowing Base Calculation Statement attached hereto);</w:t>
      </w:r>
    </w:p>
    <w:p>
      <w:pPr>
        <w:spacing w:after="0" w:line="201" w:lineRule="exact"/>
        <w:rPr>
          <w:rFonts w:ascii="Arial" w:cs="Arial" w:eastAsia="Arial" w:hAnsi="Arial"/>
          <w:sz w:val="19"/>
          <w:szCs w:val="19"/>
          <w:color w:val="auto"/>
        </w:rPr>
      </w:pPr>
    </w:p>
    <w:p>
      <w:pPr>
        <w:jc w:val="both"/>
        <w:ind w:left="1700" w:firstLine="852"/>
        <w:spacing w:after="0" w:line="235" w:lineRule="auto"/>
        <w:tabs>
          <w:tab w:leader="none" w:pos="3268" w:val="left"/>
        </w:tabs>
        <w:numPr>
          <w:ilvl w:val="1"/>
          <w:numId w:val="293"/>
        </w:numPr>
        <w:rPr>
          <w:rFonts w:ascii="Arial" w:cs="Arial" w:eastAsia="Arial" w:hAnsi="Arial"/>
          <w:sz w:val="22"/>
          <w:szCs w:val="22"/>
          <w:color w:val="auto"/>
        </w:rPr>
      </w:pPr>
      <w:r>
        <w:rPr>
          <w:rFonts w:ascii="Arial" w:cs="Arial" w:eastAsia="Arial" w:hAnsi="Arial"/>
          <w:sz w:val="22"/>
          <w:szCs w:val="22"/>
          <w:color w:val="auto"/>
        </w:rPr>
        <w:t xml:space="preserve">each of the representations and warranties of the Borrower contained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268" w:lineRule="exact"/>
        <w:rPr>
          <w:rFonts w:ascii="Arial" w:cs="Arial" w:eastAsia="Arial" w:hAnsi="Arial"/>
          <w:sz w:val="22"/>
          <w:szCs w:val="22"/>
          <w:color w:val="auto"/>
        </w:rPr>
      </w:pPr>
    </w:p>
    <w:p>
      <w:pPr>
        <w:ind w:left="1700" w:firstLine="852"/>
        <w:spacing w:after="0" w:line="250" w:lineRule="auto"/>
        <w:tabs>
          <w:tab w:leader="none" w:pos="3301" w:val="left"/>
        </w:tabs>
        <w:numPr>
          <w:ilvl w:val="1"/>
          <w:numId w:val="293"/>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at the time of the making of such Advance or shall result upon the making of such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-1795145</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Insert for Swingline Borrowings: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1360" w:type="dxa"/>
            <w:vAlign w:val="bottom"/>
          </w:tcPr>
          <w:p>
            <w:pPr>
              <w:jc w:val="right"/>
              <w:ind w:right="52"/>
              <w:spacing w:after="0"/>
              <w:rPr>
                <w:sz w:val="20"/>
                <w:szCs w:val="20"/>
                <w:color w:val="auto"/>
              </w:rPr>
            </w:pPr>
            <w:r>
              <w:rPr>
                <w:rFonts w:ascii="Arial" w:cs="Arial" w:eastAsia="Arial" w:hAnsi="Arial"/>
                <w:sz w:val="22"/>
                <w:szCs w:val="22"/>
                <w:color w:val="auto"/>
              </w:rPr>
              <w:t>1.</w:t>
            </w:r>
          </w:p>
        </w:tc>
        <w:tc>
          <w:tcPr>
            <w:tcW w:w="3520" w:type="dxa"/>
            <w:vAlign w:val="bottom"/>
          </w:tcPr>
          <w:p>
            <w:pPr>
              <w:ind w:left="180"/>
              <w:spacing w:after="0"/>
              <w:rPr>
                <w:sz w:val="20"/>
                <w:szCs w:val="20"/>
                <w:color w:val="auto"/>
              </w:rPr>
            </w:pPr>
            <w:r>
              <w:rPr>
                <w:rFonts w:ascii="Arial" w:cs="Arial" w:eastAsia="Arial" w:hAnsi="Arial"/>
                <w:sz w:val="22"/>
                <w:szCs w:val="22"/>
                <w:color w:val="auto"/>
                <w:w w:val="89"/>
              </w:rPr>
              <w:t>The Borrower hereby requests that on</w:t>
            </w:r>
          </w:p>
        </w:tc>
        <w:tc>
          <w:tcPr>
            <w:tcW w:w="900" w:type="dxa"/>
            <w:vAlign w:val="bottom"/>
          </w:tcPr>
          <w:p>
            <w:pPr>
              <w:spacing w:after="0"/>
              <w:rPr>
                <w:sz w:val="21"/>
                <w:szCs w:val="21"/>
                <w:color w:val="auto"/>
              </w:rPr>
            </w:pPr>
          </w:p>
        </w:tc>
        <w:tc>
          <w:tcPr>
            <w:tcW w:w="4660" w:type="dxa"/>
            <w:vAlign w:val="bottom"/>
            <w:gridSpan w:val="7"/>
          </w:tcPr>
          <w:p>
            <w:pPr>
              <w:jc w:val="right"/>
              <w:spacing w:after="0"/>
              <w:rPr>
                <w:sz w:val="20"/>
                <w:szCs w:val="20"/>
                <w:color w:val="auto"/>
              </w:rPr>
            </w:pPr>
            <w:r>
              <w:rPr>
                <w:rFonts w:ascii="Arial" w:cs="Arial" w:eastAsia="Arial" w:hAnsi="Arial"/>
                <w:sz w:val="22"/>
                <w:szCs w:val="22"/>
                <w:color w:val="auto"/>
                <w:w w:val="94"/>
              </w:rPr>
              <w:t xml:space="preserve">, 201  (the </w:t>
            </w:r>
            <w:r>
              <w:rPr>
                <w:rFonts w:ascii="Arial" w:cs="Arial" w:eastAsia="Arial" w:hAnsi="Arial"/>
                <w:sz w:val="22"/>
                <w:szCs w:val="22"/>
                <w:i w:val="1"/>
                <w:iCs w:val="1"/>
                <w:color w:val="auto"/>
                <w:w w:val="94"/>
              </w:rPr>
              <w:t>“Borrowing Date”</w:t>
            </w:r>
            <w:r>
              <w:rPr>
                <w:rFonts w:ascii="Arial" w:cs="Arial" w:eastAsia="Arial" w:hAnsi="Arial"/>
                <w:sz w:val="22"/>
                <w:szCs w:val="22"/>
                <w:color w:val="auto"/>
                <w:w w:val="94"/>
              </w:rPr>
              <w:t>) it receive a Swingline</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gridSpan w:val="2"/>
            <w:vMerge w:val="restart"/>
          </w:tcPr>
          <w:p>
            <w:pPr>
              <w:ind w:left="80"/>
              <w:spacing w:after="0" w:line="243" w:lineRule="exact"/>
              <w:rPr>
                <w:sz w:val="20"/>
                <w:szCs w:val="20"/>
                <w:color w:val="auto"/>
              </w:rPr>
            </w:pPr>
            <w:r>
              <w:rPr>
                <w:rFonts w:ascii="Arial" w:cs="Arial" w:eastAsia="Arial" w:hAnsi="Arial"/>
                <w:sz w:val="22"/>
                <w:szCs w:val="22"/>
                <w:color w:val="auto"/>
              </w:rPr>
              <w:t>Dollars ($</w:t>
            </w:r>
          </w:p>
        </w:tc>
        <w:tc>
          <w:tcPr>
            <w:tcW w:w="480" w:type="dxa"/>
            <w:vAlign w:val="bottom"/>
            <w:vMerge w:val="restart"/>
          </w:tcPr>
          <w:p>
            <w:pPr>
              <w:jc w:val="right"/>
              <w:spacing w:after="0" w:line="243" w:lineRule="exact"/>
              <w:rPr>
                <w:sz w:val="20"/>
                <w:szCs w:val="20"/>
                <w:color w:val="auto"/>
              </w:rPr>
            </w:pPr>
            <w:r>
              <w:rPr>
                <w:rFonts w:ascii="Arial" w:cs="Arial" w:eastAsia="Arial" w:hAnsi="Arial"/>
                <w:sz w:val="22"/>
                <w:szCs w:val="22"/>
                <w:color w:val="auto"/>
                <w:w w:val="89"/>
              </w:rPr>
              <w:t>) (the</w:t>
            </w:r>
          </w:p>
        </w:tc>
        <w:tc>
          <w:tcPr>
            <w:tcW w:w="0" w:type="dxa"/>
            <w:vAlign w:val="bottom"/>
          </w:tcPr>
          <w:p>
            <w:pPr>
              <w:spacing w:after="0" w:line="20" w:lineRule="exact"/>
              <w:rPr>
                <w:sz w:val="1"/>
                <w:szCs w:val="1"/>
                <w:color w:val="auto"/>
              </w:rPr>
            </w:pPr>
          </w:p>
        </w:tc>
      </w:tr>
      <w:tr>
        <w:trPr>
          <w:trHeight w:val="223"/>
        </w:trPr>
        <w:tc>
          <w:tcPr>
            <w:tcW w:w="6480" w:type="dxa"/>
            <w:vAlign w:val="bottom"/>
            <w:gridSpan w:val="6"/>
          </w:tcPr>
          <w:p>
            <w:pPr>
              <w:spacing w:after="0" w:line="223" w:lineRule="exact"/>
              <w:rPr>
                <w:sz w:val="20"/>
                <w:szCs w:val="20"/>
                <w:color w:val="auto"/>
              </w:rPr>
            </w:pPr>
            <w:r>
              <w:rPr>
                <w:rFonts w:ascii="Arial" w:cs="Arial" w:eastAsia="Arial" w:hAnsi="Arial"/>
                <w:sz w:val="22"/>
                <w:szCs w:val="22"/>
                <w:color w:val="auto"/>
                <w:w w:val="90"/>
              </w:rPr>
              <w:t>Advance under the Credit Agreement in an aggregate principal amount of</w:t>
            </w:r>
          </w:p>
        </w:tc>
        <w:tc>
          <w:tcPr>
            <w:tcW w:w="1440" w:type="dxa"/>
            <w:vAlign w:val="bottom"/>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80" w:type="dxa"/>
            <w:vAlign w:val="bottom"/>
            <w:gridSpan w:val="2"/>
          </w:tcPr>
          <w:p>
            <w:pPr>
              <w:spacing w:after="0"/>
              <w:rPr>
                <w:sz w:val="20"/>
                <w:szCs w:val="20"/>
                <w:color w:val="auto"/>
              </w:rPr>
            </w:pPr>
            <w:r>
              <w:rPr>
                <w:rFonts w:ascii="Arial" w:cs="Arial" w:eastAsia="Arial" w:hAnsi="Arial"/>
                <w:sz w:val="22"/>
                <w:szCs w:val="22"/>
                <w:i w:val="1"/>
                <w:iCs w:val="1"/>
                <w:color w:val="auto"/>
              </w:rPr>
              <w:t>“Requested Amount”</w:t>
            </w:r>
            <w:r>
              <w:rPr>
                <w:rFonts w:ascii="Arial" w:cs="Arial" w:eastAsia="Arial" w:hAnsi="Arial"/>
                <w:sz w:val="22"/>
                <w:szCs w:val="22"/>
                <w:color w:val="auto"/>
              </w:rPr>
              <w:t>).</w:t>
            </w:r>
            <w:r>
              <w:rPr>
                <w:rFonts w:ascii="Arial" w:cs="Arial" w:eastAsia="Arial" w:hAnsi="Arial"/>
                <w:sz w:val="18"/>
                <w:szCs w:val="18"/>
                <w:color w:val="auto"/>
              </w:rPr>
              <w:t>3</w:t>
            </w: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800" w:right="20" w:firstLine="1039"/>
        <w:spacing w:after="0" w:line="250" w:lineRule="auto"/>
        <w:tabs>
          <w:tab w:leader="none" w:pos="2419"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Borrower hereby gives notice of its request for a Swingline Advance in the aggregate principal amount equal to the Requested Amount to the Swingline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516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38" w:lineRule="exact"/>
        <w:rPr>
          <w:sz w:val="20"/>
          <w:szCs w:val="20"/>
          <w:color w:val="auto"/>
        </w:rPr>
      </w:pPr>
    </w:p>
    <w:p>
      <w:pPr>
        <w:ind w:left="800" w:hanging="792"/>
        <w:spacing w:after="0" w:line="182" w:lineRule="auto"/>
        <w:tabs>
          <w:tab w:leader="none" w:pos="800" w:val="left"/>
        </w:tabs>
        <w:numPr>
          <w:ilvl w:val="0"/>
          <w:numId w:val="295"/>
        </w:numPr>
        <w:rPr>
          <w:rFonts w:ascii="Arial" w:cs="Arial" w:eastAsia="Arial" w:hAnsi="Arial"/>
          <w:sz w:val="34"/>
          <w:szCs w:val="34"/>
          <w:color w:val="auto"/>
          <w:vertAlign w:val="superscript"/>
        </w:rPr>
      </w:pPr>
      <w:r>
        <w:rPr>
          <w:rFonts w:ascii="Arial" w:cs="Arial" w:eastAsia="Arial" w:hAnsi="Arial"/>
          <w:sz w:val="17"/>
          <w:szCs w:val="17"/>
          <w:color w:val="auto"/>
        </w:rPr>
        <w:t>Swingline Borrowings limited to the lesser of $10 million and the Swingline Lender’s unused Commitment in the aggregate at any one time outstanding, and all Advances (Swingline and Syndicated) cannot exceed the aggregate borrowing limits set forth in the Credit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267" w:right="339" w:bottom="1440" w:gutter="0" w:footer="0" w:header="0"/>
        </w:sectPr>
      </w:pPr>
    </w:p>
    <w:bookmarkStart w:id="227" w:name="page228"/>
    <w:bookmarkEnd w:id="227"/>
    <w:p>
      <w:pPr>
        <w:jc w:val="both"/>
        <w:ind w:left="8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Lender, the Collateral Agent and the Swingline Lender pursuant to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of the Credit Agreement and requests the Swingline Lender to remit, or cause to be remitted, the proceeds thereof to the Principal Collection Subaccount in accordance with the following wiring instructions:</w:t>
      </w:r>
    </w:p>
    <w:p>
      <w:pPr>
        <w:spacing w:after="0" w:line="254"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US Bank National Association</w:t>
      </w:r>
    </w:p>
    <w:p>
      <w:pPr>
        <w:ind w:left="2480"/>
        <w:spacing w:after="0" w:line="238" w:lineRule="auto"/>
        <w:rPr>
          <w:sz w:val="20"/>
          <w:szCs w:val="20"/>
          <w:color w:val="auto"/>
        </w:rPr>
      </w:pPr>
      <w:r>
        <w:rPr>
          <w:rFonts w:ascii="Arial" w:cs="Arial" w:eastAsia="Arial" w:hAnsi="Arial"/>
          <w:sz w:val="22"/>
          <w:szCs w:val="22"/>
          <w:color w:val="auto"/>
        </w:rPr>
        <w:t>St Paul, MN</w:t>
      </w:r>
    </w:p>
    <w:p>
      <w:pPr>
        <w:ind w:left="2480"/>
        <w:spacing w:after="0" w:line="230" w:lineRule="auto"/>
        <w:rPr>
          <w:sz w:val="20"/>
          <w:szCs w:val="20"/>
          <w:color w:val="auto"/>
        </w:rPr>
      </w:pPr>
      <w:r>
        <w:rPr>
          <w:rFonts w:ascii="Arial" w:cs="Arial" w:eastAsia="Arial" w:hAnsi="Arial"/>
          <w:sz w:val="22"/>
          <w:szCs w:val="22"/>
          <w:color w:val="auto"/>
        </w:rPr>
        <w:t>ABA 091 000 022</w:t>
      </w:r>
    </w:p>
    <w:p>
      <w:pPr>
        <w:ind w:left="2480"/>
        <w:spacing w:after="0" w:line="231" w:lineRule="auto"/>
        <w:rPr>
          <w:sz w:val="20"/>
          <w:szCs w:val="20"/>
          <w:color w:val="auto"/>
        </w:rPr>
      </w:pPr>
      <w:r>
        <w:rPr>
          <w:rFonts w:ascii="Arial" w:cs="Arial" w:eastAsia="Arial" w:hAnsi="Arial"/>
          <w:sz w:val="22"/>
          <w:szCs w:val="22"/>
          <w:color w:val="auto"/>
        </w:rPr>
        <w:t>Acct 1047 9006 2574</w:t>
      </w:r>
    </w:p>
    <w:p>
      <w:pPr>
        <w:ind w:left="2480"/>
        <w:spacing w:after="0" w:line="230" w:lineRule="auto"/>
        <w:rPr>
          <w:sz w:val="20"/>
          <w:szCs w:val="20"/>
          <w:color w:val="auto"/>
        </w:rPr>
      </w:pPr>
      <w:r>
        <w:rPr>
          <w:rFonts w:ascii="Arial" w:cs="Arial" w:eastAsia="Arial" w:hAnsi="Arial"/>
          <w:sz w:val="22"/>
          <w:szCs w:val="22"/>
          <w:color w:val="auto"/>
        </w:rPr>
        <w:t>Acct name: PennantPark Floating Rate Fd 1</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Reference: [Sender’s name]</w:t>
      </w:r>
    </w:p>
    <w:p>
      <w:pPr>
        <w:spacing w:after="0" w:line="269" w:lineRule="exact"/>
        <w:rPr>
          <w:sz w:val="20"/>
          <w:szCs w:val="20"/>
          <w:color w:val="auto"/>
        </w:rPr>
      </w:pPr>
    </w:p>
    <w:p>
      <w:pPr>
        <w:ind w:left="2400" w:hanging="561"/>
        <w:spacing w:after="0"/>
        <w:tabs>
          <w:tab w:leader="none" w:pos="240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This Notice of Borrowing shall also constitute a request for a Syndicated Borrowing of a Swingline</w:t>
      </w:r>
    </w:p>
    <w:p>
      <w:pPr>
        <w:spacing w:after="0" w:line="33" w:lineRule="exact"/>
        <w:rPr>
          <w:sz w:val="20"/>
          <w:szCs w:val="20"/>
          <w:color w:val="auto"/>
        </w:rPr>
      </w:pPr>
    </w:p>
    <w:p>
      <w:pPr>
        <w:ind w:left="800"/>
        <w:spacing w:after="0"/>
        <w:tabs>
          <w:tab w:leader="none" w:pos="7120" w:val="left"/>
        </w:tabs>
        <w:rPr>
          <w:sz w:val="20"/>
          <w:szCs w:val="20"/>
          <w:color w:val="auto"/>
        </w:rPr>
      </w:pPr>
      <w:r>
        <w:rPr>
          <w:rFonts w:ascii="Arial" w:cs="Arial" w:eastAsia="Arial" w:hAnsi="Arial"/>
          <w:sz w:val="22"/>
          <w:szCs w:val="22"/>
          <w:color w:val="auto"/>
        </w:rPr>
        <w:t>Refinancing Advance to be made by the Lenders on [</w:t>
      </w:r>
      <w:r>
        <w:rPr>
          <w:sz w:val="20"/>
          <w:szCs w:val="20"/>
          <w:color w:val="auto"/>
        </w:rPr>
        <w:tab/>
      </w:r>
      <w:r>
        <w:rPr>
          <w:rFonts w:ascii="Arial" w:cs="Arial" w:eastAsia="Arial" w:hAnsi="Arial"/>
          <w:sz w:val="21"/>
          <w:szCs w:val="21"/>
          <w:color w:val="auto"/>
        </w:rPr>
        <w:t>, 201  ]</w:t>
      </w:r>
      <w:r>
        <w:rPr>
          <w:rFonts w:ascii="Arial" w:cs="Arial" w:eastAsia="Arial" w:hAnsi="Arial"/>
          <w:sz w:val="17"/>
          <w:szCs w:val="17"/>
          <w:color w:val="auto"/>
        </w:rPr>
        <w:t>4</w:t>
      </w:r>
      <w:r>
        <w:rPr>
          <w:rFonts w:ascii="Arial" w:cs="Arial" w:eastAsia="Arial" w:hAnsi="Arial"/>
          <w:sz w:val="21"/>
          <w:szCs w:val="21"/>
          <w:color w:val="auto"/>
        </w:rPr>
        <w:t xml:space="preserve"> (the </w:t>
      </w:r>
      <w:r>
        <w:rPr>
          <w:rFonts w:ascii="Arial" w:cs="Arial" w:eastAsia="Arial" w:hAnsi="Arial"/>
          <w:sz w:val="21"/>
          <w:szCs w:val="21"/>
          <w:i w:val="1"/>
          <w:iCs w:val="1"/>
          <w:color w:val="auto"/>
        </w:rPr>
        <w:t>“Swingline Refinancing Date”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-22860</wp:posOffset>
            </wp:positionV>
            <wp:extent cx="9683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jc w:val="both"/>
        <w:ind w:left="800" w:right="20"/>
        <w:spacing w:after="0" w:line="266"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the Borrower has submitted a Notice of Prepayment in tandem with this Notice of Borrowing for a</w:t>
      </w:r>
      <w:r>
        <w:rPr>
          <w:rFonts w:ascii="Arial" w:cs="Arial" w:eastAsia="Arial" w:hAnsi="Arial"/>
          <w:sz w:val="19"/>
          <w:szCs w:val="19"/>
          <w:i w:val="1"/>
          <w:iCs w:val="1"/>
          <w:color w:val="auto"/>
        </w:rPr>
        <w:t xml:space="preserve"> </w:t>
      </w:r>
      <w:r>
        <w:rPr>
          <w:rFonts w:ascii="Arial" w:cs="Arial" w:eastAsia="Arial" w:hAnsi="Arial"/>
          <w:sz w:val="19"/>
          <w:szCs w:val="19"/>
          <w:color w:val="auto"/>
        </w:rPr>
        <w:t>Swingline Advance, then a Swingline Refinancing Advance shall only be requested for that portion of the Requested Amount that is not being repaid. The portion of the Requested Amount subject to a Swingline Refinancing Advance</w:t>
      </w:r>
    </w:p>
    <w:p>
      <w:pPr>
        <w:spacing w:after="0" w:line="3" w:lineRule="exact"/>
        <w:rPr>
          <w:sz w:val="20"/>
          <w:szCs w:val="20"/>
          <w:color w:val="auto"/>
        </w:rPr>
      </w:pPr>
    </w:p>
    <w:p>
      <w:pPr>
        <w:ind w:left="800"/>
        <w:spacing w:after="0"/>
        <w:tabs>
          <w:tab w:leader="none" w:pos="3720" w:val="left"/>
        </w:tabs>
        <w:rPr>
          <w:sz w:val="20"/>
          <w:szCs w:val="20"/>
          <w:color w:val="auto"/>
        </w:rPr>
      </w:pPr>
      <w:r>
        <w:rPr>
          <w:rFonts w:ascii="Arial" w:cs="Arial" w:eastAsia="Arial" w:hAnsi="Arial"/>
          <w:sz w:val="22"/>
          <w:szCs w:val="22"/>
          <w:color w:val="auto"/>
        </w:rPr>
        <w:t>shall be equal to $[</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-29210</wp:posOffset>
            </wp:positionV>
            <wp:extent cx="8229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6" w:lineRule="exact"/>
        <w:rPr>
          <w:sz w:val="20"/>
          <w:szCs w:val="20"/>
          <w:color w:val="auto"/>
        </w:rPr>
      </w:pPr>
    </w:p>
    <w:p>
      <w:pPr>
        <w:jc w:val="both"/>
        <w:ind w:left="800" w:firstLine="1045"/>
        <w:spacing w:after="0" w:line="282" w:lineRule="auto"/>
        <w:rPr>
          <w:sz w:val="20"/>
          <w:szCs w:val="20"/>
          <w:color w:val="auto"/>
        </w:rPr>
      </w:pPr>
      <w:r>
        <w:rPr>
          <w:rFonts w:ascii="Arial" w:cs="Arial" w:eastAsia="Arial" w:hAnsi="Arial"/>
          <w:sz w:val="19"/>
          <w:szCs w:val="19"/>
          <w:color w:val="auto"/>
        </w:rPr>
        <w:t xml:space="preserve">In connection with such Syndicated Borrowing, the Borrower hereby gives notice of its request for Syndicated Advances in the aggregate principal amount equal to the Requested Amount (or portion thereof subject to a Swingline Refinancing Advance) to the Collateral Agent (who shall forward such request to the Lenders)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of the Credit Agreement and requests the Lenders to remit, or cause to be remitted, the proceeds thereof to the Principal Collection Subaccount on the Swingline Refinancing Date in the respective pro rata amounts.</w:t>
      </w:r>
    </w:p>
    <w:p>
      <w:pPr>
        <w:spacing w:after="0" w:line="215" w:lineRule="exact"/>
        <w:rPr>
          <w:sz w:val="20"/>
          <w:szCs w:val="20"/>
          <w:color w:val="auto"/>
        </w:rPr>
      </w:pPr>
    </w:p>
    <w:p>
      <w:pPr>
        <w:jc w:val="both"/>
        <w:ind w:left="800" w:firstLine="1039"/>
        <w:spacing w:after="0"/>
        <w:tabs>
          <w:tab w:leader="none" w:pos="2408" w:val="left"/>
        </w:tabs>
        <w:numPr>
          <w:ilvl w:val="0"/>
          <w:numId w:val="297"/>
        </w:numPr>
        <w:rPr>
          <w:rFonts w:ascii="Arial" w:cs="Arial" w:eastAsia="Arial" w:hAnsi="Arial"/>
          <w:sz w:val="22"/>
          <w:szCs w:val="22"/>
          <w:color w:val="auto"/>
        </w:rPr>
      </w:pPr>
      <w:r>
        <w:rPr>
          <w:rFonts w:ascii="Arial" w:cs="Arial" w:eastAsia="Arial" w:hAnsi="Arial"/>
          <w:sz w:val="22"/>
          <w:szCs w:val="22"/>
          <w:color w:val="auto"/>
        </w:rPr>
        <w:t xml:space="preserve">The Borrower certifies that immediately after giving effect to the proposed Swingline Borrowing on the Borrowing Date each of the applicable conditions precedent set forth in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of the Credit Agreement is satisfied, including:</w:t>
      </w:r>
    </w:p>
    <w:p>
      <w:pPr>
        <w:spacing w:after="0" w:line="267" w:lineRule="exact"/>
        <w:rPr>
          <w:rFonts w:ascii="Arial" w:cs="Arial" w:eastAsia="Arial" w:hAnsi="Arial"/>
          <w:sz w:val="22"/>
          <w:szCs w:val="22"/>
          <w:color w:val="auto"/>
        </w:rPr>
      </w:pPr>
    </w:p>
    <w:p>
      <w:pPr>
        <w:jc w:val="both"/>
        <w:ind w:left="1700" w:firstLine="852"/>
        <w:spacing w:after="0" w:line="238" w:lineRule="auto"/>
        <w:tabs>
          <w:tab w:leader="none" w:pos="3153" w:val="left"/>
        </w:tabs>
        <w:numPr>
          <w:ilvl w:val="1"/>
          <w:numId w:val="297"/>
        </w:numPr>
        <w:rPr>
          <w:rFonts w:ascii="Arial" w:cs="Arial" w:eastAsia="Arial" w:hAnsi="Arial"/>
          <w:sz w:val="22"/>
          <w:szCs w:val="22"/>
          <w:color w:val="auto"/>
        </w:rPr>
      </w:pPr>
      <w:r>
        <w:rPr>
          <w:rFonts w:ascii="Arial" w:cs="Arial" w:eastAsia="Arial" w:hAnsi="Arial"/>
          <w:sz w:val="22"/>
          <w:szCs w:val="22"/>
          <w:color w:val="auto"/>
        </w:rPr>
        <w:t xml:space="preserve">the Matrix Inputs that are applicable as of the Borrowing Date shall be there set forth in Row </w:t>
      </w:r>
      <w:r>
        <w:rPr>
          <w:rFonts w:ascii="Arial" w:cs="Arial" w:eastAsia="Arial" w:hAnsi="Arial"/>
          <w:sz w:val="22"/>
          <w:szCs w:val="22"/>
          <w:b w:val="1"/>
          <w:bCs w:val="1"/>
          <w:color w:val="auto"/>
        </w:rPr>
        <w:t xml:space="preserve">[ ] </w:t>
      </w:r>
      <w:r>
        <w:rPr>
          <w:rFonts w:ascii="Arial" w:cs="Arial" w:eastAsia="Arial" w:hAnsi="Arial"/>
          <w:sz w:val="22"/>
          <w:szCs w:val="22"/>
          <w:color w:val="auto"/>
        </w:rPr>
        <w:t>of the Matrix, and immediately after the making of such Swingline Advance on the Borrowing Date,</w:t>
      </w:r>
      <w:r>
        <w:rPr>
          <w:rFonts w:ascii="Arial" w:cs="Arial" w:eastAsia="Arial" w:hAnsi="Arial"/>
          <w:sz w:val="22"/>
          <w:szCs w:val="22"/>
          <w:b w:val="1"/>
          <w:bCs w:val="1"/>
          <w:color w:val="auto"/>
        </w:rPr>
        <w:t xml:space="preserve"> </w:t>
      </w:r>
      <w:r>
        <w:rPr>
          <w:rFonts w:ascii="Arial" w:cs="Arial" w:eastAsia="Arial" w:hAnsi="Arial"/>
          <w:sz w:val="22"/>
          <w:szCs w:val="22"/>
          <w:color w:val="auto"/>
        </w:rPr>
        <w:t>each Coverage Test shall be satisfied (as demonstrated on the Borrowing Base Calculation Statement attached hereto);</w:t>
      </w:r>
    </w:p>
    <w:p>
      <w:pPr>
        <w:spacing w:after="0" w:line="252" w:lineRule="exact"/>
        <w:rPr>
          <w:rFonts w:ascii="Arial" w:cs="Arial" w:eastAsia="Arial" w:hAnsi="Arial"/>
          <w:sz w:val="22"/>
          <w:szCs w:val="22"/>
          <w:color w:val="auto"/>
        </w:rPr>
      </w:pPr>
    </w:p>
    <w:p>
      <w:pPr>
        <w:ind w:left="1700" w:firstLine="852"/>
        <w:spacing w:after="0" w:line="250" w:lineRule="auto"/>
        <w:tabs>
          <w:tab w:leader="none" w:pos="3268" w:val="left"/>
        </w:tabs>
        <w:numPr>
          <w:ilvl w:val="1"/>
          <w:numId w:val="297"/>
        </w:numPr>
        <w:rPr>
          <w:rFonts w:ascii="Arial" w:cs="Arial" w:eastAsia="Arial" w:hAnsi="Arial"/>
          <w:sz w:val="22"/>
          <w:szCs w:val="22"/>
          <w:color w:val="auto"/>
        </w:rPr>
      </w:pPr>
      <w:r>
        <w:rPr>
          <w:rFonts w:ascii="Arial" w:cs="Arial" w:eastAsia="Arial" w:hAnsi="Arial"/>
          <w:sz w:val="22"/>
          <w:szCs w:val="22"/>
          <w:color w:val="auto"/>
        </w:rPr>
        <w:t xml:space="preserve">each of the representations and warranties of the Borrower contained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of the Credit Agreement is true and correct in all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516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1120775</wp:posOffset>
            </wp:positionH>
            <wp:positionV relativeFrom="paragraph">
              <wp:posOffset>-835025</wp:posOffset>
            </wp:positionV>
            <wp:extent cx="1885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351" w:lineRule="exact"/>
        <w:rPr>
          <w:sz w:val="20"/>
          <w:szCs w:val="20"/>
          <w:color w:val="auto"/>
        </w:rPr>
      </w:pPr>
    </w:p>
    <w:p>
      <w:pPr>
        <w:ind w:left="800" w:right="20" w:hanging="792"/>
        <w:spacing w:after="0" w:line="182" w:lineRule="auto"/>
        <w:tabs>
          <w:tab w:leader="none" w:pos="800" w:val="left"/>
        </w:tabs>
        <w:numPr>
          <w:ilvl w:val="0"/>
          <w:numId w:val="298"/>
        </w:numPr>
        <w:rPr>
          <w:rFonts w:ascii="Arial" w:cs="Arial" w:eastAsia="Arial" w:hAnsi="Arial"/>
          <w:sz w:val="34"/>
          <w:szCs w:val="34"/>
          <w:color w:val="auto"/>
          <w:vertAlign w:val="superscript"/>
        </w:rPr>
      </w:pPr>
      <w:r>
        <w:rPr>
          <w:rFonts w:ascii="Arial" w:cs="Arial" w:eastAsia="Arial" w:hAnsi="Arial"/>
          <w:sz w:val="17"/>
          <w:szCs w:val="17"/>
          <w:color w:val="auto"/>
        </w:rPr>
        <w:t>Insert date that is one (1) Business Day after the Borrowing Date of the Swingline Advance. The Borrower must provide information for the Swingline Refinancing Advance concurrently in this notice when requesting a Swingline Borrowing.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267" w:right="339" w:bottom="1440" w:gutter="0" w:footer="0" w:header="0"/>
        </w:sectPr>
      </w:pPr>
    </w:p>
    <w:bookmarkStart w:id="228" w:name="page229"/>
    <w:bookmarkEnd w:id="228"/>
    <w:p>
      <w:pPr>
        <w:jc w:val="both"/>
        <w:ind w:left="580"/>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241" w:lineRule="exact"/>
        <w:rPr>
          <w:sz w:val="20"/>
          <w:szCs w:val="20"/>
          <w:color w:val="auto"/>
        </w:rPr>
      </w:pPr>
    </w:p>
    <w:p>
      <w:pPr>
        <w:ind w:left="580" w:firstLine="852"/>
        <w:spacing w:after="0" w:line="274" w:lineRule="auto"/>
        <w:tabs>
          <w:tab w:leader="none" w:pos="2237" w:val="left"/>
        </w:tabs>
        <w:numPr>
          <w:ilvl w:val="0"/>
          <w:numId w:val="299"/>
        </w:numPr>
        <w:rPr>
          <w:rFonts w:ascii="Arial" w:cs="Arial" w:eastAsia="Arial" w:hAnsi="Arial"/>
          <w:sz w:val="21"/>
          <w:szCs w:val="21"/>
          <w:color w:val="auto"/>
        </w:rPr>
      </w:pPr>
      <w:r>
        <w:rPr>
          <w:rFonts w:ascii="Arial" w:cs="Arial" w:eastAsia="Arial" w:hAnsi="Arial"/>
          <w:sz w:val="21"/>
          <w:szCs w:val="21"/>
          <w:color w:val="auto"/>
        </w:rPr>
        <w:t>no Default or Event of Default shall have occurred and be continuing at the time of the making of such Swingline Advance or shall result upon the making of such Swingline Advance.</w:t>
      </w:r>
    </w:p>
    <w:p>
      <w:pPr>
        <w:spacing w:after="0" w:line="34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 TO</w:t>
      </w:r>
      <w:r>
        <w:rPr>
          <w:rFonts w:ascii="Arial" w:cs="Arial" w:eastAsia="Arial" w:hAnsi="Arial"/>
          <w:sz w:val="22"/>
          <w:szCs w:val="22"/>
          <w:color w:val="auto"/>
        </w:rPr>
        <w:t xml:space="preserve"> F</w:t>
      </w:r>
      <w:r>
        <w:rPr>
          <w:rFonts w:ascii="Arial" w:cs="Arial" w:eastAsia="Arial" w:hAnsi="Arial"/>
          <w:sz w:val="17"/>
          <w:szCs w:val="17"/>
          <w:color w:val="auto"/>
        </w:rPr>
        <w:t>OLLOW</w:t>
      </w:r>
      <w:r>
        <w:rPr>
          <w:rFonts w:ascii="Arial" w:cs="Arial" w:eastAsia="Arial" w:hAnsi="Arial"/>
          <w:sz w:val="22"/>
          <w:szCs w:val="22"/>
          <w:color w:val="auto"/>
        </w:rPr>
        <w:t>]</w:t>
      </w:r>
    </w:p>
    <w:p>
      <w:pPr>
        <w:spacing w:after="0" w:line="13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267" w:right="339" w:bottom="1440" w:gutter="0" w:footer="0" w:header="0"/>
        </w:sectPr>
      </w:pPr>
    </w:p>
    <w:bookmarkStart w:id="229" w:name="page230"/>
    <w:bookmarkEnd w:id="229"/>
    <w:p>
      <w:pPr>
        <w:spacing w:after="0"/>
        <w:tabs>
          <w:tab w:leader="none" w:pos="3840" w:val="left"/>
          <w:tab w:leader="none" w:pos="530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Notice of Borrowing is made this</w:t>
      </w:r>
      <w:r>
        <w:rPr>
          <w:sz w:val="20"/>
          <w:szCs w:val="20"/>
          <w:color w:val="auto"/>
        </w:rPr>
        <w:tab/>
      </w:r>
      <w:r>
        <w:rPr>
          <w:rFonts w:ascii="Arial" w:cs="Arial" w:eastAsia="Arial" w:hAnsi="Arial"/>
          <w:sz w:val="22"/>
          <w:szCs w:val="22"/>
          <w:color w:val="auto"/>
        </w:rPr>
        <w:t>day of</w:t>
      </w:r>
      <w:r>
        <w:rPr>
          <w:sz w:val="20"/>
          <w:szCs w:val="20"/>
          <w:color w:val="auto"/>
        </w:rPr>
        <w:tab/>
      </w:r>
      <w:r>
        <w:rPr>
          <w:rFonts w:ascii="Arial" w:cs="Arial" w:eastAsia="Arial" w:hAnsi="Arial"/>
          <w:sz w:val="21"/>
          <w:szCs w:val="21"/>
          <w:color w:val="auto"/>
        </w:rPr>
        <w:t>, 201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-17780</wp:posOffset>
            </wp:positionV>
            <wp:extent cx="274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-17780</wp:posOffset>
            </wp:positionV>
            <wp:extent cx="5486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08"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F</w:t>
      </w:r>
      <w:r>
        <w:rPr>
          <w:rFonts w:ascii="Arial" w:cs="Arial" w:eastAsia="Arial" w:hAnsi="Arial"/>
          <w:sz w:val="17"/>
          <w:szCs w:val="17"/>
          <w:color w:val="auto"/>
        </w:rPr>
        <w:t>LOATING</w:t>
      </w:r>
      <w:r>
        <w:rPr>
          <w:rFonts w:ascii="Arial" w:cs="Arial" w:eastAsia="Arial" w:hAnsi="Arial"/>
          <w:sz w:val="22"/>
          <w:szCs w:val="22"/>
          <w:color w:val="auto"/>
        </w:rPr>
        <w:t xml:space="preserve"> R</w:t>
      </w:r>
      <w:r>
        <w:rPr>
          <w:rFonts w:ascii="Arial" w:cs="Arial" w:eastAsia="Arial" w:hAnsi="Arial"/>
          <w:sz w:val="17"/>
          <w:szCs w:val="17"/>
          <w:color w:val="auto"/>
        </w:rPr>
        <w:t>ATE</w:t>
      </w:r>
      <w:r>
        <w:rPr>
          <w:rFonts w:ascii="Arial" w:cs="Arial" w:eastAsia="Arial" w:hAnsi="Arial"/>
          <w:sz w:val="22"/>
          <w:szCs w:val="22"/>
          <w:color w:val="auto"/>
        </w:rPr>
        <w:t xml:space="preserve"> F</w:t>
      </w:r>
      <w:r>
        <w:rPr>
          <w:rFonts w:ascii="Arial" w:cs="Arial" w:eastAsia="Arial" w:hAnsi="Arial"/>
          <w:sz w:val="17"/>
          <w:szCs w:val="17"/>
          <w:color w:val="auto"/>
        </w:rPr>
        <w:t>UNDING</w:t>
      </w:r>
      <w:r>
        <w:rPr>
          <w:rFonts w:ascii="Arial" w:cs="Arial" w:eastAsia="Arial" w:hAnsi="Arial"/>
          <w:sz w:val="22"/>
          <w:szCs w:val="22"/>
          <w:color w:val="auto"/>
        </w:rPr>
        <w:t xml:space="preserve"> I,</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LLC, as Borrower</w:t>
      </w:r>
    </w:p>
    <w:p>
      <w:pPr>
        <w:spacing w:after="0" w:line="188" w:lineRule="exact"/>
        <w:rPr>
          <w:sz w:val="20"/>
          <w:szCs w:val="20"/>
          <w:color w:val="auto"/>
        </w:rPr>
      </w:pPr>
    </w:p>
    <w:p>
      <w:pPr>
        <w:jc w:val="right"/>
        <w:spacing w:after="0"/>
        <w:tabs>
          <w:tab w:leader="none" w:pos="3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PennantPark Floating Rate Capital Ltd., as</w:t>
      </w:r>
    </w:p>
    <w:p>
      <w:pPr>
        <w:spacing w:after="0" w:line="8"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Designated Manager</w:t>
      </w:r>
    </w:p>
    <w:p>
      <w:pPr>
        <w:spacing w:after="0" w:line="25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6985</wp:posOffset>
            </wp:positionV>
            <wp:extent cx="26060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4445</wp:posOffset>
            </wp:positionV>
            <wp:extent cx="22371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4445</wp:posOffset>
            </wp:positionV>
            <wp:extent cx="223710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41"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40"/>
          </w:cols>
          <w:pgMar w:left="1120" w:top="267" w:right="6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21"/>
          <w:szCs w:val="21"/>
          <w:b w:val="1"/>
          <w:bCs w:val="1"/>
          <w:color w:val="auto"/>
        </w:rPr>
        <w:t>N</w:t>
      </w:r>
      <w:r>
        <w:rPr>
          <w:rFonts w:ascii="Arial" w:cs="Arial" w:eastAsia="Arial" w:hAnsi="Arial"/>
          <w:sz w:val="18"/>
          <w:szCs w:val="18"/>
          <w:b w:val="1"/>
          <w:bCs w:val="1"/>
          <w:color w:val="auto"/>
        </w:rPr>
        <w:t xml:space="preserve">OTICE OF </w:t>
      </w:r>
      <w:r>
        <w:rPr>
          <w:rFonts w:ascii="Arial" w:cs="Arial" w:eastAsia="Arial" w:hAnsi="Arial"/>
          <w:sz w:val="21"/>
          <w:szCs w:val="21"/>
          <w:b w:val="1"/>
          <w:bCs w:val="1"/>
          <w:color w:val="auto"/>
        </w:rPr>
        <w:t>B</w:t>
      </w:r>
      <w:r>
        <w:rPr>
          <w:rFonts w:ascii="Arial" w:cs="Arial" w:eastAsia="Arial" w:hAnsi="Arial"/>
          <w:sz w:val="18"/>
          <w:szCs w:val="18"/>
          <w:b w:val="1"/>
          <w:bCs w:val="1"/>
          <w:color w:val="auto"/>
        </w:rPr>
        <w:t>ORROWING</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 attached]</w:t>
      </w:r>
    </w:p>
    <w:p>
      <w:pPr>
        <w:sectPr>
          <w:pgSz w:w="11900" w:h="16838" w:orient="portrait"/>
          <w:cols w:equalWidth="0" w:num="1">
            <w:col w:w="9019"/>
          </w:cols>
          <w:pgMar w:left="1440" w:top="261" w:right="1440" w:bottom="1440" w:gutter="0" w:footer="0" w:header="0"/>
        </w:sectPr>
      </w:pPr>
    </w:p>
    <w:bookmarkStart w:id="231" w:name="page232"/>
    <w:bookmarkEnd w:id="231"/>
    <w:p>
      <w:pPr>
        <w:jc w:val="center"/>
        <w:ind w:left="17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II</w:t>
      </w:r>
    </w:p>
    <w:p>
      <w:pPr>
        <w:spacing w:after="0" w:line="14"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21"/>
          <w:szCs w:val="21"/>
          <w:b w:val="1"/>
          <w:bCs w:val="1"/>
          <w:color w:val="auto"/>
        </w:rPr>
        <w:t>N</w:t>
      </w:r>
      <w:r>
        <w:rPr>
          <w:rFonts w:ascii="Arial" w:cs="Arial" w:eastAsia="Arial" w:hAnsi="Arial"/>
          <w:sz w:val="18"/>
          <w:szCs w:val="18"/>
          <w:b w:val="1"/>
          <w:bCs w:val="1"/>
          <w:color w:val="auto"/>
        </w:rPr>
        <w:t xml:space="preserve">OTICE OF </w:t>
      </w:r>
      <w:r>
        <w:rPr>
          <w:rFonts w:ascii="Arial" w:cs="Arial" w:eastAsia="Arial" w:hAnsi="Arial"/>
          <w:sz w:val="21"/>
          <w:szCs w:val="21"/>
          <w:b w:val="1"/>
          <w:bCs w:val="1"/>
          <w:color w:val="auto"/>
        </w:rPr>
        <w:t>B</w:t>
      </w:r>
      <w:r>
        <w:rPr>
          <w:rFonts w:ascii="Arial" w:cs="Arial" w:eastAsia="Arial" w:hAnsi="Arial"/>
          <w:sz w:val="18"/>
          <w:szCs w:val="18"/>
          <w:b w:val="1"/>
          <w:bCs w:val="1"/>
          <w:color w:val="auto"/>
        </w:rPr>
        <w:t>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217170</wp:posOffset>
            </wp:positionV>
            <wp:extent cx="7132320" cy="3346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FFFFFF"/>
        </w:rPr>
        <w:t>Matrix Selection and Compliance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Matrix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-142875</wp:posOffset>
            </wp:positionV>
            <wp:extent cx="74549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pacing w:after="0" w:line="299" w:lineRule="exact"/>
        <w:rPr>
          <w:sz w:val="20"/>
          <w:szCs w:val="20"/>
          <w:color w:val="auto"/>
        </w:rPr>
      </w:pPr>
    </w:p>
    <w:p>
      <w:pPr>
        <w:jc w:val="both"/>
        <w:ind w:left="7000"/>
        <w:spacing w:after="0"/>
        <w:tabs>
          <w:tab w:leader="none" w:pos="8340" w:val="left"/>
        </w:tabs>
        <w:rPr>
          <w:sz w:val="20"/>
          <w:szCs w:val="20"/>
          <w:color w:val="auto"/>
        </w:rPr>
      </w:pPr>
      <w:r>
        <w:rPr>
          <w:rFonts w:ascii="Arial" w:cs="Arial" w:eastAsia="Arial" w:hAnsi="Arial"/>
          <w:sz w:val="20"/>
          <w:szCs w:val="20"/>
          <w:b w:val="1"/>
          <w:bCs w:val="1"/>
          <w:color w:val="auto"/>
        </w:rPr>
        <w:t>Current</w:t>
      </w:r>
      <w:r>
        <w:rPr>
          <w:sz w:val="20"/>
          <w:szCs w:val="20"/>
          <w:color w:val="auto"/>
        </w:rPr>
        <w:tab/>
      </w:r>
      <w:r>
        <w:rPr>
          <w:rFonts w:ascii="Arial" w:cs="Arial" w:eastAsia="Arial" w:hAnsi="Arial"/>
          <w:sz w:val="20"/>
          <w:szCs w:val="20"/>
          <w:b w:val="1"/>
          <w:bCs w:val="1"/>
          <w:color w:val="auto"/>
        </w:rPr>
        <w:t>Applicable</w:t>
      </w:r>
    </w:p>
    <w:p>
      <w:pPr>
        <w:spacing w:after="0" w:line="26" w:lineRule="exact"/>
        <w:rPr>
          <w:sz w:val="20"/>
          <w:szCs w:val="20"/>
          <w:color w:val="auto"/>
        </w:rPr>
      </w:pPr>
    </w:p>
    <w:p>
      <w:pPr>
        <w:ind w:left="8580"/>
        <w:spacing w:after="0"/>
        <w:rPr>
          <w:sz w:val="20"/>
          <w:szCs w:val="20"/>
          <w:color w:val="auto"/>
        </w:rPr>
      </w:pPr>
      <w:r>
        <w:rPr>
          <w:rFonts w:ascii="Arial" w:cs="Arial" w:eastAsia="Arial" w:hAnsi="Arial"/>
          <w:sz w:val="20"/>
          <w:szCs w:val="20"/>
          <w:b w:val="1"/>
          <w:bCs w:val="1"/>
          <w:color w:val="auto"/>
        </w:rPr>
        <w:t>Limit</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Advance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-142875</wp:posOffset>
            </wp:positionV>
            <wp:extent cx="1808480"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08480"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Weighted Average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-142875</wp:posOffset>
            </wp:positionV>
            <wp:extent cx="180848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08480"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Diversity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-142875</wp:posOffset>
            </wp:positionV>
            <wp:extent cx="180848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808480"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Obligor Concentration</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Largest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-158115</wp:posOffset>
            </wp:positionV>
            <wp:extent cx="1808480" cy="131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08480" cy="131127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Second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Third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Fourth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Fifth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Sixth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Seventh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All Others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Ratings Limitations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Percentage of Aggregate Collateral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-157480</wp:posOffset>
            </wp:positionV>
            <wp:extent cx="1808480" cy="3257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808480" cy="3257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rated B/B2 or better</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Loan Types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Senior B and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-157480</wp:posOffset>
            </wp:positionV>
            <wp:extent cx="1808480" cy="3340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808480" cy="33401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Second Lien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-151130</wp:posOffset>
            </wp:positionV>
            <wp:extent cx="85725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-151130</wp:posOffset>
            </wp:positionV>
            <wp:extent cx="85725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-160020</wp:posOffset>
            </wp:positionV>
            <wp:extent cx="857250" cy="3257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0" cy="325755"/>
                    </a:xfrm>
                    <a:prstGeom prst="rect">
                      <a:avLst/>
                    </a:prstGeom>
                    <a:noFill/>
                  </pic:spPr>
                </pic:pic>
              </a:graphicData>
            </a:graphic>
          </wp:anchor>
        </w:drawing>
      </w:r>
    </w:p>
    <w:p>
      <w:pPr>
        <w:sectPr>
          <w:pgSz w:w="11900" w:h="16838" w:orient="portrait"/>
          <w:cols w:equalWidth="0" w:num="2">
            <w:col w:w="9280" w:space="720"/>
            <w:col w:w="1020"/>
          </w:cols>
          <w:pgMar w:left="440" w:top="261" w:right="4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C</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N</w:t>
      </w:r>
      <w:r>
        <w:rPr>
          <w:rFonts w:ascii="Arial" w:cs="Arial" w:eastAsia="Arial" w:hAnsi="Arial"/>
          <w:sz w:val="17"/>
          <w:szCs w:val="17"/>
          <w:b w:val="1"/>
          <w:bCs w:val="1"/>
          <w:color w:val="auto"/>
        </w:rPr>
        <w:t>OTICE OF</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REPAYMENT</w:t>
      </w:r>
      <w:r>
        <w:rPr>
          <w:rFonts w:ascii="Arial" w:cs="Arial" w:eastAsia="Arial" w:hAnsi="Arial"/>
          <w:sz w:val="22"/>
          <w:szCs w:val="22"/>
          <w:b w:val="1"/>
          <w:bCs w:val="1"/>
          <w:color w:val="auto"/>
        </w:rPr>
        <w:t>]</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ATE</w:t>
      </w:r>
      <w:r>
        <w:rPr>
          <w:rFonts w:ascii="Arial" w:cs="Arial" w:eastAsia="Arial" w:hAnsi="Arial"/>
          <w:sz w:val="22"/>
          <w:szCs w:val="22"/>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SunTrust Bank</w:t>
      </w:r>
    </w:p>
    <w:p>
      <w:pPr>
        <w:spacing w:after="0" w:line="238" w:lineRule="auto"/>
        <w:rPr>
          <w:sz w:val="20"/>
          <w:szCs w:val="20"/>
          <w:color w:val="auto"/>
        </w:rPr>
      </w:pPr>
      <w:r>
        <w:rPr>
          <w:rFonts w:ascii="Arial" w:cs="Arial" w:eastAsia="Arial" w:hAnsi="Arial"/>
          <w:sz w:val="22"/>
          <w:szCs w:val="22"/>
          <w:color w:val="auto"/>
        </w:rPr>
        <w:t>as Administrative Agent</w:t>
      </w:r>
    </w:p>
    <w:p>
      <w:pPr>
        <w:spacing w:after="0" w:line="230" w:lineRule="auto"/>
        <w:rPr>
          <w:sz w:val="20"/>
          <w:szCs w:val="20"/>
          <w:color w:val="auto"/>
        </w:rPr>
      </w:pPr>
      <w:r>
        <w:rPr>
          <w:rFonts w:ascii="Arial" w:cs="Arial" w:eastAsia="Arial" w:hAnsi="Arial"/>
          <w:sz w:val="22"/>
          <w:szCs w:val="22"/>
          <w:color w:val="auto"/>
        </w:rPr>
        <w:t>303 Peachtree St., NE, 24th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Atlanta, Georgia 30308</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ind w:left="120"/>
        <w:spacing w:after="0" w:line="238" w:lineRule="auto"/>
        <w:rPr>
          <w:sz w:val="20"/>
          <w:szCs w:val="20"/>
          <w:color w:val="auto"/>
        </w:rPr>
      </w:pPr>
      <w:r>
        <w:rPr>
          <w:rFonts w:ascii="Arial" w:cs="Arial" w:eastAsia="Arial" w:hAnsi="Arial"/>
          <w:sz w:val="22"/>
          <w:szCs w:val="22"/>
          <w:color w:val="auto"/>
        </w:rPr>
        <w:t>as Collateral Agent</w:t>
      </w:r>
    </w:p>
    <w:p>
      <w:pPr>
        <w:spacing w:after="0" w:line="230" w:lineRule="auto"/>
        <w:rPr>
          <w:sz w:val="20"/>
          <w:szCs w:val="20"/>
          <w:color w:val="auto"/>
        </w:rPr>
      </w:pPr>
      <w:r>
        <w:rPr>
          <w:rFonts w:ascii="Arial" w:cs="Arial" w:eastAsia="Arial" w:hAnsi="Arial"/>
          <w:sz w:val="22"/>
          <w:szCs w:val="22"/>
          <w:color w:val="auto"/>
        </w:rPr>
        <w:t>Corporate Trust Services – CDO Unit</w:t>
      </w:r>
    </w:p>
    <w:p>
      <w:pPr>
        <w:spacing w:after="0" w:line="231" w:lineRule="auto"/>
        <w:rPr>
          <w:sz w:val="20"/>
          <w:szCs w:val="20"/>
          <w:color w:val="auto"/>
        </w:rPr>
      </w:pPr>
      <w:r>
        <w:rPr>
          <w:rFonts w:ascii="Arial" w:cs="Arial" w:eastAsia="Arial" w:hAnsi="Arial"/>
          <w:sz w:val="22"/>
          <w:szCs w:val="22"/>
          <w:color w:val="auto"/>
        </w:rPr>
        <w:t>One Federal Street, Third Floor</w:t>
      </w:r>
    </w:p>
    <w:p>
      <w:pPr>
        <w:spacing w:after="0" w:line="230" w:lineRule="auto"/>
        <w:rPr>
          <w:sz w:val="20"/>
          <w:szCs w:val="20"/>
          <w:color w:val="auto"/>
        </w:rPr>
      </w:pPr>
      <w:r>
        <w:rPr>
          <w:rFonts w:ascii="Arial" w:cs="Arial" w:eastAsia="Arial" w:hAnsi="Arial"/>
          <w:sz w:val="22"/>
          <w:szCs w:val="22"/>
          <w:color w:val="auto"/>
        </w:rPr>
        <w:t>Boston, Massachusetts</w:t>
      </w:r>
    </w:p>
    <w:p>
      <w:pPr>
        <w:spacing w:after="0" w:line="231" w:lineRule="auto"/>
        <w:rPr>
          <w:sz w:val="20"/>
          <w:szCs w:val="20"/>
          <w:color w:val="auto"/>
        </w:rPr>
      </w:pPr>
      <w:r>
        <w:rPr>
          <w:rFonts w:ascii="Arial" w:cs="Arial" w:eastAsia="Arial" w:hAnsi="Arial"/>
          <w:sz w:val="22"/>
          <w:szCs w:val="22"/>
          <w:color w:val="auto"/>
        </w:rPr>
        <w:t>Attn: Jennifer Vlasuk</w:t>
      </w:r>
    </w:p>
    <w:p>
      <w:pPr>
        <w:spacing w:after="0"/>
        <w:rPr>
          <w:sz w:val="20"/>
          <w:szCs w:val="20"/>
          <w:color w:val="auto"/>
        </w:rPr>
      </w:pPr>
      <w:r>
        <w:rPr>
          <w:rFonts w:ascii="Arial" w:cs="Arial" w:eastAsia="Arial" w:hAnsi="Arial"/>
          <w:sz w:val="22"/>
          <w:szCs w:val="22"/>
          <w:color w:val="auto"/>
        </w:rPr>
        <w:t>Ref: PennantPark Floating Rate Funding I, LLC</w:t>
      </w:r>
    </w:p>
    <w:p>
      <w:pPr>
        <w:spacing w:after="0" w:line="269"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color w:val="auto"/>
        </w:rPr>
        <w:t xml:space="preserve">This Notice of Prepayment is made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of that certain Third Amended and Restated Revolving Credit and Security Agreement dated as of May 22, 2015 (as the same may from time to time be amended, supplemented, waived or modified, the </w:t>
      </w:r>
      <w:r>
        <w:rPr>
          <w:rFonts w:ascii="Arial" w:cs="Arial" w:eastAsia="Arial" w:hAnsi="Arial"/>
          <w:sz w:val="19"/>
          <w:szCs w:val="19"/>
          <w:i w:val="1"/>
          <w:iCs w:val="1"/>
          <w:color w:val="auto"/>
        </w:rPr>
        <w:t>“Credit Agreement”</w:t>
      </w:r>
      <w:r>
        <w:rPr>
          <w:rFonts w:ascii="Arial" w:cs="Arial" w:eastAsia="Arial" w:hAnsi="Arial"/>
          <w:sz w:val="19"/>
          <w:szCs w:val="19"/>
          <w:color w:val="auto"/>
        </w:rPr>
        <w:t xml:space="preserve">) among PennantPark Floating Rate Funding I, LLC, a Delaware limited liability company, as borrower (the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PennantPark Investment Advisers, LLC, a Delaware limited liability company, as the collateral manager (together with its permitted successors and assigns, the </w:t>
      </w:r>
      <w:r>
        <w:rPr>
          <w:rFonts w:ascii="Arial" w:cs="Arial" w:eastAsia="Arial" w:hAnsi="Arial"/>
          <w:sz w:val="19"/>
          <w:szCs w:val="19"/>
          <w:i w:val="1"/>
          <w:iCs w:val="1"/>
          <w:color w:val="auto"/>
        </w:rPr>
        <w:t>“Collateral Manager”</w:t>
      </w:r>
      <w:r>
        <w:rPr>
          <w:rFonts w:ascii="Arial" w:cs="Arial" w:eastAsia="Arial" w:hAnsi="Arial"/>
          <w:sz w:val="19"/>
          <w:szCs w:val="19"/>
          <w:color w:val="auto"/>
        </w:rPr>
        <w:t xml:space="preserve">), the Lenders from time to time party thereto; SunTrust Bank, as administrative agent for the Secured Parties (in such capacity, together with its successors and assigns, the </w:t>
      </w:r>
      <w:r>
        <w:rPr>
          <w:rFonts w:ascii="Arial" w:cs="Arial" w:eastAsia="Arial" w:hAnsi="Arial"/>
          <w:sz w:val="19"/>
          <w:szCs w:val="19"/>
          <w:i w:val="1"/>
          <w:iCs w:val="1"/>
          <w:color w:val="auto"/>
        </w:rPr>
        <w:t>“Administrative Agent”</w:t>
      </w:r>
      <w:r>
        <w:rPr>
          <w:rFonts w:ascii="Arial" w:cs="Arial" w:eastAsia="Arial" w:hAnsi="Arial"/>
          <w:sz w:val="19"/>
          <w:szCs w:val="19"/>
          <w:color w:val="auto"/>
        </w:rPr>
        <w:t>), SunTrust Bank, as the swingline lender (the “</w:t>
      </w:r>
      <w:r>
        <w:rPr>
          <w:rFonts w:ascii="Arial" w:cs="Arial" w:eastAsia="Arial" w:hAnsi="Arial"/>
          <w:sz w:val="19"/>
          <w:szCs w:val="19"/>
          <w:i w:val="1"/>
          <w:iCs w:val="1"/>
          <w:color w:val="auto"/>
        </w:rPr>
        <w:t>Swingline Lender</w:t>
      </w:r>
      <w:r>
        <w:rPr>
          <w:rFonts w:ascii="Arial" w:cs="Arial" w:eastAsia="Arial" w:hAnsi="Arial"/>
          <w:sz w:val="19"/>
          <w:szCs w:val="19"/>
          <w:color w:val="auto"/>
        </w:rPr>
        <w:t xml:space="preserve">”), U.S. Bank National Association, as collateral agent for the Secured Parties (in such capacity, together with its successors and assigns, the </w:t>
      </w:r>
      <w:r>
        <w:rPr>
          <w:rFonts w:ascii="Arial" w:cs="Arial" w:eastAsia="Arial" w:hAnsi="Arial"/>
          <w:sz w:val="19"/>
          <w:szCs w:val="19"/>
          <w:i w:val="1"/>
          <w:iCs w:val="1"/>
          <w:color w:val="auto"/>
        </w:rPr>
        <w:t>“Collateral Agent”</w:t>
      </w:r>
      <w:r>
        <w:rPr>
          <w:rFonts w:ascii="Arial" w:cs="Arial" w:eastAsia="Arial" w:hAnsi="Arial"/>
          <w:sz w:val="19"/>
          <w:szCs w:val="19"/>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94"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1380" w:type="dxa"/>
            <w:vAlign w:val="bottom"/>
          </w:tcPr>
          <w:p>
            <w:pPr>
              <w:jc w:val="right"/>
              <w:ind w:right="72"/>
              <w:spacing w:after="0"/>
              <w:rPr>
                <w:sz w:val="20"/>
                <w:szCs w:val="20"/>
                <w:color w:val="auto"/>
              </w:rPr>
            </w:pPr>
            <w:r>
              <w:rPr>
                <w:rFonts w:ascii="Arial" w:cs="Arial" w:eastAsia="Arial" w:hAnsi="Arial"/>
                <w:sz w:val="22"/>
                <w:szCs w:val="22"/>
                <w:color w:val="auto"/>
              </w:rPr>
              <w:t>1.</w:t>
            </w:r>
          </w:p>
        </w:tc>
        <w:tc>
          <w:tcPr>
            <w:tcW w:w="3880" w:type="dxa"/>
            <w:vAlign w:val="bottom"/>
          </w:tcPr>
          <w:p>
            <w:pPr>
              <w:ind w:left="180"/>
              <w:spacing w:after="0"/>
              <w:rPr>
                <w:sz w:val="20"/>
                <w:szCs w:val="20"/>
                <w:color w:val="auto"/>
              </w:rPr>
            </w:pPr>
            <w:r>
              <w:rPr>
                <w:rFonts w:ascii="Arial" w:cs="Arial" w:eastAsia="Arial" w:hAnsi="Arial"/>
                <w:sz w:val="22"/>
                <w:szCs w:val="22"/>
                <w:color w:val="auto"/>
                <w:w w:val="91"/>
              </w:rPr>
              <w:t>The Borrower hereby gives notice that on</w:t>
            </w:r>
          </w:p>
        </w:tc>
        <w:tc>
          <w:tcPr>
            <w:tcW w:w="1360" w:type="dxa"/>
            <w:vAlign w:val="bottom"/>
          </w:tcPr>
          <w:p>
            <w:pPr>
              <w:spacing w:after="0"/>
              <w:rPr>
                <w:sz w:val="21"/>
                <w:szCs w:val="21"/>
                <w:color w:val="auto"/>
              </w:rPr>
            </w:pPr>
          </w:p>
        </w:tc>
        <w:tc>
          <w:tcPr>
            <w:tcW w:w="3820" w:type="dxa"/>
            <w:vAlign w:val="bottom"/>
            <w:gridSpan w:val="5"/>
          </w:tcPr>
          <w:p>
            <w:pPr>
              <w:jc w:val="right"/>
              <w:spacing w:after="0"/>
              <w:rPr>
                <w:sz w:val="20"/>
                <w:szCs w:val="20"/>
                <w:color w:val="auto"/>
              </w:rPr>
            </w:pPr>
            <w:r>
              <w:rPr>
                <w:rFonts w:ascii="Arial" w:cs="Arial" w:eastAsia="Arial" w:hAnsi="Arial"/>
                <w:sz w:val="22"/>
                <w:szCs w:val="22"/>
                <w:color w:val="auto"/>
              </w:rPr>
              <w:t xml:space="preserve">, 201  (the </w:t>
            </w:r>
            <w:r>
              <w:rPr>
                <w:rFonts w:ascii="Arial" w:cs="Arial" w:eastAsia="Arial" w:hAnsi="Arial"/>
                <w:sz w:val="22"/>
                <w:szCs w:val="22"/>
                <w:i w:val="1"/>
                <w:iCs w:val="1"/>
                <w:color w:val="auto"/>
              </w:rPr>
              <w:t>“Prepayment Date”</w:t>
            </w:r>
            <w:r>
              <w:rPr>
                <w:rFonts w:ascii="Arial" w:cs="Arial" w:eastAsia="Arial" w:hAnsi="Arial"/>
                <w:sz w:val="22"/>
                <w:szCs w:val="22"/>
                <w:color w:val="auto"/>
              </w:rPr>
              <w:t>) it will</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w w:val="99"/>
              </w:rPr>
              <w:t>[USD$] [Euro €] [AUS$]</w:t>
            </w:r>
          </w:p>
        </w:tc>
        <w:tc>
          <w:tcPr>
            <w:tcW w:w="0" w:type="dxa"/>
            <w:vAlign w:val="bottom"/>
          </w:tcPr>
          <w:p>
            <w:pPr>
              <w:spacing w:after="0" w:line="20" w:lineRule="exact"/>
              <w:rPr>
                <w:sz w:val="1"/>
                <w:szCs w:val="1"/>
                <w:color w:val="auto"/>
              </w:rPr>
            </w:pPr>
          </w:p>
        </w:tc>
      </w:tr>
      <w:tr>
        <w:trPr>
          <w:trHeight w:val="223"/>
        </w:trPr>
        <w:tc>
          <w:tcPr>
            <w:tcW w:w="6620" w:type="dxa"/>
            <w:vAlign w:val="bottom"/>
            <w:gridSpan w:val="3"/>
          </w:tcPr>
          <w:p>
            <w:pPr>
              <w:spacing w:after="0" w:line="223" w:lineRule="exact"/>
              <w:rPr>
                <w:sz w:val="20"/>
                <w:szCs w:val="20"/>
                <w:color w:val="auto"/>
              </w:rPr>
            </w:pPr>
            <w:r>
              <w:rPr>
                <w:rFonts w:ascii="Arial" w:cs="Arial" w:eastAsia="Arial" w:hAnsi="Arial"/>
                <w:sz w:val="22"/>
                <w:szCs w:val="22"/>
                <w:color w:val="auto"/>
                <w:w w:val="91"/>
              </w:rPr>
              <w:t>make a prepayment under the Credit Agreement in the principal amount of</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620" w:type="dxa"/>
            <w:vAlign w:val="bottom"/>
            <w:gridSpan w:val="3"/>
          </w:tcPr>
          <w:p>
            <w:pPr>
              <w:spacing w:after="0"/>
              <w:rPr>
                <w:sz w:val="20"/>
                <w:szCs w:val="20"/>
                <w:color w:val="auto"/>
              </w:rPr>
            </w:pPr>
            <w:r>
              <w:rPr>
                <w:rFonts w:ascii="Arial" w:cs="Arial" w:eastAsia="Arial" w:hAnsi="Arial"/>
                <w:sz w:val="22"/>
                <w:szCs w:val="22"/>
                <w:color w:val="auto"/>
              </w:rPr>
              <w:t xml:space="preserve">[CAD$] [Pounds Sterling £] (the </w:t>
            </w:r>
            <w:r>
              <w:rPr>
                <w:rFonts w:ascii="Arial" w:cs="Arial" w:eastAsia="Arial" w:hAnsi="Arial"/>
                <w:sz w:val="22"/>
                <w:szCs w:val="22"/>
                <w:i w:val="1"/>
                <w:iCs w:val="1"/>
                <w:color w:val="auto"/>
              </w:rPr>
              <w:t>“Prepayment Amount”</w:t>
            </w: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800" w:firstLine="1039"/>
        <w:spacing w:after="0" w:line="238" w:lineRule="auto"/>
        <w:tabs>
          <w:tab w:leader="none" w:pos="249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 xml:space="preserve">The Borrower hereby gives notice of intent to prepay an aggregate principal amount equal to the Prepayment Amount to the Collateral Agent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of the Credit Agreement and will remit, or cause to be remitted, the proceeds thereof to the Agent’s Account. The calculation of the Coverage Tests after giving effect to such prepayment is set forth in Schedule I hereto.</w:t>
      </w:r>
    </w:p>
    <w:p>
      <w:pPr>
        <w:sectPr>
          <w:pgSz w:w="11900" w:h="16838" w:orient="portrait"/>
          <w:cols w:equalWidth="0" w:num="1">
            <w:col w:w="11240"/>
          </w:cols>
          <w:pgMar w:left="320" w:top="261"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 TO</w:t>
      </w:r>
      <w:r>
        <w:rPr>
          <w:rFonts w:ascii="Arial" w:cs="Arial" w:eastAsia="Arial" w:hAnsi="Arial"/>
          <w:sz w:val="22"/>
          <w:szCs w:val="22"/>
          <w:color w:val="auto"/>
        </w:rPr>
        <w:t xml:space="preserve"> F</w:t>
      </w:r>
      <w:r>
        <w:rPr>
          <w:rFonts w:ascii="Arial" w:cs="Arial" w:eastAsia="Arial" w:hAnsi="Arial"/>
          <w:sz w:val="17"/>
          <w:szCs w:val="17"/>
          <w:color w:val="auto"/>
        </w:rPr>
        <w:t>OLLOW</w:t>
      </w:r>
      <w:r>
        <w:rPr>
          <w:rFonts w:ascii="Arial" w:cs="Arial" w:eastAsia="Arial" w:hAnsi="Arial"/>
          <w:sz w:val="22"/>
          <w:szCs w:val="22"/>
          <w:color w:val="auto"/>
        </w:rPr>
        <w:t>]</w:t>
      </w:r>
    </w:p>
    <w:p>
      <w:pPr>
        <w:sectPr>
          <w:pgSz w:w="11900" w:h="16838" w:orient="portrait"/>
          <w:cols w:equalWidth="0" w:num="1">
            <w:col w:w="9019"/>
          </w:cols>
          <w:pgMar w:left="1440" w:top="267"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9019"/>
          </w:cols>
          <w:pgMar w:left="1440" w:top="267" w:right="1440" w:bottom="1440" w:gutter="0" w:footer="0" w:header="0"/>
          <w:type w:val="continuous"/>
        </w:sectPr>
      </w:pPr>
    </w:p>
    <w:bookmarkStart w:id="234" w:name="page235"/>
    <w:bookmarkEnd w:id="234"/>
    <w:p>
      <w:pPr>
        <w:spacing w:after="0"/>
        <w:tabs>
          <w:tab w:leader="none" w:pos="2760" w:val="left"/>
          <w:tab w:leader="none" w:pos="42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w:t>
      </w:r>
      <w:r>
        <w:rPr>
          <w:rFonts w:ascii="Arial" w:cs="Arial" w:eastAsia="Arial" w:hAnsi="Arial"/>
          <w:sz w:val="17"/>
          <w:szCs w:val="17"/>
          <w:color w:val="auto"/>
        </w:rPr>
        <w:t>ITNESS</w:t>
      </w:r>
      <w:r>
        <w:rPr>
          <w:rFonts w:ascii="Arial" w:cs="Arial" w:eastAsia="Arial" w:hAnsi="Arial"/>
          <w:sz w:val="22"/>
          <w:szCs w:val="22"/>
          <w:color w:val="auto"/>
        </w:rPr>
        <w:t xml:space="preserve"> my hand on this</w:t>
      </w:r>
      <w:r>
        <w:rPr>
          <w:sz w:val="20"/>
          <w:szCs w:val="20"/>
          <w:color w:val="auto"/>
        </w:rPr>
        <w:tab/>
      </w:r>
      <w:r>
        <w:rPr>
          <w:rFonts w:ascii="Arial" w:cs="Arial" w:eastAsia="Arial" w:hAnsi="Arial"/>
          <w:sz w:val="22"/>
          <w:szCs w:val="22"/>
          <w:color w:val="auto"/>
        </w:rPr>
        <w:t>day of</w:t>
      </w:r>
      <w:r>
        <w:rPr>
          <w:sz w:val="20"/>
          <w:szCs w:val="20"/>
          <w:color w:val="auto"/>
        </w:rPr>
        <w:tab/>
      </w:r>
      <w:r>
        <w:rPr>
          <w:rFonts w:ascii="Arial" w:cs="Arial" w:eastAsia="Arial" w:hAnsi="Arial"/>
          <w:sz w:val="19"/>
          <w:szCs w:val="19"/>
          <w:color w:val="auto"/>
        </w:rPr>
        <w:t>, 201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-17780</wp:posOffset>
            </wp:positionV>
            <wp:extent cx="274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-17780</wp:posOffset>
            </wp:positionV>
            <wp:extent cx="5486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F</w:t>
      </w:r>
      <w:r>
        <w:rPr>
          <w:rFonts w:ascii="Arial" w:cs="Arial" w:eastAsia="Arial" w:hAnsi="Arial"/>
          <w:sz w:val="17"/>
          <w:szCs w:val="17"/>
          <w:color w:val="auto"/>
        </w:rPr>
        <w:t>LOATING</w:t>
      </w:r>
      <w:r>
        <w:rPr>
          <w:rFonts w:ascii="Arial" w:cs="Arial" w:eastAsia="Arial" w:hAnsi="Arial"/>
          <w:sz w:val="22"/>
          <w:szCs w:val="22"/>
          <w:color w:val="auto"/>
        </w:rPr>
        <w:t xml:space="preserve"> R</w:t>
      </w:r>
      <w:r>
        <w:rPr>
          <w:rFonts w:ascii="Arial" w:cs="Arial" w:eastAsia="Arial" w:hAnsi="Arial"/>
          <w:sz w:val="17"/>
          <w:szCs w:val="17"/>
          <w:color w:val="auto"/>
        </w:rPr>
        <w:t>ATE</w:t>
      </w:r>
      <w:r>
        <w:rPr>
          <w:rFonts w:ascii="Arial" w:cs="Arial" w:eastAsia="Arial" w:hAnsi="Arial"/>
          <w:sz w:val="22"/>
          <w:szCs w:val="22"/>
          <w:color w:val="auto"/>
        </w:rPr>
        <w:t xml:space="preserve"> F</w:t>
      </w:r>
      <w:r>
        <w:rPr>
          <w:rFonts w:ascii="Arial" w:cs="Arial" w:eastAsia="Arial" w:hAnsi="Arial"/>
          <w:sz w:val="17"/>
          <w:szCs w:val="17"/>
          <w:color w:val="auto"/>
        </w:rPr>
        <w:t>UNDING</w:t>
      </w:r>
      <w:r>
        <w:rPr>
          <w:rFonts w:ascii="Arial" w:cs="Arial" w:eastAsia="Arial" w:hAnsi="Arial"/>
          <w:sz w:val="22"/>
          <w:szCs w:val="22"/>
          <w:color w:val="auto"/>
        </w:rPr>
        <w:t xml:space="preserve"> I,</w:t>
      </w:r>
    </w:p>
    <w:p>
      <w:pPr>
        <w:spacing w:after="0" w:line="8"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LLC, as Borrower</w:t>
      </w:r>
    </w:p>
    <w:p>
      <w:pPr>
        <w:spacing w:after="0" w:line="20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PennantPark Floating Rate Capital Ltd., as</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Designated Manager</w:t>
      </w:r>
    </w:p>
    <w:p>
      <w:pPr>
        <w:spacing w:after="0" w:line="200" w:lineRule="exact"/>
        <w:rPr>
          <w:sz w:val="20"/>
          <w:szCs w:val="20"/>
          <w:color w:val="auto"/>
        </w:rPr>
      </w:pPr>
    </w:p>
    <w:p>
      <w:pPr>
        <w:spacing w:after="0" w:line="28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14605</wp:posOffset>
            </wp:positionV>
            <wp:extent cx="260604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14605</wp:posOffset>
            </wp:positionV>
            <wp:extent cx="23914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14605</wp:posOffset>
            </wp:positionV>
            <wp:extent cx="23914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57"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920"/>
          </w:cols>
          <w:pgMar w:left="1120" w:top="267" w:right="859" w:bottom="1440" w:gutter="0" w:footer="0" w:header="0"/>
        </w:sectPr>
      </w:pPr>
    </w:p>
    <w:bookmarkStart w:id="235" w:name="page236"/>
    <w:bookmarkEnd w:id="235"/>
    <w:p>
      <w:pPr>
        <w:jc w:val="center"/>
        <w:ind w:left="17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ind w:left="1740"/>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21"/>
          <w:szCs w:val="21"/>
          <w:b w:val="1"/>
          <w:bCs w:val="1"/>
          <w:color w:val="auto"/>
        </w:rPr>
        <w:t>N</w:t>
      </w:r>
      <w:r>
        <w:rPr>
          <w:rFonts w:ascii="Arial" w:cs="Arial" w:eastAsia="Arial" w:hAnsi="Arial"/>
          <w:sz w:val="18"/>
          <w:szCs w:val="18"/>
          <w:b w:val="1"/>
          <w:bCs w:val="1"/>
          <w:color w:val="auto"/>
        </w:rPr>
        <w:t xml:space="preserve">OTICE OF </w:t>
      </w:r>
      <w:r>
        <w:rPr>
          <w:rFonts w:ascii="Arial" w:cs="Arial" w:eastAsia="Arial" w:hAnsi="Arial"/>
          <w:sz w:val="21"/>
          <w:szCs w:val="21"/>
          <w:b w:val="1"/>
          <w:bCs w:val="1"/>
          <w:color w:val="auto"/>
        </w:rPr>
        <w:t>P</w:t>
      </w:r>
      <w:r>
        <w:rPr>
          <w:rFonts w:ascii="Arial" w:cs="Arial" w:eastAsia="Arial" w:hAnsi="Arial"/>
          <w:sz w:val="18"/>
          <w:szCs w:val="18"/>
          <w:b w:val="1"/>
          <w:bCs w:val="1"/>
          <w:color w:val="auto"/>
        </w:rPr>
        <w:t>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217170</wp:posOffset>
            </wp:positionV>
            <wp:extent cx="7132320" cy="3346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FFFFFF"/>
        </w:rPr>
        <w:t>Matrix Selection and Compliance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Matrix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-142875</wp:posOffset>
            </wp:positionV>
            <wp:extent cx="745490"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pacing w:after="0" w:line="299" w:lineRule="exact"/>
        <w:rPr>
          <w:sz w:val="20"/>
          <w:szCs w:val="20"/>
          <w:color w:val="auto"/>
        </w:rPr>
      </w:pPr>
    </w:p>
    <w:p>
      <w:pPr>
        <w:jc w:val="both"/>
        <w:ind w:left="7000"/>
        <w:spacing w:after="0"/>
        <w:tabs>
          <w:tab w:leader="none" w:pos="8340" w:val="left"/>
        </w:tabs>
        <w:rPr>
          <w:sz w:val="20"/>
          <w:szCs w:val="20"/>
          <w:color w:val="auto"/>
        </w:rPr>
      </w:pPr>
      <w:r>
        <w:rPr>
          <w:rFonts w:ascii="Arial" w:cs="Arial" w:eastAsia="Arial" w:hAnsi="Arial"/>
          <w:sz w:val="20"/>
          <w:szCs w:val="20"/>
          <w:b w:val="1"/>
          <w:bCs w:val="1"/>
          <w:color w:val="auto"/>
        </w:rPr>
        <w:t>Current</w:t>
      </w:r>
      <w:r>
        <w:rPr>
          <w:sz w:val="20"/>
          <w:szCs w:val="20"/>
          <w:color w:val="auto"/>
        </w:rPr>
        <w:tab/>
      </w:r>
      <w:r>
        <w:rPr>
          <w:rFonts w:ascii="Arial" w:cs="Arial" w:eastAsia="Arial" w:hAnsi="Arial"/>
          <w:sz w:val="20"/>
          <w:szCs w:val="20"/>
          <w:b w:val="1"/>
          <w:bCs w:val="1"/>
          <w:color w:val="auto"/>
        </w:rPr>
        <w:t>Applicable</w:t>
      </w:r>
    </w:p>
    <w:p>
      <w:pPr>
        <w:spacing w:after="0" w:line="26" w:lineRule="exact"/>
        <w:rPr>
          <w:sz w:val="20"/>
          <w:szCs w:val="20"/>
          <w:color w:val="auto"/>
        </w:rPr>
      </w:pPr>
    </w:p>
    <w:p>
      <w:pPr>
        <w:ind w:left="8580"/>
        <w:spacing w:after="0"/>
        <w:rPr>
          <w:sz w:val="20"/>
          <w:szCs w:val="20"/>
          <w:color w:val="auto"/>
        </w:rPr>
      </w:pPr>
      <w:r>
        <w:rPr>
          <w:rFonts w:ascii="Arial" w:cs="Arial" w:eastAsia="Arial" w:hAnsi="Arial"/>
          <w:sz w:val="20"/>
          <w:szCs w:val="20"/>
          <w:b w:val="1"/>
          <w:bCs w:val="1"/>
          <w:color w:val="auto"/>
        </w:rPr>
        <w:t>Limit</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Advance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-142875</wp:posOffset>
            </wp:positionV>
            <wp:extent cx="180848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808480"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Weighted Average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-142875</wp:posOffset>
            </wp:positionV>
            <wp:extent cx="1808480" cy="1714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08480"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Diversity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-142875</wp:posOffset>
            </wp:positionV>
            <wp:extent cx="180848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08480"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Obligor Concentration</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Largest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-158115</wp:posOffset>
            </wp:positionV>
            <wp:extent cx="1808480" cy="13119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808480" cy="131191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Second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Third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Fourth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Fifth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Sixth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Seventh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All Others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Ratings Limitations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Percentage of Aggregate Collateral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-157480</wp:posOffset>
            </wp:positionV>
            <wp:extent cx="1808480" cy="3257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808480" cy="3257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rated B/B2 or better</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Loan Types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Senior B and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-157480</wp:posOffset>
            </wp:positionV>
            <wp:extent cx="1808480" cy="3346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08480" cy="33464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Second Lien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-151130</wp:posOffset>
            </wp:positionV>
            <wp:extent cx="85725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-151130</wp:posOffset>
            </wp:positionV>
            <wp:extent cx="85725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-160020</wp:posOffset>
            </wp:positionV>
            <wp:extent cx="857250" cy="3257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0" cy="325755"/>
                    </a:xfrm>
                    <a:prstGeom prst="rect">
                      <a:avLst/>
                    </a:prstGeom>
                    <a:noFill/>
                  </pic:spPr>
                </pic:pic>
              </a:graphicData>
            </a:graphic>
          </wp:anchor>
        </w:drawing>
      </w:r>
    </w:p>
    <w:p>
      <w:pPr>
        <w:sectPr>
          <w:pgSz w:w="11900" w:h="16838" w:orient="portrait"/>
          <w:cols w:equalWidth="0" w:num="2">
            <w:col w:w="9280" w:space="720"/>
            <w:col w:w="1020"/>
          </w:cols>
          <w:pgMar w:left="440" w:top="261" w:right="4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SSIGNMENT AND</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CCEPTANCE</w:t>
      </w:r>
      <w:r>
        <w:rPr>
          <w:rFonts w:ascii="Arial" w:cs="Arial" w:eastAsia="Arial" w:hAnsi="Arial"/>
          <w:sz w:val="22"/>
          <w:szCs w:val="22"/>
          <w:b w:val="1"/>
          <w:bCs w:val="1"/>
          <w:color w:val="auto"/>
        </w:rPr>
        <w:t>]</w:t>
      </w:r>
    </w:p>
    <w:p>
      <w:pPr>
        <w:spacing w:after="0" w:line="280"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color w:val="auto"/>
        </w:rPr>
        <w:t xml:space="preserve">Reference is made to the Third Amended and Restated Revolving Credit and Security Agreement dated as of May 22, 2015 (as the same may from time to time be amended, supplemented, waived or modified, the </w:t>
      </w:r>
      <w:r>
        <w:rPr>
          <w:rFonts w:ascii="Arial" w:cs="Arial" w:eastAsia="Arial" w:hAnsi="Arial"/>
          <w:sz w:val="19"/>
          <w:szCs w:val="19"/>
          <w:i w:val="1"/>
          <w:iCs w:val="1"/>
          <w:color w:val="auto"/>
        </w:rPr>
        <w:t>“Credit Agreement”</w:t>
      </w:r>
      <w:r>
        <w:rPr>
          <w:rFonts w:ascii="Arial" w:cs="Arial" w:eastAsia="Arial" w:hAnsi="Arial"/>
          <w:sz w:val="19"/>
          <w:szCs w:val="19"/>
          <w:color w:val="auto"/>
        </w:rPr>
        <w:t xml:space="preserve">) among [Insert Name of Assigning Lender] (the </w:t>
      </w:r>
      <w:r>
        <w:rPr>
          <w:rFonts w:ascii="Arial" w:cs="Arial" w:eastAsia="Arial" w:hAnsi="Arial"/>
          <w:sz w:val="19"/>
          <w:szCs w:val="19"/>
          <w:i w:val="1"/>
          <w:iCs w:val="1"/>
          <w:color w:val="auto"/>
        </w:rPr>
        <w:t>“Assignor”</w:t>
      </w:r>
      <w:r>
        <w:rPr>
          <w:rFonts w:ascii="Arial" w:cs="Arial" w:eastAsia="Arial" w:hAnsi="Arial"/>
          <w:sz w:val="19"/>
          <w:szCs w:val="19"/>
          <w:color w:val="auto"/>
        </w:rPr>
        <w:t xml:space="preserve">), PennantPark Floating Rate Funding I, LLC, a Delaware limited liability company, as borrower (the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PennantPark Investment Advisers, LLC, a Delaware limited liability company, as the collateral manager (together with its permitted successors and assigns, the </w:t>
      </w:r>
      <w:r>
        <w:rPr>
          <w:rFonts w:ascii="Arial" w:cs="Arial" w:eastAsia="Arial" w:hAnsi="Arial"/>
          <w:sz w:val="19"/>
          <w:szCs w:val="19"/>
          <w:i w:val="1"/>
          <w:iCs w:val="1"/>
          <w:color w:val="auto"/>
        </w:rPr>
        <w:t>“Collateral Manager”</w:t>
      </w:r>
      <w:r>
        <w:rPr>
          <w:rFonts w:ascii="Arial" w:cs="Arial" w:eastAsia="Arial" w:hAnsi="Arial"/>
          <w:sz w:val="19"/>
          <w:szCs w:val="19"/>
          <w:color w:val="auto"/>
        </w:rPr>
        <w:t xml:space="preserve">), the other Lenders from time to time party thereto; SunTrust Bank, as administrative agent for the Secured Parties (in such capacity, together with its successors and assigns, the </w:t>
      </w:r>
      <w:r>
        <w:rPr>
          <w:rFonts w:ascii="Arial" w:cs="Arial" w:eastAsia="Arial" w:hAnsi="Arial"/>
          <w:sz w:val="19"/>
          <w:szCs w:val="19"/>
          <w:i w:val="1"/>
          <w:iCs w:val="1"/>
          <w:color w:val="auto"/>
        </w:rPr>
        <w:t>“Administrative Agent”</w:t>
      </w:r>
      <w:r>
        <w:rPr>
          <w:rFonts w:ascii="Arial" w:cs="Arial" w:eastAsia="Arial" w:hAnsi="Arial"/>
          <w:sz w:val="19"/>
          <w:szCs w:val="19"/>
          <w:color w:val="auto"/>
        </w:rPr>
        <w:t>), S</w:t>
      </w:r>
      <w:r>
        <w:rPr>
          <w:rFonts w:ascii="Arial" w:cs="Arial" w:eastAsia="Arial" w:hAnsi="Arial"/>
          <w:sz w:val="15"/>
          <w:szCs w:val="15"/>
          <w:color w:val="auto"/>
        </w:rPr>
        <w:t>UN</w:t>
      </w:r>
      <w:r>
        <w:rPr>
          <w:rFonts w:ascii="Arial" w:cs="Arial" w:eastAsia="Arial" w:hAnsi="Arial"/>
          <w:sz w:val="19"/>
          <w:szCs w:val="19"/>
          <w:color w:val="auto"/>
        </w:rPr>
        <w:t>T</w:t>
      </w:r>
      <w:r>
        <w:rPr>
          <w:rFonts w:ascii="Arial" w:cs="Arial" w:eastAsia="Arial" w:hAnsi="Arial"/>
          <w:sz w:val="15"/>
          <w:szCs w:val="15"/>
          <w:color w:val="auto"/>
        </w:rPr>
        <w:t>RUST</w:t>
      </w:r>
      <w:r>
        <w:rPr>
          <w:rFonts w:ascii="Arial" w:cs="Arial" w:eastAsia="Arial" w:hAnsi="Arial"/>
          <w:sz w:val="19"/>
          <w:szCs w:val="19"/>
          <w:color w:val="auto"/>
        </w:rPr>
        <w:t xml:space="preserve"> B</w:t>
      </w:r>
      <w:r>
        <w:rPr>
          <w:rFonts w:ascii="Arial" w:cs="Arial" w:eastAsia="Arial" w:hAnsi="Arial"/>
          <w:sz w:val="15"/>
          <w:szCs w:val="15"/>
          <w:color w:val="auto"/>
        </w:rPr>
        <w:t>ANK</w:t>
      </w:r>
      <w:r>
        <w:rPr>
          <w:rFonts w:ascii="Arial" w:cs="Arial" w:eastAsia="Arial" w:hAnsi="Arial"/>
          <w:sz w:val="19"/>
          <w:szCs w:val="19"/>
          <w:color w:val="auto"/>
        </w:rPr>
        <w:t>, as the swingline lender (the “</w:t>
      </w:r>
      <w:r>
        <w:rPr>
          <w:rFonts w:ascii="Arial" w:cs="Arial" w:eastAsia="Arial" w:hAnsi="Arial"/>
          <w:sz w:val="19"/>
          <w:szCs w:val="19"/>
          <w:i w:val="1"/>
          <w:iCs w:val="1"/>
          <w:color w:val="auto"/>
        </w:rPr>
        <w:t>Swingline Lender</w:t>
      </w:r>
      <w:r>
        <w:rPr>
          <w:rFonts w:ascii="Arial" w:cs="Arial" w:eastAsia="Arial" w:hAnsi="Arial"/>
          <w:sz w:val="19"/>
          <w:szCs w:val="19"/>
          <w:color w:val="auto"/>
        </w:rPr>
        <w:t xml:space="preserve">”), U.S. Bank National Association, as collateral agent for the Secured Parties (in such capacity, together with its successors and assigns, the </w:t>
      </w:r>
      <w:r>
        <w:rPr>
          <w:rFonts w:ascii="Arial" w:cs="Arial" w:eastAsia="Arial" w:hAnsi="Arial"/>
          <w:sz w:val="19"/>
          <w:szCs w:val="19"/>
          <w:i w:val="1"/>
          <w:iCs w:val="1"/>
          <w:color w:val="auto"/>
        </w:rPr>
        <w:t>“Collateral Agent”</w:t>
      </w:r>
      <w:r>
        <w:rPr>
          <w:rFonts w:ascii="Arial" w:cs="Arial" w:eastAsia="Arial" w:hAnsi="Arial"/>
          <w:sz w:val="19"/>
          <w:szCs w:val="19"/>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Assignor and the “Assignee” referred to on Schedule I hereto agree as follows:</w:t>
      </w:r>
    </w:p>
    <w:p>
      <w:pPr>
        <w:spacing w:after="0" w:line="287" w:lineRule="exact"/>
        <w:rPr>
          <w:sz w:val="20"/>
          <w:szCs w:val="20"/>
          <w:color w:val="auto"/>
        </w:rPr>
      </w:pPr>
    </w:p>
    <w:p>
      <w:pPr>
        <w:jc w:val="both"/>
        <w:ind w:left="800" w:firstLine="1039"/>
        <w:spacing w:after="0" w:line="246" w:lineRule="auto"/>
        <w:tabs>
          <w:tab w:leader="none" w:pos="2367" w:val="left"/>
        </w:tabs>
        <w:numPr>
          <w:ilvl w:val="1"/>
          <w:numId w:val="301"/>
        </w:numPr>
        <w:rPr>
          <w:rFonts w:ascii="Arial" w:cs="Arial" w:eastAsia="Arial" w:hAnsi="Arial"/>
          <w:sz w:val="21"/>
          <w:szCs w:val="21"/>
          <w:color w:val="auto"/>
        </w:rPr>
      </w:pPr>
      <w:r>
        <w:rPr>
          <w:rFonts w:ascii="Arial" w:cs="Arial" w:eastAsia="Arial" w:hAnsi="Arial"/>
          <w:sz w:val="21"/>
          <w:szCs w:val="21"/>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21"/>
          <w:szCs w:val="21"/>
          <w:i w:val="1"/>
          <w:iCs w:val="1"/>
          <w:color w:val="auto"/>
        </w:rPr>
        <w:t>“Assigned Interests”</w:t>
      </w:r>
      <w:r>
        <w:rPr>
          <w:rFonts w:ascii="Arial" w:cs="Arial" w:eastAsia="Arial" w:hAnsi="Arial"/>
          <w:sz w:val="21"/>
          <w:szCs w:val="21"/>
          <w:color w:val="auto"/>
        </w:rPr>
        <w:t>). After giving effect to such sale, assignment and assumption, the Assignee’s “Percentage”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as set forth on Schedule I hereto.</w:t>
      </w:r>
    </w:p>
    <w:p>
      <w:pPr>
        <w:spacing w:after="0" w:line="247" w:lineRule="exact"/>
        <w:rPr>
          <w:rFonts w:ascii="Arial" w:cs="Arial" w:eastAsia="Arial" w:hAnsi="Arial"/>
          <w:sz w:val="21"/>
          <w:szCs w:val="21"/>
          <w:color w:val="auto"/>
        </w:rPr>
      </w:pPr>
    </w:p>
    <w:p>
      <w:pPr>
        <w:jc w:val="both"/>
        <w:ind w:left="800" w:firstLine="1039"/>
        <w:spacing w:after="0" w:line="269" w:lineRule="auto"/>
        <w:tabs>
          <w:tab w:leader="none" w:pos="2334" w:val="left"/>
        </w:tabs>
        <w:numPr>
          <w:ilvl w:val="1"/>
          <w:numId w:val="301"/>
        </w:numPr>
        <w:rPr>
          <w:rFonts w:ascii="Arial" w:cs="Arial" w:eastAsia="Arial" w:hAnsi="Arial"/>
          <w:sz w:val="19"/>
          <w:szCs w:val="19"/>
          <w:color w:val="auto"/>
        </w:rPr>
      </w:pPr>
      <w:r>
        <w:rPr>
          <w:rFonts w:ascii="Arial" w:cs="Arial" w:eastAsia="Arial" w:hAnsi="Arial"/>
          <w:sz w:val="19"/>
          <w:szCs w:val="19"/>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w:t>
      </w:r>
    </w:p>
    <w:p>
      <w:pPr>
        <w:spacing w:after="0" w:line="4" w:lineRule="exact"/>
        <w:rPr>
          <w:rFonts w:ascii="Arial" w:cs="Arial" w:eastAsia="Arial" w:hAnsi="Arial"/>
          <w:sz w:val="19"/>
          <w:szCs w:val="19"/>
          <w:color w:val="auto"/>
        </w:rPr>
      </w:pPr>
    </w:p>
    <w:p>
      <w:pPr>
        <w:jc w:val="both"/>
        <w:ind w:left="800" w:hanging="6"/>
        <w:spacing w:after="0" w:line="233" w:lineRule="auto"/>
        <w:tabs>
          <w:tab w:leader="none" w:pos="1218" w:val="left"/>
        </w:tabs>
        <w:numPr>
          <w:ilvl w:val="0"/>
          <w:numId w:val="302"/>
        </w:numPr>
        <w:rPr>
          <w:rFonts w:ascii="Arial" w:cs="Arial" w:eastAsia="Arial" w:hAnsi="Arial"/>
          <w:sz w:val="22"/>
          <w:szCs w:val="22"/>
          <w:color w:val="auto"/>
        </w:rPr>
      </w:pPr>
      <w:r>
        <w:rPr>
          <w:rFonts w:ascii="Arial" w:cs="Arial" w:eastAsia="Arial" w:hAnsi="Arial"/>
          <w:sz w:val="22"/>
          <w:szCs w:val="22"/>
          <w:color w:val="auto"/>
        </w:rPr>
        <w:t>makes no representation or warranty and assumes no responsibility with respect to the condition (financial or otherwise) of the Borrower, the Administrative Agent, the Collateral Manager or any other Person, or the performance or observance by any Person of any of its obligations under any Facility Document or any instrument or document furnished pursuant thereto.</w:t>
      </w:r>
    </w:p>
    <w:p>
      <w:pPr>
        <w:sectPr>
          <w:pgSz w:w="11900" w:h="16838" w:orient="portrait"/>
          <w:cols w:equalWidth="0" w:num="1">
            <w:col w:w="11240"/>
          </w:cols>
          <w:pgMar w:left="320" w:top="261" w:right="339" w:bottom="1440" w:gutter="0" w:footer="0" w:header="0"/>
        </w:sectPr>
      </w:pPr>
    </w:p>
    <w:bookmarkStart w:id="237" w:name="page238"/>
    <w:bookmarkEnd w:id="237"/>
    <w:p>
      <w:pPr>
        <w:jc w:val="both"/>
        <w:ind w:left="-320" w:firstLine="1039"/>
        <w:spacing w:after="0" w:line="273" w:lineRule="auto"/>
        <w:tabs>
          <w:tab w:leader="none" w:pos="1284" w:val="left"/>
        </w:tabs>
        <w:numPr>
          <w:ilvl w:val="1"/>
          <w:numId w:val="303"/>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Assignee (i) confirms that it has received a copy of the Credit Agreement and the other Facility Documents, together with copies of any financial statements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of the Credit Agreement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222" w:lineRule="exact"/>
        <w:rPr>
          <w:rFonts w:ascii="Arial" w:cs="Arial" w:eastAsia="Arial" w:hAnsi="Arial"/>
          <w:sz w:val="19"/>
          <w:szCs w:val="19"/>
          <w:color w:val="auto"/>
        </w:rPr>
      </w:pPr>
    </w:p>
    <w:p>
      <w:pPr>
        <w:jc w:val="both"/>
        <w:ind w:left="-320" w:firstLine="1039"/>
        <w:spacing w:after="0" w:line="238" w:lineRule="auto"/>
        <w:tabs>
          <w:tab w:leader="none" w:pos="1398" w:val="left"/>
        </w:tabs>
        <w:numPr>
          <w:ilvl w:val="1"/>
          <w:numId w:val="303"/>
        </w:numPr>
        <w:rPr>
          <w:rFonts w:ascii="Arial" w:cs="Arial" w:eastAsia="Arial" w:hAnsi="Arial"/>
          <w:sz w:val="22"/>
          <w:szCs w:val="22"/>
          <w:color w:val="auto"/>
        </w:rPr>
      </w:pPr>
      <w:r>
        <w:rPr>
          <w:rFonts w:ascii="Arial" w:cs="Arial" w:eastAsia="Arial" w:hAnsi="Arial"/>
          <w:sz w:val="22"/>
          <w:szCs w:val="22"/>
          <w:color w:val="auto"/>
        </w:rPr>
        <w:t>The Assignee, by checking the box below, (i) acknowledges that it is required to be a Qualified Purchaser for purposes of the Investment Company Act at the time it becomes a Lender and on each date on which an Advance is made under the Credit Agreement and (ii) represents and warrants to the Assignor, the Borrower and the Agents that the Assignee is a Qualified Purchaser:</w:t>
      </w:r>
    </w:p>
    <w:p>
      <w:pPr>
        <w:spacing w:after="0" w:line="306" w:lineRule="exact"/>
        <w:rPr>
          <w:rFonts w:ascii="Arial" w:cs="Arial" w:eastAsia="Arial" w:hAnsi="Arial"/>
          <w:sz w:val="22"/>
          <w:szCs w:val="22"/>
          <w:color w:val="auto"/>
        </w:rPr>
      </w:pPr>
    </w:p>
    <w:p>
      <w:pPr>
        <w:ind w:left="1340" w:hanging="886"/>
        <w:spacing w:after="0"/>
        <w:tabs>
          <w:tab w:leader="none" w:pos="1340" w:val="left"/>
        </w:tabs>
        <w:numPr>
          <w:ilvl w:val="0"/>
          <w:numId w:val="303"/>
        </w:numPr>
        <w:rPr>
          <w:rFonts w:ascii="MS PGothic" w:cs="MS PGothic" w:eastAsia="MS PGothic" w:hAnsi="MS PGothic"/>
          <w:sz w:val="21"/>
          <w:szCs w:val="21"/>
          <w:color w:val="auto"/>
        </w:rPr>
      </w:pPr>
      <w:r>
        <w:rPr>
          <w:rFonts w:ascii="Arial" w:cs="Arial" w:eastAsia="Arial" w:hAnsi="Arial"/>
          <w:sz w:val="21"/>
          <w:szCs w:val="21"/>
          <w:color w:val="auto"/>
        </w:rPr>
        <w:t>By checking this box, the Assignee represents and warrants that it is a Qualified Purchaser.</w:t>
      </w:r>
    </w:p>
    <w:p>
      <w:pPr>
        <w:spacing w:after="0" w:line="312" w:lineRule="exact"/>
        <w:rPr>
          <w:rFonts w:ascii="MS PGothic" w:cs="MS PGothic" w:eastAsia="MS PGothic" w:hAnsi="MS PGothic"/>
          <w:sz w:val="21"/>
          <w:szCs w:val="21"/>
          <w:color w:val="auto"/>
        </w:rPr>
      </w:pPr>
    </w:p>
    <w:p>
      <w:pPr>
        <w:jc w:val="both"/>
        <w:ind w:left="-320" w:firstLine="1039"/>
        <w:spacing w:after="0" w:line="238" w:lineRule="auto"/>
        <w:tabs>
          <w:tab w:leader="none" w:pos="1231" w:val="left"/>
        </w:tabs>
        <w:numPr>
          <w:ilvl w:val="1"/>
          <w:numId w:val="304"/>
        </w:numPr>
        <w:rPr>
          <w:rFonts w:ascii="Arial" w:cs="Arial" w:eastAsia="Arial" w:hAnsi="Arial"/>
          <w:sz w:val="22"/>
          <w:szCs w:val="22"/>
          <w:color w:val="auto"/>
        </w:rPr>
      </w:pPr>
      <w:r>
        <w:rPr>
          <w:rFonts w:ascii="Arial" w:cs="Arial" w:eastAsia="Arial" w:hAnsi="Arial"/>
          <w:sz w:val="22"/>
          <w:szCs w:val="22"/>
          <w:color w:val="auto"/>
        </w:rPr>
        <w:t xml:space="preserve">Following the execution of this Assignment and Acceptance, it will be delivered to the Administrative Agent for acceptance and recording by the Administrative Agent. The effective date for this Assignment and Acceptance (the </w:t>
      </w:r>
      <w:r>
        <w:rPr>
          <w:rFonts w:ascii="Arial" w:cs="Arial" w:eastAsia="Arial" w:hAnsi="Arial"/>
          <w:sz w:val="22"/>
          <w:szCs w:val="22"/>
          <w:i w:val="1"/>
          <w:iCs w:val="1"/>
          <w:color w:val="auto"/>
        </w:rPr>
        <w:t>“Effective Date”</w:t>
      </w:r>
      <w:r>
        <w:rPr>
          <w:rFonts w:ascii="Arial" w:cs="Arial" w:eastAsia="Arial" w:hAnsi="Arial"/>
          <w:sz w:val="22"/>
          <w:szCs w:val="22"/>
          <w:color w:val="auto"/>
        </w:rPr>
        <w:t>) shall be the date of acceptance hereof by the Administrative Agent, unless a later effective date is specified on Schedule I hereto.</w:t>
      </w:r>
    </w:p>
    <w:p>
      <w:pPr>
        <w:spacing w:after="0" w:line="252" w:lineRule="exact"/>
        <w:rPr>
          <w:rFonts w:ascii="Arial" w:cs="Arial" w:eastAsia="Arial" w:hAnsi="Arial"/>
          <w:sz w:val="22"/>
          <w:szCs w:val="22"/>
          <w:color w:val="auto"/>
        </w:rPr>
      </w:pPr>
    </w:p>
    <w:p>
      <w:pPr>
        <w:jc w:val="both"/>
        <w:ind w:left="-320" w:firstLine="1039"/>
        <w:spacing w:after="0" w:line="277" w:lineRule="auto"/>
        <w:tabs>
          <w:tab w:leader="none" w:pos="1334" w:val="left"/>
        </w:tabs>
        <w:numPr>
          <w:ilvl w:val="1"/>
          <w:numId w:val="304"/>
        </w:numPr>
        <w:rPr>
          <w:rFonts w:ascii="Arial" w:cs="Arial" w:eastAsia="Arial" w:hAnsi="Arial"/>
          <w:sz w:val="19"/>
          <w:szCs w:val="19"/>
          <w:color w:val="auto"/>
        </w:rPr>
      </w:pPr>
      <w:r>
        <w:rPr>
          <w:rFonts w:ascii="Arial" w:cs="Arial" w:eastAsia="Arial" w:hAnsi="Arial"/>
          <w:sz w:val="19"/>
          <w:szCs w:val="19"/>
          <w:color w:val="auto"/>
        </w:rPr>
        <w:t xml:space="preserve">Upon such acceptance and recording by the Administrative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w:t>
      </w:r>
      <w:r>
        <w:rPr>
          <w:rFonts w:ascii="Arial" w:cs="Arial" w:eastAsia="Arial" w:hAnsi="Arial"/>
          <w:sz w:val="19"/>
          <w:szCs w:val="19"/>
          <w:u w:val="single" w:color="auto"/>
          <w:color w:val="auto"/>
        </w:rPr>
        <w:t>Section 15.04</w:t>
      </w:r>
      <w:r>
        <w:rPr>
          <w:rFonts w:ascii="Arial" w:cs="Arial" w:eastAsia="Arial" w:hAnsi="Arial"/>
          <w:sz w:val="19"/>
          <w:szCs w:val="19"/>
          <w:color w:val="auto"/>
        </w:rPr>
        <w:t xml:space="preserve"> thereof, and (iii) the Assignor shall, to the extent provided in this Assignment and Acceptance, relinquish its rights and be released from its obligations under the Credit Agreement and under any other Facility Document.</w:t>
      </w:r>
    </w:p>
    <w:p>
      <w:pPr>
        <w:spacing w:after="0" w:line="219" w:lineRule="exact"/>
        <w:rPr>
          <w:rFonts w:ascii="Arial" w:cs="Arial" w:eastAsia="Arial" w:hAnsi="Arial"/>
          <w:sz w:val="19"/>
          <w:szCs w:val="19"/>
          <w:color w:val="auto"/>
        </w:rPr>
      </w:pPr>
    </w:p>
    <w:p>
      <w:pPr>
        <w:ind w:left="-320" w:firstLine="1039"/>
        <w:spacing w:after="0" w:line="250" w:lineRule="auto"/>
        <w:tabs>
          <w:tab w:leader="none" w:pos="1267" w:val="left"/>
        </w:tabs>
        <w:numPr>
          <w:ilvl w:val="1"/>
          <w:numId w:val="304"/>
        </w:numPr>
        <w:rPr>
          <w:rFonts w:ascii="Arial" w:cs="Arial" w:eastAsia="Arial" w:hAnsi="Arial"/>
          <w:sz w:val="22"/>
          <w:szCs w:val="22"/>
          <w:color w:val="auto"/>
        </w:rPr>
      </w:pPr>
      <w:r>
        <w:rPr>
          <w:rFonts w:ascii="Arial" w:cs="Arial" w:eastAsia="Arial" w:hAnsi="Arial"/>
          <w:sz w:val="22"/>
          <w:szCs w:val="22"/>
          <w:color w:val="auto"/>
        </w:rPr>
        <w:t>Upon such acceptance and recording by the Administrative Agent, from and after the Effective Date, the Borrower shall make all payments under the Credit</w:t>
      </w:r>
    </w:p>
    <w:p>
      <w:pPr>
        <w:spacing w:after="0" w:line="10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20"/>
          </w:cols>
          <w:pgMar w:left="1440" w:top="267" w:right="339" w:bottom="1440" w:gutter="0" w:footer="0" w:header="0"/>
        </w:sectPr>
      </w:pPr>
    </w:p>
    <w:bookmarkStart w:id="238" w:name="page239"/>
    <w:bookmarkEnd w:id="238"/>
    <w:p>
      <w:pPr>
        <w:jc w:val="both"/>
        <w:ind w:left="8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in respect of the Assigned Interest to the Assignee. The Assignor and Assignee shall make all appropriate adjustments in payments under the Credit Agreement and the Assigned Interests for periods prior to the Effective Date directly between themselves.</w:t>
      </w:r>
    </w:p>
    <w:p>
      <w:pPr>
        <w:spacing w:after="0" w:line="254" w:lineRule="exact"/>
        <w:rPr>
          <w:sz w:val="20"/>
          <w:szCs w:val="20"/>
          <w:color w:val="auto"/>
        </w:rPr>
      </w:pPr>
    </w:p>
    <w:p>
      <w:pPr>
        <w:ind w:left="800" w:firstLine="1039"/>
        <w:spacing w:after="0" w:line="250" w:lineRule="auto"/>
        <w:tabs>
          <w:tab w:leader="none" w:pos="2355"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This Assignment and Acceptance shall be governed by, and construed in accordance with, the internal laws of the State of New York.</w:t>
      </w:r>
    </w:p>
    <w:p>
      <w:pPr>
        <w:spacing w:after="0" w:line="255" w:lineRule="exact"/>
        <w:rPr>
          <w:rFonts w:ascii="Arial" w:cs="Arial" w:eastAsia="Arial" w:hAnsi="Arial"/>
          <w:sz w:val="22"/>
          <w:szCs w:val="22"/>
          <w:color w:val="auto"/>
        </w:rPr>
      </w:pPr>
    </w:p>
    <w:p>
      <w:pPr>
        <w:jc w:val="both"/>
        <w:ind w:left="800" w:firstLine="1039"/>
        <w:spacing w:after="0" w:line="236" w:lineRule="auto"/>
        <w:tabs>
          <w:tab w:leader="none" w:pos="2456"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w:t>
      </w:r>
    </w:p>
    <w:p>
      <w:pPr>
        <w:spacing w:after="0" w:line="255" w:lineRule="exact"/>
        <w:rPr>
          <w:sz w:val="20"/>
          <w:szCs w:val="20"/>
          <w:color w:val="auto"/>
        </w:rPr>
      </w:pPr>
    </w:p>
    <w:p>
      <w:pPr>
        <w:ind w:right="20" w:firstLine="786"/>
        <w:spacing w:after="0" w:line="250" w:lineRule="auto"/>
        <w:rPr>
          <w:sz w:val="20"/>
          <w:szCs w:val="20"/>
          <w:color w:val="auto"/>
        </w:rPr>
      </w:pPr>
      <w:r>
        <w:rPr>
          <w:rFonts w:ascii="Arial" w:cs="Arial" w:eastAsia="Arial" w:hAnsi="Arial"/>
          <w:sz w:val="22"/>
          <w:szCs w:val="22"/>
          <w:color w:val="auto"/>
        </w:rPr>
        <w:t>I</w:t>
      </w:r>
      <w:r>
        <w:rPr>
          <w:rFonts w:ascii="Arial" w:cs="Arial" w:eastAsia="Arial" w:hAnsi="Arial"/>
          <w:sz w:val="17"/>
          <w:szCs w:val="17"/>
          <w:color w:val="auto"/>
        </w:rPr>
        <w:t>N</w:t>
      </w:r>
      <w:r>
        <w:rPr>
          <w:rFonts w:ascii="Arial" w:cs="Arial" w:eastAsia="Arial" w:hAnsi="Arial"/>
          <w:sz w:val="22"/>
          <w:szCs w:val="22"/>
          <w:color w:val="auto"/>
        </w:rPr>
        <w:t xml:space="preserve"> W</w:t>
      </w:r>
      <w:r>
        <w:rPr>
          <w:rFonts w:ascii="Arial" w:cs="Arial" w:eastAsia="Arial" w:hAnsi="Arial"/>
          <w:sz w:val="17"/>
          <w:szCs w:val="17"/>
          <w:color w:val="auto"/>
        </w:rPr>
        <w:t>ITNESS</w:t>
      </w:r>
      <w:r>
        <w:rPr>
          <w:rFonts w:ascii="Arial" w:cs="Arial" w:eastAsia="Arial" w:hAnsi="Arial"/>
          <w:sz w:val="22"/>
          <w:szCs w:val="22"/>
          <w:color w:val="auto"/>
        </w:rPr>
        <w:t xml:space="preserve"> W</w:t>
      </w:r>
      <w:r>
        <w:rPr>
          <w:rFonts w:ascii="Arial" w:cs="Arial" w:eastAsia="Arial" w:hAnsi="Arial"/>
          <w:sz w:val="17"/>
          <w:szCs w:val="17"/>
          <w:color w:val="auto"/>
        </w:rPr>
        <w:t>HEREOF</w:t>
      </w:r>
      <w:r>
        <w:rPr>
          <w:rFonts w:ascii="Arial" w:cs="Arial" w:eastAsia="Arial" w:hAnsi="Arial"/>
          <w:sz w:val="22"/>
          <w:szCs w:val="22"/>
          <w:color w:val="auto"/>
        </w:rPr>
        <w:t>, the Assignor and the Assignee have caused Schedule I to this Assignment and Acceptance to be executed by their officers thereunto duly authorized as of the date specified thereon.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267" w:right="339" w:bottom="1440" w:gutter="0" w:footer="0" w:header="0"/>
        </w:sectPr>
      </w:pPr>
    </w:p>
    <w:bookmarkStart w:id="239" w:name="page240"/>
    <w:bookmarkEnd w:id="239"/>
    <w:p>
      <w:pPr>
        <w:ind w:left="50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I</w:t>
      </w:r>
    </w:p>
    <w:p>
      <w:pPr>
        <w:spacing w:after="0" w:line="280" w:lineRule="exact"/>
        <w:rPr>
          <w:sz w:val="20"/>
          <w:szCs w:val="20"/>
          <w:color w:val="auto"/>
        </w:rPr>
      </w:pPr>
    </w:p>
    <w:p>
      <w:pPr>
        <w:spacing w:after="0"/>
        <w:tabs>
          <w:tab w:leader="none" w:pos="4920" w:val="left"/>
        </w:tabs>
        <w:rPr>
          <w:sz w:val="20"/>
          <w:szCs w:val="20"/>
          <w:color w:val="auto"/>
        </w:rPr>
      </w:pPr>
      <w:r>
        <w:rPr>
          <w:rFonts w:ascii="Arial" w:cs="Arial" w:eastAsia="Arial" w:hAnsi="Arial"/>
          <w:sz w:val="22"/>
          <w:szCs w:val="22"/>
          <w:color w:val="auto"/>
        </w:rPr>
        <w:t>Percentage interest transferred by Assignor:</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2446655</wp:posOffset>
            </wp:positionH>
            <wp:positionV relativeFrom="paragraph">
              <wp:posOffset>-17780</wp:posOffset>
            </wp:positionV>
            <wp:extent cx="6858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67"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SSIGNOR</w:t>
      </w:r>
      <w:r>
        <w:rPr>
          <w:rFonts w:ascii="Arial" w:cs="Arial" w:eastAsia="Arial" w:hAnsi="Arial"/>
          <w:sz w:val="22"/>
          <w:szCs w:val="22"/>
          <w:color w:val="auto"/>
        </w:rPr>
        <w:t>:</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21"/>
          <w:szCs w:val="21"/>
          <w:color w:val="auto"/>
        </w:rPr>
        <w:t>[I</w:t>
      </w:r>
      <w:r>
        <w:rPr>
          <w:rFonts w:ascii="Arial" w:cs="Arial" w:eastAsia="Arial" w:hAnsi="Arial"/>
          <w:sz w:val="16"/>
          <w:szCs w:val="16"/>
          <w:color w:val="auto"/>
        </w:rPr>
        <w:t>NSERT</w:t>
      </w:r>
      <w:r>
        <w:rPr>
          <w:rFonts w:ascii="Arial" w:cs="Arial" w:eastAsia="Arial" w:hAnsi="Arial"/>
          <w:sz w:val="21"/>
          <w:szCs w:val="21"/>
          <w:color w:val="auto"/>
        </w:rPr>
        <w:t xml:space="preserve"> N</w:t>
      </w:r>
      <w:r>
        <w:rPr>
          <w:rFonts w:ascii="Arial" w:cs="Arial" w:eastAsia="Arial" w:hAnsi="Arial"/>
          <w:sz w:val="16"/>
          <w:szCs w:val="16"/>
          <w:color w:val="auto"/>
        </w:rPr>
        <w:t>AME</w:t>
      </w:r>
      <w:r>
        <w:rPr>
          <w:rFonts w:ascii="Arial" w:cs="Arial" w:eastAsia="Arial" w:hAnsi="Arial"/>
          <w:sz w:val="21"/>
          <w:szCs w:val="21"/>
          <w:color w:val="auto"/>
        </w:rPr>
        <w:t xml:space="preserve"> O</w:t>
      </w:r>
      <w:r>
        <w:rPr>
          <w:rFonts w:ascii="Arial" w:cs="Arial" w:eastAsia="Arial" w:hAnsi="Arial"/>
          <w:sz w:val="16"/>
          <w:szCs w:val="16"/>
          <w:color w:val="auto"/>
        </w:rPr>
        <w:t>F</w:t>
      </w:r>
      <w:r>
        <w:rPr>
          <w:rFonts w:ascii="Arial" w:cs="Arial" w:eastAsia="Arial" w:hAnsi="Arial"/>
          <w:sz w:val="21"/>
          <w:szCs w:val="21"/>
          <w:color w:val="auto"/>
        </w:rPr>
        <w:t xml:space="preserve"> A</w:t>
      </w:r>
      <w:r>
        <w:rPr>
          <w:rFonts w:ascii="Arial" w:cs="Arial" w:eastAsia="Arial" w:hAnsi="Arial"/>
          <w:sz w:val="16"/>
          <w:szCs w:val="16"/>
          <w:color w:val="auto"/>
        </w:rPr>
        <w:t>SSIGNOR</w:t>
      </w:r>
      <w:r>
        <w:rPr>
          <w:rFonts w:ascii="Arial" w:cs="Arial" w:eastAsia="Arial" w:hAnsi="Arial"/>
          <w:sz w:val="21"/>
          <w:szCs w:val="21"/>
          <w:color w:val="auto"/>
        </w:rPr>
        <w:t>], as Assignor</w:t>
      </w:r>
    </w:p>
    <w:p>
      <w:pPr>
        <w:spacing w:after="0" w:line="32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6985</wp:posOffset>
            </wp:positionV>
            <wp:extent cx="26403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Authorized Signatory</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SSIGNEE</w:t>
      </w:r>
      <w:r>
        <w:rPr>
          <w:rFonts w:ascii="Arial" w:cs="Arial" w:eastAsia="Arial" w:hAnsi="Arial"/>
          <w:sz w:val="22"/>
          <w:szCs w:val="22"/>
          <w:color w:val="auto"/>
        </w:rPr>
        <w:t>:</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21"/>
          <w:szCs w:val="21"/>
          <w:color w:val="auto"/>
        </w:rPr>
        <w:t>[I</w:t>
      </w:r>
      <w:r>
        <w:rPr>
          <w:rFonts w:ascii="Arial" w:cs="Arial" w:eastAsia="Arial" w:hAnsi="Arial"/>
          <w:sz w:val="16"/>
          <w:szCs w:val="16"/>
          <w:color w:val="auto"/>
        </w:rPr>
        <w:t>NSERT</w:t>
      </w:r>
      <w:r>
        <w:rPr>
          <w:rFonts w:ascii="Arial" w:cs="Arial" w:eastAsia="Arial" w:hAnsi="Arial"/>
          <w:sz w:val="21"/>
          <w:szCs w:val="21"/>
          <w:color w:val="auto"/>
        </w:rPr>
        <w:t xml:space="preserve"> N</w:t>
      </w:r>
      <w:r>
        <w:rPr>
          <w:rFonts w:ascii="Arial" w:cs="Arial" w:eastAsia="Arial" w:hAnsi="Arial"/>
          <w:sz w:val="16"/>
          <w:szCs w:val="16"/>
          <w:color w:val="auto"/>
        </w:rPr>
        <w:t>AME OF</w:t>
      </w:r>
      <w:r>
        <w:rPr>
          <w:rFonts w:ascii="Arial" w:cs="Arial" w:eastAsia="Arial" w:hAnsi="Arial"/>
          <w:sz w:val="21"/>
          <w:szCs w:val="21"/>
          <w:color w:val="auto"/>
        </w:rPr>
        <w:t xml:space="preserve"> A</w:t>
      </w:r>
      <w:r>
        <w:rPr>
          <w:rFonts w:ascii="Arial" w:cs="Arial" w:eastAsia="Arial" w:hAnsi="Arial"/>
          <w:sz w:val="16"/>
          <w:szCs w:val="16"/>
          <w:color w:val="auto"/>
        </w:rPr>
        <w:t>SSIGNEE</w:t>
      </w:r>
      <w:r>
        <w:rPr>
          <w:rFonts w:ascii="Arial" w:cs="Arial" w:eastAsia="Arial" w:hAnsi="Arial"/>
          <w:sz w:val="21"/>
          <w:szCs w:val="21"/>
          <w:color w:val="auto"/>
        </w:rPr>
        <w:t>] as Assignee</w:t>
      </w:r>
    </w:p>
    <w:p>
      <w:pPr>
        <w:spacing w:after="0" w:line="32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6985</wp:posOffset>
            </wp:positionV>
            <wp:extent cx="264033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40" w:type="dxa"/>
            <w:vAlign w:val="bottom"/>
            <w:gridSpan w:val="2"/>
          </w:tcPr>
          <w:p>
            <w:pPr>
              <w:spacing w:after="0"/>
              <w:rPr>
                <w:sz w:val="20"/>
                <w:szCs w:val="20"/>
                <w:color w:val="auto"/>
              </w:rPr>
            </w:pPr>
            <w:r>
              <w:rPr>
                <w:rFonts w:ascii="Arial" w:cs="Arial" w:eastAsia="Arial" w:hAnsi="Arial"/>
                <w:sz w:val="22"/>
                <w:szCs w:val="22"/>
                <w:color w:val="auto"/>
                <w:w w:val="92"/>
              </w:rPr>
              <w:t>Accepted this</w:t>
            </w:r>
          </w:p>
        </w:tc>
        <w:tc>
          <w:tcPr>
            <w:tcW w:w="3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gridSpan w:val="3"/>
          </w:tcPr>
          <w:p>
            <w:pPr>
              <w:ind w:left="20"/>
              <w:spacing w:after="0"/>
              <w:rPr>
                <w:sz w:val="20"/>
                <w:szCs w:val="20"/>
                <w:color w:val="auto"/>
              </w:rPr>
            </w:pPr>
            <w:r>
              <w:rPr>
                <w:rFonts w:ascii="Arial" w:cs="Arial" w:eastAsia="Arial" w:hAnsi="Arial"/>
                <w:sz w:val="22"/>
                <w:szCs w:val="22"/>
                <w:color w:val="auto"/>
                <w:w w:val="96"/>
              </w:rPr>
              <w:t>day of</w:t>
            </w:r>
          </w:p>
        </w:tc>
        <w:tc>
          <w:tcPr>
            <w:tcW w:w="860" w:type="dxa"/>
            <w:vAlign w:val="bottom"/>
            <w:tcBorders>
              <w:bottom w:val="single" w:sz="8" w:color="auto"/>
            </w:tcBorders>
            <w:gridSpan w:val="2"/>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w w:val="85"/>
              </w:rPr>
              <w:t>, 201</w:t>
            </w:r>
          </w:p>
        </w:tc>
        <w:tc>
          <w:tcPr>
            <w:tcW w:w="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49"/>
        </w:trPr>
        <w:tc>
          <w:tcPr>
            <w:tcW w:w="4440" w:type="dxa"/>
            <w:vAlign w:val="bottom"/>
            <w:gridSpan w:val="14"/>
          </w:tcPr>
          <w:p>
            <w:pP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UN</w:t>
            </w:r>
            <w:r>
              <w:rPr>
                <w:rFonts w:ascii="Arial" w:cs="Arial" w:eastAsia="Arial" w:hAnsi="Arial"/>
                <w:sz w:val="22"/>
                <w:szCs w:val="22"/>
                <w:color w:val="auto"/>
              </w:rPr>
              <w:t>T</w:t>
            </w:r>
            <w:r>
              <w:rPr>
                <w:rFonts w:ascii="Arial" w:cs="Arial" w:eastAsia="Arial" w:hAnsi="Arial"/>
                <w:sz w:val="17"/>
                <w:szCs w:val="17"/>
                <w:color w:val="auto"/>
              </w:rPr>
              <w:t>RUST</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 as Administrative Agent</w:t>
            </w:r>
          </w:p>
        </w:tc>
      </w:tr>
      <w:tr>
        <w:trPr>
          <w:trHeight w:val="557"/>
        </w:trPr>
        <w:tc>
          <w:tcPr>
            <w:tcW w:w="1600" w:type="dxa"/>
            <w:vAlign w:val="bottom"/>
            <w:gridSpan w:val="4"/>
          </w:tcPr>
          <w:p>
            <w:pPr>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68"/>
        </w:trPr>
        <w:tc>
          <w:tcPr>
            <w:tcW w:w="380" w:type="dxa"/>
            <w:vAlign w:val="bottom"/>
          </w:tcPr>
          <w:p>
            <w:pPr>
              <w:spacing w:after="0"/>
              <w:rPr>
                <w:sz w:val="23"/>
                <w:szCs w:val="23"/>
                <w:color w:val="auto"/>
              </w:rPr>
            </w:pPr>
          </w:p>
        </w:tc>
        <w:tc>
          <w:tcPr>
            <w:tcW w:w="270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Authorized Signatory</w:t>
            </w: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r>
      <w:tr>
        <w:trPr>
          <w:trHeight w:val="441"/>
        </w:trPr>
        <w:tc>
          <w:tcPr>
            <w:tcW w:w="1600" w:type="dxa"/>
            <w:vAlign w:val="bottom"/>
            <w:gridSpan w:val="4"/>
          </w:tcPr>
          <w:p>
            <w:pPr>
              <w:spacing w:after="0"/>
              <w:rPr>
                <w:sz w:val="20"/>
                <w:szCs w:val="20"/>
                <w:color w:val="auto"/>
              </w:rPr>
            </w:pPr>
            <w:r>
              <w:rPr>
                <w:rFonts w:ascii="Arial" w:cs="Arial" w:eastAsia="Arial" w:hAnsi="Arial"/>
                <w:sz w:val="22"/>
                <w:szCs w:val="22"/>
                <w:color w:val="auto"/>
                <w:w w:val="89"/>
              </w:rPr>
              <w:t>[Consented to this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22"/>
                <w:szCs w:val="22"/>
                <w:color w:val="auto"/>
                <w:w w:val="96"/>
              </w:rPr>
              <w:t>day of</w:t>
            </w:r>
          </w:p>
        </w:tc>
        <w:tc>
          <w:tcPr>
            <w:tcW w:w="4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22"/>
                <w:szCs w:val="22"/>
                <w:color w:val="auto"/>
              </w:rPr>
              <w:t>, 201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tabs>
          <w:tab w:leader="none" w:pos="3220" w:val="left"/>
          <w:tab w:leader="none" w:pos="4220" w:val="left"/>
        </w:tabs>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F</w:t>
      </w:r>
      <w:r>
        <w:rPr>
          <w:rFonts w:ascii="Arial" w:cs="Arial" w:eastAsia="Arial" w:hAnsi="Arial"/>
          <w:sz w:val="17"/>
          <w:szCs w:val="17"/>
          <w:color w:val="auto"/>
        </w:rPr>
        <w:t>LOATING</w:t>
      </w:r>
      <w:r>
        <w:rPr>
          <w:rFonts w:ascii="Arial" w:cs="Arial" w:eastAsia="Arial" w:hAnsi="Arial"/>
          <w:sz w:val="22"/>
          <w:szCs w:val="22"/>
          <w:color w:val="auto"/>
        </w:rPr>
        <w:t xml:space="preserve">  R</w:t>
      </w:r>
      <w:r>
        <w:rPr>
          <w:rFonts w:ascii="Arial" w:cs="Arial" w:eastAsia="Arial" w:hAnsi="Arial"/>
          <w:sz w:val="17"/>
          <w:szCs w:val="17"/>
          <w:color w:val="auto"/>
        </w:rPr>
        <w:t>ATE</w:t>
      </w:r>
      <w:r>
        <w:rPr>
          <w:rFonts w:ascii="Arial" w:cs="Arial" w:eastAsia="Arial" w:hAnsi="Arial"/>
          <w:sz w:val="22"/>
          <w:szCs w:val="22"/>
          <w:color w:val="auto"/>
        </w:rPr>
        <w:tab/>
        <w:t>F</w:t>
      </w:r>
      <w:r>
        <w:rPr>
          <w:rFonts w:ascii="Arial" w:cs="Arial" w:eastAsia="Arial" w:hAnsi="Arial"/>
          <w:sz w:val="17"/>
          <w:szCs w:val="17"/>
          <w:color w:val="auto"/>
        </w:rPr>
        <w:t>UNDING</w:t>
      </w:r>
      <w:r>
        <w:rPr>
          <w:rFonts w:ascii="Arial" w:cs="Arial" w:eastAsia="Arial" w:hAnsi="Arial"/>
          <w:sz w:val="22"/>
          <w:szCs w:val="22"/>
          <w:color w:val="auto"/>
        </w:rPr>
        <w:tab/>
        <w:t>I,</w:t>
      </w:r>
    </w:p>
    <w:p>
      <w:pPr>
        <w:spacing w:after="0" w:line="238" w:lineRule="auto"/>
        <w:rPr>
          <w:sz w:val="20"/>
          <w:szCs w:val="20"/>
          <w:color w:val="auto"/>
        </w:rPr>
      </w:pPr>
      <w:r>
        <w:rPr>
          <w:rFonts w:ascii="Arial" w:cs="Arial" w:eastAsia="Arial" w:hAnsi="Arial"/>
          <w:sz w:val="22"/>
          <w:szCs w:val="22"/>
          <w:color w:val="auto"/>
        </w:rPr>
        <w:t>LLC, as</w:t>
      </w:r>
    </w:p>
    <w:p>
      <w:pPr>
        <w:ind w:left="220"/>
        <w:spacing w:after="0"/>
        <w:rPr>
          <w:sz w:val="20"/>
          <w:szCs w:val="20"/>
          <w:color w:val="auto"/>
        </w:rPr>
      </w:pPr>
      <w:r>
        <w:rPr>
          <w:rFonts w:ascii="Arial" w:cs="Arial" w:eastAsia="Arial" w:hAnsi="Arial"/>
          <w:sz w:val="22"/>
          <w:szCs w:val="22"/>
          <w:color w:val="auto"/>
        </w:rPr>
        <w:t>Borrower</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By: PennantPark Floating Rate Capital Ltd., as</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Designated Manager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6985</wp:posOffset>
            </wp:positionV>
            <wp:extent cx="25717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4445</wp:posOffset>
            </wp:positionV>
            <wp:extent cx="29317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ind w:left="220"/>
        <w:spacing w:after="0" w:line="237" w:lineRule="auto"/>
        <w:tabs>
          <w:tab w:leader="none" w:pos="55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17145</wp:posOffset>
            </wp:positionV>
            <wp:extent cx="29317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18516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0" w:hanging="792"/>
        <w:spacing w:after="0"/>
        <w:tabs>
          <w:tab w:leader="none" w:pos="800" w:val="left"/>
        </w:tabs>
        <w:numPr>
          <w:ilvl w:val="0"/>
          <w:numId w:val="306"/>
        </w:numPr>
        <w:rPr>
          <w:rFonts w:ascii="Arial" w:cs="Arial" w:eastAsia="Arial" w:hAnsi="Arial"/>
          <w:sz w:val="36"/>
          <w:szCs w:val="36"/>
          <w:color w:val="auto"/>
          <w:vertAlign w:val="superscript"/>
        </w:rPr>
      </w:pPr>
      <w:r>
        <w:rPr>
          <w:rFonts w:ascii="Arial" w:cs="Arial" w:eastAsia="Arial" w:hAnsi="Arial"/>
          <w:sz w:val="18"/>
          <w:szCs w:val="18"/>
          <w:color w:val="auto"/>
        </w:rPr>
        <w:t>Insert in an Assignment and Acceptance if Borrower consent is required</w:t>
      </w:r>
    </w:p>
    <w:p>
      <w:pPr>
        <w:sectPr>
          <w:pgSz w:w="11900" w:h="16838" w:orient="portrait"/>
          <w:cols w:equalWidth="0" w:num="1">
            <w:col w:w="10560"/>
          </w:cols>
          <w:pgMar w:left="320" w:top="261" w:right="101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CCOUNT</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ONTROL</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GREEMENT</w:t>
      </w:r>
      <w:r>
        <w:rPr>
          <w:rFonts w:ascii="Arial" w:cs="Arial" w:eastAsia="Arial" w:hAnsi="Arial"/>
          <w:sz w:val="22"/>
          <w:szCs w:val="22"/>
          <w:b w:val="1"/>
          <w:bCs w:val="1"/>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Account Control Agreement</w:t>
      </w:r>
    </w:p>
    <w:p>
      <w:pPr>
        <w:sectPr>
          <w:pgSz w:w="11900" w:h="16838" w:orient="portrait"/>
          <w:cols w:equalWidth="0" w:num="1">
            <w:col w:w="9019"/>
          </w:cols>
          <w:pgMar w:left="1440" w:top="261" w:right="1440"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80"/>
        </w:trPr>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80" w:type="dxa"/>
            <w:vAlign w:val="bottom"/>
            <w:gridSpan w:val="4"/>
          </w:tcPr>
          <w:p>
            <w:pPr>
              <w:jc w:val="center"/>
              <w:ind w:right="146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F</w:t>
            </w:r>
          </w:p>
        </w:tc>
      </w:tr>
      <w:tr>
        <w:trPr>
          <w:trHeight w:val="634"/>
        </w:trPr>
        <w:tc>
          <w:tcPr>
            <w:tcW w:w="540" w:type="dxa"/>
            <w:vAlign w:val="bottom"/>
          </w:tcPr>
          <w:p>
            <w:pPr>
              <w:spacing w:after="0"/>
              <w:rPr>
                <w:sz w:val="24"/>
                <w:szCs w:val="24"/>
                <w:color w:val="auto"/>
              </w:rPr>
            </w:pPr>
          </w:p>
        </w:tc>
        <w:tc>
          <w:tcPr>
            <w:tcW w:w="7560" w:type="dxa"/>
            <w:vAlign w:val="bottom"/>
            <w:gridSpan w:val="5"/>
          </w:tcPr>
          <w:p>
            <w:pPr>
              <w:jc w:val="center"/>
              <w:ind w:left="2492"/>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F</w:t>
            </w:r>
            <w:r>
              <w:rPr>
                <w:rFonts w:ascii="Arial" w:cs="Arial" w:eastAsia="Arial" w:hAnsi="Arial"/>
                <w:sz w:val="17"/>
                <w:szCs w:val="17"/>
                <w:b w:val="1"/>
                <w:bCs w:val="1"/>
                <w:color w:val="auto"/>
              </w:rPr>
              <w:t>ACILITY</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MOUNT</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NCREASE</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EQUEST</w:t>
            </w:r>
            <w:r>
              <w:rPr>
                <w:rFonts w:ascii="Arial" w:cs="Arial" w:eastAsia="Arial" w:hAnsi="Arial"/>
                <w:sz w:val="22"/>
                <w:szCs w:val="22"/>
                <w:b w:val="1"/>
                <w:bCs w:val="1"/>
                <w:color w:val="auto"/>
              </w:rPr>
              <w:t>]</w:t>
            </w:r>
          </w:p>
        </w:tc>
      </w:tr>
      <w:tr>
        <w:trPr>
          <w:trHeight w:val="598"/>
        </w:trPr>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0" w:type="dxa"/>
            <w:vAlign w:val="bottom"/>
            <w:gridSpan w:val="3"/>
          </w:tcPr>
          <w:p>
            <w:pPr>
              <w:jc w:val="right"/>
              <w:ind w:right="220"/>
              <w:spacing w:after="0"/>
              <w:rPr>
                <w:sz w:val="20"/>
                <w:szCs w:val="20"/>
                <w:color w:val="auto"/>
              </w:rPr>
            </w:pPr>
            <w:r>
              <w:rPr>
                <w:rFonts w:ascii="Arial" w:cs="Arial" w:eastAsia="Arial" w:hAnsi="Arial"/>
                <w:sz w:val="22"/>
                <w:szCs w:val="22"/>
                <w:color w:val="auto"/>
              </w:rPr>
              <w:t>, 201</w:t>
            </w:r>
          </w:p>
        </w:tc>
        <w:tc>
          <w:tcPr>
            <w:tcW w:w="148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39"/>
        </w:trPr>
        <w:tc>
          <w:tcPr>
            <w:tcW w:w="540" w:type="dxa"/>
            <w:vAlign w:val="bottom"/>
          </w:tcPr>
          <w:p>
            <w:pPr>
              <w:spacing w:after="0"/>
              <w:rPr>
                <w:sz w:val="20"/>
                <w:szCs w:val="20"/>
                <w:color w:val="auto"/>
              </w:rPr>
            </w:pPr>
            <w:r>
              <w:rPr>
                <w:rFonts w:ascii="Arial" w:cs="Arial" w:eastAsia="Arial" w:hAnsi="Arial"/>
                <w:sz w:val="22"/>
                <w:szCs w:val="22"/>
                <w:color w:val="auto"/>
              </w:rPr>
              <w:t>To:</w:t>
            </w:r>
          </w:p>
        </w:tc>
        <w:tc>
          <w:tcPr>
            <w:tcW w:w="7560" w:type="dxa"/>
            <w:vAlign w:val="bottom"/>
            <w:gridSpan w:val="5"/>
          </w:tcPr>
          <w:p>
            <w:pPr>
              <w:ind w:left="260"/>
              <w:spacing w:after="0"/>
              <w:rPr>
                <w:sz w:val="20"/>
                <w:szCs w:val="20"/>
                <w:color w:val="auto"/>
              </w:rPr>
            </w:pPr>
            <w:r>
              <w:rPr>
                <w:rFonts w:ascii="Arial" w:cs="Arial" w:eastAsia="Arial" w:hAnsi="Arial"/>
                <w:sz w:val="22"/>
                <w:szCs w:val="22"/>
                <w:color w:val="auto"/>
                <w:w w:val="98"/>
              </w:rPr>
              <w:t>S</w:t>
            </w:r>
            <w:r>
              <w:rPr>
                <w:rFonts w:ascii="Arial" w:cs="Arial" w:eastAsia="Arial" w:hAnsi="Arial"/>
                <w:sz w:val="17"/>
                <w:szCs w:val="17"/>
                <w:color w:val="auto"/>
                <w:w w:val="98"/>
              </w:rPr>
              <w:t>UN</w:t>
            </w:r>
            <w:r>
              <w:rPr>
                <w:rFonts w:ascii="Arial" w:cs="Arial" w:eastAsia="Arial" w:hAnsi="Arial"/>
                <w:sz w:val="22"/>
                <w:szCs w:val="22"/>
                <w:color w:val="auto"/>
                <w:w w:val="98"/>
              </w:rPr>
              <w:t>T</w:t>
            </w:r>
            <w:r>
              <w:rPr>
                <w:rFonts w:ascii="Arial" w:cs="Arial" w:eastAsia="Arial" w:hAnsi="Arial"/>
                <w:sz w:val="17"/>
                <w:szCs w:val="17"/>
                <w:color w:val="auto"/>
                <w:w w:val="98"/>
              </w:rPr>
              <w:t>RUST</w:t>
            </w:r>
            <w:r>
              <w:rPr>
                <w:rFonts w:ascii="Arial" w:cs="Arial" w:eastAsia="Arial" w:hAnsi="Arial"/>
                <w:sz w:val="22"/>
                <w:szCs w:val="22"/>
                <w:color w:val="auto"/>
                <w:w w:val="98"/>
              </w:rPr>
              <w:t xml:space="preserve"> B</w:t>
            </w:r>
            <w:r>
              <w:rPr>
                <w:rFonts w:ascii="Arial" w:cs="Arial" w:eastAsia="Arial" w:hAnsi="Arial"/>
                <w:sz w:val="17"/>
                <w:szCs w:val="17"/>
                <w:color w:val="auto"/>
                <w:w w:val="98"/>
              </w:rPr>
              <w:t>ANK</w:t>
            </w:r>
            <w:r>
              <w:rPr>
                <w:rFonts w:ascii="Arial" w:cs="Arial" w:eastAsia="Arial" w:hAnsi="Arial"/>
                <w:sz w:val="22"/>
                <w:szCs w:val="22"/>
                <w:color w:val="auto"/>
                <w:w w:val="98"/>
              </w:rPr>
              <w:t>, as Administrative Agent for the Lenders parties to the Third</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6"/>
              </w:rPr>
              <w:t>Amended and Restated Revolving Credit and Security Agreement dated as of</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2"/>
              </w:rPr>
              <w:t>May 22, 2015 (as extended, renewed, amended or restated from time to time, the</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8"/>
              </w:rPr>
              <w:t>“</w:t>
            </w:r>
            <w:r>
              <w:rPr>
                <w:rFonts w:ascii="Arial" w:cs="Arial" w:eastAsia="Arial" w:hAnsi="Arial"/>
                <w:sz w:val="22"/>
                <w:szCs w:val="22"/>
                <w:i w:val="1"/>
                <w:iCs w:val="1"/>
                <w:color w:val="auto"/>
                <w:w w:val="98"/>
              </w:rPr>
              <w:t>Credit Agreement</w:t>
            </w:r>
            <w:r>
              <w:rPr>
                <w:rFonts w:ascii="Arial" w:cs="Arial" w:eastAsia="Arial" w:hAnsi="Arial"/>
                <w:sz w:val="22"/>
                <w:szCs w:val="22"/>
                <w:color w:val="auto"/>
                <w:w w:val="98"/>
              </w:rPr>
              <w:t>”), among P</w:t>
            </w:r>
            <w:r>
              <w:rPr>
                <w:rFonts w:ascii="Arial" w:cs="Arial" w:eastAsia="Arial" w:hAnsi="Arial"/>
                <w:sz w:val="17"/>
                <w:szCs w:val="17"/>
                <w:color w:val="auto"/>
                <w:w w:val="98"/>
              </w:rPr>
              <w:t>ENNANT</w:t>
            </w:r>
            <w:r>
              <w:rPr>
                <w:rFonts w:ascii="Arial" w:cs="Arial" w:eastAsia="Arial" w:hAnsi="Arial"/>
                <w:sz w:val="22"/>
                <w:szCs w:val="22"/>
                <w:color w:val="auto"/>
                <w:w w:val="98"/>
              </w:rPr>
              <w:t>P</w:t>
            </w:r>
            <w:r>
              <w:rPr>
                <w:rFonts w:ascii="Arial" w:cs="Arial" w:eastAsia="Arial" w:hAnsi="Arial"/>
                <w:sz w:val="17"/>
                <w:szCs w:val="17"/>
                <w:color w:val="auto"/>
                <w:w w:val="98"/>
              </w:rPr>
              <w:t>ARK</w:t>
            </w:r>
            <w:r>
              <w:rPr>
                <w:rFonts w:ascii="Arial" w:cs="Arial" w:eastAsia="Arial" w:hAnsi="Arial"/>
                <w:sz w:val="22"/>
                <w:szCs w:val="22"/>
                <w:color w:val="auto"/>
                <w:w w:val="98"/>
              </w:rPr>
              <w:t xml:space="preserve"> F</w:t>
            </w:r>
            <w:r>
              <w:rPr>
                <w:rFonts w:ascii="Arial" w:cs="Arial" w:eastAsia="Arial" w:hAnsi="Arial"/>
                <w:sz w:val="17"/>
                <w:szCs w:val="17"/>
                <w:color w:val="auto"/>
                <w:w w:val="98"/>
              </w:rPr>
              <w:t>LOATING</w:t>
            </w:r>
            <w:r>
              <w:rPr>
                <w:rFonts w:ascii="Arial" w:cs="Arial" w:eastAsia="Arial" w:hAnsi="Arial"/>
                <w:sz w:val="22"/>
                <w:szCs w:val="22"/>
                <w:color w:val="auto"/>
                <w:w w:val="98"/>
              </w:rPr>
              <w:t xml:space="preserve"> R</w:t>
            </w:r>
            <w:r>
              <w:rPr>
                <w:rFonts w:ascii="Arial" w:cs="Arial" w:eastAsia="Arial" w:hAnsi="Arial"/>
                <w:sz w:val="17"/>
                <w:szCs w:val="17"/>
                <w:color w:val="auto"/>
                <w:w w:val="98"/>
              </w:rPr>
              <w:t>ATE</w:t>
            </w:r>
            <w:r>
              <w:rPr>
                <w:rFonts w:ascii="Arial" w:cs="Arial" w:eastAsia="Arial" w:hAnsi="Arial"/>
                <w:sz w:val="22"/>
                <w:szCs w:val="22"/>
                <w:color w:val="auto"/>
                <w:w w:val="98"/>
              </w:rPr>
              <w:t xml:space="preserve"> F</w:t>
            </w:r>
            <w:r>
              <w:rPr>
                <w:rFonts w:ascii="Arial" w:cs="Arial" w:eastAsia="Arial" w:hAnsi="Arial"/>
                <w:sz w:val="17"/>
                <w:szCs w:val="17"/>
                <w:color w:val="auto"/>
                <w:w w:val="98"/>
              </w:rPr>
              <w:t>UNDING</w:t>
            </w:r>
            <w:r>
              <w:rPr>
                <w:rFonts w:ascii="Arial" w:cs="Arial" w:eastAsia="Arial" w:hAnsi="Arial"/>
                <w:sz w:val="22"/>
                <w:szCs w:val="22"/>
                <w:color w:val="auto"/>
                <w:w w:val="98"/>
              </w:rPr>
              <w:t xml:space="preserve"> I, LLC, a</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rPr>
              <w:t>Delaware limited liability company, as borrower (together with its permitted</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5"/>
              </w:rPr>
              <w:t>successors and assigns, the “</w:t>
            </w:r>
            <w:r>
              <w:rPr>
                <w:rFonts w:ascii="Arial" w:cs="Arial" w:eastAsia="Arial" w:hAnsi="Arial"/>
                <w:sz w:val="22"/>
                <w:szCs w:val="22"/>
                <w:i w:val="1"/>
                <w:iCs w:val="1"/>
                <w:color w:val="auto"/>
                <w:w w:val="95"/>
              </w:rPr>
              <w:t>Borrower</w:t>
            </w:r>
            <w:r>
              <w:rPr>
                <w:rFonts w:ascii="Arial" w:cs="Arial" w:eastAsia="Arial" w:hAnsi="Arial"/>
                <w:sz w:val="22"/>
                <w:szCs w:val="22"/>
                <w:color w:val="auto"/>
                <w:w w:val="95"/>
              </w:rPr>
              <w:t>”); P</w:t>
            </w:r>
            <w:r>
              <w:rPr>
                <w:rFonts w:ascii="Arial" w:cs="Arial" w:eastAsia="Arial" w:hAnsi="Arial"/>
                <w:sz w:val="17"/>
                <w:szCs w:val="17"/>
                <w:color w:val="auto"/>
                <w:w w:val="95"/>
              </w:rPr>
              <w:t>ENNANT</w:t>
            </w:r>
            <w:r>
              <w:rPr>
                <w:rFonts w:ascii="Arial" w:cs="Arial" w:eastAsia="Arial" w:hAnsi="Arial"/>
                <w:sz w:val="22"/>
                <w:szCs w:val="22"/>
                <w:color w:val="auto"/>
                <w:w w:val="95"/>
              </w:rPr>
              <w:t>P</w:t>
            </w:r>
            <w:r>
              <w:rPr>
                <w:rFonts w:ascii="Arial" w:cs="Arial" w:eastAsia="Arial" w:hAnsi="Arial"/>
                <w:sz w:val="17"/>
                <w:szCs w:val="17"/>
                <w:color w:val="auto"/>
                <w:w w:val="95"/>
              </w:rPr>
              <w:t>ARK</w:t>
            </w:r>
            <w:r>
              <w:rPr>
                <w:rFonts w:ascii="Arial" w:cs="Arial" w:eastAsia="Arial" w:hAnsi="Arial"/>
                <w:sz w:val="22"/>
                <w:szCs w:val="22"/>
                <w:color w:val="auto"/>
                <w:w w:val="95"/>
              </w:rPr>
              <w:t xml:space="preserve"> I</w:t>
            </w:r>
            <w:r>
              <w:rPr>
                <w:rFonts w:ascii="Arial" w:cs="Arial" w:eastAsia="Arial" w:hAnsi="Arial"/>
                <w:sz w:val="17"/>
                <w:szCs w:val="17"/>
                <w:color w:val="auto"/>
                <w:w w:val="95"/>
              </w:rPr>
              <w:t>NVESTMENT</w:t>
            </w:r>
            <w:r>
              <w:rPr>
                <w:rFonts w:ascii="Arial" w:cs="Arial" w:eastAsia="Arial" w:hAnsi="Arial"/>
                <w:sz w:val="22"/>
                <w:szCs w:val="22"/>
                <w:color w:val="auto"/>
                <w:w w:val="95"/>
              </w:rPr>
              <w:t xml:space="preserve"> A</w:t>
            </w:r>
            <w:r>
              <w:rPr>
                <w:rFonts w:ascii="Arial" w:cs="Arial" w:eastAsia="Arial" w:hAnsi="Arial"/>
                <w:sz w:val="17"/>
                <w:szCs w:val="17"/>
                <w:color w:val="auto"/>
                <w:w w:val="95"/>
              </w:rPr>
              <w:t>DVISERS</w:t>
            </w:r>
            <w:r>
              <w:rPr>
                <w:rFonts w:ascii="Arial" w:cs="Arial" w:eastAsia="Arial" w:hAnsi="Arial"/>
                <w:sz w:val="22"/>
                <w:szCs w:val="22"/>
                <w:color w:val="auto"/>
                <w:w w:val="95"/>
              </w:rPr>
              <w:t>,</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1"/>
              </w:rPr>
              <w:t>LLC, a Delaware limited liability company, as the collateral manager (together with</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1"/>
              </w:rPr>
              <w:t>its permitted successors and assigns, the “</w:t>
            </w:r>
            <w:r>
              <w:rPr>
                <w:rFonts w:ascii="Arial" w:cs="Arial" w:eastAsia="Arial" w:hAnsi="Arial"/>
                <w:sz w:val="22"/>
                <w:szCs w:val="22"/>
                <w:i w:val="1"/>
                <w:iCs w:val="1"/>
                <w:color w:val="auto"/>
                <w:w w:val="91"/>
              </w:rPr>
              <w:t>Collateral Manager</w:t>
            </w:r>
            <w:r>
              <w:rPr>
                <w:rFonts w:ascii="Arial" w:cs="Arial" w:eastAsia="Arial" w:hAnsi="Arial"/>
                <w:sz w:val="22"/>
                <w:szCs w:val="22"/>
                <w:color w:val="auto"/>
                <w:w w:val="91"/>
              </w:rPr>
              <w:t>”), the Lenders from</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9"/>
              </w:rPr>
              <w:t>time to time party thereto; S</w:t>
            </w:r>
            <w:r>
              <w:rPr>
                <w:rFonts w:ascii="Arial" w:cs="Arial" w:eastAsia="Arial" w:hAnsi="Arial"/>
                <w:sz w:val="17"/>
                <w:szCs w:val="17"/>
                <w:color w:val="auto"/>
                <w:w w:val="99"/>
              </w:rPr>
              <w:t>UN</w:t>
            </w:r>
            <w:r>
              <w:rPr>
                <w:rFonts w:ascii="Arial" w:cs="Arial" w:eastAsia="Arial" w:hAnsi="Arial"/>
                <w:sz w:val="22"/>
                <w:szCs w:val="22"/>
                <w:color w:val="auto"/>
                <w:w w:val="99"/>
              </w:rPr>
              <w:t>T</w:t>
            </w:r>
            <w:r>
              <w:rPr>
                <w:rFonts w:ascii="Arial" w:cs="Arial" w:eastAsia="Arial" w:hAnsi="Arial"/>
                <w:sz w:val="17"/>
                <w:szCs w:val="17"/>
                <w:color w:val="auto"/>
                <w:w w:val="99"/>
              </w:rPr>
              <w:t>RUST</w:t>
            </w:r>
            <w:r>
              <w:rPr>
                <w:rFonts w:ascii="Arial" w:cs="Arial" w:eastAsia="Arial" w:hAnsi="Arial"/>
                <w:sz w:val="22"/>
                <w:szCs w:val="22"/>
                <w:color w:val="auto"/>
                <w:w w:val="99"/>
              </w:rPr>
              <w:t xml:space="preserve"> B</w:t>
            </w:r>
            <w:r>
              <w:rPr>
                <w:rFonts w:ascii="Arial" w:cs="Arial" w:eastAsia="Arial" w:hAnsi="Arial"/>
                <w:sz w:val="17"/>
                <w:szCs w:val="17"/>
                <w:color w:val="auto"/>
                <w:w w:val="99"/>
              </w:rPr>
              <w:t>ANK</w:t>
            </w:r>
            <w:r>
              <w:rPr>
                <w:rFonts w:ascii="Arial" w:cs="Arial" w:eastAsia="Arial" w:hAnsi="Arial"/>
                <w:sz w:val="22"/>
                <w:szCs w:val="22"/>
                <w:color w:val="auto"/>
                <w:w w:val="99"/>
              </w:rPr>
              <w:t>, as administrative agent (in such</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5"/>
              </w:rPr>
              <w:t>capacity, together with its successors and assigns, the “</w:t>
            </w:r>
            <w:r>
              <w:rPr>
                <w:rFonts w:ascii="Arial" w:cs="Arial" w:eastAsia="Arial" w:hAnsi="Arial"/>
                <w:sz w:val="22"/>
                <w:szCs w:val="22"/>
                <w:i w:val="1"/>
                <w:iCs w:val="1"/>
                <w:color w:val="auto"/>
                <w:w w:val="95"/>
              </w:rPr>
              <w:t>Administrative Agent</w:t>
            </w:r>
            <w:r>
              <w:rPr>
                <w:rFonts w:ascii="Arial" w:cs="Arial" w:eastAsia="Arial" w:hAnsi="Arial"/>
                <w:sz w:val="22"/>
                <w:szCs w:val="22"/>
                <w:color w:val="auto"/>
                <w:w w:val="95"/>
              </w:rPr>
              <w:t>”),</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8"/>
              </w:rPr>
              <w:t>S</w:t>
            </w:r>
            <w:r>
              <w:rPr>
                <w:rFonts w:ascii="Arial" w:cs="Arial" w:eastAsia="Arial" w:hAnsi="Arial"/>
                <w:sz w:val="17"/>
                <w:szCs w:val="17"/>
                <w:color w:val="auto"/>
                <w:w w:val="98"/>
              </w:rPr>
              <w:t>UN</w:t>
            </w:r>
            <w:r>
              <w:rPr>
                <w:rFonts w:ascii="Arial" w:cs="Arial" w:eastAsia="Arial" w:hAnsi="Arial"/>
                <w:sz w:val="22"/>
                <w:szCs w:val="22"/>
                <w:color w:val="auto"/>
                <w:w w:val="98"/>
              </w:rPr>
              <w:t>T</w:t>
            </w:r>
            <w:r>
              <w:rPr>
                <w:rFonts w:ascii="Arial" w:cs="Arial" w:eastAsia="Arial" w:hAnsi="Arial"/>
                <w:sz w:val="17"/>
                <w:szCs w:val="17"/>
                <w:color w:val="auto"/>
                <w:w w:val="98"/>
              </w:rPr>
              <w:t>RUST</w:t>
            </w:r>
            <w:r>
              <w:rPr>
                <w:rFonts w:ascii="Arial" w:cs="Arial" w:eastAsia="Arial" w:hAnsi="Arial"/>
                <w:sz w:val="22"/>
                <w:szCs w:val="22"/>
                <w:color w:val="auto"/>
                <w:w w:val="98"/>
              </w:rPr>
              <w:t xml:space="preserve"> B</w:t>
            </w:r>
            <w:r>
              <w:rPr>
                <w:rFonts w:ascii="Arial" w:cs="Arial" w:eastAsia="Arial" w:hAnsi="Arial"/>
                <w:sz w:val="17"/>
                <w:szCs w:val="17"/>
                <w:color w:val="auto"/>
                <w:w w:val="98"/>
              </w:rPr>
              <w:t>ANK</w:t>
            </w:r>
            <w:r>
              <w:rPr>
                <w:rFonts w:ascii="Arial" w:cs="Arial" w:eastAsia="Arial" w:hAnsi="Arial"/>
                <w:sz w:val="22"/>
                <w:szCs w:val="22"/>
                <w:color w:val="auto"/>
                <w:w w:val="98"/>
              </w:rPr>
              <w:t>, as the swingline lender (the “</w:t>
            </w:r>
            <w:r>
              <w:rPr>
                <w:rFonts w:ascii="Arial" w:cs="Arial" w:eastAsia="Arial" w:hAnsi="Arial"/>
                <w:sz w:val="22"/>
                <w:szCs w:val="22"/>
                <w:i w:val="1"/>
                <w:iCs w:val="1"/>
                <w:color w:val="auto"/>
                <w:w w:val="98"/>
              </w:rPr>
              <w:t>Swingline Lender</w:t>
            </w:r>
            <w:r>
              <w:rPr>
                <w:rFonts w:ascii="Arial" w:cs="Arial" w:eastAsia="Arial" w:hAnsi="Arial"/>
                <w:sz w:val="22"/>
                <w:szCs w:val="22"/>
                <w:color w:val="auto"/>
                <w:w w:val="98"/>
              </w:rPr>
              <w:t>”), U.S. Bank</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8"/>
              </w:rPr>
              <w:t>National Association, as collateral agent, U.S. Bank National Association, as</w:t>
            </w:r>
          </w:p>
        </w:tc>
      </w:tr>
      <w:tr>
        <w:trPr>
          <w:trHeight w:val="243"/>
        </w:trPr>
        <w:tc>
          <w:tcPr>
            <w:tcW w:w="540" w:type="dxa"/>
            <w:vAlign w:val="bottom"/>
          </w:tcPr>
          <w:p>
            <w:pPr>
              <w:spacing w:after="0"/>
              <w:rPr>
                <w:sz w:val="21"/>
                <w:szCs w:val="21"/>
                <w:color w:val="auto"/>
              </w:rPr>
            </w:pPr>
          </w:p>
        </w:tc>
        <w:tc>
          <w:tcPr>
            <w:tcW w:w="756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1"/>
              </w:rPr>
              <w:t>custodian, U.S. Bank National Association, as Collateral Administrator, U.S. Bank</w:t>
            </w:r>
          </w:p>
        </w:tc>
      </w:tr>
      <w:tr>
        <w:trPr>
          <w:trHeight w:val="274"/>
        </w:trPr>
        <w:tc>
          <w:tcPr>
            <w:tcW w:w="540" w:type="dxa"/>
            <w:vAlign w:val="bottom"/>
          </w:tcPr>
          <w:p>
            <w:pPr>
              <w:spacing w:after="0"/>
              <w:rPr>
                <w:sz w:val="23"/>
                <w:szCs w:val="23"/>
                <w:color w:val="auto"/>
              </w:rPr>
            </w:pPr>
          </w:p>
        </w:tc>
        <w:tc>
          <w:tcPr>
            <w:tcW w:w="7560" w:type="dxa"/>
            <w:vAlign w:val="bottom"/>
            <w:gridSpan w:val="5"/>
          </w:tcPr>
          <w:p>
            <w:pPr>
              <w:ind w:left="260"/>
              <w:spacing w:after="0"/>
              <w:rPr>
                <w:sz w:val="20"/>
                <w:szCs w:val="20"/>
                <w:color w:val="auto"/>
              </w:rPr>
            </w:pPr>
            <w:r>
              <w:rPr>
                <w:rFonts w:ascii="Arial" w:cs="Arial" w:eastAsia="Arial" w:hAnsi="Arial"/>
                <w:sz w:val="22"/>
                <w:szCs w:val="22"/>
                <w:color w:val="auto"/>
              </w:rPr>
              <w:t>National Association, as backup collateral manager.</w:t>
            </w: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Ladies and Gentlemen:</w:t>
      </w:r>
    </w:p>
    <w:p>
      <w:pPr>
        <w:spacing w:after="0" w:line="274" w:lineRule="exact"/>
        <w:rPr>
          <w:sz w:val="20"/>
          <w:szCs w:val="20"/>
          <w:color w:val="auto"/>
        </w:rPr>
      </w:pPr>
    </w:p>
    <w:p>
      <w:pPr>
        <w:jc w:val="both"/>
        <w:ind w:firstLine="786"/>
        <w:spacing w:after="0" w:line="273" w:lineRule="auto"/>
        <w:rPr>
          <w:sz w:val="20"/>
          <w:szCs w:val="20"/>
          <w:color w:val="auto"/>
        </w:rPr>
      </w:pPr>
      <w:r>
        <w:rPr>
          <w:rFonts w:ascii="Arial" w:cs="Arial" w:eastAsia="Arial" w:hAnsi="Arial"/>
          <w:sz w:val="19"/>
          <w:szCs w:val="19"/>
          <w:color w:val="auto"/>
        </w:rPr>
        <w:t xml:space="preserve">The undersigned, PennantPark Floating Rate Funding I, LLC, a Delaware limited liability company (the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hereby refers to the Credit Agreement and requests that the Administrative Agent consent to an increase in the Facility Amount (the </w:t>
      </w:r>
      <w:r>
        <w:rPr>
          <w:rFonts w:ascii="Arial" w:cs="Arial" w:eastAsia="Arial" w:hAnsi="Arial"/>
          <w:sz w:val="19"/>
          <w:szCs w:val="19"/>
          <w:i w:val="1"/>
          <w:iCs w:val="1"/>
          <w:color w:val="auto"/>
        </w:rPr>
        <w:t>“Facility Amount Increase”</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of the Credit Agreement, to be effected by </w:t>
      </w:r>
      <w:r>
        <w:rPr>
          <w:rFonts w:ascii="Arial" w:cs="Arial" w:eastAsia="Arial" w:hAnsi="Arial"/>
          <w:sz w:val="19"/>
          <w:szCs w:val="19"/>
          <w:b w:val="1"/>
          <w:bCs w:val="1"/>
          <w:color w:val="auto"/>
        </w:rPr>
        <w:t>[an increase in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Commitment of [name of existing Lender] [the addition of [name of new Lender] (the </w:t>
      </w:r>
      <w:r>
        <w:rPr>
          <w:rFonts w:ascii="Arial" w:cs="Arial" w:eastAsia="Arial" w:hAnsi="Arial"/>
          <w:sz w:val="22"/>
          <w:szCs w:val="22"/>
          <w:b w:val="1"/>
          <w:bCs w:val="1"/>
          <w:i w:val="1"/>
          <w:iCs w:val="1"/>
          <w:color w:val="auto"/>
        </w:rPr>
        <w:t>“New Lender”</w:t>
      </w:r>
      <w:r>
        <w:rPr>
          <w:rFonts w:ascii="Arial" w:cs="Arial" w:eastAsia="Arial" w:hAnsi="Arial"/>
          <w:sz w:val="22"/>
          <w:szCs w:val="22"/>
          <w:b w:val="1"/>
          <w:bCs w:val="1"/>
          <w:color w:val="auto"/>
        </w:rPr>
        <w:t>) as a Lender under the terms of the Credit Agreement]</w:t>
      </w:r>
      <w:r>
        <w:rPr>
          <w:rFonts w:ascii="Arial" w:cs="Arial" w:eastAsia="Arial" w:hAnsi="Arial"/>
          <w:sz w:val="22"/>
          <w:szCs w:val="22"/>
          <w:color w:val="auto"/>
        </w:rPr>
        <w:t>. Capitalized terms used herein without definition shall have the same meanings herein as</w:t>
      </w:r>
      <w:r>
        <w:rPr>
          <w:rFonts w:ascii="Arial" w:cs="Arial" w:eastAsia="Arial" w:hAnsi="Arial"/>
          <w:sz w:val="22"/>
          <w:szCs w:val="22"/>
          <w:b w:val="1"/>
          <w:bCs w:val="1"/>
          <w:color w:val="auto"/>
        </w:rPr>
        <w:t xml:space="preserve"> </w:t>
      </w:r>
      <w:r>
        <w:rPr>
          <w:rFonts w:ascii="Arial" w:cs="Arial" w:eastAsia="Arial" w:hAnsi="Arial"/>
          <w:sz w:val="22"/>
          <w:szCs w:val="22"/>
          <w:color w:val="auto"/>
        </w:rPr>
        <w:t>such terms have in the Credit Agreement.</w:t>
      </w:r>
    </w:p>
    <w:p>
      <w:pPr>
        <w:spacing w:after="0" w:line="262" w:lineRule="exact"/>
        <w:rPr>
          <w:sz w:val="20"/>
          <w:szCs w:val="20"/>
          <w:color w:val="auto"/>
        </w:rPr>
      </w:pPr>
    </w:p>
    <w:p>
      <w:pPr>
        <w:ind w:left="800"/>
        <w:spacing w:after="0"/>
        <w:rPr>
          <w:sz w:val="20"/>
          <w:szCs w:val="20"/>
          <w:color w:val="auto"/>
        </w:rPr>
      </w:pPr>
      <w:r>
        <w:rPr>
          <w:rFonts w:ascii="Arial" w:cs="Arial" w:eastAsia="Arial" w:hAnsi="Arial"/>
          <w:sz w:val="21"/>
          <w:szCs w:val="21"/>
          <w:color w:val="auto"/>
        </w:rPr>
        <w:t xml:space="preserve">After giving effect to such Facility Amount Increase, the Commitment of the </w:t>
      </w:r>
      <w:r>
        <w:rPr>
          <w:rFonts w:ascii="Arial" w:cs="Arial" w:eastAsia="Arial" w:hAnsi="Arial"/>
          <w:sz w:val="21"/>
          <w:szCs w:val="21"/>
          <w:b w:val="1"/>
          <w:bCs w:val="1"/>
          <w:color w:val="auto"/>
        </w:rPr>
        <w:t>[Lender] [New Lender]</w:t>
      </w:r>
      <w:r>
        <w:rPr>
          <w:rFonts w:ascii="Arial" w:cs="Arial" w:eastAsia="Arial" w:hAnsi="Arial"/>
          <w:sz w:val="21"/>
          <w:szCs w:val="21"/>
          <w:color w:val="auto"/>
        </w:rPr>
        <w:t xml:space="preserve"> shall be</w:t>
      </w:r>
    </w:p>
    <w:p>
      <w:pPr>
        <w:spacing w:after="0" w:line="26"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8915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[Include paragraphs 1-4 for a New Lender]</w:t>
      </w:r>
    </w:p>
    <w:p>
      <w:pPr>
        <w:spacing w:after="0" w:line="280" w:lineRule="exact"/>
        <w:rPr>
          <w:sz w:val="20"/>
          <w:szCs w:val="20"/>
          <w:color w:val="auto"/>
        </w:rPr>
      </w:pPr>
    </w:p>
    <w:p>
      <w:pPr>
        <w:ind w:firstLine="794"/>
        <w:spacing w:after="0" w:line="250" w:lineRule="auto"/>
        <w:tabs>
          <w:tab w:leader="none" w:pos="1359" w:val="left"/>
        </w:tabs>
        <w:numPr>
          <w:ilvl w:val="0"/>
          <w:numId w:val="307"/>
        </w:numPr>
        <w:rPr>
          <w:rFonts w:ascii="Arial" w:cs="Arial" w:eastAsia="Arial" w:hAnsi="Arial"/>
          <w:sz w:val="22"/>
          <w:szCs w:val="22"/>
          <w:color w:val="auto"/>
        </w:rPr>
      </w:pPr>
      <w:r>
        <w:rPr>
          <w:rFonts w:ascii="Arial" w:cs="Arial" w:eastAsia="Arial" w:hAnsi="Arial"/>
          <w:sz w:val="22"/>
          <w:szCs w:val="22"/>
          <w:color w:val="auto"/>
        </w:rPr>
        <w:t>The New Lender hereby confirms that it has received a copy of the Facility Documents and the exhibits related thereto, together with copies of the documents which were</w:t>
      </w:r>
    </w:p>
    <w:p>
      <w:pPr>
        <w:sectPr>
          <w:pgSz w:w="11900" w:h="16838" w:orient="portrait"/>
          <w:cols w:equalWidth="0" w:num="1">
            <w:col w:w="11240"/>
          </w:cols>
          <w:pgMar w:left="320" w:top="261" w:right="339" w:bottom="1440" w:gutter="0" w:footer="0" w:header="0"/>
        </w:sectPr>
      </w:pPr>
    </w:p>
    <w:bookmarkStart w:id="242" w:name="page243"/>
    <w:bookmarkEnd w:id="242"/>
    <w:p>
      <w:pPr>
        <w:jc w:val="both"/>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w:t>
      </w:r>
    </w:p>
    <w:p>
      <w:pPr>
        <w:spacing w:after="0" w:line="219" w:lineRule="exact"/>
        <w:rPr>
          <w:sz w:val="20"/>
          <w:szCs w:val="20"/>
          <w:color w:val="auto"/>
        </w:rPr>
      </w:pPr>
    </w:p>
    <w:p>
      <w:pPr>
        <w:jc w:val="both"/>
        <w:ind w:firstLine="794"/>
        <w:spacing w:after="0" w:line="249" w:lineRule="auto"/>
        <w:tabs>
          <w:tab w:leader="none" w:pos="1473" w:val="left"/>
        </w:tabs>
        <w:numPr>
          <w:ilvl w:val="0"/>
          <w:numId w:val="308"/>
        </w:numPr>
        <w:rPr>
          <w:rFonts w:ascii="Arial" w:cs="Arial" w:eastAsia="Arial" w:hAnsi="Arial"/>
          <w:sz w:val="21"/>
          <w:szCs w:val="21"/>
          <w:color w:val="auto"/>
        </w:rPr>
      </w:pPr>
      <w:r>
        <w:rPr>
          <w:rFonts w:ascii="Arial" w:cs="Arial" w:eastAsia="Arial" w:hAnsi="Arial"/>
          <w:sz w:val="21"/>
          <w:szCs w:val="21"/>
          <w:color w:val="auto"/>
        </w:rPr>
        <w:t>Except as otherwise provided in the Credit Agreement, effective as of the date of acceptance hereof by the Administrative Agent, the New Lender (i) shall be deemed automatically to have become a party to the Credit Agreement and the Lender Fee Letter and have all the rights and obligations of a “Lender” under the Credit Agreement and the Lender Fee Letter as if it were an original signatory thereto and (ii) agrees to be bound by the terms and conditions set forth in the Credit Agreement and the Lender Fee Letter as if it were an original signatory thereto.</w:t>
      </w:r>
    </w:p>
    <w:p>
      <w:pPr>
        <w:spacing w:after="0" w:line="259" w:lineRule="exact"/>
        <w:rPr>
          <w:rFonts w:ascii="Arial" w:cs="Arial" w:eastAsia="Arial" w:hAnsi="Arial"/>
          <w:sz w:val="21"/>
          <w:szCs w:val="21"/>
          <w:color w:val="auto"/>
        </w:rPr>
      </w:pPr>
    </w:p>
    <w:p>
      <w:pPr>
        <w:ind w:firstLine="794"/>
        <w:spacing w:after="0" w:line="250" w:lineRule="auto"/>
        <w:tabs>
          <w:tab w:leader="none" w:pos="1307" w:val="left"/>
        </w:tabs>
        <w:numPr>
          <w:ilvl w:val="0"/>
          <w:numId w:val="308"/>
        </w:numPr>
        <w:rPr>
          <w:rFonts w:ascii="Arial" w:cs="Arial" w:eastAsia="Arial" w:hAnsi="Arial"/>
          <w:sz w:val="22"/>
          <w:szCs w:val="22"/>
          <w:color w:val="auto"/>
        </w:rPr>
      </w:pPr>
      <w:r>
        <w:rPr>
          <w:rFonts w:ascii="Arial" w:cs="Arial" w:eastAsia="Arial" w:hAnsi="Arial"/>
          <w:sz w:val="22"/>
          <w:szCs w:val="22"/>
          <w:color w:val="auto"/>
        </w:rPr>
        <w:t>The New Lender shall deliver to the Administrative Agent such information and shall complete such forms as are reasonably requested of the New Lender by the Administrative Agent.</w:t>
      </w:r>
    </w:p>
    <w:p>
      <w:pPr>
        <w:spacing w:after="0" w:line="236" w:lineRule="exact"/>
        <w:rPr>
          <w:sz w:val="20"/>
          <w:szCs w:val="20"/>
          <w:color w:val="auto"/>
        </w:rPr>
      </w:pPr>
    </w:p>
    <w:p>
      <w:pPr>
        <w:jc w:val="both"/>
        <w:ind w:firstLine="786"/>
        <w:spacing w:after="0" w:line="243" w:lineRule="auto"/>
        <w:rPr>
          <w:sz w:val="20"/>
          <w:szCs w:val="20"/>
          <w:color w:val="auto"/>
        </w:rPr>
      </w:pPr>
      <w:r>
        <w:rPr>
          <w:rFonts w:ascii="Arial" w:cs="Arial" w:eastAsia="Arial" w:hAnsi="Arial"/>
          <w:sz w:val="22"/>
          <w:szCs w:val="22"/>
          <w:b w:val="1"/>
          <w:bCs w:val="1"/>
          <w:color w:val="auto"/>
        </w:rPr>
        <w:t xml:space="preserve">[4. The New Lender has delivered, if appropriate, to the Borrower and the Administrative Agent (or is delivering to the Borrower and the Administrative Agent concurrently herewith) the tax forms referred to in </w:t>
      </w:r>
      <w:r>
        <w:rPr>
          <w:rFonts w:ascii="Arial" w:cs="Arial" w:eastAsia="Arial" w:hAnsi="Arial"/>
          <w:sz w:val="22"/>
          <w:szCs w:val="22"/>
          <w:b w:val="1"/>
          <w:bCs w:val="1"/>
          <w:u w:val="single" w:color="auto"/>
          <w:color w:val="auto"/>
        </w:rPr>
        <w:t>Section 15.03</w:t>
      </w:r>
      <w:r>
        <w:rPr>
          <w:rFonts w:ascii="Arial" w:cs="Arial" w:eastAsia="Arial" w:hAnsi="Arial"/>
          <w:sz w:val="22"/>
          <w:szCs w:val="22"/>
          <w:b w:val="1"/>
          <w:bCs w:val="1"/>
          <w:color w:val="auto"/>
        </w:rPr>
        <w:t xml:space="preserve"> of the Credit Agreement.]</w:t>
      </w:r>
      <w:r>
        <w:rPr>
          <w:rFonts w:ascii="Arial" w:cs="Arial" w:eastAsia="Arial" w:hAnsi="Arial"/>
          <w:sz w:val="22"/>
          <w:szCs w:val="22"/>
          <w:color w:val="auto"/>
        </w:rPr>
        <w:t>*</w:t>
      </w:r>
    </w:p>
    <w:p>
      <w:pPr>
        <w:spacing w:after="0" w:line="250" w:lineRule="exact"/>
        <w:rPr>
          <w:sz w:val="20"/>
          <w:szCs w:val="20"/>
          <w:color w:val="auto"/>
        </w:rPr>
      </w:pPr>
    </w:p>
    <w:p>
      <w:pPr>
        <w:jc w:val="both"/>
        <w:ind w:firstLine="786"/>
        <w:spacing w:after="0" w:line="262" w:lineRule="auto"/>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HIS</w:t>
      </w:r>
      <w:r>
        <w:rPr>
          <w:rFonts w:ascii="Arial" w:cs="Arial" w:eastAsia="Arial" w:hAnsi="Arial"/>
          <w:sz w:val="22"/>
          <w:szCs w:val="22"/>
          <w:color w:val="auto"/>
        </w:rPr>
        <w:t xml:space="preserve"> A</w:t>
      </w:r>
      <w:r>
        <w:rPr>
          <w:rFonts w:ascii="Arial" w:cs="Arial" w:eastAsia="Arial" w:hAnsi="Arial"/>
          <w:sz w:val="17"/>
          <w:szCs w:val="17"/>
          <w:color w:val="auto"/>
        </w:rPr>
        <w:t>GREEMENT SHALL BE DEEMED TO BE A CONTRACTUAL OBLIGATION UNDER</w:t>
      </w:r>
      <w:r>
        <w:rPr>
          <w:rFonts w:ascii="Arial" w:cs="Arial" w:eastAsia="Arial" w:hAnsi="Arial"/>
          <w:sz w:val="22"/>
          <w:szCs w:val="22"/>
          <w:color w:val="auto"/>
        </w:rPr>
        <w:t xml:space="preserve">, </w:t>
      </w:r>
      <w:r>
        <w:rPr>
          <w:rFonts w:ascii="Arial" w:cs="Arial" w:eastAsia="Arial" w:hAnsi="Arial"/>
          <w:sz w:val="17"/>
          <w:szCs w:val="17"/>
          <w:color w:val="auto"/>
        </w:rPr>
        <w:t>AND SHALL BE GOVERNED BY</w:t>
      </w:r>
      <w:r>
        <w:rPr>
          <w:rFonts w:ascii="Arial" w:cs="Arial" w:eastAsia="Arial" w:hAnsi="Arial"/>
          <w:sz w:val="22"/>
          <w:szCs w:val="22"/>
          <w:color w:val="auto"/>
        </w:rPr>
        <w:t xml:space="preserve"> </w:t>
      </w:r>
      <w:r>
        <w:rPr>
          <w:rFonts w:ascii="Arial" w:cs="Arial" w:eastAsia="Arial" w:hAnsi="Arial"/>
          <w:sz w:val="17"/>
          <w:szCs w:val="17"/>
          <w:color w:val="auto"/>
        </w:rPr>
        <w:t>AND CONSTRUED IN ACCORDANCE WITH</w:t>
      </w:r>
      <w:r>
        <w:rPr>
          <w:rFonts w:ascii="Arial" w:cs="Arial" w:eastAsia="Arial" w:hAnsi="Arial"/>
          <w:sz w:val="21"/>
          <w:szCs w:val="21"/>
          <w:color w:val="auto"/>
        </w:rPr>
        <w:t>,</w:t>
      </w:r>
      <w:r>
        <w:rPr>
          <w:rFonts w:ascii="Arial" w:cs="Arial" w:eastAsia="Arial" w:hAnsi="Arial"/>
          <w:sz w:val="17"/>
          <w:szCs w:val="17"/>
          <w:color w:val="auto"/>
        </w:rPr>
        <w:t xml:space="preserve"> THE LAWS OF THE STATE OF </w:t>
      </w:r>
      <w:r>
        <w:rPr>
          <w:rFonts w:ascii="Arial" w:cs="Arial" w:eastAsia="Arial" w:hAnsi="Arial"/>
          <w:sz w:val="21"/>
          <w:szCs w:val="21"/>
          <w:color w:val="auto"/>
        </w:rPr>
        <w:t>N</w:t>
      </w:r>
      <w:r>
        <w:rPr>
          <w:rFonts w:ascii="Arial" w:cs="Arial" w:eastAsia="Arial" w:hAnsi="Arial"/>
          <w:sz w:val="17"/>
          <w:szCs w:val="17"/>
          <w:color w:val="auto"/>
        </w:rPr>
        <w:t xml:space="preserve">EW </w:t>
      </w:r>
      <w:r>
        <w:rPr>
          <w:rFonts w:ascii="Arial" w:cs="Arial" w:eastAsia="Arial" w:hAnsi="Arial"/>
          <w:sz w:val="21"/>
          <w:szCs w:val="21"/>
          <w:color w:val="auto"/>
        </w:rPr>
        <w:t>Y</w:t>
      </w:r>
      <w:r>
        <w:rPr>
          <w:rFonts w:ascii="Arial" w:cs="Arial" w:eastAsia="Arial" w:hAnsi="Arial"/>
          <w:sz w:val="17"/>
          <w:szCs w:val="17"/>
          <w:color w:val="auto"/>
        </w:rPr>
        <w:t>ORK</w:t>
      </w:r>
      <w:r>
        <w:rPr>
          <w:rFonts w:ascii="Arial" w:cs="Arial" w:eastAsia="Arial" w:hAnsi="Arial"/>
          <w:sz w:val="21"/>
          <w:szCs w:val="21"/>
          <w:color w:val="auto"/>
        </w:rPr>
        <w:t>.</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Facility Amount Increase shall be effective when the executed consent of the Administrative Agent is received or</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otherwise in accordance with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of the Credit Agreement, but not in any case prior to , 201 . It shall be a condition to the effectiveness of the Facility Amount Increase that all expenses referred to in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of the Credit Agreement shall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-338455</wp:posOffset>
            </wp:positionV>
            <wp:extent cx="16973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14998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  Insert bracketed paragraph if New Lender is organized under the law of a jurisdiction other than the United States of America or a state thereof.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267" w:right="339" w:bottom="1440" w:gutter="0" w:footer="0" w:header="0"/>
        </w:sectPr>
      </w:pPr>
    </w:p>
    <w:bookmarkStart w:id="243" w:name="page244"/>
    <w:bookmarkEnd w:id="243"/>
    <w:p>
      <w:pPr>
        <w:ind w:firstLine="786"/>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indicate the Administrative Agent’s consent to such Facility Amount Increase by signing the enclosed copy of this letter in the space provided below.</w:t>
      </w:r>
    </w:p>
    <w:p>
      <w:pPr>
        <w:spacing w:after="0" w:line="323"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Very truly yours,</w:t>
      </w:r>
    </w:p>
    <w:p>
      <w:pPr>
        <w:spacing w:after="0" w:line="314"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F</w:t>
      </w:r>
      <w:r>
        <w:rPr>
          <w:rFonts w:ascii="Arial" w:cs="Arial" w:eastAsia="Arial" w:hAnsi="Arial"/>
          <w:sz w:val="17"/>
          <w:szCs w:val="17"/>
          <w:color w:val="auto"/>
        </w:rPr>
        <w:t>LOATING</w:t>
      </w:r>
      <w:r>
        <w:rPr>
          <w:rFonts w:ascii="Arial" w:cs="Arial" w:eastAsia="Arial" w:hAnsi="Arial"/>
          <w:sz w:val="22"/>
          <w:szCs w:val="22"/>
          <w:color w:val="auto"/>
        </w:rPr>
        <w:t xml:space="preserve"> R</w:t>
      </w:r>
      <w:r>
        <w:rPr>
          <w:rFonts w:ascii="Arial" w:cs="Arial" w:eastAsia="Arial" w:hAnsi="Arial"/>
          <w:sz w:val="17"/>
          <w:szCs w:val="17"/>
          <w:color w:val="auto"/>
        </w:rPr>
        <w:t>ATE</w:t>
      </w:r>
      <w:r>
        <w:rPr>
          <w:rFonts w:ascii="Arial" w:cs="Arial" w:eastAsia="Arial" w:hAnsi="Arial"/>
          <w:sz w:val="22"/>
          <w:szCs w:val="22"/>
          <w:color w:val="auto"/>
        </w:rPr>
        <w:t xml:space="preserve"> F</w:t>
      </w:r>
      <w:r>
        <w:rPr>
          <w:rFonts w:ascii="Arial" w:cs="Arial" w:eastAsia="Arial" w:hAnsi="Arial"/>
          <w:sz w:val="17"/>
          <w:szCs w:val="17"/>
          <w:color w:val="auto"/>
        </w:rPr>
        <w:t>UNDING</w:t>
      </w:r>
      <w:r>
        <w:rPr>
          <w:rFonts w:ascii="Arial" w:cs="Arial" w:eastAsia="Arial" w:hAnsi="Arial"/>
          <w:sz w:val="22"/>
          <w:szCs w:val="22"/>
          <w:color w:val="auto"/>
        </w:rPr>
        <w:t xml:space="preserve"> I, LLC,</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339" w:lineRule="exact"/>
        <w:rPr>
          <w:sz w:val="20"/>
          <w:szCs w:val="20"/>
          <w:color w:val="auto"/>
        </w:rPr>
      </w:pPr>
    </w:p>
    <w:p>
      <w:pPr>
        <w:ind w:left="6760"/>
        <w:spacing w:after="0"/>
        <w:tabs>
          <w:tab w:leader="none" w:pos="7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PennantPark Floating Rate Capital Ltd., as</w:t>
      </w:r>
    </w:p>
    <w:p>
      <w:pPr>
        <w:spacing w:after="0" w:line="8"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Designated Manager</w:t>
      </w:r>
    </w:p>
    <w:p>
      <w:pPr>
        <w:spacing w:after="0" w:line="200" w:lineRule="exact"/>
        <w:rPr>
          <w:sz w:val="20"/>
          <w:szCs w:val="20"/>
          <w:color w:val="auto"/>
        </w:rPr>
      </w:pPr>
    </w:p>
    <w:p>
      <w:pPr>
        <w:spacing w:after="0" w:line="32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6985</wp:posOffset>
            </wp:positionV>
            <wp:extent cx="25717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-3175</wp:posOffset>
            </wp:positionV>
            <wp:extent cx="230568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-3175</wp:posOffset>
            </wp:positionV>
            <wp:extent cx="23660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76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7"/>
          <w:szCs w:val="17"/>
          <w:b w:val="1"/>
          <w:bCs w:val="1"/>
          <w:color w:val="auto"/>
        </w:rPr>
        <w:t>EW OR EXISTING</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ENDER</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NCREASING</w:t>
      </w:r>
    </w:p>
    <w:p>
      <w:pPr>
        <w:spacing w:after="0" w:line="14"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OMMITMENTS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12"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6985</wp:posOffset>
            </wp:positionV>
            <wp:extent cx="19888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-3175</wp:posOffset>
            </wp:positionV>
            <wp:extent cx="230568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-3175</wp:posOffset>
            </wp:positionV>
            <wp:extent cx="236601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consents on this</w:t>
      </w:r>
    </w:p>
    <w:p>
      <w:pPr>
        <w:ind w:left="280"/>
        <w:spacing w:after="0"/>
        <w:tabs>
          <w:tab w:leader="none" w:pos="2260" w:val="left"/>
          <w:tab w:leader="none" w:pos="2960" w:val="left"/>
        </w:tabs>
        <w:rPr>
          <w:sz w:val="20"/>
          <w:szCs w:val="20"/>
          <w:color w:val="auto"/>
        </w:rPr>
      </w:pPr>
      <w:r>
        <w:rPr>
          <w:rFonts w:ascii="Arial" w:cs="Arial" w:eastAsia="Arial" w:hAnsi="Arial"/>
          <w:sz w:val="22"/>
          <w:szCs w:val="22"/>
          <w:color w:val="auto"/>
        </w:rPr>
        <w:t>day of</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37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-22860</wp:posOffset>
            </wp:positionV>
            <wp:extent cx="12344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22"/>
          <w:szCs w:val="22"/>
          <w:color w:val="auto"/>
        </w:rPr>
        <w:t>above-requested Facility Amount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Increase.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UN</w:t>
      </w:r>
      <w:r>
        <w:rPr>
          <w:rFonts w:ascii="Arial" w:cs="Arial" w:eastAsia="Arial" w:hAnsi="Arial"/>
          <w:sz w:val="22"/>
          <w:szCs w:val="22"/>
          <w:color w:val="auto"/>
        </w:rPr>
        <w:t>T</w:t>
      </w:r>
      <w:r>
        <w:rPr>
          <w:rFonts w:ascii="Arial" w:cs="Arial" w:eastAsia="Arial" w:hAnsi="Arial"/>
          <w:sz w:val="17"/>
          <w:szCs w:val="17"/>
          <w:color w:val="auto"/>
        </w:rPr>
        <w:t>RUST</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 as Administrative Agent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6985</wp:posOffset>
            </wp:positionV>
            <wp:extent cx="9512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-9525</wp:posOffset>
            </wp:positionV>
            <wp:extent cx="22117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-12065</wp:posOffset>
            </wp:positionV>
            <wp:extent cx="22974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267"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ELEASE OF</w:t>
      </w:r>
      <w:r>
        <w:rPr>
          <w:rFonts w:ascii="Arial" w:cs="Arial" w:eastAsia="Arial" w:hAnsi="Arial"/>
          <w:sz w:val="22"/>
          <w:szCs w:val="22"/>
          <w:b w:val="1"/>
          <w:bCs w:val="1"/>
          <w:color w:val="auto"/>
        </w:rPr>
        <w:t xml:space="preserve"> U</w:t>
      </w:r>
      <w:r>
        <w:rPr>
          <w:rFonts w:ascii="Arial" w:cs="Arial" w:eastAsia="Arial" w:hAnsi="Arial"/>
          <w:sz w:val="17"/>
          <w:szCs w:val="17"/>
          <w:b w:val="1"/>
          <w:bCs w:val="1"/>
          <w:color w:val="auto"/>
        </w:rPr>
        <w:t>NDERLYING</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NSTRUMENTS</w:t>
      </w:r>
      <w:r>
        <w:rPr>
          <w:rFonts w:ascii="Arial" w:cs="Arial" w:eastAsia="Arial" w:hAnsi="Arial"/>
          <w:sz w:val="22"/>
          <w:szCs w:val="22"/>
          <w:b w:val="1"/>
          <w:bCs w:val="1"/>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[Delivery Date]</w:t>
      </w:r>
    </w:p>
    <w:p>
      <w:pPr>
        <w:spacing w:after="0" w:line="280" w:lineRule="exact"/>
        <w:rPr>
          <w:sz w:val="20"/>
          <w:szCs w:val="20"/>
          <w:color w:val="auto"/>
        </w:rPr>
      </w:pPr>
    </w:p>
    <w:p>
      <w:pPr>
        <w:spacing w:after="0"/>
        <w:tabs>
          <w:tab w:leader="none" w:pos="1640" w:val="left"/>
          <w:tab w:leader="none" w:pos="2200" w:val="left"/>
        </w:tabs>
        <w:rPr>
          <w:sz w:val="20"/>
          <w:szCs w:val="20"/>
          <w:color w:val="auto"/>
        </w:rPr>
      </w:pPr>
      <w:r>
        <w:rPr>
          <w:rFonts w:ascii="Arial" w:cs="Arial" w:eastAsia="Arial" w:hAnsi="Arial"/>
          <w:sz w:val="22"/>
          <w:szCs w:val="22"/>
          <w:color w:val="auto"/>
        </w:rPr>
        <w:t>By Facsimile: (</w:t>
        <w:tab/>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-17780</wp:posOffset>
            </wp:positionV>
            <wp:extent cx="8801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10972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10972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10972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10972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-17780</wp:posOffset>
            </wp:positionV>
            <wp:extent cx="10972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9"/>
          <w:szCs w:val="19"/>
          <w:color w:val="auto"/>
        </w:rPr>
        <w:t>Re: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Third Amended and Restated Revolving Credit and Security Agreement dated as of May 22, 2015 (as extended, renewed, amended or restated from time to time, the “</w:t>
      </w:r>
      <w:r>
        <w:rPr>
          <w:rFonts w:ascii="Arial" w:cs="Arial" w:eastAsia="Arial" w:hAnsi="Arial"/>
          <w:sz w:val="21"/>
          <w:szCs w:val="21"/>
          <w:i w:val="1"/>
          <w:iCs w:val="1"/>
          <w:color w:val="auto"/>
        </w:rPr>
        <w:t>Credit Agreement</w:t>
      </w:r>
      <w:r>
        <w:rPr>
          <w:rFonts w:ascii="Arial" w:cs="Arial" w:eastAsia="Arial" w:hAnsi="Arial"/>
          <w:sz w:val="21"/>
          <w:szCs w:val="21"/>
          <w:color w:val="auto"/>
        </w:rPr>
        <w:t>”), among PennantPark Floating Rate Funding I, LLC, a Delaware limited liability company, as borrower (together with its permitted successors and assigns, the “</w:t>
      </w:r>
      <w:r>
        <w:rPr>
          <w:rFonts w:ascii="Arial" w:cs="Arial" w:eastAsia="Arial" w:hAnsi="Arial"/>
          <w:sz w:val="21"/>
          <w:szCs w:val="21"/>
          <w:i w:val="1"/>
          <w:iCs w:val="1"/>
          <w:color w:val="auto"/>
        </w:rPr>
        <w:t>Borrower</w:t>
      </w:r>
      <w:r>
        <w:rPr>
          <w:rFonts w:ascii="Arial" w:cs="Arial" w:eastAsia="Arial" w:hAnsi="Arial"/>
          <w:sz w:val="21"/>
          <w:szCs w:val="21"/>
          <w:color w:val="auto"/>
        </w:rPr>
        <w:t>”); PennantPark Investment Advisers, LLC, a Delaware limited liability company, as the collateral manager (together with its permitted successors and assigns, the “</w:t>
      </w:r>
      <w:r>
        <w:rPr>
          <w:rFonts w:ascii="Arial" w:cs="Arial" w:eastAsia="Arial" w:hAnsi="Arial"/>
          <w:sz w:val="21"/>
          <w:szCs w:val="21"/>
          <w:i w:val="1"/>
          <w:iCs w:val="1"/>
          <w:color w:val="auto"/>
        </w:rPr>
        <w:t>Collateral Manager</w:t>
      </w:r>
      <w:r>
        <w:rPr>
          <w:rFonts w:ascii="Arial" w:cs="Arial" w:eastAsia="Arial" w:hAnsi="Arial"/>
          <w:sz w:val="21"/>
          <w:szCs w:val="21"/>
          <w:color w:val="auto"/>
        </w:rPr>
        <w:t>”), the Lenders from time to time party thereto; SunTrust Bank, as administrative agent (in such capacity, together with its successors and assigns, the “</w:t>
      </w:r>
      <w:r>
        <w:rPr>
          <w:rFonts w:ascii="Arial" w:cs="Arial" w:eastAsia="Arial" w:hAnsi="Arial"/>
          <w:sz w:val="21"/>
          <w:szCs w:val="21"/>
          <w:i w:val="1"/>
          <w:iCs w:val="1"/>
          <w:color w:val="auto"/>
        </w:rPr>
        <w:t>Administrative Agent</w:t>
      </w:r>
      <w:r>
        <w:rPr>
          <w:rFonts w:ascii="Arial" w:cs="Arial" w:eastAsia="Arial" w:hAnsi="Arial"/>
          <w:sz w:val="21"/>
          <w:szCs w:val="21"/>
          <w:color w:val="auto"/>
        </w:rPr>
        <w:t>”), S</w:t>
      </w:r>
      <w:r>
        <w:rPr>
          <w:rFonts w:ascii="Arial" w:cs="Arial" w:eastAsia="Arial" w:hAnsi="Arial"/>
          <w:sz w:val="16"/>
          <w:szCs w:val="16"/>
          <w:color w:val="auto"/>
        </w:rPr>
        <w:t>UN</w:t>
      </w:r>
      <w:r>
        <w:rPr>
          <w:rFonts w:ascii="Arial" w:cs="Arial" w:eastAsia="Arial" w:hAnsi="Arial"/>
          <w:sz w:val="21"/>
          <w:szCs w:val="21"/>
          <w:color w:val="auto"/>
        </w:rPr>
        <w:t>T</w:t>
      </w:r>
      <w:r>
        <w:rPr>
          <w:rFonts w:ascii="Arial" w:cs="Arial" w:eastAsia="Arial" w:hAnsi="Arial"/>
          <w:sz w:val="16"/>
          <w:szCs w:val="16"/>
          <w:color w:val="auto"/>
        </w:rPr>
        <w:t>RUST</w:t>
      </w:r>
      <w:r>
        <w:rPr>
          <w:rFonts w:ascii="Arial" w:cs="Arial" w:eastAsia="Arial" w:hAnsi="Arial"/>
          <w:sz w:val="21"/>
          <w:szCs w:val="21"/>
          <w:color w:val="auto"/>
        </w:rPr>
        <w:t xml:space="preserve"> B</w:t>
      </w:r>
      <w:r>
        <w:rPr>
          <w:rFonts w:ascii="Arial" w:cs="Arial" w:eastAsia="Arial" w:hAnsi="Arial"/>
          <w:sz w:val="16"/>
          <w:szCs w:val="16"/>
          <w:color w:val="auto"/>
        </w:rPr>
        <w:t>ANK</w:t>
      </w:r>
      <w:r>
        <w:rPr>
          <w:rFonts w:ascii="Arial" w:cs="Arial" w:eastAsia="Arial" w:hAnsi="Arial"/>
          <w:sz w:val="21"/>
          <w:szCs w:val="21"/>
          <w:color w:val="auto"/>
        </w:rPr>
        <w:t>, as the swingline lender (the “</w:t>
      </w:r>
      <w:r>
        <w:rPr>
          <w:rFonts w:ascii="Arial" w:cs="Arial" w:eastAsia="Arial" w:hAnsi="Arial"/>
          <w:sz w:val="21"/>
          <w:szCs w:val="21"/>
          <w:i w:val="1"/>
          <w:iCs w:val="1"/>
          <w:color w:val="auto"/>
        </w:rPr>
        <w:t>Swingline Lender</w:t>
      </w:r>
      <w:r>
        <w:rPr>
          <w:rFonts w:ascii="Arial" w:cs="Arial" w:eastAsia="Arial" w:hAnsi="Arial"/>
          <w:sz w:val="21"/>
          <w:szCs w:val="21"/>
          <w:color w:val="auto"/>
        </w:rPr>
        <w:t>”), 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as collateral agent (in such capacity, together with its successors and assigns, the “</w:t>
      </w:r>
      <w:r>
        <w:rPr>
          <w:rFonts w:ascii="Arial" w:cs="Arial" w:eastAsia="Arial" w:hAnsi="Arial"/>
          <w:sz w:val="21"/>
          <w:szCs w:val="21"/>
          <w:i w:val="1"/>
          <w:iCs w:val="1"/>
          <w:color w:val="auto"/>
        </w:rPr>
        <w:t>Collateral Agent</w:t>
      </w:r>
      <w:r>
        <w:rPr>
          <w:rFonts w:ascii="Arial" w:cs="Arial" w:eastAsia="Arial" w:hAnsi="Arial"/>
          <w:sz w:val="21"/>
          <w:szCs w:val="21"/>
          <w:color w:val="auto"/>
        </w:rPr>
        <w:t>”), 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as custodian (in such capacity, together with its successors and assigns, the “</w:t>
      </w:r>
      <w:r>
        <w:rPr>
          <w:rFonts w:ascii="Arial" w:cs="Arial" w:eastAsia="Arial" w:hAnsi="Arial"/>
          <w:sz w:val="21"/>
          <w:szCs w:val="21"/>
          <w:i w:val="1"/>
          <w:iCs w:val="1"/>
          <w:color w:val="auto"/>
        </w:rPr>
        <w:t>Custodian</w:t>
      </w:r>
      <w:r>
        <w:rPr>
          <w:rFonts w:ascii="Arial" w:cs="Arial" w:eastAsia="Arial" w:hAnsi="Arial"/>
          <w:sz w:val="21"/>
          <w:szCs w:val="21"/>
          <w:color w:val="auto"/>
        </w:rPr>
        <w:t>”); U.S. B</w:t>
      </w:r>
      <w:r>
        <w:rPr>
          <w:rFonts w:ascii="Arial" w:cs="Arial" w:eastAsia="Arial" w:hAnsi="Arial"/>
          <w:sz w:val="16"/>
          <w:szCs w:val="16"/>
          <w:color w:val="auto"/>
        </w:rPr>
        <w:t>ANK</w:t>
      </w:r>
      <w:r>
        <w:rPr>
          <w:rFonts w:ascii="Arial" w:cs="Arial" w:eastAsia="Arial" w:hAnsi="Arial"/>
          <w:sz w:val="21"/>
          <w:szCs w:val="21"/>
          <w:color w:val="auto"/>
        </w:rPr>
        <w:t xml:space="preserve"> N</w:t>
      </w:r>
      <w:r>
        <w:rPr>
          <w:rFonts w:ascii="Arial" w:cs="Arial" w:eastAsia="Arial" w:hAnsi="Arial"/>
          <w:sz w:val="16"/>
          <w:szCs w:val="16"/>
          <w:color w:val="auto"/>
        </w:rPr>
        <w:t>ATIONAL</w:t>
      </w:r>
      <w:r>
        <w:rPr>
          <w:rFonts w:ascii="Arial" w:cs="Arial" w:eastAsia="Arial" w:hAnsi="Arial"/>
          <w:sz w:val="21"/>
          <w:szCs w:val="21"/>
          <w:color w:val="auto"/>
        </w:rPr>
        <w:t xml:space="preserve"> A</w:t>
      </w:r>
      <w:r>
        <w:rPr>
          <w:rFonts w:ascii="Arial" w:cs="Arial" w:eastAsia="Arial" w:hAnsi="Arial"/>
          <w:sz w:val="16"/>
          <w:szCs w:val="16"/>
          <w:color w:val="auto"/>
        </w:rPr>
        <w:t>SSOCIATION</w:t>
      </w:r>
      <w:r>
        <w:rPr>
          <w:rFonts w:ascii="Arial" w:cs="Arial" w:eastAsia="Arial" w:hAnsi="Arial"/>
          <w:sz w:val="21"/>
          <w:szCs w:val="21"/>
          <w:color w:val="auto"/>
        </w:rPr>
        <w:t>, as backup collateral manager (in such capacity, together with its successors and assigns, the “</w:t>
      </w:r>
      <w:r>
        <w:rPr>
          <w:rFonts w:ascii="Arial" w:cs="Arial" w:eastAsia="Arial" w:hAnsi="Arial"/>
          <w:sz w:val="21"/>
          <w:szCs w:val="21"/>
          <w:i w:val="1"/>
          <w:iCs w:val="1"/>
          <w:color w:val="auto"/>
        </w:rPr>
        <w:t>Backup Collateral Manager</w:t>
      </w:r>
      <w:r>
        <w:rPr>
          <w:rFonts w:ascii="Arial" w:cs="Arial" w:eastAsia="Arial" w:hAnsi="Arial"/>
          <w:sz w:val="21"/>
          <w:szCs w:val="21"/>
          <w:color w:val="auto"/>
        </w:rPr>
        <w:t>”).</w:t>
      </w:r>
    </w:p>
    <w:p>
      <w:pPr>
        <w:spacing w:after="0" w:line="200" w:lineRule="exact"/>
        <w:rPr>
          <w:sz w:val="20"/>
          <w:szCs w:val="20"/>
          <w:color w:val="auto"/>
        </w:rPr>
      </w:pPr>
    </w:p>
    <w:p>
      <w:pPr>
        <w:sectPr>
          <w:pgSz w:w="11900" w:h="16838" w:orient="portrait"/>
          <w:cols w:equalWidth="0" w:num="2">
            <w:col w:w="300" w:space="500"/>
            <w:col w:w="10440"/>
          </w:cols>
          <w:pgMar w:left="320" w:top="261"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303" w:lineRule="exact"/>
        <w:rPr>
          <w:sz w:val="20"/>
          <w:szCs w:val="20"/>
          <w:color w:val="auto"/>
        </w:rPr>
      </w:pPr>
    </w:p>
    <w:p>
      <w:pPr>
        <w:jc w:val="both"/>
        <w:ind w:firstLine="786"/>
        <w:spacing w:after="0" w:line="287" w:lineRule="auto"/>
        <w:rPr>
          <w:sz w:val="20"/>
          <w:szCs w:val="20"/>
          <w:color w:val="auto"/>
        </w:rPr>
      </w:pPr>
      <w:r>
        <w:rPr>
          <w:rFonts w:ascii="Arial" w:cs="Arial" w:eastAsia="Arial" w:hAnsi="Arial"/>
          <w:sz w:val="19"/>
          <w:szCs w:val="19"/>
          <w:color w:val="auto"/>
        </w:rPr>
        <w:t>In connection with the administration of the Related Documents held by U.S. B</w:t>
      </w:r>
      <w:r>
        <w:rPr>
          <w:rFonts w:ascii="Arial" w:cs="Arial" w:eastAsia="Arial" w:hAnsi="Arial"/>
          <w:sz w:val="15"/>
          <w:szCs w:val="15"/>
          <w:color w:val="auto"/>
        </w:rPr>
        <w:t>ANK</w:t>
      </w:r>
      <w:r>
        <w:rPr>
          <w:rFonts w:ascii="Arial" w:cs="Arial" w:eastAsia="Arial" w:hAnsi="Arial"/>
          <w:sz w:val="19"/>
          <w:szCs w:val="19"/>
          <w:color w:val="auto"/>
        </w:rPr>
        <w:t xml:space="preserve"> N</w:t>
      </w:r>
      <w:r>
        <w:rPr>
          <w:rFonts w:ascii="Arial" w:cs="Arial" w:eastAsia="Arial" w:hAnsi="Arial"/>
          <w:sz w:val="15"/>
          <w:szCs w:val="15"/>
          <w:color w:val="auto"/>
        </w:rPr>
        <w:t>ATIONAL</w:t>
      </w:r>
      <w:r>
        <w:rPr>
          <w:rFonts w:ascii="Arial" w:cs="Arial" w:eastAsia="Arial" w:hAnsi="Arial"/>
          <w:sz w:val="19"/>
          <w:szCs w:val="19"/>
          <w:color w:val="auto"/>
        </w:rPr>
        <w:t xml:space="preserve"> A</w:t>
      </w:r>
      <w:r>
        <w:rPr>
          <w:rFonts w:ascii="Arial" w:cs="Arial" w:eastAsia="Arial" w:hAnsi="Arial"/>
          <w:sz w:val="15"/>
          <w:szCs w:val="15"/>
          <w:color w:val="auto"/>
        </w:rPr>
        <w:t>SSOCIATION</w:t>
      </w:r>
      <w:r>
        <w:rPr>
          <w:rFonts w:ascii="Arial" w:cs="Arial" w:eastAsia="Arial" w:hAnsi="Arial"/>
          <w:sz w:val="19"/>
          <w:szCs w:val="19"/>
          <w:color w:val="auto"/>
        </w:rPr>
        <w:t xml:space="preserve"> as the Custodian on behalf of the Administrative Agent as agent for the Secured Parties, under the Credit Agreement, we request the release of the Related Documents (or such documents as specified below) for the Collateral Loans described below, for the reason indicated. All capitalized terms used but not defined herein shall have the meaning provided in the Credit Agreement.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Obligor’s Name, Address &amp; Zip Code:</w:t>
      </w:r>
    </w:p>
    <w:p>
      <w:pPr>
        <w:spacing w:after="0" w:line="238" w:lineRule="auto"/>
        <w:rPr>
          <w:sz w:val="20"/>
          <w:szCs w:val="20"/>
          <w:color w:val="auto"/>
        </w:rPr>
      </w:pPr>
      <w:r>
        <w:rPr>
          <w:rFonts w:ascii="Arial" w:cs="Arial" w:eastAsia="Arial" w:hAnsi="Arial"/>
          <w:sz w:val="22"/>
          <w:szCs w:val="22"/>
          <w:color w:val="auto"/>
        </w:rPr>
        <w:t>Loan Identification Number:</w:t>
      </w:r>
    </w:p>
    <w:p>
      <w:pPr>
        <w:spacing w:after="0"/>
        <w:rPr>
          <w:sz w:val="20"/>
          <w:szCs w:val="20"/>
          <w:color w:val="auto"/>
        </w:rPr>
      </w:pPr>
      <w:r>
        <w:rPr>
          <w:rFonts w:ascii="Arial" w:cs="Arial" w:eastAsia="Arial" w:hAnsi="Arial"/>
          <w:sz w:val="22"/>
          <w:szCs w:val="22"/>
          <w:u w:val="single" w:color="auto"/>
          <w:color w:val="auto"/>
        </w:rPr>
        <w:t>Reason for Requesting Documents</w:t>
      </w:r>
      <w:r>
        <w:rPr>
          <w:rFonts w:ascii="Arial" w:cs="Arial" w:eastAsia="Arial" w:hAnsi="Arial"/>
          <w:sz w:val="22"/>
          <w:szCs w:val="22"/>
          <w:color w:val="auto"/>
        </w:rPr>
        <w:t xml:space="preserve"> (check one)</w:t>
      </w:r>
    </w:p>
    <w:p>
      <w:pPr>
        <w:spacing w:after="0" w:line="310" w:lineRule="exact"/>
        <w:rPr>
          <w:sz w:val="20"/>
          <w:szCs w:val="20"/>
          <w:color w:val="auto"/>
        </w:rPr>
      </w:pPr>
    </w:p>
    <w:p>
      <w:pPr>
        <w:ind w:left="1480" w:hanging="676"/>
        <w:spacing w:after="0" w:line="239" w:lineRule="auto"/>
        <w:tabs>
          <w:tab w:leader="none" w:pos="148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Collateral Loan paid in full. (The Collateral Manager hereby certifies that all amounts received in connection with such Collateral Loan have been credited to the Collection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274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206"/>
        </w:trPr>
        <w:tc>
          <w:tcPr>
            <w:tcW w:w="420" w:type="dxa"/>
            <w:vAlign w:val="bottom"/>
          </w:tcPr>
          <w:p>
            <w:pPr>
              <w:jc w:val="right"/>
              <w:ind w:right="152"/>
              <w:spacing w:after="0" w:line="206" w:lineRule="exact"/>
              <w:rPr>
                <w:sz w:val="20"/>
                <w:szCs w:val="20"/>
                <w:color w:val="auto"/>
              </w:rPr>
            </w:pPr>
            <w:r>
              <w:rPr>
                <w:rFonts w:ascii="Arial" w:cs="Arial" w:eastAsia="Arial" w:hAnsi="Arial"/>
                <w:sz w:val="22"/>
                <w:szCs w:val="22"/>
                <w:color w:val="auto"/>
                <w:w w:val="76"/>
              </w:rPr>
              <w:t>2.</w:t>
            </w:r>
          </w:p>
        </w:tc>
        <w:tc>
          <w:tcPr>
            <w:tcW w:w="2860" w:type="dxa"/>
            <w:vAlign w:val="bottom"/>
          </w:tcPr>
          <w:p>
            <w:pPr>
              <w:ind w:left="260"/>
              <w:spacing w:after="0" w:line="206" w:lineRule="exact"/>
              <w:rPr>
                <w:sz w:val="20"/>
                <w:szCs w:val="20"/>
                <w:color w:val="auto"/>
              </w:rPr>
            </w:pPr>
            <w:r>
              <w:rPr>
                <w:rFonts w:ascii="Arial" w:cs="Arial" w:eastAsia="Arial" w:hAnsi="Arial"/>
                <w:sz w:val="22"/>
                <w:szCs w:val="22"/>
                <w:color w:val="auto"/>
                <w:w w:val="92"/>
              </w:rPr>
              <w:t>Collateral Loan liquidated by</w:t>
            </w:r>
          </w:p>
        </w:tc>
        <w:tc>
          <w:tcPr>
            <w:tcW w:w="3140" w:type="dxa"/>
            <w:vAlign w:val="bottom"/>
            <w:tcBorders>
              <w:bottom w:val="single" w:sz="8" w:color="auto"/>
            </w:tcBorders>
          </w:tcPr>
          <w:p>
            <w:pPr>
              <w:spacing w:after="0"/>
              <w:rPr>
                <w:sz w:val="17"/>
                <w:szCs w:val="17"/>
                <w:color w:val="auto"/>
              </w:rPr>
            </w:pPr>
          </w:p>
        </w:tc>
        <w:tc>
          <w:tcPr>
            <w:tcW w:w="4000" w:type="dxa"/>
            <w:vAlign w:val="bottom"/>
          </w:tcPr>
          <w:p>
            <w:pPr>
              <w:spacing w:after="0" w:line="206" w:lineRule="exact"/>
              <w:rPr>
                <w:sz w:val="20"/>
                <w:szCs w:val="20"/>
                <w:color w:val="auto"/>
              </w:rPr>
            </w:pPr>
            <w:r>
              <w:rPr>
                <w:rFonts w:ascii="Arial" w:cs="Arial" w:eastAsia="Arial" w:hAnsi="Arial"/>
                <w:sz w:val="22"/>
                <w:szCs w:val="22"/>
                <w:color w:val="auto"/>
                <w:w w:val="88"/>
              </w:rPr>
              <w:t>. (The Collateral Manager hereby certifies that</w:t>
            </w:r>
          </w:p>
        </w:tc>
      </w:tr>
      <w:tr>
        <w:trPr>
          <w:trHeight w:val="274"/>
        </w:trPr>
        <w:tc>
          <w:tcPr>
            <w:tcW w:w="420" w:type="dxa"/>
            <w:vAlign w:val="bottom"/>
          </w:tcPr>
          <w:p>
            <w:pPr>
              <w:spacing w:after="0"/>
              <w:rPr>
                <w:sz w:val="23"/>
                <w:szCs w:val="23"/>
                <w:color w:val="auto"/>
              </w:rPr>
            </w:pPr>
          </w:p>
        </w:tc>
        <w:tc>
          <w:tcPr>
            <w:tcW w:w="6000" w:type="dxa"/>
            <w:vAlign w:val="bottom"/>
            <w:gridSpan w:val="2"/>
          </w:tcPr>
          <w:p>
            <w:pPr>
              <w:ind w:left="260"/>
              <w:spacing w:after="0"/>
              <w:rPr>
                <w:sz w:val="20"/>
                <w:szCs w:val="20"/>
                <w:color w:val="auto"/>
              </w:rPr>
            </w:pPr>
            <w:r>
              <w:rPr>
                <w:rFonts w:ascii="Arial" w:cs="Arial" w:eastAsia="Arial" w:hAnsi="Arial"/>
                <w:sz w:val="22"/>
                <w:szCs w:val="22"/>
                <w:color w:val="auto"/>
              </w:rPr>
              <w:t>all proceeds (net of liquidation expenses which the</w:t>
            </w:r>
          </w:p>
        </w:tc>
        <w:tc>
          <w:tcPr>
            <w:tcW w:w="40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3429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245" w:name="page246"/>
    <w:bookmarkEnd w:id="245"/>
    <w:p>
      <w:pPr>
        <w:ind w:left="1480"/>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Collateral Manager may retain to pay such expenses) of foreclosure, insurance, condemnation or other liquidation have been finally received and credited to the Collection Account.)</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Collateral Loan in foreclosure.</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Delivered in Error.</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Substitution.</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Failure to satisfy Review Criteria.</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Repurchased.</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Optional Sale.</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Discretionary Sale.</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Termination of Agreement.</w:t>
      </w:r>
    </w:p>
    <w:p>
      <w:pPr>
        <w:ind w:left="1480" w:hanging="676"/>
        <w:spacing w:after="0" w:line="230" w:lineRule="auto"/>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Servicing.</w:t>
      </w:r>
    </w:p>
    <w:p>
      <w:pPr>
        <w:ind w:left="1480" w:hanging="676"/>
        <w:spacing w:after="0"/>
        <w:tabs>
          <w:tab w:leader="none" w:pos="148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Other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261620</wp:posOffset>
            </wp:positionV>
            <wp:extent cx="49891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544195</wp:posOffset>
            </wp:positionV>
            <wp:extent cx="49891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827405</wp:posOffset>
            </wp:positionV>
            <wp:extent cx="49891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-1417955</wp:posOffset>
            </wp:positionV>
            <wp:extent cx="274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-1263650</wp:posOffset>
            </wp:positionV>
            <wp:extent cx="274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-1109345</wp:posOffset>
            </wp:positionV>
            <wp:extent cx="274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-955040</wp:posOffset>
            </wp:positionV>
            <wp:extent cx="274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-800735</wp:posOffset>
            </wp:positionV>
            <wp:extent cx="274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-646430</wp:posOffset>
            </wp:positionV>
            <wp:extent cx="274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274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2743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274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274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20" w:firstLine="786"/>
        <w:spacing w:after="0" w:line="257" w:lineRule="auto"/>
        <w:rPr>
          <w:sz w:val="20"/>
          <w:szCs w:val="20"/>
          <w:color w:val="auto"/>
        </w:rPr>
      </w:pPr>
      <w:r>
        <w:rPr>
          <w:rFonts w:ascii="Arial" w:cs="Arial" w:eastAsia="Arial" w:hAnsi="Arial"/>
          <w:sz w:val="21"/>
          <w:szCs w:val="21"/>
          <w:color w:val="auto"/>
        </w:rPr>
        <w:t>If box 1, 2, 4, 5, 6, 7, 8, 9 or 10 above is checked, and if all or part of the Related Documents were previously released to us, please release to us the Related Documents, requested in our previous request and receipt on file with you, as well as any additional documents in your possession relating to the specified Collateral Loan.</w:t>
      </w:r>
    </w:p>
    <w:p>
      <w:pPr>
        <w:spacing w:after="0" w:line="250" w:lineRule="exact"/>
        <w:rPr>
          <w:sz w:val="20"/>
          <w:szCs w:val="20"/>
          <w:color w:val="auto"/>
        </w:rPr>
      </w:pPr>
    </w:p>
    <w:p>
      <w:pPr>
        <w:ind w:firstLine="786"/>
        <w:spacing w:after="0" w:line="250" w:lineRule="auto"/>
        <w:rPr>
          <w:sz w:val="20"/>
          <w:szCs w:val="20"/>
          <w:color w:val="auto"/>
        </w:rPr>
      </w:pPr>
      <w:r>
        <w:rPr>
          <w:rFonts w:ascii="Arial" w:cs="Arial" w:eastAsia="Arial" w:hAnsi="Arial"/>
          <w:sz w:val="22"/>
          <w:szCs w:val="22"/>
          <w:color w:val="auto"/>
        </w:rPr>
        <w:t>If box 3, 11 or 12 above is checked, we will return of all of the above Related Documents to you as the Custodian (i) promptly upon the request of the Administrative Agent or (ii) when our need therefor no longer exists.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EMAINDER OF</w:t>
      </w:r>
      <w:r>
        <w:rPr>
          <w:rFonts w:ascii="Arial" w:cs="Arial" w:eastAsia="Arial" w:hAnsi="Arial"/>
          <w:sz w:val="22"/>
          <w:szCs w:val="22"/>
          <w:color w:val="auto"/>
        </w:rPr>
        <w:t xml:space="preserve"> P</w:t>
      </w:r>
      <w:r>
        <w:rPr>
          <w:rFonts w:ascii="Arial" w:cs="Arial" w:eastAsia="Arial" w:hAnsi="Arial"/>
          <w:sz w:val="17"/>
          <w:szCs w:val="17"/>
          <w:color w:val="auto"/>
        </w:rPr>
        <w:t>AGE</w:t>
      </w:r>
      <w:r>
        <w:rPr>
          <w:rFonts w:ascii="Arial" w:cs="Arial" w:eastAsia="Arial" w:hAnsi="Arial"/>
          <w:sz w:val="22"/>
          <w:szCs w:val="22"/>
          <w:color w:val="auto"/>
        </w:rPr>
        <w:t xml:space="preserve"> I</w:t>
      </w:r>
      <w:r>
        <w:rPr>
          <w:rFonts w:ascii="Arial" w:cs="Arial" w:eastAsia="Arial" w:hAnsi="Arial"/>
          <w:sz w:val="17"/>
          <w:szCs w:val="17"/>
          <w:color w:val="auto"/>
        </w:rPr>
        <w:t>NTENTIONALLY</w:t>
      </w:r>
      <w:r>
        <w:rPr>
          <w:rFonts w:ascii="Arial" w:cs="Arial" w:eastAsia="Arial" w:hAnsi="Arial"/>
          <w:sz w:val="22"/>
          <w:szCs w:val="22"/>
          <w:color w:val="auto"/>
        </w:rPr>
        <w:t xml:space="preserve"> L</w:t>
      </w:r>
      <w:r>
        <w:rPr>
          <w:rFonts w:ascii="Arial" w:cs="Arial" w:eastAsia="Arial" w:hAnsi="Arial"/>
          <w:sz w:val="17"/>
          <w:szCs w:val="17"/>
          <w:color w:val="auto"/>
        </w:rPr>
        <w:t>EFT</w:t>
      </w:r>
      <w:r>
        <w:rPr>
          <w:rFonts w:ascii="Arial" w:cs="Arial" w:eastAsia="Arial" w:hAnsi="Arial"/>
          <w:sz w:val="22"/>
          <w:szCs w:val="22"/>
          <w:color w:val="auto"/>
        </w:rPr>
        <w:t xml:space="preserve"> B</w:t>
      </w:r>
      <w:r>
        <w:rPr>
          <w:rFonts w:ascii="Arial" w:cs="Arial" w:eastAsia="Arial" w:hAnsi="Arial"/>
          <w:sz w:val="17"/>
          <w:szCs w:val="17"/>
          <w:color w:val="auto"/>
        </w:rPr>
        <w:t>LANK</w:t>
      </w:r>
      <w:r>
        <w:rPr>
          <w:rFonts w:ascii="Arial" w:cs="Arial" w:eastAsia="Arial" w:hAnsi="Arial"/>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267"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I</w:t>
      </w:r>
      <w:r>
        <w:rPr>
          <w:rFonts w:ascii="Arial" w:cs="Arial" w:eastAsia="Arial" w:hAnsi="Arial"/>
          <w:sz w:val="17"/>
          <w:szCs w:val="17"/>
          <w:color w:val="auto"/>
        </w:rPr>
        <w:t>NVESTMENT</w:t>
      </w:r>
      <w:r>
        <w:rPr>
          <w:rFonts w:ascii="Arial" w:cs="Arial" w:eastAsia="Arial" w:hAnsi="Arial"/>
          <w:sz w:val="22"/>
          <w:szCs w:val="22"/>
          <w:color w:val="auto"/>
        </w:rPr>
        <w:t xml:space="preserve"> A</w:t>
      </w:r>
      <w:r>
        <w:rPr>
          <w:rFonts w:ascii="Arial" w:cs="Arial" w:eastAsia="Arial" w:hAnsi="Arial"/>
          <w:sz w:val="17"/>
          <w:szCs w:val="17"/>
          <w:color w:val="auto"/>
        </w:rPr>
        <w:t>DVISERS</w:t>
      </w:r>
      <w:r>
        <w:rPr>
          <w:rFonts w:ascii="Arial" w:cs="Arial" w:eastAsia="Arial" w:hAnsi="Arial"/>
          <w:sz w:val="22"/>
          <w:szCs w:val="22"/>
          <w:color w:val="auto"/>
        </w:rPr>
        <w:t>, LLC, as</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the Collateral Manager</w:t>
      </w:r>
    </w:p>
    <w:p>
      <w:pPr>
        <w:spacing w:after="0" w:line="200" w:lineRule="exact"/>
        <w:rPr>
          <w:sz w:val="20"/>
          <w:szCs w:val="20"/>
          <w:color w:val="auto"/>
        </w:rPr>
      </w:pPr>
    </w:p>
    <w:p>
      <w:pPr>
        <w:spacing w:after="0" w:line="245"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6985</wp:posOffset>
            </wp:positionV>
            <wp:extent cx="2108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4445</wp:posOffset>
            </wp:positionV>
            <wp:extent cx="221170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4445</wp:posOffset>
            </wp:positionV>
            <wp:extent cx="22974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Consent of Administrative Agent if required under the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UN</w:t>
      </w:r>
      <w:r>
        <w:rPr>
          <w:rFonts w:ascii="Arial" w:cs="Arial" w:eastAsia="Arial" w:hAnsi="Arial"/>
          <w:sz w:val="22"/>
          <w:szCs w:val="22"/>
          <w:color w:val="auto"/>
        </w:rPr>
        <w:t>T</w:t>
      </w:r>
      <w:r>
        <w:rPr>
          <w:rFonts w:ascii="Arial" w:cs="Arial" w:eastAsia="Arial" w:hAnsi="Arial"/>
          <w:sz w:val="17"/>
          <w:szCs w:val="17"/>
          <w:color w:val="auto"/>
        </w:rPr>
        <w:t>RUST</w:t>
      </w:r>
      <w:r>
        <w:rPr>
          <w:rFonts w:ascii="Arial" w:cs="Arial" w:eastAsia="Arial" w:hAnsi="Arial"/>
          <w:sz w:val="22"/>
          <w:szCs w:val="22"/>
          <w:color w:val="auto"/>
        </w:rPr>
        <w:t xml:space="preserve"> B</w:t>
      </w:r>
      <w:r>
        <w:rPr>
          <w:rFonts w:ascii="Arial" w:cs="Arial" w:eastAsia="Arial" w:hAnsi="Arial"/>
          <w:sz w:val="17"/>
          <w:szCs w:val="17"/>
          <w:color w:val="auto"/>
        </w:rPr>
        <w:t>ANK</w:t>
      </w:r>
      <w:r>
        <w:rPr>
          <w:rFonts w:ascii="Arial" w:cs="Arial" w:eastAsia="Arial" w:hAnsi="Arial"/>
          <w:sz w:val="22"/>
          <w:szCs w:val="22"/>
          <w:color w:val="auto"/>
        </w:rPr>
        <w:t>, as Administrative Agent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6985</wp:posOffset>
            </wp:positionV>
            <wp:extent cx="21513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4445</wp:posOffset>
            </wp:positionV>
            <wp:extent cx="21602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4445</wp:posOffset>
            </wp:positionV>
            <wp:extent cx="22459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00"/>
          </w:cols>
          <w:pgMar w:left="320" w:top="267" w:right="479" w:bottom="1440" w:gutter="0" w:footer="0" w:header="0"/>
        </w:sectPr>
      </w:pPr>
    </w:p>
    <w:bookmarkStart w:id="247" w:name="page248"/>
    <w:bookmarkEnd w:id="24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H</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M</w:t>
      </w:r>
      <w:r>
        <w:rPr>
          <w:rFonts w:ascii="Arial" w:cs="Arial" w:eastAsia="Arial" w:hAnsi="Arial"/>
          <w:sz w:val="17"/>
          <w:szCs w:val="17"/>
          <w:b w:val="1"/>
          <w:bCs w:val="1"/>
          <w:color w:val="auto"/>
        </w:rPr>
        <w:t>ATRIX</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DJUSTMENT</w:t>
      </w:r>
      <w:r>
        <w:rPr>
          <w:rFonts w:ascii="Arial" w:cs="Arial" w:eastAsia="Arial" w:hAnsi="Arial"/>
          <w:sz w:val="22"/>
          <w:szCs w:val="22"/>
          <w:b w:val="1"/>
          <w:bCs w:val="1"/>
          <w:color w:val="auto"/>
        </w:rPr>
        <w:t xml:space="preserve"> N</w:t>
      </w:r>
      <w:r>
        <w:rPr>
          <w:rFonts w:ascii="Arial" w:cs="Arial" w:eastAsia="Arial" w:hAnsi="Arial"/>
          <w:sz w:val="17"/>
          <w:szCs w:val="17"/>
          <w:b w:val="1"/>
          <w:bCs w:val="1"/>
          <w:color w:val="auto"/>
        </w:rPr>
        <w:t>OTICE</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SunTrust Bank</w:t>
      </w:r>
    </w:p>
    <w:p>
      <w:pPr>
        <w:ind w:left="120"/>
        <w:spacing w:after="0" w:line="238" w:lineRule="auto"/>
        <w:rPr>
          <w:sz w:val="20"/>
          <w:szCs w:val="20"/>
          <w:color w:val="auto"/>
        </w:rPr>
      </w:pPr>
      <w:r>
        <w:rPr>
          <w:rFonts w:ascii="Arial" w:cs="Arial" w:eastAsia="Arial" w:hAnsi="Arial"/>
          <w:sz w:val="22"/>
          <w:szCs w:val="22"/>
          <w:color w:val="auto"/>
        </w:rPr>
        <w:t>as Administrative Agent</w:t>
      </w:r>
    </w:p>
    <w:p>
      <w:pPr>
        <w:spacing w:after="0" w:line="230" w:lineRule="auto"/>
        <w:rPr>
          <w:sz w:val="20"/>
          <w:szCs w:val="20"/>
          <w:color w:val="auto"/>
        </w:rPr>
      </w:pPr>
      <w:r>
        <w:rPr>
          <w:rFonts w:ascii="Arial" w:cs="Arial" w:eastAsia="Arial" w:hAnsi="Arial"/>
          <w:sz w:val="22"/>
          <w:szCs w:val="22"/>
          <w:color w:val="auto"/>
        </w:rPr>
        <w:t>303 Peachtree St., NE, 24th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Atlanta, Georgia 30308</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ind w:left="120"/>
        <w:spacing w:after="0" w:line="238" w:lineRule="auto"/>
        <w:rPr>
          <w:sz w:val="20"/>
          <w:szCs w:val="20"/>
          <w:color w:val="auto"/>
        </w:rPr>
      </w:pPr>
      <w:r>
        <w:rPr>
          <w:rFonts w:ascii="Arial" w:cs="Arial" w:eastAsia="Arial" w:hAnsi="Arial"/>
          <w:sz w:val="22"/>
          <w:szCs w:val="22"/>
          <w:color w:val="auto"/>
        </w:rPr>
        <w:t>as Collateral Agent</w:t>
      </w:r>
    </w:p>
    <w:p>
      <w:pPr>
        <w:spacing w:after="0" w:line="230" w:lineRule="auto"/>
        <w:rPr>
          <w:sz w:val="20"/>
          <w:szCs w:val="20"/>
          <w:color w:val="auto"/>
        </w:rPr>
      </w:pPr>
      <w:r>
        <w:rPr>
          <w:rFonts w:ascii="Arial" w:cs="Arial" w:eastAsia="Arial" w:hAnsi="Arial"/>
          <w:sz w:val="22"/>
          <w:szCs w:val="22"/>
          <w:color w:val="auto"/>
        </w:rPr>
        <w:t>Corporate Trust Services – CDO Unit</w:t>
      </w:r>
    </w:p>
    <w:p>
      <w:pPr>
        <w:spacing w:after="0" w:line="231" w:lineRule="auto"/>
        <w:rPr>
          <w:sz w:val="20"/>
          <w:szCs w:val="20"/>
          <w:color w:val="auto"/>
        </w:rPr>
      </w:pPr>
      <w:r>
        <w:rPr>
          <w:rFonts w:ascii="Arial" w:cs="Arial" w:eastAsia="Arial" w:hAnsi="Arial"/>
          <w:sz w:val="22"/>
          <w:szCs w:val="22"/>
          <w:color w:val="auto"/>
        </w:rPr>
        <w:t>One Federal Street, Third Floor</w:t>
      </w:r>
    </w:p>
    <w:p>
      <w:pPr>
        <w:spacing w:after="0" w:line="230" w:lineRule="auto"/>
        <w:rPr>
          <w:sz w:val="20"/>
          <w:szCs w:val="20"/>
          <w:color w:val="auto"/>
        </w:rPr>
      </w:pPr>
      <w:r>
        <w:rPr>
          <w:rFonts w:ascii="Arial" w:cs="Arial" w:eastAsia="Arial" w:hAnsi="Arial"/>
          <w:sz w:val="22"/>
          <w:szCs w:val="22"/>
          <w:color w:val="auto"/>
        </w:rPr>
        <w:t>Boston, Massachusetts</w:t>
      </w:r>
    </w:p>
    <w:p>
      <w:pPr>
        <w:spacing w:after="0" w:line="231" w:lineRule="auto"/>
        <w:rPr>
          <w:sz w:val="20"/>
          <w:szCs w:val="20"/>
          <w:color w:val="auto"/>
        </w:rPr>
      </w:pPr>
      <w:r>
        <w:rPr>
          <w:rFonts w:ascii="Arial" w:cs="Arial" w:eastAsia="Arial" w:hAnsi="Arial"/>
          <w:sz w:val="22"/>
          <w:szCs w:val="22"/>
          <w:color w:val="auto"/>
        </w:rPr>
        <w:t>Attn: Jennifer Vlasuk</w:t>
      </w:r>
    </w:p>
    <w:p>
      <w:pPr>
        <w:spacing w:after="0"/>
        <w:rPr>
          <w:sz w:val="20"/>
          <w:szCs w:val="20"/>
          <w:color w:val="auto"/>
        </w:rPr>
      </w:pPr>
      <w:r>
        <w:rPr>
          <w:rFonts w:ascii="Arial" w:cs="Arial" w:eastAsia="Arial" w:hAnsi="Arial"/>
          <w:sz w:val="22"/>
          <w:szCs w:val="22"/>
          <w:color w:val="auto"/>
        </w:rPr>
        <w:t>Ref: PennantPark Floating Rate Funding I, LLC</w:t>
      </w:r>
    </w:p>
    <w:p>
      <w:pPr>
        <w:spacing w:after="0" w:line="256" w:lineRule="exact"/>
        <w:rPr>
          <w:sz w:val="20"/>
          <w:szCs w:val="20"/>
          <w:color w:val="auto"/>
        </w:rPr>
      </w:pPr>
    </w:p>
    <w:p>
      <w:pPr>
        <w:jc w:val="both"/>
        <w:ind w:firstLine="786"/>
        <w:spacing w:after="0" w:line="272" w:lineRule="auto"/>
        <w:rPr>
          <w:sz w:val="20"/>
          <w:szCs w:val="20"/>
          <w:color w:val="auto"/>
        </w:rPr>
      </w:pPr>
      <w:r>
        <w:rPr>
          <w:rFonts w:ascii="Arial" w:cs="Arial" w:eastAsia="Arial" w:hAnsi="Arial"/>
          <w:sz w:val="19"/>
          <w:szCs w:val="19"/>
          <w:color w:val="auto"/>
        </w:rPr>
        <w:t xml:space="preserve">This Matrix Adjustment Notice is made pursuant to </w:t>
      </w:r>
      <w:r>
        <w:rPr>
          <w:rFonts w:ascii="Arial" w:cs="Arial" w:eastAsia="Arial" w:hAnsi="Arial"/>
          <w:sz w:val="19"/>
          <w:szCs w:val="19"/>
          <w:u w:val="single" w:color="auto"/>
          <w:color w:val="auto"/>
        </w:rPr>
        <w:t>Section 11.02(e)</w:t>
      </w:r>
      <w:r>
        <w:rPr>
          <w:rFonts w:ascii="Arial" w:cs="Arial" w:eastAsia="Arial" w:hAnsi="Arial"/>
          <w:sz w:val="19"/>
          <w:szCs w:val="19"/>
          <w:color w:val="auto"/>
        </w:rPr>
        <w:t xml:space="preserve"> of that certain Third Amended and Restated Revolving Credit and Security Agreement dated as of May 22, 2015 (as the same may from time to time be amended, supplemented, waived or modified, the </w:t>
      </w:r>
      <w:r>
        <w:rPr>
          <w:rFonts w:ascii="Arial" w:cs="Arial" w:eastAsia="Arial" w:hAnsi="Arial"/>
          <w:sz w:val="19"/>
          <w:szCs w:val="19"/>
          <w:i w:val="1"/>
          <w:iCs w:val="1"/>
          <w:color w:val="auto"/>
        </w:rPr>
        <w:t>“Credit Agreement”</w:t>
      </w:r>
      <w:r>
        <w:rPr>
          <w:rFonts w:ascii="Arial" w:cs="Arial" w:eastAsia="Arial" w:hAnsi="Arial"/>
          <w:sz w:val="19"/>
          <w:szCs w:val="19"/>
          <w:color w:val="auto"/>
        </w:rPr>
        <w:t xml:space="preserve">) among PennantPark Floating Rate Funding I, LLC, a Delaware limited liability company, as borrower (together with its permitted successors and assigns, the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PennantPark Investment Advisers, LLC, a Delaware limited liability company, as the collateral manager (together with its permitted successors and assigns, the </w:t>
      </w:r>
      <w:r>
        <w:rPr>
          <w:rFonts w:ascii="Arial" w:cs="Arial" w:eastAsia="Arial" w:hAnsi="Arial"/>
          <w:sz w:val="19"/>
          <w:szCs w:val="19"/>
          <w:i w:val="1"/>
          <w:iCs w:val="1"/>
          <w:color w:val="auto"/>
        </w:rPr>
        <w:t>“Collateral Manager”</w:t>
      </w:r>
      <w:r>
        <w:rPr>
          <w:rFonts w:ascii="Arial" w:cs="Arial" w:eastAsia="Arial" w:hAnsi="Arial"/>
          <w:sz w:val="19"/>
          <w:szCs w:val="19"/>
          <w:color w:val="auto"/>
        </w:rPr>
        <w:t xml:space="preserve">), the Lenders from time to time party thereto; SunTrust Bank, as administrative agent for the Secured Parties (as hereinafter defined) (in such capacity, together with its successors and assigns, the </w:t>
      </w:r>
      <w:r>
        <w:rPr>
          <w:rFonts w:ascii="Arial" w:cs="Arial" w:eastAsia="Arial" w:hAnsi="Arial"/>
          <w:sz w:val="19"/>
          <w:szCs w:val="19"/>
          <w:i w:val="1"/>
          <w:iCs w:val="1"/>
          <w:color w:val="auto"/>
        </w:rPr>
        <w:t>“Administrative Agent”</w:t>
      </w:r>
      <w:r>
        <w:rPr>
          <w:rFonts w:ascii="Arial" w:cs="Arial" w:eastAsia="Arial" w:hAnsi="Arial"/>
          <w:sz w:val="19"/>
          <w:szCs w:val="19"/>
          <w:color w:val="auto"/>
        </w:rPr>
        <w:t>), SunTrust Bank, as the swingline lender (the “</w:t>
      </w:r>
      <w:r>
        <w:rPr>
          <w:rFonts w:ascii="Arial" w:cs="Arial" w:eastAsia="Arial" w:hAnsi="Arial"/>
          <w:sz w:val="19"/>
          <w:szCs w:val="19"/>
          <w:i w:val="1"/>
          <w:iCs w:val="1"/>
          <w:color w:val="auto"/>
        </w:rPr>
        <w:t>Swingline Lender</w:t>
      </w:r>
      <w:r>
        <w:rPr>
          <w:rFonts w:ascii="Arial" w:cs="Arial" w:eastAsia="Arial" w:hAnsi="Arial"/>
          <w:sz w:val="19"/>
          <w:szCs w:val="19"/>
          <w:color w:val="auto"/>
        </w:rPr>
        <w:t xml:space="preserve">”), U.S. Bank National Association, as collateral agent for the Secured Parties (in such capacity, together with its successors and assigns, the </w:t>
      </w:r>
      <w:r>
        <w:rPr>
          <w:rFonts w:ascii="Arial" w:cs="Arial" w:eastAsia="Arial" w:hAnsi="Arial"/>
          <w:sz w:val="19"/>
          <w:szCs w:val="19"/>
          <w:i w:val="1"/>
          <w:iCs w:val="1"/>
          <w:color w:val="auto"/>
        </w:rPr>
        <w:t>“Collateral Agent”</w:t>
      </w:r>
      <w:r>
        <w:rPr>
          <w:rFonts w:ascii="Arial" w:cs="Arial" w:eastAsia="Arial" w:hAnsi="Arial"/>
          <w:sz w:val="19"/>
          <w:szCs w:val="19"/>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200" w:lineRule="exact"/>
        <w:rPr>
          <w:sz w:val="20"/>
          <w:szCs w:val="20"/>
          <w:color w:val="auto"/>
        </w:rPr>
      </w:pPr>
    </w:p>
    <w:p>
      <w:pPr>
        <w:spacing w:after="0" w:line="289" w:lineRule="exact"/>
        <w:rPr>
          <w:sz w:val="20"/>
          <w:szCs w:val="20"/>
          <w:color w:val="auto"/>
        </w:rPr>
      </w:pPr>
    </w:p>
    <w:p>
      <w:pPr>
        <w:ind w:left="1840"/>
        <w:spacing w:after="0"/>
        <w:tabs>
          <w:tab w:leader="none" w:pos="2400" w:val="left"/>
          <w:tab w:leader="none" w:pos="8400" w:val="left"/>
          <w:tab w:leader="none" w:pos="90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The Collateral Manager hereby gives notice that on</w:t>
      </w:r>
      <w:r>
        <w:rPr>
          <w:sz w:val="20"/>
          <w:szCs w:val="20"/>
          <w:color w:val="auto"/>
        </w:rPr>
        <w:tab/>
      </w:r>
      <w:r>
        <w:rPr>
          <w:rFonts w:ascii="Arial" w:cs="Arial" w:eastAsia="Arial" w:hAnsi="Arial"/>
          <w:sz w:val="22"/>
          <w:szCs w:val="22"/>
          <w:color w:val="auto"/>
        </w:rPr>
        <w:t>, 201</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i w:val="1"/>
          <w:iCs w:val="1"/>
          <w:color w:val="auto"/>
        </w:rPr>
        <w:t>“Matrix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-17780</wp:posOffset>
            </wp:positionV>
            <wp:extent cx="12515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800"/>
        <w:spacing w:after="0"/>
        <w:tabs>
          <w:tab w:leader="none" w:pos="4780" w:val="left"/>
        </w:tabs>
        <w:rPr>
          <w:sz w:val="20"/>
          <w:szCs w:val="20"/>
          <w:color w:val="auto"/>
        </w:rPr>
      </w:pPr>
      <w:r>
        <w:rPr>
          <w:rFonts w:ascii="Arial" w:cs="Arial" w:eastAsia="Arial" w:hAnsi="Arial"/>
          <w:sz w:val="22"/>
          <w:szCs w:val="22"/>
          <w:i w:val="1"/>
          <w:iCs w:val="1"/>
          <w:color w:val="auto"/>
        </w:rPr>
        <w:t>Date”</w:t>
      </w:r>
      <w:r>
        <w:rPr>
          <w:rFonts w:ascii="Arial" w:cs="Arial" w:eastAsia="Arial" w:hAnsi="Arial"/>
          <w:sz w:val="22"/>
          <w:szCs w:val="22"/>
          <w:color w:val="auto"/>
        </w:rPr>
        <w:t>), the Matrix Inputs set forth in Row</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color w:val="auto"/>
        </w:rPr>
        <w:t xml:space="preserve">] </w:t>
      </w:r>
      <w:r>
        <w:rPr>
          <w:rFonts w:ascii="Arial" w:cs="Arial" w:eastAsia="Arial" w:hAnsi="Arial"/>
          <w:sz w:val="19"/>
          <w:szCs w:val="19"/>
          <w:color w:val="auto"/>
        </w:rPr>
        <w:t>of the Matrix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-29210</wp:posOffset>
            </wp:positionV>
            <wp:extent cx="137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jc w:val="both"/>
        <w:ind w:left="800" w:firstLine="1039"/>
        <w:spacing w:after="0" w:line="238" w:lineRule="auto"/>
        <w:tabs>
          <w:tab w:leader="none" w:pos="2347" w:val="left"/>
        </w:tabs>
        <w:numPr>
          <w:ilvl w:val="0"/>
          <w:numId w:val="311"/>
        </w:numPr>
        <w:rPr>
          <w:rFonts w:ascii="Arial" w:cs="Arial" w:eastAsia="Arial" w:hAnsi="Arial"/>
          <w:sz w:val="22"/>
          <w:szCs w:val="22"/>
          <w:color w:val="auto"/>
        </w:rPr>
      </w:pPr>
      <w:r>
        <w:rPr>
          <w:rFonts w:ascii="Arial" w:cs="Arial" w:eastAsia="Arial" w:hAnsi="Arial"/>
          <w:sz w:val="22"/>
          <w:szCs w:val="22"/>
          <w:color w:val="auto"/>
        </w:rPr>
        <w:t>After giving effect to such change in the Matrix Inputs, each Coverage Test is satisfied and no Default or Event of Default would occur under the Credit Agreement. The calculation of the Borrowing Base, the Maximum Advance Rate Test and each Currency Borrowing Base Test after giving effect to the foregoing change in the Matrix and the Matrix Inputs is set forth on Schedule I hereto.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 TO</w:t>
      </w:r>
      <w:r>
        <w:rPr>
          <w:rFonts w:ascii="Arial" w:cs="Arial" w:eastAsia="Arial" w:hAnsi="Arial"/>
          <w:sz w:val="22"/>
          <w:szCs w:val="22"/>
          <w:color w:val="auto"/>
        </w:rPr>
        <w:t xml:space="preserve"> F</w:t>
      </w:r>
      <w:r>
        <w:rPr>
          <w:rFonts w:ascii="Arial" w:cs="Arial" w:eastAsia="Arial" w:hAnsi="Arial"/>
          <w:sz w:val="17"/>
          <w:szCs w:val="17"/>
          <w:color w:val="auto"/>
        </w:rPr>
        <w:t>OLLOW</w:t>
      </w:r>
      <w:r>
        <w:rPr>
          <w:rFonts w:ascii="Arial" w:cs="Arial" w:eastAsia="Arial" w:hAnsi="Arial"/>
          <w:sz w:val="22"/>
          <w:szCs w:val="22"/>
          <w:color w:val="auto"/>
        </w:rPr>
        <w:t>]</w:t>
      </w:r>
    </w:p>
    <w:p>
      <w:pPr>
        <w:sectPr>
          <w:pgSz w:w="11900" w:h="16838" w:orient="portrait"/>
          <w:cols w:equalWidth="0" w:num="1">
            <w:col w:w="11240"/>
          </w:cols>
          <w:pgMar w:left="320" w:top="261" w:right="339" w:bottom="1440" w:gutter="0" w:footer="0" w:header="0"/>
        </w:sectPr>
      </w:pPr>
    </w:p>
    <w:bookmarkStart w:id="248" w:name="page249"/>
    <w:bookmarkEnd w:id="248"/>
    <w:p>
      <w:pPr>
        <w:spacing w:after="0"/>
        <w:tabs>
          <w:tab w:leader="none" w:pos="2760" w:val="left"/>
          <w:tab w:leader="none" w:pos="43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w:t>
      </w:r>
      <w:r>
        <w:rPr>
          <w:rFonts w:ascii="Arial" w:cs="Arial" w:eastAsia="Arial" w:hAnsi="Arial"/>
          <w:sz w:val="17"/>
          <w:szCs w:val="17"/>
          <w:color w:val="auto"/>
        </w:rPr>
        <w:t>ITNESS</w:t>
      </w:r>
      <w:r>
        <w:rPr>
          <w:rFonts w:ascii="Arial" w:cs="Arial" w:eastAsia="Arial" w:hAnsi="Arial"/>
          <w:sz w:val="22"/>
          <w:szCs w:val="22"/>
          <w:color w:val="auto"/>
        </w:rPr>
        <w:t xml:space="preserve"> my hand on this</w:t>
      </w:r>
      <w:r>
        <w:rPr>
          <w:sz w:val="20"/>
          <w:szCs w:val="20"/>
          <w:color w:val="auto"/>
        </w:rPr>
        <w:tab/>
      </w:r>
      <w:r>
        <w:rPr>
          <w:rFonts w:ascii="Arial" w:cs="Arial" w:eastAsia="Arial" w:hAnsi="Arial"/>
          <w:sz w:val="22"/>
          <w:szCs w:val="22"/>
          <w:color w:val="auto"/>
        </w:rPr>
        <w:t>day of</w:t>
      </w:r>
      <w:r>
        <w:rPr>
          <w:sz w:val="20"/>
          <w:szCs w:val="20"/>
          <w:color w:val="auto"/>
        </w:rPr>
        <w:tab/>
      </w:r>
      <w:r>
        <w:rPr>
          <w:rFonts w:ascii="Arial" w:cs="Arial" w:eastAsia="Arial" w:hAnsi="Arial"/>
          <w:sz w:val="21"/>
          <w:szCs w:val="21"/>
          <w:color w:val="auto"/>
        </w:rPr>
        <w:t>, 201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-17780</wp:posOffset>
            </wp:positionV>
            <wp:extent cx="274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-17780</wp:posOffset>
            </wp:positionV>
            <wp:extent cx="6172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ENNANTPARK</w:t>
      </w:r>
      <w:r>
        <w:rPr>
          <w:rFonts w:ascii="Arial" w:cs="Arial" w:eastAsia="Arial" w:hAnsi="Arial"/>
          <w:sz w:val="22"/>
          <w:szCs w:val="22"/>
          <w:color w:val="auto"/>
        </w:rPr>
        <w:t xml:space="preserve"> I</w:t>
      </w:r>
      <w:r>
        <w:rPr>
          <w:rFonts w:ascii="Arial" w:cs="Arial" w:eastAsia="Arial" w:hAnsi="Arial"/>
          <w:sz w:val="17"/>
          <w:szCs w:val="17"/>
          <w:color w:val="auto"/>
        </w:rPr>
        <w:t>NVESTMENT</w:t>
      </w:r>
      <w:r>
        <w:rPr>
          <w:rFonts w:ascii="Arial" w:cs="Arial" w:eastAsia="Arial" w:hAnsi="Arial"/>
          <w:sz w:val="22"/>
          <w:szCs w:val="22"/>
          <w:color w:val="auto"/>
        </w:rPr>
        <w:t xml:space="preserve"> A</w:t>
      </w:r>
      <w:r>
        <w:rPr>
          <w:rFonts w:ascii="Arial" w:cs="Arial" w:eastAsia="Arial" w:hAnsi="Arial"/>
          <w:sz w:val="17"/>
          <w:szCs w:val="17"/>
          <w:color w:val="auto"/>
        </w:rPr>
        <w:t>DVISERS</w:t>
      </w:r>
      <w:r>
        <w:rPr>
          <w:rFonts w:ascii="Arial" w:cs="Arial" w:eastAsia="Arial" w:hAnsi="Arial"/>
          <w:sz w:val="22"/>
          <w:szCs w:val="22"/>
          <w:color w:val="auto"/>
        </w:rPr>
        <w:t>, LLC, as</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Collateral Manager</w:t>
      </w:r>
    </w:p>
    <w:p>
      <w:pPr>
        <w:spacing w:after="0" w:line="200" w:lineRule="exact"/>
        <w:rPr>
          <w:sz w:val="20"/>
          <w:szCs w:val="20"/>
          <w:color w:val="auto"/>
        </w:rPr>
      </w:pPr>
    </w:p>
    <w:p>
      <w:pPr>
        <w:spacing w:after="0" w:line="245"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6985</wp:posOffset>
            </wp:positionV>
            <wp:extent cx="2108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4445</wp:posOffset>
            </wp:positionV>
            <wp:extent cx="22713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4297680</wp:posOffset>
            </wp:positionH>
            <wp:positionV relativeFrom="paragraph">
              <wp:posOffset>4445</wp:posOffset>
            </wp:positionV>
            <wp:extent cx="23317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4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60"/>
          </w:cols>
          <w:pgMar w:left="1120" w:top="267" w:right="51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21"/>
          <w:szCs w:val="21"/>
          <w:b w:val="1"/>
          <w:bCs w:val="1"/>
          <w:color w:val="auto"/>
        </w:rPr>
        <w:t>M</w:t>
      </w:r>
      <w:r>
        <w:rPr>
          <w:rFonts w:ascii="Arial" w:cs="Arial" w:eastAsia="Arial" w:hAnsi="Arial"/>
          <w:sz w:val="18"/>
          <w:szCs w:val="18"/>
          <w:b w:val="1"/>
          <w:bCs w:val="1"/>
          <w:color w:val="auto"/>
        </w:rPr>
        <w:t xml:space="preserve">ATRIX </w:t>
      </w:r>
      <w:r>
        <w:rPr>
          <w:rFonts w:ascii="Arial" w:cs="Arial" w:eastAsia="Arial" w:hAnsi="Arial"/>
          <w:sz w:val="21"/>
          <w:szCs w:val="21"/>
          <w:b w:val="1"/>
          <w:bCs w:val="1"/>
          <w:color w:val="auto"/>
        </w:rPr>
        <w:t>A</w:t>
      </w:r>
      <w:r>
        <w:rPr>
          <w:rFonts w:ascii="Arial" w:cs="Arial" w:eastAsia="Arial" w:hAnsi="Arial"/>
          <w:sz w:val="18"/>
          <w:szCs w:val="18"/>
          <w:b w:val="1"/>
          <w:bCs w:val="1"/>
          <w:color w:val="auto"/>
        </w:rPr>
        <w:t xml:space="preserve">DJUSTMENT </w:t>
      </w:r>
      <w:r>
        <w:rPr>
          <w:rFonts w:ascii="Arial" w:cs="Arial" w:eastAsia="Arial" w:hAnsi="Arial"/>
          <w:sz w:val="21"/>
          <w:szCs w:val="21"/>
          <w:b w:val="1"/>
          <w:bCs w:val="1"/>
          <w:color w:val="auto"/>
        </w:rPr>
        <w:t>N</w:t>
      </w:r>
      <w:r>
        <w:rPr>
          <w:rFonts w:ascii="Arial" w:cs="Arial" w:eastAsia="Arial" w:hAnsi="Arial"/>
          <w:sz w:val="18"/>
          <w:szCs w:val="18"/>
          <w:b w:val="1"/>
          <w:bCs w:val="1"/>
          <w:color w:val="auto"/>
        </w:rPr>
        <w:t>OTICE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7"/>
          <w:szCs w:val="17"/>
          <w:b w:val="1"/>
          <w:bCs w:val="1"/>
          <w:color w:val="auto"/>
        </w:rPr>
        <w:t>EE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TTACHED</w:t>
      </w:r>
      <w:r>
        <w:rPr>
          <w:rFonts w:ascii="Arial" w:cs="Arial" w:eastAsia="Arial" w:hAnsi="Arial"/>
          <w:sz w:val="22"/>
          <w:szCs w:val="22"/>
          <w:b w:val="1"/>
          <w:bCs w:val="1"/>
          <w:color w:val="auto"/>
        </w:rPr>
        <w:t>]</w:t>
      </w:r>
    </w:p>
    <w:p>
      <w:pPr>
        <w:sectPr>
          <w:pgSz w:w="11900" w:h="16838" w:orient="portrait"/>
          <w:cols w:equalWidth="0" w:num="1">
            <w:col w:w="9019"/>
          </w:cols>
          <w:pgMar w:left="1440" w:top="261" w:right="1440" w:bottom="1440" w:gutter="0" w:footer="0" w:header="0"/>
        </w:sectPr>
      </w:pPr>
    </w:p>
    <w:bookmarkStart w:id="250" w:name="page251"/>
    <w:bookmarkEnd w:id="250"/>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Borrowing Base Calculation Statement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Amounts are pro forma for proposed borrowing and related use of proceeds</w:t>
      </w:r>
    </w:p>
    <w:p>
      <w:pPr>
        <w:spacing w:after="0" w:line="265" w:lineRule="exact"/>
        <w:rPr>
          <w:sz w:val="20"/>
          <w:szCs w:val="20"/>
          <w:color w:val="auto"/>
        </w:rPr>
      </w:pPr>
    </w:p>
    <w:p>
      <w:pPr>
        <w:spacing w:after="0"/>
        <w:rPr>
          <w:sz w:val="20"/>
          <w:szCs w:val="20"/>
          <w:color w:val="auto"/>
        </w:rPr>
      </w:pPr>
      <w:r>
        <w:rPr>
          <w:rFonts w:ascii="Arial" w:cs="Arial" w:eastAsia="Arial" w:hAnsi="Arial"/>
          <w:sz w:val="11"/>
          <w:szCs w:val="11"/>
          <w:color w:val="auto"/>
        </w:rPr>
        <w:t>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-73660</wp:posOffset>
            </wp:positionV>
            <wp:extent cx="574040" cy="939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74040" cy="939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208915</wp:posOffset>
            </wp:positionV>
            <wp:extent cx="7149465" cy="1968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196850"/>
                    </a:xfrm>
                    <a:prstGeom prst="rect">
                      <a:avLst/>
                    </a:prstGeom>
                    <a:noFill/>
                  </pic:spPr>
                </pic:pic>
              </a:graphicData>
            </a:graphic>
          </wp:anchor>
        </w:drawing>
      </w:r>
    </w:p>
    <w:p>
      <w:pPr>
        <w:spacing w:after="0" w:line="322"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Maximum Advance Rate Test: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Satisfied if (A) is less than (B)</w:t>
      </w:r>
    </w:p>
    <w:p>
      <w:pPr>
        <w:sectPr>
          <w:pgSz w:w="11900" w:h="16838" w:orient="portrait"/>
          <w:cols w:equalWidth="0" w:num="1">
            <w:col w:w="11260"/>
          </w:cols>
          <w:pgMar w:left="320" w:top="274" w:right="319" w:bottom="1440" w:gutter="0" w:footer="0" w:header="0"/>
        </w:sectPr>
      </w:pPr>
    </w:p>
    <w:p>
      <w:pPr>
        <w:spacing w:after="0" w:line="149" w:lineRule="exact"/>
        <w:rPr>
          <w:sz w:val="20"/>
          <w:szCs w:val="20"/>
          <w:color w:val="auto"/>
        </w:rPr>
      </w:pPr>
    </w:p>
    <w:p>
      <w:pPr>
        <w:ind w:left="260" w:hanging="252"/>
        <w:spacing w:after="0"/>
        <w:tabs>
          <w:tab w:leader="none" w:pos="260" w:val="left"/>
        </w:tabs>
        <w:numPr>
          <w:ilvl w:val="0"/>
          <w:numId w:val="312"/>
        </w:numPr>
        <w:rPr>
          <w:rFonts w:ascii="Arial" w:cs="Arial" w:eastAsia="Arial" w:hAnsi="Arial"/>
          <w:sz w:val="11"/>
          <w:szCs w:val="11"/>
          <w:color w:val="auto"/>
        </w:rPr>
      </w:pPr>
      <w:r>
        <w:rPr>
          <w:rFonts w:ascii="Arial" w:cs="Arial" w:eastAsia="Arial" w:hAnsi="Arial"/>
          <w:sz w:val="11"/>
          <w:szCs w:val="11"/>
          <w:color w:val="auto"/>
        </w:rPr>
        <w:t>Sum of:</w:t>
      </w:r>
    </w:p>
    <w:p>
      <w:pPr>
        <w:spacing w:after="0" w:line="3" w:lineRule="exact"/>
        <w:rPr>
          <w:rFonts w:ascii="Arial" w:cs="Arial" w:eastAsia="Arial" w:hAnsi="Arial"/>
          <w:sz w:val="11"/>
          <w:szCs w:val="11"/>
          <w:color w:val="auto"/>
        </w:rPr>
      </w:pPr>
    </w:p>
    <w:p>
      <w:pPr>
        <w:ind w:left="420" w:hanging="156"/>
        <w:spacing w:after="0"/>
        <w:tabs>
          <w:tab w:leader="none" w:pos="420" w:val="left"/>
        </w:tabs>
        <w:numPr>
          <w:ilvl w:val="1"/>
          <w:numId w:val="312"/>
        </w:numPr>
        <w:rPr>
          <w:rFonts w:ascii="Arial" w:cs="Arial" w:eastAsia="Arial" w:hAnsi="Arial"/>
          <w:sz w:val="11"/>
          <w:szCs w:val="11"/>
          <w:color w:val="auto"/>
        </w:rPr>
      </w:pPr>
      <w:r>
        <w:rPr>
          <w:rFonts w:ascii="Arial" w:cs="Arial" w:eastAsia="Arial" w:hAnsi="Arial"/>
          <w:sz w:val="11"/>
          <w:szCs w:val="11"/>
          <w:color w:val="auto"/>
        </w:rPr>
        <w:t>Dollar Equivalent of the Aggregate principal balance of Advances outstanding</w:t>
      </w:r>
    </w:p>
    <w:p>
      <w:pPr>
        <w:spacing w:after="0" w:line="135" w:lineRule="exact"/>
        <w:rPr>
          <w:rFonts w:ascii="Arial" w:cs="Arial" w:eastAsia="Arial" w:hAnsi="Arial"/>
          <w:sz w:val="11"/>
          <w:szCs w:val="11"/>
          <w:color w:val="auto"/>
        </w:rPr>
      </w:pPr>
    </w:p>
    <w:p>
      <w:pPr>
        <w:ind w:left="420" w:hanging="156"/>
        <w:spacing w:after="0"/>
        <w:tabs>
          <w:tab w:leader="none" w:pos="420" w:val="left"/>
        </w:tabs>
        <w:numPr>
          <w:ilvl w:val="1"/>
          <w:numId w:val="312"/>
        </w:numPr>
        <w:rPr>
          <w:rFonts w:ascii="Arial" w:cs="Arial" w:eastAsia="Arial" w:hAnsi="Arial"/>
          <w:sz w:val="11"/>
          <w:szCs w:val="11"/>
          <w:color w:val="auto"/>
        </w:rPr>
      </w:pPr>
      <w:r>
        <w:rPr>
          <w:rFonts w:ascii="Arial" w:cs="Arial" w:eastAsia="Arial" w:hAnsi="Arial"/>
          <w:sz w:val="11"/>
          <w:szCs w:val="11"/>
          <w:color w:val="auto"/>
        </w:rPr>
        <w:t>Net Aggregate Exposure Amounts:</w:t>
      </w:r>
    </w:p>
    <w:p>
      <w:pPr>
        <w:ind w:left="840"/>
        <w:spacing w:after="0" w:line="236" w:lineRule="auto"/>
        <w:rPr>
          <w:sz w:val="20"/>
          <w:szCs w:val="20"/>
          <w:color w:val="auto"/>
        </w:rPr>
      </w:pPr>
      <w:r>
        <w:rPr>
          <w:rFonts w:ascii="Arial" w:cs="Arial" w:eastAsia="Arial" w:hAnsi="Arial"/>
          <w:sz w:val="11"/>
          <w:szCs w:val="11"/>
          <w:color w:val="auto"/>
        </w:rPr>
        <w:t>Excess of:</w:t>
      </w:r>
    </w:p>
    <w:p>
      <w:pPr>
        <w:ind w:left="1340" w:hanging="252"/>
        <w:spacing w:after="0"/>
        <w:tabs>
          <w:tab w:leader="none" w:pos="1340" w:val="left"/>
        </w:tabs>
        <w:numPr>
          <w:ilvl w:val="4"/>
          <w:numId w:val="313"/>
        </w:numPr>
        <w:rPr>
          <w:rFonts w:ascii="Arial" w:cs="Arial" w:eastAsia="Arial" w:hAnsi="Arial"/>
          <w:sz w:val="9"/>
          <w:szCs w:val="9"/>
          <w:color w:val="auto"/>
        </w:rPr>
      </w:pPr>
      <w:r>
        <w:rPr>
          <w:rFonts w:ascii="Arial" w:cs="Arial" w:eastAsia="Arial" w:hAnsi="Arial"/>
          <w:sz w:val="9"/>
          <w:szCs w:val="9"/>
          <w:color w:val="auto"/>
        </w:rPr>
        <w:t>Dollar Equivalent of the Aggregate unfunded amounts of all Revolving Collateral Loans and Delayed Draw Collateral Loans</w:t>
      </w:r>
    </w:p>
    <w:p>
      <w:pPr>
        <w:spacing w:after="0" w:line="24" w:lineRule="exact"/>
        <w:rPr>
          <w:rFonts w:ascii="Arial" w:cs="Arial" w:eastAsia="Arial" w:hAnsi="Arial"/>
          <w:sz w:val="9"/>
          <w:szCs w:val="9"/>
          <w:color w:val="auto"/>
        </w:rPr>
      </w:pPr>
    </w:p>
    <w:p>
      <w:pPr>
        <w:ind w:left="1340" w:hanging="252"/>
        <w:spacing w:after="0"/>
        <w:tabs>
          <w:tab w:leader="none" w:pos="1340" w:val="left"/>
        </w:tabs>
        <w:numPr>
          <w:ilvl w:val="4"/>
          <w:numId w:val="313"/>
        </w:numPr>
        <w:rPr>
          <w:rFonts w:ascii="Arial" w:cs="Arial" w:eastAsia="Arial" w:hAnsi="Arial"/>
          <w:sz w:val="11"/>
          <w:szCs w:val="11"/>
          <w:color w:val="auto"/>
        </w:rPr>
      </w:pPr>
      <w:r>
        <w:rPr>
          <w:rFonts w:ascii="Arial" w:cs="Arial" w:eastAsia="Arial" w:hAnsi="Arial"/>
          <w:sz w:val="11"/>
          <w:szCs w:val="11"/>
          <w:color w:val="auto"/>
        </w:rPr>
        <w:t>Dollar Equivalent of the Amount on deposit in the Revolving Reserve Account</w:t>
      </w:r>
    </w:p>
    <w:p>
      <w:pPr>
        <w:spacing w:after="0" w:line="200" w:lineRule="exact"/>
        <w:rPr>
          <w:rFonts w:ascii="Arial" w:cs="Arial" w:eastAsia="Arial" w:hAnsi="Arial"/>
          <w:sz w:val="11"/>
          <w:szCs w:val="11"/>
          <w:color w:val="auto"/>
        </w:rPr>
      </w:pPr>
    </w:p>
    <w:p>
      <w:pPr>
        <w:spacing w:after="0" w:line="212" w:lineRule="exact"/>
        <w:rPr>
          <w:rFonts w:ascii="Arial" w:cs="Arial" w:eastAsia="Arial" w:hAnsi="Arial"/>
          <w:sz w:val="11"/>
          <w:szCs w:val="11"/>
          <w:color w:val="auto"/>
        </w:rPr>
      </w:pPr>
    </w:p>
    <w:p>
      <w:pPr>
        <w:ind w:left="260" w:hanging="252"/>
        <w:spacing w:after="0"/>
        <w:tabs>
          <w:tab w:leader="none" w:pos="260" w:val="left"/>
        </w:tabs>
        <w:numPr>
          <w:ilvl w:val="0"/>
          <w:numId w:val="314"/>
        </w:numPr>
        <w:rPr>
          <w:rFonts w:ascii="Arial" w:cs="Arial" w:eastAsia="Arial" w:hAnsi="Arial"/>
          <w:sz w:val="11"/>
          <w:szCs w:val="11"/>
          <w:color w:val="auto"/>
        </w:rPr>
      </w:pPr>
      <w:r>
        <w:rPr>
          <w:rFonts w:ascii="Arial" w:cs="Arial" w:eastAsia="Arial" w:hAnsi="Arial"/>
          <w:sz w:val="11"/>
          <w:szCs w:val="11"/>
          <w:color w:val="auto"/>
        </w:rPr>
        <w:t xml:space="preserve">The Maximum Available Amount </w:t>
      </w:r>
      <w:r>
        <w:rPr>
          <w:rFonts w:ascii="Arial" w:cs="Arial" w:eastAsia="Arial" w:hAnsi="Arial"/>
          <w:sz w:val="11"/>
          <w:szCs w:val="11"/>
          <w:i w:val="1"/>
          <w:iCs w:val="1"/>
          <w:color w:val="auto"/>
        </w:rPr>
        <w:t>minus</w:t>
      </w:r>
      <w:r>
        <w:rPr>
          <w:rFonts w:ascii="Arial" w:cs="Arial" w:eastAsia="Arial" w:hAnsi="Arial"/>
          <w:sz w:val="11"/>
          <w:szCs w:val="11"/>
          <w:color w:val="auto"/>
        </w:rPr>
        <w:t xml:space="preserve"> Foreign Currency Variability Reserve</w:t>
      </w:r>
    </w:p>
    <w:p>
      <w:pPr>
        <w:spacing w:after="0" w:line="116" w:lineRule="exact"/>
        <w:rPr>
          <w:rFonts w:ascii="Arial" w:cs="Arial" w:eastAsia="Arial" w:hAnsi="Arial"/>
          <w:sz w:val="11"/>
          <w:szCs w:val="11"/>
          <w:color w:val="auto"/>
        </w:rPr>
      </w:pPr>
    </w:p>
    <w:p>
      <w:pPr>
        <w:ind w:left="400" w:hanging="136"/>
        <w:spacing w:after="0"/>
        <w:tabs>
          <w:tab w:leader="none" w:pos="400" w:val="left"/>
        </w:tabs>
        <w:numPr>
          <w:ilvl w:val="1"/>
          <w:numId w:val="314"/>
        </w:numPr>
        <w:rPr>
          <w:rFonts w:ascii="Arial" w:cs="Arial" w:eastAsia="Arial" w:hAnsi="Arial"/>
          <w:sz w:val="11"/>
          <w:szCs w:val="11"/>
          <w:color w:val="auto"/>
        </w:rPr>
      </w:pPr>
      <w:r>
        <w:rPr>
          <w:rFonts w:ascii="Arial" w:cs="Arial" w:eastAsia="Arial" w:hAnsi="Arial"/>
          <w:sz w:val="11"/>
          <w:szCs w:val="11"/>
          <w:color w:val="auto"/>
        </w:rPr>
        <w:t>The Maximum Available Amount (the least of):</w:t>
      </w:r>
    </w:p>
    <w:p>
      <w:pPr>
        <w:spacing w:after="0" w:line="3" w:lineRule="exact"/>
        <w:rPr>
          <w:rFonts w:ascii="Arial" w:cs="Arial" w:eastAsia="Arial" w:hAnsi="Arial"/>
          <w:sz w:val="11"/>
          <w:szCs w:val="11"/>
          <w:color w:val="auto"/>
        </w:rPr>
      </w:pPr>
    </w:p>
    <w:p>
      <w:pPr>
        <w:ind w:left="780" w:hanging="151"/>
        <w:spacing w:after="0"/>
        <w:tabs>
          <w:tab w:leader="none" w:pos="780" w:val="left"/>
        </w:tabs>
        <w:numPr>
          <w:ilvl w:val="2"/>
          <w:numId w:val="314"/>
        </w:numPr>
        <w:rPr>
          <w:rFonts w:ascii="Arial" w:cs="Arial" w:eastAsia="Arial" w:hAnsi="Arial"/>
          <w:sz w:val="11"/>
          <w:szCs w:val="11"/>
          <w:color w:val="auto"/>
        </w:rPr>
      </w:pPr>
      <w:r>
        <w:rPr>
          <w:rFonts w:ascii="Arial" w:cs="Arial" w:eastAsia="Arial" w:hAnsi="Arial"/>
          <w:sz w:val="11"/>
          <w:szCs w:val="11"/>
          <w:color w:val="auto"/>
        </w:rPr>
        <w:t>The Facility Amount</w:t>
      </w:r>
    </w:p>
    <w:p>
      <w:pPr>
        <w:spacing w:after="0" w:line="1" w:lineRule="exact"/>
        <w:rPr>
          <w:rFonts w:ascii="Arial" w:cs="Arial" w:eastAsia="Arial" w:hAnsi="Arial"/>
          <w:sz w:val="11"/>
          <w:szCs w:val="11"/>
          <w:color w:val="auto"/>
        </w:rPr>
      </w:pPr>
    </w:p>
    <w:p>
      <w:pPr>
        <w:ind w:left="780" w:hanging="151"/>
        <w:spacing w:after="0"/>
        <w:tabs>
          <w:tab w:leader="none" w:pos="780" w:val="left"/>
        </w:tabs>
        <w:numPr>
          <w:ilvl w:val="2"/>
          <w:numId w:val="314"/>
        </w:numPr>
        <w:rPr>
          <w:rFonts w:ascii="Arial" w:cs="Arial" w:eastAsia="Arial" w:hAnsi="Arial"/>
          <w:sz w:val="11"/>
          <w:szCs w:val="11"/>
          <w:color w:val="auto"/>
        </w:rPr>
      </w:pPr>
      <w:r>
        <w:rPr>
          <w:rFonts w:ascii="Arial" w:cs="Arial" w:eastAsia="Arial" w:hAnsi="Arial"/>
          <w:sz w:val="11"/>
          <w:szCs w:val="11"/>
          <w:color w:val="auto"/>
        </w:rPr>
        <w:t>The sum of:</w:t>
      </w:r>
    </w:p>
    <w:p>
      <w:pPr>
        <w:spacing w:after="0" w:line="8" w:lineRule="exact"/>
        <w:rPr>
          <w:rFonts w:ascii="Arial" w:cs="Arial" w:eastAsia="Arial" w:hAnsi="Arial"/>
          <w:sz w:val="11"/>
          <w:szCs w:val="11"/>
          <w:color w:val="auto"/>
        </w:rPr>
      </w:pPr>
    </w:p>
    <w:p>
      <w:pPr>
        <w:ind w:left="1000" w:hanging="155"/>
        <w:spacing w:after="0"/>
        <w:tabs>
          <w:tab w:leader="none" w:pos="1000" w:val="left"/>
        </w:tabs>
        <w:numPr>
          <w:ilvl w:val="3"/>
          <w:numId w:val="314"/>
        </w:numPr>
        <w:rPr>
          <w:rFonts w:ascii="Arial" w:cs="Arial" w:eastAsia="Arial" w:hAnsi="Arial"/>
          <w:sz w:val="11"/>
          <w:szCs w:val="11"/>
          <w:color w:val="auto"/>
        </w:rPr>
      </w:pPr>
      <w:r>
        <w:rPr>
          <w:rFonts w:ascii="Arial" w:cs="Arial" w:eastAsia="Arial" w:hAnsi="Arial"/>
          <w:sz w:val="11"/>
          <w:szCs w:val="11"/>
          <w:color w:val="auto"/>
        </w:rPr>
        <w:t>The product of:</w:t>
      </w:r>
    </w:p>
    <w:p>
      <w:pPr>
        <w:spacing w:after="0" w:line="1" w:lineRule="exact"/>
        <w:rPr>
          <w:rFonts w:ascii="Arial" w:cs="Arial" w:eastAsia="Arial" w:hAnsi="Arial"/>
          <w:sz w:val="11"/>
          <w:szCs w:val="11"/>
          <w:color w:val="auto"/>
        </w:rPr>
      </w:pPr>
    </w:p>
    <w:p>
      <w:pPr>
        <w:ind w:left="1340" w:hanging="252"/>
        <w:spacing w:after="0" w:line="230" w:lineRule="auto"/>
        <w:tabs>
          <w:tab w:leader="none" w:pos="1340" w:val="left"/>
        </w:tabs>
        <w:numPr>
          <w:ilvl w:val="4"/>
          <w:numId w:val="314"/>
        </w:numPr>
        <w:rPr>
          <w:rFonts w:ascii="Arial" w:cs="Arial" w:eastAsia="Arial" w:hAnsi="Arial"/>
          <w:sz w:val="11"/>
          <w:szCs w:val="11"/>
          <w:color w:val="auto"/>
        </w:rPr>
      </w:pPr>
      <w:r>
        <w:rPr>
          <w:rFonts w:ascii="Arial" w:cs="Arial" w:eastAsia="Arial" w:hAnsi="Arial"/>
          <w:sz w:val="11"/>
          <w:szCs w:val="11"/>
          <w:color w:val="auto"/>
        </w:rPr>
        <w:t>The Borrowing Base:</w:t>
      </w:r>
    </w:p>
    <w:p>
      <w:pPr>
        <w:ind w:left="1720" w:hanging="268"/>
        <w:spacing w:after="0"/>
        <w:tabs>
          <w:tab w:leader="none" w:pos="1720" w:val="left"/>
        </w:tabs>
        <w:numPr>
          <w:ilvl w:val="5"/>
          <w:numId w:val="314"/>
        </w:numPr>
        <w:rPr>
          <w:rFonts w:ascii="Arial" w:cs="Arial" w:eastAsia="Arial" w:hAnsi="Arial"/>
          <w:sz w:val="11"/>
          <w:szCs w:val="11"/>
          <w:color w:val="auto"/>
        </w:rPr>
      </w:pPr>
      <w:r>
        <w:rPr>
          <w:rFonts w:ascii="Arial" w:cs="Arial" w:eastAsia="Arial" w:hAnsi="Arial"/>
          <w:sz w:val="11"/>
          <w:szCs w:val="11"/>
          <w:color w:val="auto"/>
        </w:rPr>
        <w:t>The Aggregate Collateral Balance per clause (a), less</w:t>
      </w:r>
    </w:p>
    <w:p>
      <w:pPr>
        <w:spacing w:after="0" w:line="135" w:lineRule="exact"/>
        <w:rPr>
          <w:rFonts w:ascii="Arial" w:cs="Arial" w:eastAsia="Arial" w:hAnsi="Arial"/>
          <w:sz w:val="11"/>
          <w:szCs w:val="11"/>
          <w:color w:val="auto"/>
        </w:rPr>
      </w:pPr>
    </w:p>
    <w:p>
      <w:pPr>
        <w:ind w:left="1720" w:hanging="268"/>
        <w:spacing w:after="0"/>
        <w:tabs>
          <w:tab w:leader="none" w:pos="1720" w:val="left"/>
        </w:tabs>
        <w:numPr>
          <w:ilvl w:val="5"/>
          <w:numId w:val="314"/>
        </w:numPr>
        <w:rPr>
          <w:rFonts w:ascii="Arial" w:cs="Arial" w:eastAsia="Arial" w:hAnsi="Arial"/>
          <w:sz w:val="11"/>
          <w:szCs w:val="11"/>
          <w:color w:val="auto"/>
        </w:rPr>
      </w:pPr>
      <w:r>
        <w:rPr>
          <w:rFonts w:ascii="Arial" w:cs="Arial" w:eastAsia="Arial" w:hAnsi="Arial"/>
          <w:sz w:val="11"/>
          <w:szCs w:val="11"/>
          <w:color w:val="auto"/>
        </w:rPr>
        <w:t>Any Excess Concentrations</w:t>
      </w:r>
    </w:p>
    <w:p>
      <w:pPr>
        <w:spacing w:after="0" w:line="9" w:lineRule="exact"/>
        <w:rPr>
          <w:rFonts w:ascii="Arial" w:cs="Arial" w:eastAsia="Arial" w:hAnsi="Arial"/>
          <w:sz w:val="11"/>
          <w:szCs w:val="11"/>
          <w:color w:val="auto"/>
        </w:rPr>
      </w:pPr>
    </w:p>
    <w:p>
      <w:pPr>
        <w:ind w:left="1720" w:hanging="268"/>
        <w:spacing w:after="0"/>
        <w:tabs>
          <w:tab w:leader="none" w:pos="1720" w:val="left"/>
        </w:tabs>
        <w:numPr>
          <w:ilvl w:val="5"/>
          <w:numId w:val="314"/>
        </w:numPr>
        <w:rPr>
          <w:rFonts w:ascii="Arial" w:cs="Arial" w:eastAsia="Arial" w:hAnsi="Arial"/>
          <w:sz w:val="11"/>
          <w:szCs w:val="11"/>
          <w:color w:val="auto"/>
        </w:rPr>
      </w:pPr>
      <w:r>
        <w:rPr>
          <w:rFonts w:ascii="Arial" w:cs="Arial" w:eastAsia="Arial" w:hAnsi="Arial"/>
          <w:sz w:val="11"/>
          <w:szCs w:val="11"/>
          <w:color w:val="auto"/>
        </w:rPr>
        <w:t>Incremental Senior B Haircut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-160020</wp:posOffset>
            </wp:positionV>
            <wp:extent cx="565785" cy="2654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65785" cy="26543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-331470</wp:posOffset>
            </wp:positionV>
            <wp:extent cx="565785" cy="946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65785" cy="94615"/>
                    </a:xfrm>
                    <a:prstGeom prst="rect">
                      <a:avLst/>
                    </a:prstGeom>
                    <a:noFill/>
                  </pic:spPr>
                </pic:pic>
              </a:graphicData>
            </a:graphic>
          </wp:anchor>
        </w:drawing>
      </w:r>
    </w:p>
    <w:p>
      <w:pPr>
        <w:spacing w:after="0" w:line="122" w:lineRule="exact"/>
        <w:rPr>
          <w:sz w:val="20"/>
          <w:szCs w:val="20"/>
          <w:color w:val="auto"/>
        </w:rPr>
      </w:pPr>
    </w:p>
    <w:p>
      <w:pPr>
        <w:ind w:left="1460"/>
        <w:spacing w:after="0"/>
        <w:rPr>
          <w:sz w:val="20"/>
          <w:szCs w:val="20"/>
          <w:color w:val="auto"/>
        </w:rPr>
      </w:pPr>
      <w:r>
        <w:rPr>
          <w:rFonts w:ascii="Arial" w:cs="Arial" w:eastAsia="Arial" w:hAnsi="Arial"/>
          <w:sz w:val="11"/>
          <w:szCs w:val="11"/>
          <w:i w:val="1"/>
          <w:iCs w:val="1"/>
          <w:color w:val="auto"/>
        </w:rPr>
        <w:t>times</w:t>
      </w:r>
    </w:p>
    <w:p>
      <w:pPr>
        <w:spacing w:after="0" w:line="10" w:lineRule="exact"/>
        <w:rPr>
          <w:sz w:val="20"/>
          <w:szCs w:val="20"/>
          <w:color w:val="auto"/>
        </w:rPr>
      </w:pPr>
    </w:p>
    <w:p>
      <w:pPr>
        <w:ind w:left="1420" w:hanging="332"/>
        <w:spacing w:after="0"/>
        <w:tabs>
          <w:tab w:leader="none" w:pos="1420" w:val="left"/>
        </w:tabs>
        <w:numPr>
          <w:ilvl w:val="0"/>
          <w:numId w:val="315"/>
        </w:numPr>
        <w:rPr>
          <w:rFonts w:ascii="Arial" w:cs="Arial" w:eastAsia="Arial" w:hAnsi="Arial"/>
          <w:sz w:val="11"/>
          <w:szCs w:val="11"/>
          <w:color w:val="auto"/>
        </w:rPr>
      </w:pPr>
      <w:r>
        <w:rPr>
          <w:rFonts w:ascii="Arial" w:cs="Arial" w:eastAsia="Arial" w:hAnsi="Arial"/>
          <w:sz w:val="11"/>
          <w:szCs w:val="11"/>
          <w:color w:val="auto"/>
        </w:rPr>
        <w:t>The Maximum Advance Rate</w:t>
      </w:r>
    </w:p>
    <w:p>
      <w:pPr>
        <w:spacing w:after="0" w:line="8" w:lineRule="exact"/>
        <w:rPr>
          <w:rFonts w:ascii="Arial" w:cs="Arial" w:eastAsia="Arial" w:hAnsi="Arial"/>
          <w:sz w:val="11"/>
          <w:szCs w:val="11"/>
          <w:color w:val="auto"/>
        </w:rPr>
      </w:pPr>
    </w:p>
    <w:p>
      <w:pPr>
        <w:ind w:left="1420"/>
        <w:spacing w:after="0"/>
        <w:rPr>
          <w:rFonts w:ascii="Arial" w:cs="Arial" w:eastAsia="Arial" w:hAnsi="Arial"/>
          <w:sz w:val="11"/>
          <w:szCs w:val="11"/>
          <w:color w:val="auto"/>
        </w:rPr>
      </w:pPr>
      <w:r>
        <w:rPr>
          <w:rFonts w:ascii="Arial" w:cs="Arial" w:eastAsia="Arial" w:hAnsi="Arial"/>
          <w:sz w:val="11"/>
          <w:szCs w:val="11"/>
          <w:b w:val="1"/>
          <w:bCs w:val="1"/>
          <w:color w:val="auto"/>
        </w:rPr>
        <w:t>(Based on Row [ ] of the Matrix)</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1"/>
          <w:szCs w:val="11"/>
          <w:i w:val="1"/>
          <w:iCs w:val="1"/>
          <w:color w:val="auto"/>
        </w:rPr>
        <w:t>plus</w:t>
      </w:r>
    </w:p>
    <w:p>
      <w:pPr>
        <w:spacing w:after="0" w:line="9" w:lineRule="exact"/>
        <w:rPr>
          <w:sz w:val="20"/>
          <w:szCs w:val="20"/>
          <w:color w:val="auto"/>
        </w:rPr>
      </w:pPr>
    </w:p>
    <w:p>
      <w:pPr>
        <w:ind w:left="1080" w:hanging="235"/>
        <w:spacing w:after="0"/>
        <w:tabs>
          <w:tab w:leader="none" w:pos="1080" w:val="left"/>
        </w:tabs>
        <w:numPr>
          <w:ilvl w:val="2"/>
          <w:numId w:val="316"/>
        </w:numPr>
        <w:rPr>
          <w:rFonts w:ascii="Arial" w:cs="Arial" w:eastAsia="Arial" w:hAnsi="Arial"/>
          <w:sz w:val="11"/>
          <w:szCs w:val="11"/>
          <w:color w:val="auto"/>
        </w:rPr>
      </w:pPr>
      <w:r>
        <w:rPr>
          <w:rFonts w:ascii="Arial" w:cs="Arial" w:eastAsia="Arial" w:hAnsi="Arial"/>
          <w:sz w:val="11"/>
          <w:szCs w:val="11"/>
          <w:color w:val="auto"/>
        </w:rPr>
        <w:t>Dollar Equivalent of Cash in the Principal Collection Subaccount</w:t>
      </w:r>
    </w:p>
    <w:p>
      <w:pPr>
        <w:spacing w:after="0" w:line="142" w:lineRule="exact"/>
        <w:rPr>
          <w:rFonts w:ascii="Arial" w:cs="Arial" w:eastAsia="Arial" w:hAnsi="Arial"/>
          <w:sz w:val="11"/>
          <w:szCs w:val="11"/>
          <w:color w:val="auto"/>
        </w:rPr>
      </w:pPr>
    </w:p>
    <w:p>
      <w:pPr>
        <w:ind w:left="780" w:hanging="151"/>
        <w:spacing w:after="0"/>
        <w:tabs>
          <w:tab w:leader="none" w:pos="780" w:val="left"/>
        </w:tabs>
        <w:numPr>
          <w:ilvl w:val="1"/>
          <w:numId w:val="317"/>
        </w:numPr>
        <w:rPr>
          <w:rFonts w:ascii="Arial" w:cs="Arial" w:eastAsia="Arial" w:hAnsi="Arial"/>
          <w:sz w:val="11"/>
          <w:szCs w:val="11"/>
          <w:color w:val="auto"/>
        </w:rPr>
      </w:pPr>
      <w:r>
        <w:rPr>
          <w:rFonts w:ascii="Arial" w:cs="Arial" w:eastAsia="Arial" w:hAnsi="Arial"/>
          <w:sz w:val="11"/>
          <w:szCs w:val="11"/>
          <w:color w:val="auto"/>
        </w:rPr>
        <w:t>The sum of:</w:t>
      </w:r>
    </w:p>
    <w:p>
      <w:pPr>
        <w:spacing w:after="0" w:line="9" w:lineRule="exact"/>
        <w:rPr>
          <w:rFonts w:ascii="Arial" w:cs="Arial" w:eastAsia="Arial" w:hAnsi="Arial"/>
          <w:sz w:val="11"/>
          <w:szCs w:val="11"/>
          <w:color w:val="auto"/>
        </w:rPr>
      </w:pPr>
    </w:p>
    <w:p>
      <w:pPr>
        <w:ind w:left="1080" w:hanging="235"/>
        <w:spacing w:after="0"/>
        <w:tabs>
          <w:tab w:leader="none" w:pos="1080" w:val="left"/>
        </w:tabs>
        <w:numPr>
          <w:ilvl w:val="2"/>
          <w:numId w:val="317"/>
        </w:numPr>
        <w:rPr>
          <w:rFonts w:ascii="Arial" w:cs="Arial" w:eastAsia="Arial" w:hAnsi="Arial"/>
          <w:sz w:val="11"/>
          <w:szCs w:val="11"/>
          <w:color w:val="auto"/>
        </w:rPr>
      </w:pPr>
      <w:r>
        <w:rPr>
          <w:rFonts w:ascii="Arial" w:cs="Arial" w:eastAsia="Arial" w:hAnsi="Arial"/>
          <w:sz w:val="11"/>
          <w:szCs w:val="11"/>
          <w:color w:val="auto"/>
        </w:rPr>
        <w:t>The Borrowing Base, less</w:t>
      </w:r>
    </w:p>
    <w:p>
      <w:pPr>
        <w:spacing w:after="0" w:line="8" w:lineRule="exact"/>
        <w:rPr>
          <w:rFonts w:ascii="Arial" w:cs="Arial" w:eastAsia="Arial" w:hAnsi="Arial"/>
          <w:sz w:val="11"/>
          <w:szCs w:val="11"/>
          <w:color w:val="auto"/>
        </w:rPr>
      </w:pPr>
    </w:p>
    <w:p>
      <w:pPr>
        <w:ind w:left="1080" w:hanging="235"/>
        <w:spacing w:after="0"/>
        <w:tabs>
          <w:tab w:leader="none" w:pos="1080" w:val="left"/>
        </w:tabs>
        <w:numPr>
          <w:ilvl w:val="2"/>
          <w:numId w:val="317"/>
        </w:numPr>
        <w:rPr>
          <w:rFonts w:ascii="Arial" w:cs="Arial" w:eastAsia="Arial" w:hAnsi="Arial"/>
          <w:sz w:val="11"/>
          <w:szCs w:val="11"/>
          <w:color w:val="auto"/>
        </w:rPr>
      </w:pPr>
      <w:r>
        <w:rPr>
          <w:rFonts w:ascii="Arial" w:cs="Arial" w:eastAsia="Arial" w:hAnsi="Arial"/>
          <w:sz w:val="11"/>
          <w:szCs w:val="11"/>
          <w:color w:val="auto"/>
        </w:rPr>
        <w:t>The Minimum Equity Amount, plus</w:t>
      </w:r>
    </w:p>
    <w:p>
      <w:pPr>
        <w:spacing w:after="0" w:line="8" w:lineRule="exact"/>
        <w:rPr>
          <w:rFonts w:ascii="Arial" w:cs="Arial" w:eastAsia="Arial" w:hAnsi="Arial"/>
          <w:sz w:val="11"/>
          <w:szCs w:val="11"/>
          <w:color w:val="auto"/>
        </w:rPr>
      </w:pPr>
    </w:p>
    <w:p>
      <w:pPr>
        <w:ind w:left="1080" w:hanging="235"/>
        <w:spacing w:after="0"/>
        <w:tabs>
          <w:tab w:leader="none" w:pos="1080" w:val="left"/>
        </w:tabs>
        <w:numPr>
          <w:ilvl w:val="2"/>
          <w:numId w:val="317"/>
        </w:numPr>
        <w:rPr>
          <w:rFonts w:ascii="Arial" w:cs="Arial" w:eastAsia="Arial" w:hAnsi="Arial"/>
          <w:sz w:val="11"/>
          <w:szCs w:val="11"/>
          <w:color w:val="auto"/>
        </w:rPr>
      </w:pPr>
      <w:r>
        <w:rPr>
          <w:rFonts w:ascii="Arial" w:cs="Arial" w:eastAsia="Arial" w:hAnsi="Arial"/>
          <w:sz w:val="11"/>
          <w:szCs w:val="11"/>
          <w:color w:val="auto"/>
        </w:rPr>
        <w:t>Dollar Equivalent of Cash in the Principal Collection Subaccount</w:t>
      </w:r>
    </w:p>
    <w:p>
      <w:pPr>
        <w:spacing w:after="0" w:line="200" w:lineRule="exact"/>
        <w:rPr>
          <w:rFonts w:ascii="Arial" w:cs="Arial" w:eastAsia="Arial" w:hAnsi="Arial"/>
          <w:sz w:val="11"/>
          <w:szCs w:val="11"/>
          <w:color w:val="auto"/>
        </w:rPr>
      </w:pPr>
    </w:p>
    <w:p>
      <w:pPr>
        <w:spacing w:after="0" w:line="333" w:lineRule="exact"/>
        <w:rPr>
          <w:rFonts w:ascii="Arial" w:cs="Arial" w:eastAsia="Arial" w:hAnsi="Arial"/>
          <w:sz w:val="11"/>
          <w:szCs w:val="11"/>
          <w:color w:val="auto"/>
        </w:rPr>
      </w:pPr>
    </w:p>
    <w:p>
      <w:pPr>
        <w:ind w:left="620" w:hanging="356"/>
        <w:spacing w:after="0"/>
        <w:tabs>
          <w:tab w:leader="none" w:pos="620" w:val="left"/>
        </w:tabs>
        <w:numPr>
          <w:ilvl w:val="0"/>
          <w:numId w:val="318"/>
        </w:numPr>
        <w:rPr>
          <w:rFonts w:ascii="Arial" w:cs="Arial" w:eastAsia="Arial" w:hAnsi="Arial"/>
          <w:sz w:val="11"/>
          <w:szCs w:val="11"/>
          <w:color w:val="auto"/>
        </w:rPr>
      </w:pPr>
      <w:r>
        <w:rPr>
          <w:rFonts w:ascii="Arial" w:cs="Arial" w:eastAsia="Arial" w:hAnsi="Arial"/>
          <w:sz w:val="11"/>
          <w:szCs w:val="11"/>
          <w:color w:val="auto"/>
        </w:rPr>
        <w:t>Foreign Currency Variability Reserve (the sum of):</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Australian Dollar Variability Reserve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Canadian Dollar Variability Reserve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Euro Variability Reserve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Pounds Sterling Variability Reserve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149465" cy="1968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800"/>
        <w:spacing w:after="0"/>
        <w:rPr>
          <w:sz w:val="20"/>
          <w:szCs w:val="20"/>
          <w:color w:val="auto"/>
        </w:rPr>
      </w:pP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251460</wp:posOffset>
            </wp:positionV>
            <wp:extent cx="1706245" cy="3517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706245" cy="35179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-73660</wp:posOffset>
            </wp:positionV>
            <wp:extent cx="574675" cy="939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40"/>
        <w:spacing w:after="0"/>
        <w:rPr>
          <w:sz w:val="20"/>
          <w:szCs w:val="20"/>
          <w:color w:val="auto"/>
        </w:rPr>
      </w:pPr>
      <w:r>
        <w:rPr>
          <w:rFonts w:ascii="Arial" w:cs="Arial" w:eastAsia="Arial" w:hAnsi="Arial"/>
          <w:sz w:val="11"/>
          <w:szCs w:val="11"/>
          <w:color w:val="auto"/>
        </w:rPr>
        <w:t>(b)</w:t>
      </w:r>
    </w:p>
    <w:p>
      <w:pPr>
        <w:spacing w:after="0" w:line="10" w:lineRule="exact"/>
        <w:rPr>
          <w:sz w:val="20"/>
          <w:szCs w:val="20"/>
          <w:color w:val="auto"/>
        </w:rPr>
      </w:pPr>
    </w:p>
    <w:p>
      <w:pPr>
        <w:ind w:left="1760"/>
        <w:spacing w:after="0"/>
        <w:rPr>
          <w:sz w:val="20"/>
          <w:szCs w:val="20"/>
          <w:color w:val="auto"/>
        </w:rPr>
      </w:pPr>
      <w:r>
        <w:rPr>
          <w:rFonts w:ascii="Arial" w:cs="Arial" w:eastAsia="Arial" w:hAnsi="Arial"/>
          <w:sz w:val="11"/>
          <w:szCs w:val="11"/>
          <w:b w:val="1"/>
          <w:bCs w:val="1"/>
          <w:color w:val="auto"/>
        </w:rPr>
        <w: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1022985</wp:posOffset>
            </wp:positionV>
            <wp:extent cx="1139825" cy="1797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39825" cy="179705"/>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765810</wp:posOffset>
            </wp:positionV>
            <wp:extent cx="1131570" cy="1797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31570" cy="17970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-73660</wp:posOffset>
            </wp:positionV>
            <wp:extent cx="574675" cy="939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88900</wp:posOffset>
            </wp:positionV>
            <wp:extent cx="1705610" cy="4368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05610" cy="4368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328930</wp:posOffset>
            </wp:positionV>
            <wp:extent cx="1706245" cy="523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0624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40"/>
        <w:spacing w:after="0"/>
        <w:rPr>
          <w:sz w:val="20"/>
          <w:szCs w:val="20"/>
          <w:color w:val="auto"/>
        </w:rPr>
      </w:pPr>
      <w:r>
        <w:rPr>
          <w:rFonts w:ascii="Arial" w:cs="Arial" w:eastAsia="Arial" w:hAnsi="Arial"/>
          <w:sz w:val="11"/>
          <w:szCs w:val="11"/>
          <w:color w:val="auto"/>
        </w:rPr>
        <w:t>(ii)</w:t>
      </w:r>
    </w:p>
    <w:p>
      <w:pPr>
        <w:spacing w:after="0" w:line="10" w:lineRule="exact"/>
        <w:rPr>
          <w:sz w:val="20"/>
          <w:szCs w:val="20"/>
          <w:color w:val="auto"/>
        </w:rPr>
      </w:pPr>
    </w:p>
    <w:p>
      <w:pPr>
        <w:ind w:left="1760"/>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88265</wp:posOffset>
            </wp:positionV>
            <wp:extent cx="582930" cy="1111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82930" cy="111125"/>
                    </a:xfrm>
                    <a:prstGeom prst="rect">
                      <a:avLst/>
                    </a:prstGeom>
                    <a:noFill/>
                  </pic:spPr>
                </pic:pic>
              </a:graphicData>
            </a:graphic>
          </wp:anchor>
        </w:drawing>
      </w:r>
    </w:p>
    <w:p>
      <w:pPr>
        <w:spacing w:after="0" w:line="132" w:lineRule="exact"/>
        <w:rPr>
          <w:sz w:val="20"/>
          <w:szCs w:val="20"/>
          <w:color w:val="auto"/>
        </w:rPr>
      </w:pPr>
    </w:p>
    <w:p>
      <w:pPr>
        <w:jc w:val="right"/>
        <w:ind w:right="280"/>
        <w:spacing w:after="0"/>
        <w:rPr>
          <w:sz w:val="20"/>
          <w:szCs w:val="20"/>
          <w:color w:val="auto"/>
        </w:rPr>
      </w:pPr>
      <w:r>
        <w:rPr>
          <w:rFonts w:ascii="Arial" w:cs="Arial" w:eastAsia="Arial" w:hAnsi="Arial"/>
          <w:sz w:val="11"/>
          <w:szCs w:val="11"/>
          <w:b w:val="1"/>
          <w:bCs w:val="1"/>
          <w:color w:val="auto"/>
        </w:rPr>
        <w:t>YES/NO</w:t>
      </w:r>
    </w:p>
    <w:p>
      <w:pPr>
        <w:spacing w:after="0" w:line="200" w:lineRule="exact"/>
        <w:rPr>
          <w:sz w:val="20"/>
          <w:szCs w:val="20"/>
          <w:color w:val="auto"/>
        </w:rPr>
      </w:pPr>
    </w:p>
    <w:p>
      <w:pPr>
        <w:sectPr>
          <w:pgSz w:w="11900" w:h="16838" w:orient="portrait"/>
          <w:cols w:equalWidth="0" w:num="2">
            <w:col w:w="7400" w:space="720"/>
            <w:col w:w="3140"/>
          </w:cols>
          <w:pgMar w:left="320" w:top="274" w:right="319" w:bottom="1440" w:gutter="0" w:footer="0" w:header="0"/>
          <w:type w:val="continuous"/>
        </w:sectPr>
      </w:pPr>
    </w:p>
    <w:p>
      <w:pPr>
        <w:spacing w:after="0" w:line="92"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Interest Coverage Ratio Test: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Satisfied if (A) is greater than or equal to (B) as of the most recent Payment Date Report</w:t>
      </w:r>
    </w:p>
    <w:p>
      <w:pPr>
        <w:spacing w:after="0" w:line="118" w:lineRule="exact"/>
        <w:rPr>
          <w:sz w:val="20"/>
          <w:szCs w:val="20"/>
          <w:color w:val="auto"/>
        </w:rPr>
      </w:pPr>
    </w:p>
    <w:p>
      <w:pPr>
        <w:ind w:left="260" w:hanging="252"/>
        <w:spacing w:after="0"/>
        <w:tabs>
          <w:tab w:leader="none" w:pos="260" w:val="left"/>
        </w:tabs>
        <w:numPr>
          <w:ilvl w:val="0"/>
          <w:numId w:val="319"/>
        </w:numPr>
        <w:rPr>
          <w:rFonts w:ascii="Arial" w:cs="Arial" w:eastAsia="Arial" w:hAnsi="Arial"/>
          <w:sz w:val="11"/>
          <w:szCs w:val="11"/>
          <w:color w:val="auto"/>
        </w:rPr>
      </w:pPr>
      <w:r>
        <w:rPr>
          <w:rFonts w:ascii="Arial" w:cs="Arial" w:eastAsia="Arial" w:hAnsi="Arial"/>
          <w:sz w:val="11"/>
          <w:szCs w:val="11"/>
          <w:b w:val="1"/>
          <w:bCs w:val="1"/>
          <w:color w:val="auto"/>
        </w:rPr>
        <w:t xml:space="preserve">ESTIMATED </w:t>
      </w:r>
      <w:r>
        <w:rPr>
          <w:rFonts w:ascii="Arial" w:cs="Arial" w:eastAsia="Arial" w:hAnsi="Arial"/>
          <w:sz w:val="11"/>
          <w:szCs w:val="11"/>
          <w:color w:val="auto"/>
        </w:rPr>
        <w:t>Interest Coverage Ratio, the percentage equal to:</w:t>
      </w:r>
    </w:p>
    <w:p>
      <w:pPr>
        <w:spacing w:after="0" w:line="7" w:lineRule="exact"/>
        <w:rPr>
          <w:rFonts w:ascii="Arial" w:cs="Arial" w:eastAsia="Arial" w:hAnsi="Arial"/>
          <w:sz w:val="11"/>
          <w:szCs w:val="11"/>
          <w:color w:val="auto"/>
        </w:rPr>
      </w:pPr>
    </w:p>
    <w:p>
      <w:pPr>
        <w:ind w:left="440" w:hanging="149"/>
        <w:spacing w:after="0"/>
        <w:tabs>
          <w:tab w:leader="none" w:pos="440" w:val="left"/>
        </w:tabs>
        <w:numPr>
          <w:ilvl w:val="1"/>
          <w:numId w:val="319"/>
        </w:numPr>
        <w:rPr>
          <w:rFonts w:ascii="Arial" w:cs="Arial" w:eastAsia="Arial" w:hAnsi="Arial"/>
          <w:sz w:val="11"/>
          <w:szCs w:val="11"/>
          <w:color w:val="auto"/>
        </w:rPr>
      </w:pPr>
      <w:r>
        <w:rPr>
          <w:rFonts w:ascii="Arial" w:cs="Arial" w:eastAsia="Arial" w:hAnsi="Arial"/>
          <w:sz w:val="11"/>
          <w:szCs w:val="11"/>
          <w:color w:val="auto"/>
        </w:rPr>
        <w:t xml:space="preserve">Dollar Equivalent of the Collateral Interest Amount,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by</w:t>
      </w:r>
    </w:p>
    <w:p>
      <w:pPr>
        <w:spacing w:after="0" w:line="1" w:lineRule="exact"/>
        <w:rPr>
          <w:rFonts w:ascii="Arial" w:cs="Arial" w:eastAsia="Arial" w:hAnsi="Arial"/>
          <w:sz w:val="11"/>
          <w:szCs w:val="11"/>
          <w:color w:val="auto"/>
        </w:rPr>
      </w:pPr>
    </w:p>
    <w:p>
      <w:pPr>
        <w:ind w:left="500" w:hanging="209"/>
        <w:spacing w:after="0"/>
        <w:tabs>
          <w:tab w:leader="none" w:pos="500" w:val="left"/>
        </w:tabs>
        <w:numPr>
          <w:ilvl w:val="1"/>
          <w:numId w:val="319"/>
        </w:numPr>
        <w:rPr>
          <w:rFonts w:ascii="Arial" w:cs="Arial" w:eastAsia="Arial" w:hAnsi="Arial"/>
          <w:sz w:val="9"/>
          <w:szCs w:val="9"/>
          <w:color w:val="auto"/>
        </w:rPr>
      </w:pPr>
      <w:r>
        <w:rPr>
          <w:rFonts w:ascii="Arial" w:cs="Arial" w:eastAsia="Arial" w:hAnsi="Arial"/>
          <w:sz w:val="9"/>
          <w:szCs w:val="9"/>
          <w:color w:val="auto"/>
        </w:rPr>
        <w:t>Dollar Equivalent of the Aggregate amount payable under Section 9.01(a)(i)(A) on the related Payment Date</w:t>
      </w:r>
    </w:p>
    <w:p>
      <w:pPr>
        <w:spacing w:after="0" w:line="300" w:lineRule="exact"/>
        <w:rPr>
          <w:rFonts w:ascii="Arial" w:cs="Arial" w:eastAsia="Arial" w:hAnsi="Arial"/>
          <w:sz w:val="9"/>
          <w:szCs w:val="9"/>
          <w:color w:val="auto"/>
        </w:rPr>
      </w:pPr>
    </w:p>
    <w:p>
      <w:pPr>
        <w:ind w:left="260" w:hanging="252"/>
        <w:spacing w:after="0"/>
        <w:tabs>
          <w:tab w:leader="none" w:pos="260" w:val="left"/>
        </w:tabs>
        <w:numPr>
          <w:ilvl w:val="0"/>
          <w:numId w:val="319"/>
        </w:numPr>
        <w:rPr>
          <w:rFonts w:ascii="Arial" w:cs="Arial" w:eastAsia="Arial" w:hAnsi="Arial"/>
          <w:sz w:val="11"/>
          <w:szCs w:val="11"/>
          <w:color w:val="auto"/>
        </w:rPr>
      </w:pPr>
      <w:r>
        <w:rPr>
          <w:rFonts w:ascii="Arial" w:cs="Arial" w:eastAsia="Arial" w:hAnsi="Arial"/>
          <w:sz w:val="11"/>
          <w:szCs w:val="11"/>
          <w:color w:val="auto"/>
        </w:rPr>
        <w:t>125%</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149465" cy="274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-250825</wp:posOffset>
            </wp:positionV>
            <wp:extent cx="1140460" cy="2654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40460" cy="26543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99695</wp:posOffset>
            </wp:positionV>
            <wp:extent cx="582930" cy="1111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82930" cy="11112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-71120</wp:posOffset>
            </wp:positionV>
            <wp:extent cx="574040" cy="939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74040" cy="93980"/>
                    </a:xfrm>
                    <a:prstGeom prst="rect">
                      <a:avLst/>
                    </a:prstGeom>
                    <a:noFill/>
                  </pic:spPr>
                </pic:pic>
              </a:graphicData>
            </a:graphic>
          </wp:anchor>
        </w:drawing>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1"/>
          <w:szCs w:val="11"/>
          <w:b w:val="1"/>
          <w:bCs w:val="1"/>
          <w:color w:val="auto"/>
        </w:rPr>
        <w:t>YES/NO</w:t>
      </w:r>
    </w:p>
    <w:p>
      <w:pPr>
        <w:spacing w:after="0" w:line="200" w:lineRule="exact"/>
        <w:rPr>
          <w:sz w:val="20"/>
          <w:szCs w:val="20"/>
          <w:color w:val="auto"/>
        </w:rPr>
      </w:pPr>
    </w:p>
    <w:p>
      <w:pPr>
        <w:sectPr>
          <w:pgSz w:w="11900" w:h="16838" w:orient="portrait"/>
          <w:cols w:equalWidth="0" w:num="2">
            <w:col w:w="9160" w:space="720"/>
            <w:col w:w="1380"/>
          </w:cols>
          <w:pgMar w:left="320" w:top="274" w:right="319" w:bottom="1440" w:gutter="0" w:footer="0" w:header="0"/>
          <w:type w:val="continuous"/>
        </w:sectPr>
      </w:pPr>
    </w:p>
    <w:p>
      <w:pPr>
        <w:spacing w:after="0" w:line="92"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Currency Borrowing Base Test:</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Satisfied if each of following test is satisfied (i) Pounds Sterling Borrowing Base Test, (ii) Australian Dollar Borrowing Base Test, (iii) Euro Borrowing Base Test,</w:t>
      </w:r>
    </w:p>
    <w:p>
      <w:pPr>
        <w:ind w:left="340" w:hanging="175"/>
        <w:spacing w:after="0"/>
        <w:tabs>
          <w:tab w:leader="none" w:pos="340" w:val="left"/>
        </w:tabs>
        <w:numPr>
          <w:ilvl w:val="0"/>
          <w:numId w:val="320"/>
        </w:numPr>
        <w:rPr>
          <w:rFonts w:ascii="Arial" w:cs="Arial" w:eastAsia="Arial" w:hAnsi="Arial"/>
          <w:sz w:val="11"/>
          <w:szCs w:val="11"/>
          <w:color w:val="auto"/>
        </w:rPr>
      </w:pPr>
      <w:r>
        <w:rPr>
          <w:rFonts w:ascii="Arial" w:cs="Arial" w:eastAsia="Arial" w:hAnsi="Arial"/>
          <w:sz w:val="11"/>
          <w:szCs w:val="11"/>
          <w:color w:val="auto"/>
        </w:rPr>
        <w:t>Canadian Dollars Borrowing Base Test, (v) Dollar Advance Test, and (vi) Foreign Currency Advance Test</w:t>
      </w:r>
    </w:p>
    <w:p>
      <w:pPr>
        <w:spacing w:after="0" w:line="118" w:lineRule="exact"/>
        <w:rPr>
          <w:rFonts w:ascii="Arial" w:cs="Arial" w:eastAsia="Arial" w:hAnsi="Arial"/>
          <w:sz w:val="11"/>
          <w:szCs w:val="11"/>
          <w:color w:val="auto"/>
        </w:rPr>
      </w:pPr>
    </w:p>
    <w:p>
      <w:pPr>
        <w:ind w:left="400" w:hanging="136"/>
        <w:spacing w:after="0"/>
        <w:tabs>
          <w:tab w:leader="none" w:pos="400" w:val="left"/>
        </w:tabs>
        <w:numPr>
          <w:ilvl w:val="1"/>
          <w:numId w:val="320"/>
        </w:numPr>
        <w:rPr>
          <w:rFonts w:ascii="Arial" w:cs="Arial" w:eastAsia="Arial" w:hAnsi="Arial"/>
          <w:sz w:val="11"/>
          <w:szCs w:val="11"/>
          <w:b w:val="1"/>
          <w:bCs w:val="1"/>
          <w:color w:val="auto"/>
        </w:rPr>
      </w:pPr>
      <w:r>
        <w:rPr>
          <w:rFonts w:ascii="Arial" w:cs="Arial" w:eastAsia="Arial" w:hAnsi="Arial"/>
          <w:sz w:val="11"/>
          <w:szCs w:val="11"/>
          <w:b w:val="1"/>
          <w:bCs w:val="1"/>
          <w:color w:val="auto"/>
        </w:rPr>
        <w:t>Pounds Sterling Borrowing Base Test (satisfied if A is less than or equal to B)</w:t>
      </w:r>
    </w:p>
    <w:p>
      <w:pPr>
        <w:spacing w:after="0" w:line="117" w:lineRule="exact"/>
        <w:rPr>
          <w:sz w:val="20"/>
          <w:szCs w:val="20"/>
          <w:color w:val="auto"/>
        </w:rPr>
      </w:pPr>
    </w:p>
    <w:p>
      <w:pPr>
        <w:ind w:left="840"/>
        <w:spacing w:after="0"/>
        <w:tabs>
          <w:tab w:leader="none" w:pos="8980" w:val="left"/>
        </w:tabs>
        <w:rPr>
          <w:sz w:val="20"/>
          <w:szCs w:val="20"/>
          <w:color w:val="auto"/>
        </w:rPr>
      </w:pPr>
      <w:r>
        <w:rPr>
          <w:rFonts w:ascii="Arial" w:cs="Arial" w:eastAsia="Arial" w:hAnsi="Arial"/>
          <w:sz w:val="11"/>
          <w:szCs w:val="11"/>
          <w:color w:val="auto"/>
        </w:rPr>
        <w:t>(A) Dollar Equivalent of aggregate outstanding principal balance of Advances denominated in GBP</w:t>
      </w:r>
      <w:r>
        <w:rPr>
          <w:sz w:val="20"/>
          <w:szCs w:val="20"/>
          <w:color w:val="auto"/>
        </w:rPr>
        <w:tab/>
      </w:r>
      <w:r>
        <w:rPr>
          <w:rFonts w:ascii="Arial" w:cs="Arial" w:eastAsia="Arial" w:hAnsi="Arial"/>
          <w:sz w:val="10"/>
          <w:szCs w:val="10"/>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-71120</wp:posOffset>
            </wp:positionV>
            <wp:extent cx="574675" cy="939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128" w:lineRule="exact"/>
        <w:rPr>
          <w:sz w:val="20"/>
          <w:szCs w:val="20"/>
          <w:color w:val="auto"/>
        </w:rPr>
      </w:pPr>
    </w:p>
    <w:p>
      <w:pPr>
        <w:ind w:left="1020" w:hanging="175"/>
        <w:spacing w:after="0"/>
        <w:tabs>
          <w:tab w:leader="none" w:pos="1020" w:val="left"/>
        </w:tabs>
        <w:numPr>
          <w:ilvl w:val="0"/>
          <w:numId w:val="321"/>
        </w:numPr>
        <w:rPr>
          <w:rFonts w:ascii="Arial" w:cs="Arial" w:eastAsia="Arial" w:hAnsi="Arial"/>
          <w:sz w:val="11"/>
          <w:szCs w:val="11"/>
          <w:color w:val="auto"/>
        </w:rPr>
      </w:pPr>
      <w:r>
        <w:rPr>
          <w:rFonts w:ascii="Arial" w:cs="Arial" w:eastAsia="Arial" w:hAnsi="Arial"/>
          <w:sz w:val="11"/>
          <w:szCs w:val="11"/>
          <w:color w:val="auto"/>
        </w:rPr>
        <w:t>GBP Borrowing Base (the sum of )</w:t>
      </w:r>
    </w:p>
    <w:p>
      <w:pPr>
        <w:spacing w:after="0" w:line="3" w:lineRule="exact"/>
        <w:rPr>
          <w:rFonts w:ascii="Arial" w:cs="Arial" w:eastAsia="Arial" w:hAnsi="Arial"/>
          <w:sz w:val="11"/>
          <w:szCs w:val="11"/>
          <w:color w:val="auto"/>
        </w:rPr>
      </w:pPr>
    </w:p>
    <w:p>
      <w:pPr>
        <w:ind w:left="1260" w:hanging="145"/>
        <w:spacing w:after="0" w:line="230" w:lineRule="auto"/>
        <w:tabs>
          <w:tab w:leader="none" w:pos="1260" w:val="left"/>
        </w:tabs>
        <w:numPr>
          <w:ilvl w:val="1"/>
          <w:numId w:val="321"/>
        </w:numPr>
        <w:rPr>
          <w:rFonts w:ascii="Arial" w:cs="Arial" w:eastAsia="Arial" w:hAnsi="Arial"/>
          <w:sz w:val="11"/>
          <w:szCs w:val="11"/>
          <w:color w:val="auto"/>
        </w:rPr>
      </w:pPr>
      <w:r>
        <w:rPr>
          <w:rFonts w:ascii="Arial" w:cs="Arial" w:eastAsia="Arial" w:hAnsi="Arial"/>
          <w:sz w:val="11"/>
          <w:szCs w:val="11"/>
          <w:color w:val="auto"/>
        </w:rPr>
        <w:t>Portion of the Borrowing Base allocable to Collateral Loans denominated in GBP (i minus ii)</w:t>
      </w:r>
    </w:p>
    <w:p>
      <w:pPr>
        <w:ind w:left="1460" w:hanging="129"/>
        <w:spacing w:after="0"/>
        <w:tabs>
          <w:tab w:leader="none" w:pos="1460" w:val="left"/>
        </w:tabs>
        <w:numPr>
          <w:ilvl w:val="2"/>
          <w:numId w:val="321"/>
        </w:numPr>
        <w:rPr>
          <w:rFonts w:ascii="Arial" w:cs="Arial" w:eastAsia="Arial" w:hAnsi="Arial"/>
          <w:sz w:val="11"/>
          <w:szCs w:val="11"/>
          <w:color w:val="auto"/>
        </w:rPr>
      </w:pPr>
      <w:r>
        <w:rPr>
          <w:rFonts w:ascii="Arial" w:cs="Arial" w:eastAsia="Arial" w:hAnsi="Arial"/>
          <w:sz w:val="11"/>
          <w:szCs w:val="11"/>
          <w:color w:val="auto"/>
        </w:rPr>
        <w:t>Dollar Equivalent of aggregate Collateral Balance denominated in GBP</w:t>
      </w:r>
    </w:p>
    <w:p>
      <w:pPr>
        <w:spacing w:after="0" w:line="1" w:lineRule="exact"/>
        <w:rPr>
          <w:rFonts w:ascii="Arial" w:cs="Arial" w:eastAsia="Arial" w:hAnsi="Arial"/>
          <w:sz w:val="11"/>
          <w:szCs w:val="11"/>
          <w:color w:val="auto"/>
        </w:rPr>
      </w:pPr>
    </w:p>
    <w:p>
      <w:pPr>
        <w:ind w:left="1500" w:hanging="169"/>
        <w:spacing w:after="0"/>
        <w:tabs>
          <w:tab w:leader="none" w:pos="1500" w:val="left"/>
        </w:tabs>
        <w:numPr>
          <w:ilvl w:val="2"/>
          <w:numId w:val="321"/>
        </w:numPr>
        <w:rPr>
          <w:rFonts w:ascii="Arial" w:cs="Arial" w:eastAsia="Arial" w:hAnsi="Arial"/>
          <w:sz w:val="11"/>
          <w:szCs w:val="11"/>
          <w:color w:val="auto"/>
        </w:rPr>
      </w:pPr>
      <w:r>
        <w:rPr>
          <w:rFonts w:ascii="Arial" w:cs="Arial" w:eastAsia="Arial" w:hAnsi="Arial"/>
          <w:sz w:val="11"/>
          <w:szCs w:val="11"/>
          <w:color w:val="auto"/>
        </w:rPr>
        <w:t>Dollar Equivalent of Excess concentration denominated in GBP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574675" cy="3511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4675" cy="35115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17"/>
        </w:trPr>
        <w:tc>
          <w:tcPr>
            <w:tcW w:w="7420" w:type="dxa"/>
            <w:vAlign w:val="bottom"/>
          </w:tcPr>
          <w:p>
            <w:pPr>
              <w:spacing w:after="0"/>
              <w:rPr>
                <w:sz w:val="10"/>
                <w:szCs w:val="10"/>
                <w:color w:val="auto"/>
              </w:rPr>
            </w:pPr>
          </w:p>
        </w:tc>
        <w:tc>
          <w:tcPr>
            <w:tcW w:w="1800" w:type="dxa"/>
            <w:vAlign w:val="bottom"/>
            <w:tcBorders>
              <w:top w:val="single" w:sz="8" w:color="auto"/>
              <w:right w:val="single" w:sz="8" w:color="auto"/>
            </w:tcBorders>
            <w:gridSpan w:val="2"/>
          </w:tcPr>
          <w:p>
            <w:pPr>
              <w:ind w:left="440"/>
              <w:spacing w:after="0" w:line="114" w:lineRule="exact"/>
              <w:rPr>
                <w:sz w:val="20"/>
                <w:szCs w:val="20"/>
                <w:color w:val="auto"/>
              </w:rPr>
            </w:pPr>
            <w:r>
              <w:rPr>
                <w:rFonts w:ascii="Arial" w:cs="Arial" w:eastAsia="Arial" w:hAnsi="Arial"/>
                <w:sz w:val="11"/>
                <w:szCs w:val="11"/>
                <w:color w:val="auto"/>
              </w:rPr>
              <w:t>(a)</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20" w:type="dxa"/>
            <w:vAlign w:val="bottom"/>
          </w:tcPr>
          <w:p>
            <w:pPr>
              <w:ind w:left="860"/>
              <w:spacing w:after="0" w:line="113" w:lineRule="exact"/>
              <w:rPr>
                <w:sz w:val="20"/>
                <w:szCs w:val="20"/>
                <w:color w:val="auto"/>
              </w:rPr>
            </w:pPr>
            <w:r>
              <w:rPr>
                <w:rFonts w:ascii="Arial" w:cs="Arial" w:eastAsia="Arial" w:hAnsi="Arial"/>
                <w:sz w:val="11"/>
                <w:szCs w:val="11"/>
                <w:color w:val="auto"/>
              </w:rPr>
              <w:t>(b) Dollar Equivalent of aggregate amount of GBP deposit in Principal Collection Subaccount</w:t>
            </w:r>
          </w:p>
        </w:tc>
        <w:tc>
          <w:tcPr>
            <w:tcW w:w="880" w:type="dxa"/>
            <w:vAlign w:val="bottom"/>
          </w:tcPr>
          <w:p>
            <w:pPr>
              <w:ind w:left="440"/>
              <w:spacing w:after="0" w:line="113" w:lineRule="exact"/>
              <w:rPr>
                <w:sz w:val="20"/>
                <w:szCs w:val="20"/>
                <w:color w:val="auto"/>
              </w:rPr>
            </w:pPr>
            <w:r>
              <w:rPr>
                <w:rFonts w:ascii="Arial" w:cs="Arial" w:eastAsia="Arial" w:hAnsi="Arial"/>
                <w:sz w:val="11"/>
                <w:szCs w:val="11"/>
                <w:color w:val="auto"/>
              </w:rPr>
              <w:t>(b)</w:t>
            </w:r>
          </w:p>
        </w:tc>
        <w:tc>
          <w:tcPr>
            <w:tcW w:w="920" w:type="dxa"/>
            <w:vAlign w:val="bottom"/>
            <w:tcBorders>
              <w:top w:val="single" w:sz="8" w:color="auto"/>
              <w:right w:val="single" w:sz="8" w:color="auto"/>
            </w:tcBorders>
          </w:tcPr>
          <w:p>
            <w:pPr>
              <w:spacing w:after="0"/>
              <w:rPr>
                <w:sz w:val="10"/>
                <w:szCs w:val="10"/>
                <w:color w:val="auto"/>
              </w:rPr>
            </w:pPr>
          </w:p>
        </w:tc>
        <w:tc>
          <w:tcPr>
            <w:tcW w:w="1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Borders>
              <w:top w:val="single" w:sz="8" w:color="auto"/>
              <w:right w:val="single" w:sz="8" w:color="auto"/>
            </w:tcBorders>
          </w:tcPr>
          <w:p>
            <w:pPr>
              <w:ind w:left="440"/>
              <w:spacing w:after="0" w:line="122" w:lineRule="exact"/>
              <w:rPr>
                <w:sz w:val="20"/>
                <w:szCs w:val="20"/>
                <w:color w:val="auto"/>
              </w:rPr>
            </w:pPr>
            <w:r>
              <w:rPr>
                <w:rFonts w:ascii="Arial" w:cs="Arial" w:eastAsia="Arial" w:hAnsi="Arial"/>
                <w:sz w:val="11"/>
                <w:szCs w:val="11"/>
                <w:b w:val="1"/>
                <w:bCs w:val="1"/>
                <w:color w:val="auto"/>
              </w:rPr>
              <w:t>(B)</w:t>
            </w:r>
          </w:p>
        </w:tc>
        <w:tc>
          <w:tcPr>
            <w:tcW w:w="900" w:type="dxa"/>
            <w:vAlign w:val="bottom"/>
            <w:tcBorders>
              <w:top w:val="single" w:sz="8" w:color="auto"/>
              <w:bottom w:val="single" w:sz="8" w:color="auto"/>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20" w:type="dxa"/>
            <w:vAlign w:val="bottom"/>
            <w:vMerge w:val="restart"/>
          </w:tcPr>
          <w:p>
            <w:pPr>
              <w:spacing w:after="0"/>
              <w:rPr>
                <w:sz w:val="20"/>
                <w:szCs w:val="20"/>
                <w:color w:val="auto"/>
              </w:rPr>
            </w:pPr>
            <w:r>
              <w:rPr>
                <w:rFonts w:ascii="Arial" w:cs="Arial" w:eastAsia="Arial" w:hAnsi="Arial"/>
                <w:sz w:val="11"/>
                <w:szCs w:val="11"/>
                <w:b w:val="1"/>
                <w:bCs w:val="1"/>
                <w:color w:val="auto"/>
              </w:rPr>
              <w:t>COMPLIANCE?</w:t>
            </w: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4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b w:val="1"/>
                <w:bCs w:val="1"/>
                <w:color w:val="auto"/>
              </w:rPr>
              <w:t>YES/NO</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type w:val="continuous"/>
        </w:sectPr>
      </w:pPr>
    </w:p>
    <w:bookmarkStart w:id="251" w:name="page252"/>
    <w:bookmarkEnd w:id="251"/>
    <w:p>
      <w:pPr>
        <w:ind w:left="420" w:hanging="169"/>
        <w:spacing w:after="0"/>
        <w:tabs>
          <w:tab w:leader="none" w:pos="420" w:val="left"/>
        </w:tabs>
        <w:numPr>
          <w:ilvl w:val="0"/>
          <w:numId w:val="322"/>
        </w:numPr>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Australian Dollar Borrowing Base Test (satisfied if A is less than or equal to B)</w:t>
      </w:r>
    </w:p>
    <w:p>
      <w:pPr>
        <w:spacing w:after="0" w:line="120" w:lineRule="exact"/>
        <w:rPr>
          <w:rFonts w:ascii="Arial" w:cs="Arial" w:eastAsia="Arial" w:hAnsi="Arial"/>
          <w:sz w:val="11"/>
          <w:szCs w:val="11"/>
          <w:b w:val="1"/>
          <w:bCs w:val="1"/>
          <w:color w:val="auto"/>
        </w:rPr>
      </w:pPr>
    </w:p>
    <w:p>
      <w:pPr>
        <w:ind w:left="1020" w:hanging="175"/>
        <w:spacing w:after="0"/>
        <w:tabs>
          <w:tab w:leader="none" w:pos="1020" w:val="left"/>
        </w:tabs>
        <w:numPr>
          <w:ilvl w:val="1"/>
          <w:numId w:val="322"/>
        </w:numPr>
        <w:rPr>
          <w:rFonts w:ascii="Arial" w:cs="Arial" w:eastAsia="Arial" w:hAnsi="Arial"/>
          <w:sz w:val="10"/>
          <w:szCs w:val="10"/>
          <w:color w:val="auto"/>
        </w:rPr>
      </w:pPr>
      <w:r>
        <w:rPr>
          <w:rFonts w:ascii="Arial" w:cs="Arial" w:eastAsia="Arial" w:hAnsi="Arial"/>
          <w:sz w:val="10"/>
          <w:szCs w:val="10"/>
          <w:color w:val="auto"/>
        </w:rPr>
        <w:t>Dollar Equivalent of aggregate outstanding principal balance of Advances denominated in AUD</w:t>
      </w:r>
    </w:p>
    <w:p>
      <w:pPr>
        <w:spacing w:after="0" w:line="155" w:lineRule="exact"/>
        <w:rPr>
          <w:rFonts w:ascii="Arial" w:cs="Arial" w:eastAsia="Arial" w:hAnsi="Arial"/>
          <w:sz w:val="10"/>
          <w:szCs w:val="10"/>
          <w:color w:val="auto"/>
        </w:rPr>
      </w:pPr>
    </w:p>
    <w:p>
      <w:pPr>
        <w:ind w:left="1020" w:hanging="175"/>
        <w:spacing w:after="0"/>
        <w:tabs>
          <w:tab w:leader="none" w:pos="1020" w:val="left"/>
        </w:tabs>
        <w:numPr>
          <w:ilvl w:val="1"/>
          <w:numId w:val="322"/>
        </w:numPr>
        <w:rPr>
          <w:rFonts w:ascii="Arial" w:cs="Arial" w:eastAsia="Arial" w:hAnsi="Arial"/>
          <w:sz w:val="11"/>
          <w:szCs w:val="11"/>
          <w:color w:val="auto"/>
        </w:rPr>
      </w:pPr>
      <w:r>
        <w:rPr>
          <w:rFonts w:ascii="Arial" w:cs="Arial" w:eastAsia="Arial" w:hAnsi="Arial"/>
          <w:sz w:val="11"/>
          <w:szCs w:val="11"/>
          <w:color w:val="auto"/>
        </w:rPr>
        <w:t>AUD Borrowing Base (the sum of )</w:t>
      </w:r>
    </w:p>
    <w:p>
      <w:pPr>
        <w:spacing w:after="0" w:line="3" w:lineRule="exact"/>
        <w:rPr>
          <w:rFonts w:ascii="Arial" w:cs="Arial" w:eastAsia="Arial" w:hAnsi="Arial"/>
          <w:sz w:val="11"/>
          <w:szCs w:val="11"/>
          <w:color w:val="auto"/>
        </w:rPr>
      </w:pPr>
    </w:p>
    <w:p>
      <w:pPr>
        <w:ind w:left="1340" w:hanging="144"/>
        <w:spacing w:after="0"/>
        <w:tabs>
          <w:tab w:leader="none" w:pos="1340" w:val="left"/>
        </w:tabs>
        <w:numPr>
          <w:ilvl w:val="2"/>
          <w:numId w:val="322"/>
        </w:numPr>
        <w:rPr>
          <w:rFonts w:ascii="Arial" w:cs="Arial" w:eastAsia="Arial" w:hAnsi="Arial"/>
          <w:sz w:val="10"/>
          <w:szCs w:val="10"/>
          <w:color w:val="auto"/>
        </w:rPr>
      </w:pPr>
      <w:r>
        <w:rPr>
          <w:rFonts w:ascii="Arial" w:cs="Arial" w:eastAsia="Arial" w:hAnsi="Arial"/>
          <w:sz w:val="10"/>
          <w:szCs w:val="10"/>
          <w:color w:val="auto"/>
        </w:rPr>
        <w:t>Portion of the Borrowing Base allocable to Collateral Loans denominated in AUD (i minus ii)</w:t>
      </w:r>
    </w:p>
    <w:p>
      <w:pPr>
        <w:spacing w:after="0" w:line="6" w:lineRule="exact"/>
        <w:rPr>
          <w:rFonts w:ascii="Arial" w:cs="Arial" w:eastAsia="Arial" w:hAnsi="Arial"/>
          <w:sz w:val="10"/>
          <w:szCs w:val="10"/>
          <w:color w:val="auto"/>
        </w:rPr>
      </w:pPr>
    </w:p>
    <w:p>
      <w:pPr>
        <w:ind w:left="1540" w:hanging="128"/>
        <w:spacing w:after="0"/>
        <w:tabs>
          <w:tab w:leader="none" w:pos="1540" w:val="left"/>
        </w:tabs>
        <w:numPr>
          <w:ilvl w:val="3"/>
          <w:numId w:val="322"/>
        </w:numPr>
        <w:rPr>
          <w:rFonts w:ascii="Arial" w:cs="Arial" w:eastAsia="Arial" w:hAnsi="Arial"/>
          <w:sz w:val="11"/>
          <w:szCs w:val="11"/>
          <w:color w:val="auto"/>
        </w:rPr>
      </w:pPr>
      <w:r>
        <w:rPr>
          <w:rFonts w:ascii="Arial" w:cs="Arial" w:eastAsia="Arial" w:hAnsi="Arial"/>
          <w:sz w:val="11"/>
          <w:szCs w:val="11"/>
          <w:color w:val="auto"/>
        </w:rPr>
        <w:t>Dollar Equivalent of aggregate Collateral Balance denominated in AUD</w:t>
      </w:r>
    </w:p>
    <w:p>
      <w:pPr>
        <w:spacing w:after="0" w:line="1" w:lineRule="exact"/>
        <w:rPr>
          <w:rFonts w:ascii="Arial" w:cs="Arial" w:eastAsia="Arial" w:hAnsi="Arial"/>
          <w:sz w:val="11"/>
          <w:szCs w:val="11"/>
          <w:color w:val="auto"/>
        </w:rPr>
      </w:pPr>
    </w:p>
    <w:p>
      <w:pPr>
        <w:ind w:left="1580" w:hanging="168"/>
        <w:spacing w:after="0"/>
        <w:tabs>
          <w:tab w:leader="none" w:pos="1580" w:val="left"/>
        </w:tabs>
        <w:numPr>
          <w:ilvl w:val="3"/>
          <w:numId w:val="322"/>
        </w:numPr>
        <w:rPr>
          <w:rFonts w:ascii="Arial" w:cs="Arial" w:eastAsia="Arial" w:hAnsi="Arial"/>
          <w:sz w:val="11"/>
          <w:szCs w:val="11"/>
          <w:color w:val="auto"/>
        </w:rPr>
      </w:pPr>
      <w:r>
        <w:rPr>
          <w:rFonts w:ascii="Arial" w:cs="Arial" w:eastAsia="Arial" w:hAnsi="Arial"/>
          <w:sz w:val="11"/>
          <w:szCs w:val="11"/>
          <w:color w:val="auto"/>
        </w:rPr>
        <w:t>Dollar Equivalent of Excess concentration denominated in AUD</w:t>
      </w:r>
    </w:p>
    <w:p>
      <w:pPr>
        <w:spacing w:after="0" w:line="142" w:lineRule="exact"/>
        <w:rPr>
          <w:rFonts w:ascii="Arial" w:cs="Arial" w:eastAsia="Arial" w:hAnsi="Arial"/>
          <w:sz w:val="11"/>
          <w:szCs w:val="11"/>
          <w:color w:val="auto"/>
        </w:rPr>
      </w:pPr>
    </w:p>
    <w:p>
      <w:pPr>
        <w:ind w:left="1340" w:hanging="144"/>
        <w:spacing w:after="0"/>
        <w:tabs>
          <w:tab w:leader="none" w:pos="1340" w:val="left"/>
        </w:tabs>
        <w:numPr>
          <w:ilvl w:val="2"/>
          <w:numId w:val="322"/>
        </w:numPr>
        <w:rPr>
          <w:rFonts w:ascii="Arial" w:cs="Arial" w:eastAsia="Arial" w:hAnsi="Arial"/>
          <w:sz w:val="10"/>
          <w:szCs w:val="10"/>
          <w:color w:val="auto"/>
        </w:rPr>
      </w:pPr>
      <w:r>
        <w:rPr>
          <w:rFonts w:ascii="Arial" w:cs="Arial" w:eastAsia="Arial" w:hAnsi="Arial"/>
          <w:sz w:val="10"/>
          <w:szCs w:val="10"/>
          <w:color w:val="auto"/>
        </w:rPr>
        <w:t>Dollar Equivalent of aggregate amount of AUD deposit in Principal Collection Subaccount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(iii) Euro Borrowing Base Test (satisfied if A is less than or equal to B)</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254000</wp:posOffset>
            </wp:positionV>
            <wp:extent cx="1705610" cy="4368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05610" cy="43688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-71120</wp:posOffset>
            </wp:positionV>
            <wp:extent cx="574675" cy="939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82550</wp:posOffset>
            </wp:positionV>
            <wp:extent cx="582930" cy="1117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2930" cy="11176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YES/NO</w:t>
      </w:r>
    </w:p>
    <w:p>
      <w:pPr>
        <w:spacing w:after="0" w:line="508" w:lineRule="exact"/>
        <w:rPr>
          <w:sz w:val="20"/>
          <w:szCs w:val="20"/>
          <w:color w:val="auto"/>
        </w:rPr>
      </w:pPr>
    </w:p>
    <w:p>
      <w:pPr>
        <w:sectPr>
          <w:pgSz w:w="11900" w:h="16838" w:orient="portrait"/>
          <w:cols w:equalWidth="0" w:num="2">
            <w:col w:w="7400" w:space="720"/>
            <w:col w:w="2860"/>
          </w:cols>
          <w:pgMar w:left="320" w:top="274" w:right="599" w:bottom="1440" w:gutter="0" w:footer="0" w:header="0"/>
        </w:sectPr>
      </w:pPr>
    </w:p>
    <w:p>
      <w:pPr>
        <w:spacing w:after="0" w:line="4" w:lineRule="exact"/>
        <w:rPr>
          <w:sz w:val="20"/>
          <w:szCs w:val="20"/>
          <w:color w:val="auto"/>
        </w:rPr>
      </w:pPr>
    </w:p>
    <w:p>
      <w:pPr>
        <w:ind w:left="1020" w:hanging="175"/>
        <w:spacing w:after="0"/>
        <w:tabs>
          <w:tab w:leader="none" w:pos="1020" w:val="left"/>
        </w:tabs>
        <w:numPr>
          <w:ilvl w:val="0"/>
          <w:numId w:val="323"/>
        </w:numPr>
        <w:rPr>
          <w:rFonts w:ascii="Arial" w:cs="Arial" w:eastAsia="Arial" w:hAnsi="Arial"/>
          <w:sz w:val="10"/>
          <w:szCs w:val="10"/>
          <w:color w:val="auto"/>
        </w:rPr>
      </w:pPr>
      <w:r>
        <w:rPr>
          <w:rFonts w:ascii="Arial" w:cs="Arial" w:eastAsia="Arial" w:hAnsi="Arial"/>
          <w:sz w:val="10"/>
          <w:szCs w:val="10"/>
          <w:color w:val="auto"/>
        </w:rPr>
        <w:t>Dollar Equivalent of aggregate outstanding principal balance of Advances denominated in EUR</w:t>
      </w:r>
    </w:p>
    <w:p>
      <w:pPr>
        <w:spacing w:after="0" w:line="155" w:lineRule="exact"/>
        <w:rPr>
          <w:rFonts w:ascii="Arial" w:cs="Arial" w:eastAsia="Arial" w:hAnsi="Arial"/>
          <w:sz w:val="10"/>
          <w:szCs w:val="10"/>
          <w:color w:val="auto"/>
        </w:rPr>
      </w:pPr>
    </w:p>
    <w:p>
      <w:pPr>
        <w:ind w:left="1020" w:hanging="175"/>
        <w:spacing w:after="0"/>
        <w:tabs>
          <w:tab w:leader="none" w:pos="1020" w:val="left"/>
        </w:tabs>
        <w:numPr>
          <w:ilvl w:val="0"/>
          <w:numId w:val="323"/>
        </w:numPr>
        <w:rPr>
          <w:rFonts w:ascii="Arial" w:cs="Arial" w:eastAsia="Arial" w:hAnsi="Arial"/>
          <w:sz w:val="11"/>
          <w:szCs w:val="11"/>
          <w:color w:val="auto"/>
        </w:rPr>
      </w:pPr>
      <w:r>
        <w:rPr>
          <w:rFonts w:ascii="Arial" w:cs="Arial" w:eastAsia="Arial" w:hAnsi="Arial"/>
          <w:sz w:val="11"/>
          <w:szCs w:val="11"/>
          <w:color w:val="auto"/>
        </w:rPr>
        <w:t>EUR Borrowing Base (the sum of )</w:t>
      </w:r>
    </w:p>
    <w:p>
      <w:pPr>
        <w:spacing w:after="0" w:line="3" w:lineRule="exact"/>
        <w:rPr>
          <w:rFonts w:ascii="Arial" w:cs="Arial" w:eastAsia="Arial" w:hAnsi="Arial"/>
          <w:sz w:val="11"/>
          <w:szCs w:val="11"/>
          <w:color w:val="auto"/>
        </w:rPr>
      </w:pPr>
    </w:p>
    <w:p>
      <w:pPr>
        <w:ind w:left="1340" w:hanging="144"/>
        <w:spacing w:after="0"/>
        <w:tabs>
          <w:tab w:leader="none" w:pos="1340" w:val="left"/>
        </w:tabs>
        <w:numPr>
          <w:ilvl w:val="1"/>
          <w:numId w:val="323"/>
        </w:numPr>
        <w:rPr>
          <w:rFonts w:ascii="Arial" w:cs="Arial" w:eastAsia="Arial" w:hAnsi="Arial"/>
          <w:sz w:val="9"/>
          <w:szCs w:val="9"/>
          <w:color w:val="auto"/>
        </w:rPr>
      </w:pPr>
      <w:r>
        <w:rPr>
          <w:rFonts w:ascii="Arial" w:cs="Arial" w:eastAsia="Arial" w:hAnsi="Arial"/>
          <w:sz w:val="9"/>
          <w:szCs w:val="9"/>
          <w:color w:val="auto"/>
        </w:rPr>
        <w:t>Portion of the Borrowing Base allocable to Collateral Loans denominated in EUR (i minus ii)</w:t>
      </w:r>
    </w:p>
    <w:p>
      <w:pPr>
        <w:spacing w:after="0" w:line="18" w:lineRule="exact"/>
        <w:rPr>
          <w:rFonts w:ascii="Arial" w:cs="Arial" w:eastAsia="Arial" w:hAnsi="Arial"/>
          <w:sz w:val="9"/>
          <w:szCs w:val="9"/>
          <w:color w:val="auto"/>
        </w:rPr>
      </w:pPr>
    </w:p>
    <w:p>
      <w:pPr>
        <w:ind w:left="1540" w:hanging="128"/>
        <w:spacing w:after="0"/>
        <w:tabs>
          <w:tab w:leader="none" w:pos="1540" w:val="left"/>
        </w:tabs>
        <w:numPr>
          <w:ilvl w:val="2"/>
          <w:numId w:val="323"/>
        </w:numPr>
        <w:rPr>
          <w:rFonts w:ascii="Arial" w:cs="Arial" w:eastAsia="Arial" w:hAnsi="Arial"/>
          <w:sz w:val="11"/>
          <w:szCs w:val="11"/>
          <w:color w:val="auto"/>
        </w:rPr>
      </w:pPr>
      <w:r>
        <w:rPr>
          <w:rFonts w:ascii="Arial" w:cs="Arial" w:eastAsia="Arial" w:hAnsi="Arial"/>
          <w:sz w:val="11"/>
          <w:szCs w:val="11"/>
          <w:color w:val="auto"/>
        </w:rPr>
        <w:t>Dollar Equivalent of aggregate Collateral Balance denominated in EUR</w:t>
      </w:r>
    </w:p>
    <w:p>
      <w:pPr>
        <w:spacing w:after="0" w:line="1" w:lineRule="exact"/>
        <w:rPr>
          <w:rFonts w:ascii="Arial" w:cs="Arial" w:eastAsia="Arial" w:hAnsi="Arial"/>
          <w:sz w:val="11"/>
          <w:szCs w:val="11"/>
          <w:color w:val="auto"/>
        </w:rPr>
      </w:pPr>
    </w:p>
    <w:p>
      <w:pPr>
        <w:ind w:left="1580" w:hanging="168"/>
        <w:spacing w:after="0"/>
        <w:tabs>
          <w:tab w:leader="none" w:pos="1580" w:val="left"/>
        </w:tabs>
        <w:numPr>
          <w:ilvl w:val="2"/>
          <w:numId w:val="323"/>
        </w:numPr>
        <w:rPr>
          <w:rFonts w:ascii="Arial" w:cs="Arial" w:eastAsia="Arial" w:hAnsi="Arial"/>
          <w:sz w:val="11"/>
          <w:szCs w:val="11"/>
          <w:color w:val="auto"/>
        </w:rPr>
      </w:pPr>
      <w:r>
        <w:rPr>
          <w:rFonts w:ascii="Arial" w:cs="Arial" w:eastAsia="Arial" w:hAnsi="Arial"/>
          <w:sz w:val="11"/>
          <w:szCs w:val="11"/>
          <w:color w:val="auto"/>
        </w:rPr>
        <w:t>Dollar Equivalent of Excess concentration denominated in EUR</w:t>
      </w:r>
    </w:p>
    <w:p>
      <w:pPr>
        <w:spacing w:after="0" w:line="142" w:lineRule="exact"/>
        <w:rPr>
          <w:rFonts w:ascii="Arial" w:cs="Arial" w:eastAsia="Arial" w:hAnsi="Arial"/>
          <w:sz w:val="11"/>
          <w:szCs w:val="11"/>
          <w:color w:val="auto"/>
        </w:rPr>
      </w:pPr>
    </w:p>
    <w:p>
      <w:pPr>
        <w:ind w:left="1340" w:hanging="144"/>
        <w:spacing w:after="0"/>
        <w:tabs>
          <w:tab w:leader="none" w:pos="1340" w:val="left"/>
        </w:tabs>
        <w:numPr>
          <w:ilvl w:val="1"/>
          <w:numId w:val="323"/>
        </w:numPr>
        <w:rPr>
          <w:rFonts w:ascii="Arial" w:cs="Arial" w:eastAsia="Arial" w:hAnsi="Arial"/>
          <w:sz w:val="10"/>
          <w:szCs w:val="10"/>
          <w:color w:val="auto"/>
        </w:rPr>
      </w:pPr>
      <w:r>
        <w:rPr>
          <w:rFonts w:ascii="Arial" w:cs="Arial" w:eastAsia="Arial" w:hAnsi="Arial"/>
          <w:sz w:val="10"/>
          <w:szCs w:val="10"/>
          <w:color w:val="auto"/>
        </w:rPr>
        <w:t>Dollar Equivalent of aggregate amount of EUR deposit in Principal Collection Subaccount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(iv) Canadian Dollar Borrowing Base Test (satisfied if A is less than or equal to B)</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254000</wp:posOffset>
            </wp:positionV>
            <wp:extent cx="1705610" cy="43688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05610" cy="43688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-71120</wp:posOffset>
            </wp:positionV>
            <wp:extent cx="574675" cy="939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82550</wp:posOffset>
            </wp:positionV>
            <wp:extent cx="582930" cy="1117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2930" cy="11176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YES/NO</w:t>
      </w:r>
    </w:p>
    <w:p>
      <w:pPr>
        <w:spacing w:after="0" w:line="508" w:lineRule="exact"/>
        <w:rPr>
          <w:sz w:val="20"/>
          <w:szCs w:val="20"/>
          <w:color w:val="auto"/>
        </w:rPr>
      </w:pPr>
    </w:p>
    <w:p>
      <w:pPr>
        <w:sectPr>
          <w:pgSz w:w="11900" w:h="16838" w:orient="portrait"/>
          <w:cols w:equalWidth="0" w:num="2">
            <w:col w:w="7400" w:space="720"/>
            <w:col w:w="2860"/>
          </w:cols>
          <w:pgMar w:left="320" w:top="274" w:right="599" w:bottom="1440" w:gutter="0" w:footer="0" w:header="0"/>
          <w:type w:val="continuous"/>
        </w:sectPr>
      </w:pPr>
    </w:p>
    <w:p>
      <w:pPr>
        <w:spacing w:after="0" w:line="4" w:lineRule="exact"/>
        <w:rPr>
          <w:sz w:val="20"/>
          <w:szCs w:val="20"/>
          <w:color w:val="auto"/>
        </w:rPr>
      </w:pPr>
    </w:p>
    <w:p>
      <w:pPr>
        <w:ind w:left="1020" w:hanging="175"/>
        <w:spacing w:after="0"/>
        <w:tabs>
          <w:tab w:leader="none" w:pos="1020" w:val="left"/>
        </w:tabs>
        <w:numPr>
          <w:ilvl w:val="0"/>
          <w:numId w:val="324"/>
        </w:numPr>
        <w:rPr>
          <w:rFonts w:ascii="Arial" w:cs="Arial" w:eastAsia="Arial" w:hAnsi="Arial"/>
          <w:sz w:val="10"/>
          <w:szCs w:val="10"/>
          <w:color w:val="auto"/>
        </w:rPr>
      </w:pPr>
      <w:r>
        <w:rPr>
          <w:rFonts w:ascii="Arial" w:cs="Arial" w:eastAsia="Arial" w:hAnsi="Arial"/>
          <w:sz w:val="10"/>
          <w:szCs w:val="10"/>
          <w:color w:val="auto"/>
        </w:rPr>
        <w:t>Dollar Equivalent of aggregate outstanding principal balance of Advances denominated in CAD</w:t>
      </w:r>
    </w:p>
    <w:p>
      <w:pPr>
        <w:spacing w:after="0" w:line="155" w:lineRule="exact"/>
        <w:rPr>
          <w:rFonts w:ascii="Arial" w:cs="Arial" w:eastAsia="Arial" w:hAnsi="Arial"/>
          <w:sz w:val="10"/>
          <w:szCs w:val="10"/>
          <w:color w:val="auto"/>
        </w:rPr>
      </w:pPr>
    </w:p>
    <w:p>
      <w:pPr>
        <w:ind w:left="1020" w:hanging="175"/>
        <w:spacing w:after="0"/>
        <w:tabs>
          <w:tab w:leader="none" w:pos="1020" w:val="left"/>
        </w:tabs>
        <w:numPr>
          <w:ilvl w:val="0"/>
          <w:numId w:val="324"/>
        </w:numPr>
        <w:rPr>
          <w:rFonts w:ascii="Arial" w:cs="Arial" w:eastAsia="Arial" w:hAnsi="Arial"/>
          <w:sz w:val="11"/>
          <w:szCs w:val="11"/>
          <w:color w:val="auto"/>
        </w:rPr>
      </w:pPr>
      <w:r>
        <w:rPr>
          <w:rFonts w:ascii="Arial" w:cs="Arial" w:eastAsia="Arial" w:hAnsi="Arial"/>
          <w:sz w:val="11"/>
          <w:szCs w:val="11"/>
          <w:color w:val="auto"/>
        </w:rPr>
        <w:t>CAD Borrowing Base (the sum of )</w:t>
      </w:r>
    </w:p>
    <w:p>
      <w:pPr>
        <w:spacing w:after="0" w:line="3" w:lineRule="exact"/>
        <w:rPr>
          <w:rFonts w:ascii="Arial" w:cs="Arial" w:eastAsia="Arial" w:hAnsi="Arial"/>
          <w:sz w:val="11"/>
          <w:szCs w:val="11"/>
          <w:color w:val="auto"/>
        </w:rPr>
      </w:pPr>
    </w:p>
    <w:p>
      <w:pPr>
        <w:ind w:left="1340" w:hanging="144"/>
        <w:spacing w:after="0"/>
        <w:tabs>
          <w:tab w:leader="none" w:pos="1340" w:val="left"/>
        </w:tabs>
        <w:numPr>
          <w:ilvl w:val="1"/>
          <w:numId w:val="324"/>
        </w:numPr>
        <w:rPr>
          <w:rFonts w:ascii="Arial" w:cs="Arial" w:eastAsia="Arial" w:hAnsi="Arial"/>
          <w:sz w:val="10"/>
          <w:szCs w:val="10"/>
          <w:color w:val="auto"/>
        </w:rPr>
      </w:pPr>
      <w:r>
        <w:rPr>
          <w:rFonts w:ascii="Arial" w:cs="Arial" w:eastAsia="Arial" w:hAnsi="Arial"/>
          <w:sz w:val="10"/>
          <w:szCs w:val="10"/>
          <w:color w:val="auto"/>
        </w:rPr>
        <w:t>Portion of the Borrowing Base allocable to Collateral Loans denominated in CAD (i minus ii)</w:t>
      </w:r>
    </w:p>
    <w:p>
      <w:pPr>
        <w:spacing w:after="0" w:line="6" w:lineRule="exact"/>
        <w:rPr>
          <w:rFonts w:ascii="Arial" w:cs="Arial" w:eastAsia="Arial" w:hAnsi="Arial"/>
          <w:sz w:val="10"/>
          <w:szCs w:val="10"/>
          <w:color w:val="auto"/>
        </w:rPr>
      </w:pPr>
    </w:p>
    <w:p>
      <w:pPr>
        <w:ind w:left="1540" w:hanging="128"/>
        <w:spacing w:after="0"/>
        <w:tabs>
          <w:tab w:leader="none" w:pos="1540" w:val="left"/>
        </w:tabs>
        <w:numPr>
          <w:ilvl w:val="2"/>
          <w:numId w:val="324"/>
        </w:numPr>
        <w:rPr>
          <w:rFonts w:ascii="Arial" w:cs="Arial" w:eastAsia="Arial" w:hAnsi="Arial"/>
          <w:sz w:val="11"/>
          <w:szCs w:val="11"/>
          <w:color w:val="auto"/>
        </w:rPr>
      </w:pPr>
      <w:r>
        <w:rPr>
          <w:rFonts w:ascii="Arial" w:cs="Arial" w:eastAsia="Arial" w:hAnsi="Arial"/>
          <w:sz w:val="11"/>
          <w:szCs w:val="11"/>
          <w:color w:val="auto"/>
        </w:rPr>
        <w:t>Dollar Equivalent of aggregate Collateral Balance denominated in CAD</w:t>
      </w:r>
    </w:p>
    <w:p>
      <w:pPr>
        <w:spacing w:after="0" w:line="1" w:lineRule="exact"/>
        <w:rPr>
          <w:rFonts w:ascii="Arial" w:cs="Arial" w:eastAsia="Arial" w:hAnsi="Arial"/>
          <w:sz w:val="11"/>
          <w:szCs w:val="11"/>
          <w:color w:val="auto"/>
        </w:rPr>
      </w:pPr>
    </w:p>
    <w:p>
      <w:pPr>
        <w:ind w:left="1580" w:hanging="168"/>
        <w:spacing w:after="0"/>
        <w:tabs>
          <w:tab w:leader="none" w:pos="1580" w:val="left"/>
        </w:tabs>
        <w:numPr>
          <w:ilvl w:val="2"/>
          <w:numId w:val="324"/>
        </w:numPr>
        <w:rPr>
          <w:rFonts w:ascii="Arial" w:cs="Arial" w:eastAsia="Arial" w:hAnsi="Arial"/>
          <w:sz w:val="11"/>
          <w:szCs w:val="11"/>
          <w:color w:val="auto"/>
        </w:rPr>
      </w:pPr>
      <w:r>
        <w:rPr>
          <w:rFonts w:ascii="Arial" w:cs="Arial" w:eastAsia="Arial" w:hAnsi="Arial"/>
          <w:sz w:val="11"/>
          <w:szCs w:val="11"/>
          <w:color w:val="auto"/>
        </w:rPr>
        <w:t>Dollar Equivalent of Excess concentration denominated in CAD</w:t>
      </w:r>
    </w:p>
    <w:p>
      <w:pPr>
        <w:spacing w:after="0" w:line="142" w:lineRule="exact"/>
        <w:rPr>
          <w:rFonts w:ascii="Arial" w:cs="Arial" w:eastAsia="Arial" w:hAnsi="Arial"/>
          <w:sz w:val="11"/>
          <w:szCs w:val="11"/>
          <w:color w:val="auto"/>
        </w:rPr>
      </w:pPr>
    </w:p>
    <w:p>
      <w:pPr>
        <w:ind w:left="1340" w:hanging="144"/>
        <w:spacing w:after="0"/>
        <w:tabs>
          <w:tab w:leader="none" w:pos="1340" w:val="left"/>
        </w:tabs>
        <w:numPr>
          <w:ilvl w:val="1"/>
          <w:numId w:val="324"/>
        </w:numPr>
        <w:rPr>
          <w:rFonts w:ascii="Arial" w:cs="Arial" w:eastAsia="Arial" w:hAnsi="Arial"/>
          <w:sz w:val="10"/>
          <w:szCs w:val="10"/>
          <w:color w:val="auto"/>
        </w:rPr>
      </w:pPr>
      <w:r>
        <w:rPr>
          <w:rFonts w:ascii="Arial" w:cs="Arial" w:eastAsia="Arial" w:hAnsi="Arial"/>
          <w:sz w:val="10"/>
          <w:szCs w:val="10"/>
          <w:color w:val="auto"/>
        </w:rPr>
        <w:t>Dollar Equivalent of aggregate amount of CAD deposit in Principal Collection Subaccount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(v) Dollar Advance Test (satisfied if A is less than or equal to B)</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254000</wp:posOffset>
            </wp:positionV>
            <wp:extent cx="1705610" cy="4368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05610" cy="43688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-71120</wp:posOffset>
            </wp:positionV>
            <wp:extent cx="574675" cy="939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82550</wp:posOffset>
            </wp:positionV>
            <wp:extent cx="582930" cy="1117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82930" cy="11176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YES/NO</w:t>
      </w:r>
    </w:p>
    <w:p>
      <w:pPr>
        <w:spacing w:after="0" w:line="508" w:lineRule="exact"/>
        <w:rPr>
          <w:sz w:val="20"/>
          <w:szCs w:val="20"/>
          <w:color w:val="auto"/>
        </w:rPr>
      </w:pPr>
    </w:p>
    <w:p>
      <w:pPr>
        <w:sectPr>
          <w:pgSz w:w="11900" w:h="16838" w:orient="portrait"/>
          <w:cols w:equalWidth="0" w:num="2">
            <w:col w:w="7400" w:space="720"/>
            <w:col w:w="2860"/>
          </w:cols>
          <w:pgMar w:left="320" w:top="274" w:right="599" w:bottom="1440" w:gutter="0" w:footer="0" w:header="0"/>
          <w:type w:val="continuous"/>
        </w:sectPr>
      </w:pPr>
    </w:p>
    <w:p>
      <w:pPr>
        <w:spacing w:after="0" w:line="4" w:lineRule="exact"/>
        <w:rPr>
          <w:sz w:val="20"/>
          <w:szCs w:val="20"/>
          <w:color w:val="auto"/>
        </w:rPr>
      </w:pPr>
    </w:p>
    <w:p>
      <w:pPr>
        <w:ind w:left="1020" w:hanging="175"/>
        <w:spacing w:after="0"/>
        <w:tabs>
          <w:tab w:leader="none" w:pos="1020" w:val="left"/>
        </w:tabs>
        <w:numPr>
          <w:ilvl w:val="0"/>
          <w:numId w:val="325"/>
        </w:numPr>
        <w:rPr>
          <w:rFonts w:ascii="Arial" w:cs="Arial" w:eastAsia="Arial" w:hAnsi="Arial"/>
          <w:sz w:val="11"/>
          <w:szCs w:val="11"/>
          <w:color w:val="auto"/>
        </w:rPr>
      </w:pPr>
      <w:r>
        <w:rPr>
          <w:rFonts w:ascii="Arial" w:cs="Arial" w:eastAsia="Arial" w:hAnsi="Arial"/>
          <w:sz w:val="11"/>
          <w:szCs w:val="11"/>
          <w:color w:val="auto"/>
        </w:rPr>
        <w:t>Aggregate outstanding principal balance of Advances denominated in USD</w:t>
      </w:r>
    </w:p>
    <w:p>
      <w:pPr>
        <w:spacing w:after="0" w:line="143" w:lineRule="exact"/>
        <w:rPr>
          <w:rFonts w:ascii="Arial" w:cs="Arial" w:eastAsia="Arial" w:hAnsi="Arial"/>
          <w:sz w:val="11"/>
          <w:szCs w:val="11"/>
          <w:color w:val="auto"/>
        </w:rPr>
      </w:pPr>
    </w:p>
    <w:p>
      <w:pPr>
        <w:ind w:left="1020" w:hanging="175"/>
        <w:spacing w:after="0"/>
        <w:tabs>
          <w:tab w:leader="none" w:pos="1020" w:val="left"/>
        </w:tabs>
        <w:numPr>
          <w:ilvl w:val="0"/>
          <w:numId w:val="325"/>
        </w:numPr>
        <w:rPr>
          <w:rFonts w:ascii="Arial" w:cs="Arial" w:eastAsia="Arial" w:hAnsi="Arial"/>
          <w:sz w:val="11"/>
          <w:szCs w:val="11"/>
          <w:color w:val="auto"/>
        </w:rPr>
      </w:pPr>
      <w:r>
        <w:rPr>
          <w:rFonts w:ascii="Arial" w:cs="Arial" w:eastAsia="Arial" w:hAnsi="Arial"/>
          <w:sz w:val="11"/>
          <w:szCs w:val="11"/>
          <w:color w:val="auto"/>
        </w:rPr>
        <w:t>Dollar Availability (a minus b)</w:t>
      </w:r>
    </w:p>
    <w:p>
      <w:pPr>
        <w:spacing w:after="0" w:line="3" w:lineRule="exact"/>
        <w:rPr>
          <w:rFonts w:ascii="Arial" w:cs="Arial" w:eastAsia="Arial" w:hAnsi="Arial"/>
          <w:sz w:val="11"/>
          <w:szCs w:val="11"/>
          <w:color w:val="auto"/>
        </w:rPr>
      </w:pPr>
    </w:p>
    <w:p>
      <w:pPr>
        <w:ind w:left="1340" w:hanging="144"/>
        <w:spacing w:after="0" w:line="230" w:lineRule="auto"/>
        <w:tabs>
          <w:tab w:leader="none" w:pos="1340" w:val="left"/>
        </w:tabs>
        <w:numPr>
          <w:ilvl w:val="1"/>
          <w:numId w:val="325"/>
        </w:numPr>
        <w:rPr>
          <w:rFonts w:ascii="Arial" w:cs="Arial" w:eastAsia="Arial" w:hAnsi="Arial"/>
          <w:sz w:val="11"/>
          <w:szCs w:val="11"/>
          <w:color w:val="auto"/>
        </w:rPr>
      </w:pPr>
      <w:r>
        <w:rPr>
          <w:rFonts w:ascii="Arial" w:cs="Arial" w:eastAsia="Arial" w:hAnsi="Arial"/>
          <w:sz w:val="11"/>
          <w:szCs w:val="11"/>
          <w:color w:val="auto"/>
        </w:rPr>
        <w:t>the lesser of (x) and (y)</w:t>
      </w:r>
    </w:p>
    <w:p>
      <w:pPr>
        <w:ind w:left="1560" w:hanging="148"/>
        <w:spacing w:after="0" w:line="230" w:lineRule="auto"/>
        <w:tabs>
          <w:tab w:leader="none" w:pos="1560" w:val="left"/>
        </w:tabs>
        <w:numPr>
          <w:ilvl w:val="2"/>
          <w:numId w:val="325"/>
        </w:numPr>
        <w:rPr>
          <w:rFonts w:ascii="Arial" w:cs="Arial" w:eastAsia="Arial" w:hAnsi="Arial"/>
          <w:sz w:val="11"/>
          <w:szCs w:val="11"/>
          <w:color w:val="auto"/>
        </w:rPr>
      </w:pPr>
      <w:r>
        <w:rPr>
          <w:rFonts w:ascii="Arial" w:cs="Arial" w:eastAsia="Arial" w:hAnsi="Arial"/>
          <w:sz w:val="11"/>
          <w:szCs w:val="11"/>
          <w:color w:val="auto"/>
        </w:rPr>
        <w:t xml:space="preserve">Calculation of (i) </w:t>
      </w:r>
      <w:r>
        <w:rPr>
          <w:rFonts w:ascii="Arial" w:cs="Arial" w:eastAsia="Arial" w:hAnsi="Arial"/>
          <w:sz w:val="11"/>
          <w:szCs w:val="11"/>
          <w:i w:val="1"/>
          <w:iCs w:val="1"/>
          <w:color w:val="auto"/>
        </w:rPr>
        <w:t>plus</w:t>
      </w:r>
      <w:r>
        <w:rPr>
          <w:rFonts w:ascii="Arial" w:cs="Arial" w:eastAsia="Arial" w:hAnsi="Arial"/>
          <w:sz w:val="11"/>
          <w:szCs w:val="11"/>
          <w:color w:val="auto"/>
        </w:rPr>
        <w:t xml:space="preserve"> (ii) </w:t>
      </w:r>
      <w:r>
        <w:rPr>
          <w:rFonts w:ascii="Arial" w:cs="Arial" w:eastAsia="Arial" w:hAnsi="Arial"/>
          <w:sz w:val="11"/>
          <w:szCs w:val="11"/>
          <w:i w:val="1"/>
          <w:iCs w:val="1"/>
          <w:color w:val="auto"/>
        </w:rPr>
        <w:t>minus</w:t>
      </w:r>
      <w:r>
        <w:rPr>
          <w:rFonts w:ascii="Arial" w:cs="Arial" w:eastAsia="Arial" w:hAnsi="Arial"/>
          <w:sz w:val="11"/>
          <w:szCs w:val="11"/>
          <w:color w:val="auto"/>
        </w:rPr>
        <w:t xml:space="preserve"> (iii)</w:t>
      </w:r>
    </w:p>
    <w:p>
      <w:pPr>
        <w:ind w:left="1760" w:hanging="132"/>
        <w:spacing w:after="0" w:line="230" w:lineRule="auto"/>
        <w:tabs>
          <w:tab w:leader="none" w:pos="1760" w:val="left"/>
        </w:tabs>
        <w:numPr>
          <w:ilvl w:val="3"/>
          <w:numId w:val="325"/>
        </w:numPr>
        <w:rPr>
          <w:rFonts w:ascii="Arial" w:cs="Arial" w:eastAsia="Arial" w:hAnsi="Arial"/>
          <w:sz w:val="11"/>
          <w:szCs w:val="11"/>
          <w:color w:val="auto"/>
        </w:rPr>
      </w:pPr>
      <w:r>
        <w:rPr>
          <w:rFonts w:ascii="Arial" w:cs="Arial" w:eastAsia="Arial" w:hAnsi="Arial"/>
          <w:sz w:val="11"/>
          <w:szCs w:val="11"/>
          <w:color w:val="auto"/>
        </w:rPr>
        <w:t>Dollar Borrowing Base (the product of p and q)</w:t>
      </w:r>
    </w:p>
    <w:p>
      <w:pPr>
        <w:ind w:left="2000" w:hanging="156"/>
        <w:spacing w:after="0"/>
        <w:tabs>
          <w:tab w:leader="none" w:pos="2000" w:val="left"/>
        </w:tabs>
        <w:numPr>
          <w:ilvl w:val="4"/>
          <w:numId w:val="325"/>
        </w:numPr>
        <w:rPr>
          <w:rFonts w:ascii="Arial" w:cs="Arial" w:eastAsia="Arial" w:hAnsi="Arial"/>
          <w:sz w:val="9"/>
          <w:szCs w:val="9"/>
          <w:color w:val="auto"/>
        </w:rPr>
      </w:pPr>
      <w:r>
        <w:rPr>
          <w:rFonts w:ascii="Arial" w:cs="Arial" w:eastAsia="Arial" w:hAnsi="Arial"/>
          <w:sz w:val="9"/>
          <w:szCs w:val="9"/>
          <w:color w:val="auto"/>
        </w:rPr>
        <w:t>The Portion of BB allocable to Collateral Loans denominated in USD</w:t>
      </w:r>
    </w:p>
    <w:p>
      <w:pPr>
        <w:spacing w:after="0" w:line="24" w:lineRule="exact"/>
        <w:rPr>
          <w:rFonts w:ascii="Arial" w:cs="Arial" w:eastAsia="Arial" w:hAnsi="Arial"/>
          <w:sz w:val="9"/>
          <w:szCs w:val="9"/>
          <w:color w:val="auto"/>
        </w:rPr>
      </w:pPr>
    </w:p>
    <w:p>
      <w:pPr>
        <w:ind w:left="2000" w:hanging="156"/>
        <w:spacing w:after="0"/>
        <w:tabs>
          <w:tab w:leader="none" w:pos="2000" w:val="left"/>
        </w:tabs>
        <w:numPr>
          <w:ilvl w:val="4"/>
          <w:numId w:val="325"/>
        </w:numPr>
        <w:rPr>
          <w:rFonts w:ascii="Arial" w:cs="Arial" w:eastAsia="Arial" w:hAnsi="Arial"/>
          <w:sz w:val="11"/>
          <w:szCs w:val="11"/>
          <w:color w:val="auto"/>
        </w:rPr>
      </w:pPr>
      <w:r>
        <w:rPr>
          <w:rFonts w:ascii="Arial" w:cs="Arial" w:eastAsia="Arial" w:hAnsi="Arial"/>
          <w:sz w:val="11"/>
          <w:szCs w:val="11"/>
          <w:color w:val="auto"/>
        </w:rPr>
        <w:t>The Maximum Advance Rate</w:t>
      </w:r>
    </w:p>
    <w:p>
      <w:pPr>
        <w:spacing w:after="0" w:line="142" w:lineRule="exact"/>
        <w:rPr>
          <w:sz w:val="20"/>
          <w:szCs w:val="20"/>
          <w:color w:val="auto"/>
        </w:rPr>
      </w:pPr>
    </w:p>
    <w:p>
      <w:pPr>
        <w:ind w:left="1780" w:hanging="152"/>
        <w:spacing w:after="0"/>
        <w:tabs>
          <w:tab w:leader="none" w:pos="1780" w:val="left"/>
        </w:tabs>
        <w:numPr>
          <w:ilvl w:val="2"/>
          <w:numId w:val="326"/>
        </w:numPr>
        <w:rPr>
          <w:rFonts w:ascii="Arial" w:cs="Arial" w:eastAsia="Arial" w:hAnsi="Arial"/>
          <w:sz w:val="10"/>
          <w:szCs w:val="10"/>
          <w:color w:val="auto"/>
        </w:rPr>
      </w:pPr>
      <w:r>
        <w:rPr>
          <w:rFonts w:ascii="Arial" w:cs="Arial" w:eastAsia="Arial" w:hAnsi="Arial"/>
          <w:sz w:val="10"/>
          <w:szCs w:val="10"/>
          <w:color w:val="auto"/>
        </w:rPr>
        <w:t>Aggregate amount of USD deposit in Principal Collection Subaccount</w:t>
      </w:r>
    </w:p>
    <w:p>
      <w:pPr>
        <w:spacing w:after="0" w:line="21" w:lineRule="exact"/>
        <w:rPr>
          <w:rFonts w:ascii="Arial" w:cs="Arial" w:eastAsia="Arial" w:hAnsi="Arial"/>
          <w:sz w:val="10"/>
          <w:szCs w:val="10"/>
          <w:color w:val="auto"/>
        </w:rPr>
      </w:pPr>
    </w:p>
    <w:p>
      <w:pPr>
        <w:ind w:left="1820" w:hanging="192"/>
        <w:spacing w:after="0"/>
        <w:tabs>
          <w:tab w:leader="none" w:pos="1820" w:val="left"/>
        </w:tabs>
        <w:numPr>
          <w:ilvl w:val="2"/>
          <w:numId w:val="326"/>
        </w:numPr>
        <w:rPr>
          <w:rFonts w:ascii="Arial" w:cs="Arial" w:eastAsia="Arial" w:hAnsi="Arial"/>
          <w:sz w:val="11"/>
          <w:szCs w:val="11"/>
          <w:color w:val="auto"/>
        </w:rPr>
      </w:pPr>
      <w:r>
        <w:rPr>
          <w:rFonts w:ascii="Arial" w:cs="Arial" w:eastAsia="Arial" w:hAnsi="Arial"/>
          <w:sz w:val="11"/>
          <w:szCs w:val="11"/>
          <w:color w:val="auto"/>
        </w:rPr>
        <w:t>The product of (m) and (n):</w:t>
      </w:r>
    </w:p>
    <w:p>
      <w:pPr>
        <w:spacing w:after="0" w:line="8" w:lineRule="exact"/>
        <w:rPr>
          <w:rFonts w:ascii="Arial" w:cs="Arial" w:eastAsia="Arial" w:hAnsi="Arial"/>
          <w:sz w:val="11"/>
          <w:szCs w:val="11"/>
          <w:color w:val="auto"/>
        </w:rPr>
      </w:pPr>
    </w:p>
    <w:p>
      <w:pPr>
        <w:jc w:val="both"/>
        <w:ind w:left="2020" w:right="1940" w:hanging="176"/>
        <w:spacing w:after="0" w:line="386" w:lineRule="auto"/>
        <w:tabs>
          <w:tab w:leader="none" w:pos="2020" w:val="left"/>
        </w:tabs>
        <w:numPr>
          <w:ilvl w:val="3"/>
          <w:numId w:val="326"/>
        </w:numPr>
        <w:rPr>
          <w:rFonts w:ascii="Arial" w:cs="Arial" w:eastAsia="Arial" w:hAnsi="Arial"/>
          <w:sz w:val="9"/>
          <w:szCs w:val="9"/>
          <w:color w:val="auto"/>
        </w:rPr>
      </w:pPr>
      <w:r>
        <w:rPr>
          <w:rFonts w:ascii="Arial" w:cs="Arial" w:eastAsia="Arial" w:hAnsi="Arial"/>
          <w:sz w:val="9"/>
          <w:szCs w:val="9"/>
          <w:color w:val="auto"/>
        </w:rPr>
        <w:t xml:space="preserve">The Aggregate Foreign Currency Borrowing Base, </w:t>
      </w:r>
      <w:r>
        <w:rPr>
          <w:rFonts w:ascii="Arial" w:cs="Arial" w:eastAsia="Arial" w:hAnsi="Arial"/>
          <w:sz w:val="9"/>
          <w:szCs w:val="9"/>
          <w:i w:val="1"/>
          <w:iCs w:val="1"/>
          <w:color w:val="auto"/>
        </w:rPr>
        <w:t>minus</w:t>
      </w:r>
      <w:r>
        <w:rPr>
          <w:rFonts w:ascii="Arial" w:cs="Arial" w:eastAsia="Arial" w:hAnsi="Arial"/>
          <w:sz w:val="9"/>
          <w:szCs w:val="9"/>
          <w:color w:val="auto"/>
        </w:rPr>
        <w:t xml:space="preserve"> Agreed Foreign Currency deposit in Principal Subaccount</w:t>
      </w:r>
    </w:p>
    <w:p>
      <w:pPr>
        <w:spacing w:after="0" w:line="70" w:lineRule="exact"/>
        <w:rPr>
          <w:rFonts w:ascii="Arial" w:cs="Arial" w:eastAsia="Arial" w:hAnsi="Arial"/>
          <w:sz w:val="9"/>
          <w:szCs w:val="9"/>
          <w:color w:val="auto"/>
        </w:rPr>
      </w:pPr>
    </w:p>
    <w:p>
      <w:pPr>
        <w:ind w:left="2000" w:hanging="156"/>
        <w:spacing w:after="0"/>
        <w:tabs>
          <w:tab w:leader="none" w:pos="2000" w:val="left"/>
        </w:tabs>
        <w:numPr>
          <w:ilvl w:val="3"/>
          <w:numId w:val="326"/>
        </w:numPr>
        <w:rPr>
          <w:rFonts w:ascii="Arial" w:cs="Arial" w:eastAsia="Arial" w:hAnsi="Arial"/>
          <w:sz w:val="11"/>
          <w:szCs w:val="11"/>
          <w:color w:val="auto"/>
        </w:rPr>
      </w:pPr>
      <w:r>
        <w:rPr>
          <w:rFonts w:ascii="Arial" w:cs="Arial" w:eastAsia="Arial" w:hAnsi="Arial"/>
          <w:sz w:val="11"/>
          <w:szCs w:val="11"/>
          <w:color w:val="auto"/>
        </w:rPr>
        <w:t xml:space="preserve">100% </w:t>
      </w:r>
      <w:r>
        <w:rPr>
          <w:rFonts w:ascii="Arial" w:cs="Arial" w:eastAsia="Arial" w:hAnsi="Arial"/>
          <w:sz w:val="11"/>
          <w:szCs w:val="11"/>
          <w:i w:val="1"/>
          <w:iCs w:val="1"/>
          <w:color w:val="auto"/>
        </w:rPr>
        <w:t>minus</w:t>
      </w:r>
      <w:r>
        <w:rPr>
          <w:rFonts w:ascii="Arial" w:cs="Arial" w:eastAsia="Arial" w:hAnsi="Arial"/>
          <w:sz w:val="11"/>
          <w:szCs w:val="11"/>
          <w:color w:val="auto"/>
        </w:rPr>
        <w:t xml:space="preserve"> the Maximum Advance Rate</w:t>
      </w:r>
    </w:p>
    <w:p>
      <w:pPr>
        <w:spacing w:after="0" w:line="278" w:lineRule="exact"/>
        <w:rPr>
          <w:rFonts w:ascii="Arial" w:cs="Arial" w:eastAsia="Arial" w:hAnsi="Arial"/>
          <w:sz w:val="11"/>
          <w:szCs w:val="11"/>
          <w:color w:val="auto"/>
        </w:rPr>
      </w:pPr>
    </w:p>
    <w:p>
      <w:pPr>
        <w:ind w:left="1560" w:hanging="148"/>
        <w:spacing w:after="0"/>
        <w:tabs>
          <w:tab w:leader="none" w:pos="1560" w:val="left"/>
        </w:tabs>
        <w:numPr>
          <w:ilvl w:val="1"/>
          <w:numId w:val="327"/>
        </w:numPr>
        <w:rPr>
          <w:rFonts w:ascii="Arial" w:cs="Arial" w:eastAsia="Arial" w:hAnsi="Arial"/>
          <w:sz w:val="11"/>
          <w:szCs w:val="11"/>
          <w:color w:val="auto"/>
        </w:rPr>
      </w:pPr>
      <w:r>
        <w:rPr>
          <w:rFonts w:ascii="Arial" w:cs="Arial" w:eastAsia="Arial" w:hAnsi="Arial"/>
          <w:sz w:val="11"/>
          <w:szCs w:val="11"/>
          <w:color w:val="auto"/>
        </w:rPr>
        <w:t xml:space="preserve">Calculation (i) </w:t>
      </w:r>
      <w:r>
        <w:rPr>
          <w:rFonts w:ascii="Arial" w:cs="Arial" w:eastAsia="Arial" w:hAnsi="Arial"/>
          <w:sz w:val="11"/>
          <w:szCs w:val="11"/>
          <w:i w:val="1"/>
          <w:iCs w:val="1"/>
          <w:color w:val="auto"/>
        </w:rPr>
        <w:t>minus</w:t>
      </w:r>
      <w:r>
        <w:rPr>
          <w:rFonts w:ascii="Arial" w:cs="Arial" w:eastAsia="Arial" w:hAnsi="Arial"/>
          <w:sz w:val="11"/>
          <w:szCs w:val="11"/>
          <w:color w:val="auto"/>
        </w:rPr>
        <w:t xml:space="preserve"> (ii)</w:t>
      </w:r>
    </w:p>
    <w:p>
      <w:pPr>
        <w:spacing w:after="0" w:line="9" w:lineRule="exact"/>
        <w:rPr>
          <w:rFonts w:ascii="Arial" w:cs="Arial" w:eastAsia="Arial" w:hAnsi="Arial"/>
          <w:sz w:val="11"/>
          <w:szCs w:val="11"/>
          <w:color w:val="auto"/>
        </w:rPr>
      </w:pPr>
    </w:p>
    <w:p>
      <w:pPr>
        <w:ind w:left="1760" w:hanging="132"/>
        <w:spacing w:after="0"/>
        <w:tabs>
          <w:tab w:leader="none" w:pos="1760" w:val="left"/>
        </w:tabs>
        <w:numPr>
          <w:ilvl w:val="2"/>
          <w:numId w:val="327"/>
        </w:numPr>
        <w:rPr>
          <w:rFonts w:ascii="Arial" w:cs="Arial" w:eastAsia="Arial" w:hAnsi="Arial"/>
          <w:sz w:val="11"/>
          <w:szCs w:val="11"/>
          <w:color w:val="auto"/>
        </w:rPr>
      </w:pPr>
      <w:r>
        <w:rPr>
          <w:rFonts w:ascii="Arial" w:cs="Arial" w:eastAsia="Arial" w:hAnsi="Arial"/>
          <w:sz w:val="11"/>
          <w:szCs w:val="11"/>
          <w:color w:val="auto"/>
        </w:rPr>
        <w:t>The Facility Amount</w:t>
      </w:r>
    </w:p>
    <w:p>
      <w:pPr>
        <w:spacing w:after="0" w:line="8" w:lineRule="exact"/>
        <w:rPr>
          <w:rFonts w:ascii="Arial" w:cs="Arial" w:eastAsia="Arial" w:hAnsi="Arial"/>
          <w:sz w:val="11"/>
          <w:szCs w:val="11"/>
          <w:color w:val="auto"/>
        </w:rPr>
      </w:pPr>
    </w:p>
    <w:p>
      <w:pPr>
        <w:ind w:left="1780" w:hanging="152"/>
        <w:spacing w:after="0"/>
        <w:tabs>
          <w:tab w:leader="none" w:pos="1780" w:val="left"/>
        </w:tabs>
        <w:numPr>
          <w:ilvl w:val="2"/>
          <w:numId w:val="327"/>
        </w:numPr>
        <w:rPr>
          <w:rFonts w:ascii="Arial" w:cs="Arial" w:eastAsia="Arial" w:hAnsi="Arial"/>
          <w:sz w:val="11"/>
          <w:szCs w:val="11"/>
          <w:color w:val="auto"/>
        </w:rPr>
      </w:pPr>
      <w:r>
        <w:rPr>
          <w:rFonts w:ascii="Arial" w:cs="Arial" w:eastAsia="Arial" w:hAnsi="Arial"/>
          <w:sz w:val="11"/>
          <w:szCs w:val="11"/>
          <w:color w:val="auto"/>
        </w:rPr>
        <w:t>The Aggregate Foreign Currency Borrowing Base</w:t>
      </w:r>
    </w:p>
    <w:p>
      <w:pPr>
        <w:spacing w:after="0" w:line="277" w:lineRule="exact"/>
        <w:rPr>
          <w:rFonts w:ascii="Arial" w:cs="Arial" w:eastAsia="Arial" w:hAnsi="Arial"/>
          <w:sz w:val="11"/>
          <w:szCs w:val="11"/>
          <w:color w:val="auto"/>
        </w:rPr>
      </w:pPr>
    </w:p>
    <w:p>
      <w:pPr>
        <w:ind w:left="1340" w:hanging="144"/>
        <w:spacing w:after="0"/>
        <w:tabs>
          <w:tab w:leader="none" w:pos="1340" w:val="left"/>
        </w:tabs>
        <w:numPr>
          <w:ilvl w:val="0"/>
          <w:numId w:val="328"/>
        </w:numPr>
        <w:rPr>
          <w:rFonts w:ascii="Arial" w:cs="Arial" w:eastAsia="Arial" w:hAnsi="Arial"/>
          <w:sz w:val="11"/>
          <w:szCs w:val="11"/>
          <w:color w:val="auto"/>
        </w:rPr>
      </w:pPr>
      <w:r>
        <w:rPr>
          <w:rFonts w:ascii="Arial" w:cs="Arial" w:eastAsia="Arial" w:hAnsi="Arial"/>
          <w:sz w:val="11"/>
          <w:szCs w:val="11"/>
          <w:color w:val="auto"/>
        </w:rPr>
        <w:t>The Foreign Currency Variability Reserve</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(vi) Foreign Currency Advance Test (satisfied if A is less than or equal to B)</w:t>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408305</wp:posOffset>
            </wp:positionV>
            <wp:extent cx="1139825" cy="3511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39825" cy="3511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-71120</wp:posOffset>
            </wp:positionV>
            <wp:extent cx="574675" cy="939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20"/>
        <w:spacing w:after="0"/>
        <w:rPr>
          <w:sz w:val="20"/>
          <w:szCs w:val="20"/>
          <w:color w:val="auto"/>
        </w:rPr>
      </w:pPr>
      <w:r>
        <w:rPr>
          <w:rFonts w:ascii="Arial" w:cs="Arial" w:eastAsia="Arial" w:hAnsi="Arial"/>
          <w:sz w:val="11"/>
          <w:szCs w:val="11"/>
          <w:color w:val="auto"/>
        </w:rPr>
        <w:t>(i)</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1"/>
          <w:szCs w:val="1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92075</wp:posOffset>
            </wp:positionV>
            <wp:extent cx="1705610" cy="523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05610" cy="52324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(m)</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1"/>
          <w:szCs w:val="11"/>
          <w:color w:val="auto"/>
        </w:rPr>
        <w:t>(iii)</w:t>
      </w:r>
    </w:p>
    <w:p>
      <w:pPr>
        <w:spacing w:after="0" w:line="3" w:lineRule="exact"/>
        <w:rPr>
          <w:sz w:val="20"/>
          <w:szCs w:val="20"/>
          <w:color w:val="auto"/>
        </w:rPr>
      </w:pPr>
    </w:p>
    <w:p>
      <w:pPr>
        <w:ind w:left="920"/>
        <w:spacing w:after="0"/>
        <w:rPr>
          <w:sz w:val="20"/>
          <w:szCs w:val="20"/>
          <w:color w:val="auto"/>
        </w:rPr>
      </w:pPr>
      <w:r>
        <w:rPr>
          <w:rFonts w:ascii="Arial" w:cs="Arial" w:eastAsia="Arial" w:hAnsi="Arial"/>
          <w:sz w:val="11"/>
          <w:szCs w:val="11"/>
          <w:color w:val="auto"/>
        </w:rPr>
        <w:t>(x)</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1"/>
          <w:szCs w:val="1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-73660</wp:posOffset>
            </wp:positionV>
            <wp:extent cx="2271395" cy="6172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271395" cy="6172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(ii)</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1"/>
          <w:szCs w:val="11"/>
          <w:color w:val="auto"/>
        </w:rPr>
        <w:t>(y)</w:t>
      </w:r>
    </w:p>
    <w:p>
      <w:pPr>
        <w:spacing w:after="0" w:line="3" w:lineRule="exact"/>
        <w:rPr>
          <w:sz w:val="20"/>
          <w:szCs w:val="20"/>
          <w:color w:val="auto"/>
        </w:rPr>
      </w:pPr>
    </w:p>
    <w:p>
      <w:pPr>
        <w:ind w:left="920"/>
        <w:spacing w:after="0"/>
        <w:rPr>
          <w:sz w:val="20"/>
          <w:szCs w:val="20"/>
          <w:color w:val="auto"/>
        </w:rPr>
      </w:pPr>
      <w:r>
        <w:rPr>
          <w:rFonts w:ascii="Arial" w:cs="Arial" w:eastAsia="Arial" w:hAnsi="Arial"/>
          <w:sz w:val="11"/>
          <w:szCs w:val="11"/>
          <w:color w:val="auto"/>
        </w:rPr>
        <w:t>(a)</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1"/>
          <w:szCs w:val="11"/>
          <w:color w:val="auto"/>
        </w:rPr>
        <w:t>(b)</w:t>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11"/>
          <w:szCs w:val="11"/>
          <w:b w:val="1"/>
          <w:bCs w:val="1"/>
          <w:color w:val="auto"/>
        </w:rPr>
        <w:t>(B)</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YES/NO</w:t>
      </w:r>
    </w:p>
    <w:p>
      <w:pPr>
        <w:spacing w:after="0" w:line="507" w:lineRule="exact"/>
        <w:rPr>
          <w:sz w:val="20"/>
          <w:szCs w:val="20"/>
          <w:color w:val="auto"/>
        </w:rPr>
      </w:pPr>
    </w:p>
    <w:p>
      <w:pPr>
        <w:sectPr>
          <w:pgSz w:w="11900" w:h="16838" w:orient="portrait"/>
          <w:cols w:equalWidth="0" w:num="2">
            <w:col w:w="6480" w:space="720"/>
            <w:col w:w="3780"/>
          </w:cols>
          <w:pgMar w:left="320" w:top="274" w:right="599" w:bottom="1440" w:gutter="0" w:footer="0" w:header="0"/>
          <w:type w:val="continuous"/>
        </w:sectPr>
      </w:pPr>
    </w:p>
    <w:p>
      <w:pPr>
        <w:ind w:left="840"/>
        <w:spacing w:after="0"/>
        <w:tabs>
          <w:tab w:leader="none" w:pos="8980" w:val="left"/>
        </w:tabs>
        <w:rPr>
          <w:sz w:val="20"/>
          <w:szCs w:val="20"/>
          <w:color w:val="auto"/>
        </w:rPr>
      </w:pPr>
      <w:r>
        <w:rPr>
          <w:rFonts w:ascii="Arial" w:cs="Arial" w:eastAsia="Arial" w:hAnsi="Arial"/>
          <w:sz w:val="11"/>
          <w:szCs w:val="11"/>
          <w:color w:val="auto"/>
        </w:rPr>
        <w:t>(A) Dollar Equivalent of all advances denominated in Foreign Currencies</w:t>
      </w:r>
      <w:r>
        <w:rPr>
          <w:sz w:val="20"/>
          <w:szCs w:val="20"/>
          <w:color w:val="auto"/>
        </w:rPr>
        <w:tab/>
      </w:r>
      <w:r>
        <w:rPr>
          <w:rFonts w:ascii="Arial" w:cs="Arial" w:eastAsia="Arial" w:hAnsi="Arial"/>
          <w:sz w:val="10"/>
          <w:szCs w:val="10"/>
          <w:color w:val="auto"/>
        </w:rPr>
        <w:t>(A)</w:t>
      </w:r>
    </w:p>
    <w:p>
      <w:pPr>
        <w:spacing w:after="0" w:line="144" w:lineRule="exact"/>
        <w:rPr>
          <w:sz w:val="20"/>
          <w:szCs w:val="20"/>
          <w:color w:val="auto"/>
        </w:rPr>
      </w:pPr>
    </w:p>
    <w:p>
      <w:pPr>
        <w:ind w:left="840"/>
        <w:spacing w:after="0"/>
        <w:tabs>
          <w:tab w:leader="none" w:pos="8980" w:val="left"/>
        </w:tabs>
        <w:rPr>
          <w:sz w:val="20"/>
          <w:szCs w:val="20"/>
          <w:color w:val="auto"/>
        </w:rPr>
      </w:pPr>
      <w:r>
        <w:rPr>
          <w:rFonts w:ascii="Arial" w:cs="Arial" w:eastAsia="Arial" w:hAnsi="Arial"/>
          <w:sz w:val="11"/>
          <w:szCs w:val="11"/>
          <w:color w:val="auto"/>
        </w:rPr>
        <w:t>(B) 15% of the Maximum Available Amount</w:t>
      </w:r>
      <w:r>
        <w:rPr>
          <w:sz w:val="20"/>
          <w:szCs w:val="20"/>
          <w:color w:val="auto"/>
        </w:rPr>
        <w:tab/>
      </w:r>
      <w:r>
        <w:rPr>
          <w:rFonts w:ascii="Arial" w:cs="Arial" w:eastAsia="Arial" w:hAnsi="Arial"/>
          <w:sz w:val="10"/>
          <w:szCs w:val="10"/>
          <w:color w:val="auto"/>
        </w:rPr>
        <w:t>(B)</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COMPLIANCE (CURRENCY BORROWING BASE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149465" cy="1968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196850"/>
                    </a:xfrm>
                    <a:prstGeom prst="rect">
                      <a:avLst/>
                    </a:prstGeom>
                    <a:noFill/>
                  </pic:spPr>
                </pic:pic>
              </a:graphicData>
            </a:graphic>
          </wp:anchor>
        </w:drawing>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Availability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99695</wp:posOffset>
            </wp:positionV>
            <wp:extent cx="582930" cy="1117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82930" cy="11176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-88265</wp:posOffset>
            </wp:positionV>
            <wp:extent cx="582930" cy="1111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2930" cy="11112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-250825</wp:posOffset>
            </wp:positionV>
            <wp:extent cx="574675" cy="939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74675" cy="9398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-422275</wp:posOffset>
            </wp:positionV>
            <wp:extent cx="574675" cy="946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74675" cy="946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YES/NO</w:t>
      </w:r>
    </w:p>
    <w:p>
      <w:pPr>
        <w:spacing w:after="0" w:line="618" w:lineRule="exact"/>
        <w:rPr>
          <w:sz w:val="20"/>
          <w:szCs w:val="20"/>
          <w:color w:val="auto"/>
        </w:rPr>
      </w:pPr>
    </w:p>
    <w:p>
      <w:pPr>
        <w:sectPr>
          <w:pgSz w:w="11900" w:h="16838" w:orient="portrait"/>
          <w:cols w:equalWidth="0" w:num="2">
            <w:col w:w="9840" w:space="720"/>
            <w:col w:w="420"/>
          </w:cols>
          <w:pgMar w:left="320" w:top="274" w:right="599" w:bottom="1440" w:gutter="0" w:footer="0" w:header="0"/>
          <w:type w:val="continuous"/>
        </w:sectPr>
      </w:pPr>
    </w:p>
    <w:p>
      <w:pPr>
        <w:spacing w:after="0" w:line="72" w:lineRule="exact"/>
        <w:rPr>
          <w:sz w:val="20"/>
          <w:szCs w:val="20"/>
          <w:color w:val="auto"/>
        </w:rPr>
      </w:pPr>
    </w:p>
    <w:tbl>
      <w:tblPr>
        <w:tblLayout w:type="fixed"/>
        <w:tblInd w:w="250" w:type="dxa"/>
        <w:tblCellMar>
          <w:top w:w="0" w:type="dxa"/>
          <w:left w:w="0" w:type="dxa"/>
          <w:bottom w:w="0" w:type="dxa"/>
          <w:right w:w="0" w:type="dxa"/>
        </w:tblCellMar>
      </w:tblPr>
      <w:tr>
        <w:trPr>
          <w:trHeight w:val="135"/>
        </w:trPr>
        <w:tc>
          <w:tcPr>
            <w:tcW w:w="700" w:type="dxa"/>
            <w:vAlign w:val="bottom"/>
            <w:tcBorders>
              <w:bottom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c>
          <w:tcPr>
            <w:tcW w:w="162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color w:val="auto"/>
              </w:rPr>
              <w:t>In USD</w:t>
            </w:r>
          </w:p>
        </w:tc>
        <w:tc>
          <w:tcPr>
            <w:tcW w:w="1280" w:type="dxa"/>
            <w:vAlign w:val="bottom"/>
            <w:tcBorders>
              <w:top w:val="single" w:sz="8" w:color="auto"/>
              <w:bottom w:val="single" w:sz="8" w:color="auto"/>
              <w:right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1"/>
                <w:szCs w:val="11"/>
                <w:color w:val="auto"/>
                <w:w w:val="95"/>
              </w:rPr>
              <w:t>In Local Currency</w:t>
            </w:r>
          </w:p>
        </w:tc>
        <w:tc>
          <w:tcPr>
            <w:tcW w:w="940" w:type="dxa"/>
            <w:vAlign w:val="bottom"/>
            <w:tcBorders>
              <w:top w:val="single" w:sz="8" w:color="auto"/>
              <w:bottom w:val="single" w:sz="8" w:color="auto"/>
              <w:right w:val="single" w:sz="8" w:color="auto"/>
            </w:tcBorders>
          </w:tcPr>
          <w:p>
            <w:pPr>
              <w:spacing w:after="0"/>
              <w:rPr>
                <w:sz w:val="11"/>
                <w:szCs w:val="11"/>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Currency</w:t>
            </w:r>
          </w:p>
        </w:tc>
        <w:tc>
          <w:tcPr>
            <w:tcW w:w="2480" w:type="dxa"/>
            <w:vAlign w:val="bottom"/>
            <w:tcBorders>
              <w:bottom w:val="single" w:sz="8" w:color="auto"/>
              <w:right w:val="single" w:sz="8" w:color="auto"/>
            </w:tcBorders>
          </w:tcPr>
          <w:p>
            <w:pPr>
              <w:ind w:left="720"/>
              <w:spacing w:after="0" w:line="115" w:lineRule="exact"/>
              <w:rPr>
                <w:sz w:val="20"/>
                <w:szCs w:val="20"/>
                <w:color w:val="auto"/>
              </w:rPr>
            </w:pPr>
            <w:r>
              <w:rPr>
                <w:rFonts w:ascii="Arial" w:cs="Arial" w:eastAsia="Arial" w:hAnsi="Arial"/>
                <w:sz w:val="11"/>
                <w:szCs w:val="11"/>
                <w:color w:val="auto"/>
              </w:rPr>
              <w:t>Exchange Rate (FX/USD)</w:t>
            </w:r>
          </w:p>
        </w:tc>
        <w:tc>
          <w:tcPr>
            <w:tcW w:w="1620" w:type="dxa"/>
            <w:vAlign w:val="bottom"/>
            <w:tcBorders>
              <w:bottom w:val="single" w:sz="8" w:color="auto"/>
              <w:right w:val="single" w:sz="8" w:color="auto"/>
            </w:tcBorders>
          </w:tcPr>
          <w:p>
            <w:pPr>
              <w:ind w:left="480"/>
              <w:spacing w:after="0" w:line="115" w:lineRule="exact"/>
              <w:rPr>
                <w:sz w:val="20"/>
                <w:szCs w:val="20"/>
                <w:color w:val="auto"/>
              </w:rPr>
            </w:pPr>
            <w:r>
              <w:rPr>
                <w:rFonts w:ascii="Arial" w:cs="Arial" w:eastAsia="Arial" w:hAnsi="Arial"/>
                <w:sz w:val="11"/>
                <w:szCs w:val="11"/>
                <w:color w:val="auto"/>
              </w:rPr>
              <w:t>Max Availability</w:t>
            </w:r>
          </w:p>
        </w:tc>
        <w:tc>
          <w:tcPr>
            <w:tcW w:w="1260" w:type="dxa"/>
            <w:vAlign w:val="bottom"/>
            <w:tcBorders>
              <w:bottom w:val="single" w:sz="8" w:color="auto"/>
              <w:right w:val="single" w:sz="8" w:color="auto"/>
            </w:tcBorders>
          </w:tcPr>
          <w:p>
            <w:pPr>
              <w:ind w:left="400"/>
              <w:spacing w:after="0" w:line="115" w:lineRule="exact"/>
              <w:rPr>
                <w:sz w:val="20"/>
                <w:szCs w:val="20"/>
                <w:color w:val="auto"/>
              </w:rPr>
            </w:pPr>
            <w:r>
              <w:rPr>
                <w:rFonts w:ascii="Arial" w:cs="Arial" w:eastAsia="Arial" w:hAnsi="Arial"/>
                <w:sz w:val="11"/>
                <w:szCs w:val="11"/>
                <w:color w:val="auto"/>
              </w:rPr>
              <w:t>Outstanding</w:t>
            </w:r>
          </w:p>
        </w:tc>
        <w:tc>
          <w:tcPr>
            <w:tcW w:w="1280" w:type="dxa"/>
            <w:vAlign w:val="bottom"/>
            <w:tcBorders>
              <w:bottom w:val="single" w:sz="8" w:color="auto"/>
              <w:right w:val="single" w:sz="8" w:color="auto"/>
            </w:tcBorders>
          </w:tcPr>
          <w:p>
            <w:pPr>
              <w:ind w:left="280"/>
              <w:spacing w:after="0" w:line="115" w:lineRule="exact"/>
              <w:rPr>
                <w:sz w:val="20"/>
                <w:szCs w:val="20"/>
                <w:color w:val="auto"/>
              </w:rPr>
            </w:pPr>
            <w:r>
              <w:rPr>
                <w:rFonts w:ascii="Arial" w:cs="Arial" w:eastAsia="Arial" w:hAnsi="Arial"/>
                <w:sz w:val="11"/>
                <w:szCs w:val="11"/>
                <w:color w:val="auto"/>
              </w:rPr>
              <w:t>Available to Draw</w:t>
            </w:r>
          </w:p>
        </w:tc>
        <w:tc>
          <w:tcPr>
            <w:tcW w:w="940" w:type="dxa"/>
            <w:vAlign w:val="bottom"/>
            <w:tcBorders>
              <w:bottom w:val="single" w:sz="8" w:color="auto"/>
              <w:right w:val="single" w:sz="8" w:color="auto"/>
            </w:tcBorders>
          </w:tcPr>
          <w:p>
            <w:pPr>
              <w:ind w:left="140"/>
              <w:spacing w:after="0" w:line="115" w:lineRule="exact"/>
              <w:rPr>
                <w:sz w:val="20"/>
                <w:szCs w:val="20"/>
                <w:color w:val="auto"/>
              </w:rPr>
            </w:pPr>
            <w:r>
              <w:rPr>
                <w:rFonts w:ascii="Arial" w:cs="Arial" w:eastAsia="Arial" w:hAnsi="Arial"/>
                <w:sz w:val="11"/>
                <w:szCs w:val="11"/>
                <w:color w:val="auto"/>
              </w:rPr>
              <w:t>Max Availability</w:t>
            </w:r>
          </w:p>
        </w:tc>
        <w:tc>
          <w:tcPr>
            <w:tcW w:w="840" w:type="dxa"/>
            <w:vAlign w:val="bottom"/>
            <w:tcBorders>
              <w:bottom w:val="single" w:sz="8" w:color="auto"/>
              <w:right w:val="single" w:sz="8" w:color="auto"/>
            </w:tcBorders>
          </w:tcPr>
          <w:p>
            <w:pPr>
              <w:ind w:left="180"/>
              <w:spacing w:after="0" w:line="115" w:lineRule="exact"/>
              <w:rPr>
                <w:sz w:val="20"/>
                <w:szCs w:val="20"/>
                <w:color w:val="auto"/>
              </w:rPr>
            </w:pPr>
            <w:r>
              <w:rPr>
                <w:rFonts w:ascii="Arial" w:cs="Arial" w:eastAsia="Arial" w:hAnsi="Arial"/>
                <w:sz w:val="11"/>
                <w:szCs w:val="11"/>
                <w:color w:val="auto"/>
              </w:rPr>
              <w:t>Outstanding</w:t>
            </w: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ind w:left="60"/>
              <w:spacing w:after="0" w:line="115" w:lineRule="exact"/>
              <w:rPr>
                <w:sz w:val="20"/>
                <w:szCs w:val="20"/>
                <w:color w:val="auto"/>
              </w:rPr>
            </w:pPr>
            <w:r>
              <w:rPr>
                <w:rFonts w:ascii="Arial" w:cs="Arial" w:eastAsia="Arial" w:hAnsi="Arial"/>
                <w:sz w:val="11"/>
                <w:szCs w:val="11"/>
                <w:color w:val="auto"/>
                <w:w w:val="98"/>
              </w:rPr>
              <w:t>Available to Draw</w:t>
            </w: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USD</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GBP</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AUD</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EUR</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CAD</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0980"/>
          </w:cols>
          <w:pgMar w:left="320" w:top="274" w:right="599" w:bottom="1440" w:gutter="0" w:footer="0" w:header="0"/>
          <w:type w:val="continuous"/>
        </w:sectPr>
      </w:pPr>
    </w:p>
    <w:bookmarkStart w:id="252" w:name="page253"/>
    <w:bookmarkEnd w:id="252"/>
    <w:p>
      <w:pPr>
        <w:jc w:val="center"/>
        <w:ind w:left="16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II</w:t>
      </w:r>
    </w:p>
    <w:p>
      <w:pPr>
        <w:spacing w:after="0" w:line="14" w:lineRule="exact"/>
        <w:rPr>
          <w:sz w:val="20"/>
          <w:szCs w:val="20"/>
          <w:color w:val="auto"/>
        </w:rPr>
      </w:pPr>
    </w:p>
    <w:p>
      <w:pPr>
        <w:jc w:val="center"/>
        <w:ind w:left="1680"/>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21"/>
          <w:szCs w:val="21"/>
          <w:b w:val="1"/>
          <w:bCs w:val="1"/>
          <w:color w:val="auto"/>
        </w:rPr>
        <w:t>M</w:t>
      </w:r>
      <w:r>
        <w:rPr>
          <w:rFonts w:ascii="Arial" w:cs="Arial" w:eastAsia="Arial" w:hAnsi="Arial"/>
          <w:sz w:val="18"/>
          <w:szCs w:val="18"/>
          <w:b w:val="1"/>
          <w:bCs w:val="1"/>
          <w:color w:val="auto"/>
        </w:rPr>
        <w:t xml:space="preserve">ATRIX </w:t>
      </w:r>
      <w:r>
        <w:rPr>
          <w:rFonts w:ascii="Arial" w:cs="Arial" w:eastAsia="Arial" w:hAnsi="Arial"/>
          <w:sz w:val="21"/>
          <w:szCs w:val="21"/>
          <w:b w:val="1"/>
          <w:bCs w:val="1"/>
          <w:color w:val="auto"/>
        </w:rPr>
        <w:t>A</w:t>
      </w:r>
      <w:r>
        <w:rPr>
          <w:rFonts w:ascii="Arial" w:cs="Arial" w:eastAsia="Arial" w:hAnsi="Arial"/>
          <w:sz w:val="18"/>
          <w:szCs w:val="18"/>
          <w:b w:val="1"/>
          <w:bCs w:val="1"/>
          <w:color w:val="auto"/>
        </w:rPr>
        <w:t xml:space="preserve">DJUSTMENT </w:t>
      </w:r>
      <w:r>
        <w:rPr>
          <w:rFonts w:ascii="Arial" w:cs="Arial" w:eastAsia="Arial" w:hAnsi="Arial"/>
          <w:sz w:val="21"/>
          <w:szCs w:val="21"/>
          <w:b w:val="1"/>
          <w:bCs w:val="1"/>
          <w:color w:val="auto"/>
        </w:rPr>
        <w:t>N</w:t>
      </w:r>
      <w:r>
        <w:rPr>
          <w:rFonts w:ascii="Arial" w:cs="Arial" w:eastAsia="Arial" w:hAnsi="Arial"/>
          <w:sz w:val="18"/>
          <w:szCs w:val="18"/>
          <w:b w:val="1"/>
          <w:bCs w:val="1"/>
          <w:color w:val="auto"/>
        </w:rPr>
        <w:t>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157480</wp:posOffset>
            </wp:positionV>
            <wp:extent cx="7132320" cy="3346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32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FFFFFF"/>
        </w:rPr>
        <w:t>Matrix Selection and Compliance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Matrix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-142875</wp:posOffset>
            </wp:positionV>
            <wp:extent cx="642620" cy="1714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2620" cy="171450"/>
                    </a:xfrm>
                    <a:prstGeom prst="rect">
                      <a:avLst/>
                    </a:prstGeom>
                    <a:noFill/>
                  </pic:spPr>
                </pic:pic>
              </a:graphicData>
            </a:graphic>
          </wp:anchor>
        </w:drawing>
      </w:r>
    </w:p>
    <w:p>
      <w:pPr>
        <w:spacing w:after="0" w:line="204" w:lineRule="exact"/>
        <w:rPr>
          <w:sz w:val="20"/>
          <w:szCs w:val="20"/>
          <w:color w:val="auto"/>
        </w:rPr>
      </w:pPr>
    </w:p>
    <w:p>
      <w:pPr>
        <w:jc w:val="both"/>
        <w:ind w:left="6780"/>
        <w:spacing w:after="0"/>
        <w:tabs>
          <w:tab w:leader="none" w:pos="8200" w:val="left"/>
        </w:tabs>
        <w:rPr>
          <w:sz w:val="20"/>
          <w:szCs w:val="20"/>
          <w:color w:val="auto"/>
        </w:rPr>
      </w:pPr>
      <w:r>
        <w:rPr>
          <w:rFonts w:ascii="Arial" w:cs="Arial" w:eastAsia="Arial" w:hAnsi="Arial"/>
          <w:sz w:val="20"/>
          <w:szCs w:val="20"/>
          <w:b w:val="1"/>
          <w:bCs w:val="1"/>
          <w:color w:val="auto"/>
        </w:rPr>
        <w:t>Current</w:t>
      </w:r>
      <w:r>
        <w:rPr>
          <w:sz w:val="20"/>
          <w:szCs w:val="20"/>
          <w:color w:val="auto"/>
        </w:rPr>
        <w:tab/>
      </w:r>
      <w:r>
        <w:rPr>
          <w:rFonts w:ascii="Arial" w:cs="Arial" w:eastAsia="Arial" w:hAnsi="Arial"/>
          <w:sz w:val="20"/>
          <w:szCs w:val="20"/>
          <w:b w:val="1"/>
          <w:bCs w:val="1"/>
          <w:color w:val="auto"/>
        </w:rPr>
        <w:t>Applicable</w:t>
      </w:r>
    </w:p>
    <w:p>
      <w:pPr>
        <w:spacing w:after="0" w:line="22" w:lineRule="exact"/>
        <w:rPr>
          <w:sz w:val="20"/>
          <w:szCs w:val="20"/>
          <w:color w:val="auto"/>
        </w:rPr>
      </w:pPr>
    </w:p>
    <w:p>
      <w:pPr>
        <w:ind w:left="8440"/>
        <w:spacing w:after="0"/>
        <w:rPr>
          <w:sz w:val="20"/>
          <w:szCs w:val="20"/>
          <w:color w:val="auto"/>
        </w:rPr>
      </w:pPr>
      <w:r>
        <w:rPr>
          <w:rFonts w:ascii="Arial" w:cs="Arial" w:eastAsia="Arial" w:hAnsi="Arial"/>
          <w:sz w:val="20"/>
          <w:szCs w:val="20"/>
          <w:b w:val="1"/>
          <w:bCs w:val="1"/>
          <w:color w:val="auto"/>
        </w:rPr>
        <w:t>Limit</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Advance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-142875</wp:posOffset>
            </wp:positionV>
            <wp:extent cx="1911350" cy="1714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911350" cy="1714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Weighted Average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-142875</wp:posOffset>
            </wp:positionV>
            <wp:extent cx="1911350" cy="1714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911350" cy="1714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Diversity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-142875</wp:posOffset>
            </wp:positionV>
            <wp:extent cx="1911350" cy="1714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911350"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Obligor Concentration</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Largest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-158115</wp:posOffset>
            </wp:positionV>
            <wp:extent cx="1911350" cy="13112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911350" cy="131127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Second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Third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Fourth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Fifth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Sixth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Seventh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All Others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Ratings Limitations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21"/>
          <w:szCs w:val="21"/>
          <w:color w:val="auto"/>
        </w:rPr>
        <w:t>Percentage of Aggregate Collateral Balance rated B/B2 or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-150495</wp:posOffset>
            </wp:positionV>
            <wp:extent cx="1911350" cy="1714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911350" cy="1714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Loan Types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Senior B and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-158115</wp:posOffset>
            </wp:positionV>
            <wp:extent cx="1911350" cy="3346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911350" cy="33464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Second Lien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-151130</wp:posOffset>
            </wp:positionV>
            <wp:extent cx="822960"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2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-151130</wp:posOffset>
            </wp:positionV>
            <wp:extent cx="822960" cy="1714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2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-151130</wp:posOffset>
            </wp:positionV>
            <wp:extent cx="822960" cy="1714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2960" cy="171450"/>
                    </a:xfrm>
                    <a:prstGeom prst="rect">
                      <a:avLst/>
                    </a:prstGeom>
                    <a:noFill/>
                  </pic:spPr>
                </pic:pic>
              </a:graphicData>
            </a:graphic>
          </wp:anchor>
        </w:drawing>
      </w:r>
    </w:p>
    <w:p>
      <w:pPr>
        <w:sectPr>
          <w:pgSz w:w="11900" w:h="16838" w:orient="portrait"/>
          <w:cols w:equalWidth="0" w:num="2">
            <w:col w:w="9340" w:space="720"/>
            <w:col w:w="1000"/>
          </w:cols>
          <w:pgMar w:left="440" w:top="261" w:right="399" w:bottom="1440" w:gutter="0" w:footer="0" w:header="0"/>
        </w:sectPr>
      </w:pPr>
    </w:p>
    <w:bookmarkStart w:id="253" w:name="page254"/>
    <w:bookmarkEnd w:id="25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ORM OF</w:t>
      </w:r>
      <w:r>
        <w:rPr>
          <w:rFonts w:ascii="Arial" w:cs="Arial" w:eastAsia="Arial" w:hAnsi="Arial"/>
          <w:sz w:val="22"/>
          <w:szCs w:val="22"/>
          <w:b w:val="1"/>
          <w:bCs w:val="1"/>
          <w:color w:val="auto"/>
        </w:rPr>
        <w:t xml:space="preserve"> T</w:t>
      </w:r>
      <w:r>
        <w:rPr>
          <w:rFonts w:ascii="Arial" w:cs="Arial" w:eastAsia="Arial" w:hAnsi="Arial"/>
          <w:sz w:val="17"/>
          <w:szCs w:val="17"/>
          <w:b w:val="1"/>
          <w:bCs w:val="1"/>
          <w:color w:val="auto"/>
        </w:rPr>
        <w:t>HIRD</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ESTATEMENT</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FFECTIVE</w:t>
      </w:r>
      <w:r>
        <w:rPr>
          <w:rFonts w:ascii="Arial" w:cs="Arial" w:eastAsia="Arial" w:hAnsi="Arial"/>
          <w:sz w:val="22"/>
          <w:szCs w:val="22"/>
          <w:b w:val="1"/>
          <w:bCs w:val="1"/>
          <w:color w:val="auto"/>
        </w:rPr>
        <w:t xml:space="preserve"> D</w:t>
      </w:r>
      <w:r>
        <w:rPr>
          <w:rFonts w:ascii="Arial" w:cs="Arial" w:eastAsia="Arial" w:hAnsi="Arial"/>
          <w:sz w:val="17"/>
          <w:szCs w:val="17"/>
          <w:b w:val="1"/>
          <w:bCs w:val="1"/>
          <w:color w:val="auto"/>
        </w:rPr>
        <w:t>ATE</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LOSING</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ERTIFICATE</w:t>
      </w:r>
      <w:r>
        <w:rPr>
          <w:rFonts w:ascii="Arial" w:cs="Arial" w:eastAsia="Arial" w:hAnsi="Arial"/>
          <w:sz w:val="22"/>
          <w:szCs w:val="22"/>
          <w:b w:val="1"/>
          <w:bCs w:val="1"/>
          <w:color w:val="auto"/>
        </w:rPr>
        <w:t>]</w:t>
      </w:r>
    </w:p>
    <w:p>
      <w:pPr>
        <w:spacing w:after="0" w:line="280" w:lineRule="exact"/>
        <w:rPr>
          <w:sz w:val="20"/>
          <w:szCs w:val="20"/>
          <w:color w:val="auto"/>
        </w:rPr>
      </w:pPr>
    </w:p>
    <w:p>
      <w:pPr>
        <w:jc w:val="both"/>
        <w:ind w:firstLine="786"/>
        <w:spacing w:after="0" w:line="277"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3.03(e)</w:t>
      </w:r>
      <w:r>
        <w:rPr>
          <w:rFonts w:ascii="Arial" w:cs="Arial" w:eastAsia="Arial" w:hAnsi="Arial"/>
          <w:sz w:val="19"/>
          <w:szCs w:val="19"/>
          <w:color w:val="auto"/>
        </w:rPr>
        <w:t xml:space="preserve"> of that certain Third Amended and Restated Revolving Credit and Security Agreement (the “</w:t>
      </w:r>
      <w:r>
        <w:rPr>
          <w:rFonts w:ascii="Arial" w:cs="Arial" w:eastAsia="Arial" w:hAnsi="Arial"/>
          <w:sz w:val="19"/>
          <w:szCs w:val="19"/>
          <w:i w:val="1"/>
          <w:iCs w:val="1"/>
          <w:color w:val="auto"/>
        </w:rPr>
        <w:t>Credit Agreement</w:t>
      </w:r>
      <w:r>
        <w:rPr>
          <w:rFonts w:ascii="Arial" w:cs="Arial" w:eastAsia="Arial" w:hAnsi="Arial"/>
          <w:sz w:val="19"/>
          <w:szCs w:val="19"/>
          <w:color w:val="auto"/>
        </w:rPr>
        <w:t>”), dated as May 22, 2015, by and among PennantPark Floating Rate Funding I, LLC, a Delaware limited liability company, as borrower (the “</w:t>
      </w:r>
      <w:r>
        <w:rPr>
          <w:rFonts w:ascii="Arial" w:cs="Arial" w:eastAsia="Arial" w:hAnsi="Arial"/>
          <w:sz w:val="19"/>
          <w:szCs w:val="19"/>
          <w:i w:val="1"/>
          <w:iCs w:val="1"/>
          <w:color w:val="auto"/>
        </w:rPr>
        <w:t>Borrower</w:t>
      </w:r>
      <w:r>
        <w:rPr>
          <w:rFonts w:ascii="Arial" w:cs="Arial" w:eastAsia="Arial" w:hAnsi="Arial"/>
          <w:sz w:val="19"/>
          <w:szCs w:val="19"/>
          <w:color w:val="auto"/>
        </w:rPr>
        <w:t>”), PennantPark Investment Advisers, LLC, a Delaware limited liability company, as collateral manager, the Lenders from time to time party thereto, SunTrust Bank, as swingline lender, SunTrust Bank, as administrative agent, and U.S. Bank National Association, as collateral agent (the “</w:t>
      </w:r>
      <w:r>
        <w:rPr>
          <w:rFonts w:ascii="Arial" w:cs="Arial" w:eastAsia="Arial" w:hAnsi="Arial"/>
          <w:sz w:val="19"/>
          <w:szCs w:val="19"/>
          <w:i w:val="1"/>
          <w:iCs w:val="1"/>
          <w:color w:val="auto"/>
        </w:rPr>
        <w:t>Collateral Agent</w:t>
      </w:r>
      <w:r>
        <w:rPr>
          <w:rFonts w:ascii="Arial" w:cs="Arial" w:eastAsia="Arial" w:hAnsi="Arial"/>
          <w:sz w:val="19"/>
          <w:szCs w:val="19"/>
          <w:color w:val="auto"/>
        </w:rPr>
        <w:t>”), as collateral administrator, as custodian and as backup collateral manager, Borrower does hereby certify that, in the case of each item of Collateral pledged to the Collateral Agent, on the date hereof and immediately prior to the delivery thereof on the date hereof:</w:t>
      </w:r>
    </w:p>
    <w:p>
      <w:pPr>
        <w:spacing w:after="0" w:line="227" w:lineRule="exact"/>
        <w:rPr>
          <w:sz w:val="20"/>
          <w:szCs w:val="20"/>
          <w:color w:val="auto"/>
        </w:rPr>
      </w:pPr>
    </w:p>
    <w:p>
      <w:pPr>
        <w:ind w:left="1840"/>
        <w:spacing w:after="0"/>
        <w:tabs>
          <w:tab w:leader="none" w:pos="2500" w:val="left"/>
          <w:tab w:leader="none" w:pos="990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 xml:space="preserve">As of the Third Restatement Effective Date, the Matrix Inputs set forth in Row </w:t>
      </w: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b w:val="1"/>
          <w:bCs w:val="1"/>
          <w:color w:val="auto"/>
        </w:rPr>
        <w:t xml:space="preserve">] </w:t>
      </w:r>
      <w:r>
        <w:rPr>
          <w:rFonts w:ascii="Arial" w:cs="Arial" w:eastAsia="Arial" w:hAnsi="Arial"/>
          <w:sz w:val="21"/>
          <w:szCs w:val="21"/>
          <w:color w:val="auto"/>
        </w:rPr>
        <w:t>of the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6130290</wp:posOffset>
            </wp:positionH>
            <wp:positionV relativeFrom="paragraph">
              <wp:posOffset>-13970</wp:posOffset>
            </wp:positionV>
            <wp:extent cx="1714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800"/>
        <w:spacing w:after="0" w:line="236" w:lineRule="auto"/>
        <w:rPr>
          <w:sz w:val="20"/>
          <w:szCs w:val="20"/>
          <w:color w:val="auto"/>
        </w:rPr>
      </w:pPr>
      <w:r>
        <w:rPr>
          <w:rFonts w:ascii="Arial" w:cs="Arial" w:eastAsia="Arial" w:hAnsi="Arial"/>
          <w:sz w:val="22"/>
          <w:szCs w:val="22"/>
          <w:color w:val="auto"/>
        </w:rPr>
        <w:t>shall apply. The calculation of the Borrowing Base, the Maximum Advance Rate Test and each Currency Borrowing Base Test on the Third Restatement Effective Date is set forth on Schedule I hereto.</w:t>
      </w:r>
    </w:p>
    <w:p>
      <w:pPr>
        <w:spacing w:after="0" w:line="254" w:lineRule="exact"/>
        <w:rPr>
          <w:sz w:val="20"/>
          <w:szCs w:val="20"/>
          <w:color w:val="auto"/>
        </w:rPr>
      </w:pPr>
    </w:p>
    <w:p>
      <w:pPr>
        <w:ind w:left="800" w:firstLine="1039"/>
        <w:spacing w:after="0" w:line="250" w:lineRule="auto"/>
        <w:tabs>
          <w:tab w:leader="none" w:pos="2481" w:val="left"/>
        </w:tabs>
        <w:numPr>
          <w:ilvl w:val="0"/>
          <w:numId w:val="329"/>
        </w:numPr>
        <w:rPr>
          <w:rFonts w:ascii="Arial" w:cs="Arial" w:eastAsia="Arial" w:hAnsi="Arial"/>
          <w:sz w:val="22"/>
          <w:szCs w:val="22"/>
          <w:color w:val="auto"/>
        </w:rPr>
      </w:pPr>
      <w:r>
        <w:rPr>
          <w:rFonts w:ascii="Arial" w:cs="Arial" w:eastAsia="Arial" w:hAnsi="Arial"/>
          <w:sz w:val="22"/>
          <w:szCs w:val="22"/>
          <w:color w:val="auto"/>
        </w:rPr>
        <w:t>As of the Third Restatement Effective Date, each Coverage Test is satisfied and no Default or Event of Default has occurred and is continuing under the Credit Agreement.</w:t>
      </w:r>
    </w:p>
    <w:p>
      <w:pPr>
        <w:spacing w:after="0" w:line="242" w:lineRule="exact"/>
        <w:rPr>
          <w:rFonts w:ascii="Arial" w:cs="Arial" w:eastAsia="Arial" w:hAnsi="Arial"/>
          <w:sz w:val="22"/>
          <w:szCs w:val="22"/>
          <w:color w:val="auto"/>
        </w:rPr>
      </w:pPr>
    </w:p>
    <w:p>
      <w:pPr>
        <w:jc w:val="both"/>
        <w:ind w:left="800" w:firstLine="1039"/>
        <w:spacing w:after="0" w:line="282" w:lineRule="auto"/>
        <w:tabs>
          <w:tab w:leader="none" w:pos="2473" w:val="left"/>
        </w:tabs>
        <w:numPr>
          <w:ilvl w:val="0"/>
          <w:numId w:val="329"/>
        </w:numPr>
        <w:rPr>
          <w:rFonts w:ascii="Arial" w:cs="Arial" w:eastAsia="Arial" w:hAnsi="Arial"/>
          <w:sz w:val="19"/>
          <w:szCs w:val="19"/>
          <w:color w:val="auto"/>
        </w:rPr>
      </w:pPr>
      <w:r>
        <w:rPr>
          <w:rFonts w:ascii="Arial" w:cs="Arial" w:eastAsia="Arial" w:hAnsi="Arial"/>
          <w:sz w:val="19"/>
          <w:szCs w:val="19"/>
          <w:color w:val="auto"/>
        </w:rPr>
        <w:t xml:space="preserve">On the Third Restatement Effective Date, each of the representations and warranties of the Borrower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the Credit Agreement is true and correct in all material respects (except for representations and warranties already qualified by materiality or Material Adverse Effect, which shall be true and correct) as the Third Restatement Effective Date (except to the extent such representations and warranties expressly relate to any earlier date, in which case such representations and warranties are true and correct in all material respects as of such earlier date).</w:t>
      </w: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auto"/>
        </w:rPr>
        <w:t>Capitalized terms used but not defined herein shall have the meaning given to such terms in the Credit Agreement.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 TO</w:t>
      </w:r>
      <w:r>
        <w:rPr>
          <w:rFonts w:ascii="Arial" w:cs="Arial" w:eastAsia="Arial" w:hAnsi="Arial"/>
          <w:sz w:val="22"/>
          <w:szCs w:val="22"/>
          <w:color w:val="auto"/>
        </w:rPr>
        <w:t xml:space="preserve"> F</w:t>
      </w:r>
      <w:r>
        <w:rPr>
          <w:rFonts w:ascii="Arial" w:cs="Arial" w:eastAsia="Arial" w:hAnsi="Arial"/>
          <w:sz w:val="17"/>
          <w:szCs w:val="17"/>
          <w:color w:val="auto"/>
        </w:rPr>
        <w:t>OLLOW</w:t>
      </w:r>
      <w:r>
        <w:rPr>
          <w:rFonts w:ascii="Arial" w:cs="Arial" w:eastAsia="Arial" w:hAnsi="Arial"/>
          <w:sz w:val="22"/>
          <w:szCs w:val="22"/>
          <w:color w:val="auto"/>
        </w:rPr>
        <w:t>]</w:t>
      </w:r>
    </w:p>
    <w:p>
      <w:pPr>
        <w:sectPr>
          <w:pgSz w:w="11900" w:h="16838" w:orient="portrait"/>
          <w:cols w:equalWidth="0" w:num="1">
            <w:col w:w="11240"/>
          </w:cols>
          <w:pgMar w:left="320" w:top="261" w:right="339" w:bottom="1440" w:gutter="0" w:footer="0" w:header="0"/>
        </w:sectPr>
      </w:pPr>
    </w:p>
    <w:bookmarkStart w:id="254" w:name="page255"/>
    <w:bookmarkEnd w:id="254"/>
    <w:p>
      <w:pPr>
        <w:ind w:firstLine="786"/>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7"/>
          <w:szCs w:val="17"/>
          <w:color w:val="auto"/>
        </w:rPr>
        <w:t>N</w:t>
      </w:r>
      <w:r>
        <w:rPr>
          <w:rFonts w:ascii="Arial" w:cs="Arial" w:eastAsia="Arial" w:hAnsi="Arial"/>
          <w:sz w:val="22"/>
          <w:szCs w:val="22"/>
          <w:color w:val="auto"/>
        </w:rPr>
        <w:t xml:space="preserve"> W</w:t>
      </w:r>
      <w:r>
        <w:rPr>
          <w:rFonts w:ascii="Arial" w:cs="Arial" w:eastAsia="Arial" w:hAnsi="Arial"/>
          <w:sz w:val="17"/>
          <w:szCs w:val="17"/>
          <w:color w:val="auto"/>
        </w:rPr>
        <w:t>ITNESS</w:t>
      </w:r>
      <w:r>
        <w:rPr>
          <w:rFonts w:ascii="Arial" w:cs="Arial" w:eastAsia="Arial" w:hAnsi="Arial"/>
          <w:sz w:val="22"/>
          <w:szCs w:val="22"/>
          <w:color w:val="auto"/>
        </w:rPr>
        <w:t xml:space="preserve"> W</w:t>
      </w:r>
      <w:r>
        <w:rPr>
          <w:rFonts w:ascii="Arial" w:cs="Arial" w:eastAsia="Arial" w:hAnsi="Arial"/>
          <w:sz w:val="17"/>
          <w:szCs w:val="17"/>
          <w:color w:val="auto"/>
        </w:rPr>
        <w:t>HEREOF</w:t>
      </w:r>
      <w:r>
        <w:rPr>
          <w:rFonts w:ascii="Arial" w:cs="Arial" w:eastAsia="Arial" w:hAnsi="Arial"/>
          <w:sz w:val="22"/>
          <w:szCs w:val="22"/>
          <w:color w:val="auto"/>
        </w:rPr>
        <w:t>, the Borrower has caused this Third Restatement Effective Date Closing Certificate to be duly executed as of the day and year first above written.</w:t>
      </w:r>
    </w:p>
    <w:p>
      <w:pPr>
        <w:spacing w:after="0" w:line="29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ENNANT</w:t>
      </w:r>
      <w:r>
        <w:rPr>
          <w:rFonts w:ascii="Arial" w:cs="Arial" w:eastAsia="Arial" w:hAnsi="Arial"/>
          <w:sz w:val="22"/>
          <w:szCs w:val="22"/>
          <w:color w:val="auto"/>
        </w:rPr>
        <w:t>P</w:t>
      </w:r>
      <w:r>
        <w:rPr>
          <w:rFonts w:ascii="Arial" w:cs="Arial" w:eastAsia="Arial" w:hAnsi="Arial"/>
          <w:sz w:val="17"/>
          <w:szCs w:val="17"/>
          <w:color w:val="auto"/>
        </w:rPr>
        <w:t>ARK</w:t>
      </w:r>
      <w:r>
        <w:rPr>
          <w:rFonts w:ascii="Arial" w:cs="Arial" w:eastAsia="Arial" w:hAnsi="Arial"/>
          <w:sz w:val="22"/>
          <w:szCs w:val="22"/>
          <w:color w:val="auto"/>
        </w:rPr>
        <w:t xml:space="preserve"> F</w:t>
      </w:r>
      <w:r>
        <w:rPr>
          <w:rFonts w:ascii="Arial" w:cs="Arial" w:eastAsia="Arial" w:hAnsi="Arial"/>
          <w:sz w:val="17"/>
          <w:szCs w:val="17"/>
          <w:color w:val="auto"/>
        </w:rPr>
        <w:t>LOATING</w:t>
      </w:r>
      <w:r>
        <w:rPr>
          <w:rFonts w:ascii="Arial" w:cs="Arial" w:eastAsia="Arial" w:hAnsi="Arial"/>
          <w:sz w:val="22"/>
          <w:szCs w:val="22"/>
          <w:color w:val="auto"/>
        </w:rPr>
        <w:t xml:space="preserve"> R</w:t>
      </w:r>
      <w:r>
        <w:rPr>
          <w:rFonts w:ascii="Arial" w:cs="Arial" w:eastAsia="Arial" w:hAnsi="Arial"/>
          <w:sz w:val="17"/>
          <w:szCs w:val="17"/>
          <w:color w:val="auto"/>
        </w:rPr>
        <w:t>ATE</w:t>
      </w:r>
      <w:r>
        <w:rPr>
          <w:rFonts w:ascii="Arial" w:cs="Arial" w:eastAsia="Arial" w:hAnsi="Arial"/>
          <w:sz w:val="22"/>
          <w:szCs w:val="22"/>
          <w:color w:val="auto"/>
        </w:rPr>
        <w:t xml:space="preserve"> F</w:t>
      </w:r>
      <w:r>
        <w:rPr>
          <w:rFonts w:ascii="Arial" w:cs="Arial" w:eastAsia="Arial" w:hAnsi="Arial"/>
          <w:sz w:val="17"/>
          <w:szCs w:val="17"/>
          <w:color w:val="auto"/>
        </w:rPr>
        <w:t>UNDING</w:t>
      </w:r>
      <w:r>
        <w:rPr>
          <w:rFonts w:ascii="Arial" w:cs="Arial" w:eastAsia="Arial" w:hAnsi="Arial"/>
          <w:sz w:val="22"/>
          <w:szCs w:val="22"/>
          <w:color w:val="auto"/>
        </w:rPr>
        <w:t xml:space="preserve"> I,</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LLC, as Borrower</w:t>
      </w:r>
    </w:p>
    <w:p>
      <w:pPr>
        <w:spacing w:after="0" w:line="310" w:lineRule="exact"/>
        <w:rPr>
          <w:sz w:val="20"/>
          <w:szCs w:val="20"/>
          <w:color w:val="auto"/>
        </w:rPr>
      </w:pPr>
    </w:p>
    <w:p>
      <w:pPr>
        <w:ind w:left="6760"/>
        <w:spacing w:after="0"/>
        <w:tabs>
          <w:tab w:leader="none" w:pos="7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PennantPark Floating Rate Capital Ltd., as</w:t>
      </w:r>
    </w:p>
    <w:p>
      <w:pPr>
        <w:spacing w:after="0" w:line="8"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Designated Manager</w:t>
      </w:r>
    </w:p>
    <w:p>
      <w:pPr>
        <w:spacing w:after="0" w:line="200" w:lineRule="exact"/>
        <w:rPr>
          <w:sz w:val="20"/>
          <w:szCs w:val="20"/>
          <w:color w:val="auto"/>
        </w:rPr>
      </w:pPr>
    </w:p>
    <w:p>
      <w:pPr>
        <w:spacing w:after="0" w:line="245"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6985</wp:posOffset>
            </wp:positionV>
            <wp:extent cx="260604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4445</wp:posOffset>
            </wp:positionV>
            <wp:extent cx="221170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4445</wp:posOffset>
            </wp:positionV>
            <wp:extent cx="221170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267" w:right="33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21"/>
          <w:szCs w:val="21"/>
          <w:b w:val="1"/>
          <w:bCs w:val="1"/>
          <w:color w:val="auto"/>
        </w:rPr>
        <w:t>T</w:t>
      </w:r>
      <w:r>
        <w:rPr>
          <w:rFonts w:ascii="Arial" w:cs="Arial" w:eastAsia="Arial" w:hAnsi="Arial"/>
          <w:sz w:val="18"/>
          <w:szCs w:val="18"/>
          <w:b w:val="1"/>
          <w:bCs w:val="1"/>
          <w:color w:val="auto"/>
        </w:rPr>
        <w:t xml:space="preserve">HIRD </w:t>
      </w:r>
      <w:r>
        <w:rPr>
          <w:rFonts w:ascii="Arial" w:cs="Arial" w:eastAsia="Arial" w:hAnsi="Arial"/>
          <w:sz w:val="21"/>
          <w:szCs w:val="21"/>
          <w:b w:val="1"/>
          <w:bCs w:val="1"/>
          <w:color w:val="auto"/>
        </w:rPr>
        <w:t>R</w:t>
      </w:r>
      <w:r>
        <w:rPr>
          <w:rFonts w:ascii="Arial" w:cs="Arial" w:eastAsia="Arial" w:hAnsi="Arial"/>
          <w:sz w:val="18"/>
          <w:szCs w:val="18"/>
          <w:b w:val="1"/>
          <w:bCs w:val="1"/>
          <w:color w:val="auto"/>
        </w:rPr>
        <w:t xml:space="preserve">ESTATEMENT </w:t>
      </w:r>
      <w:r>
        <w:rPr>
          <w:rFonts w:ascii="Arial" w:cs="Arial" w:eastAsia="Arial" w:hAnsi="Arial"/>
          <w:sz w:val="21"/>
          <w:szCs w:val="21"/>
          <w:b w:val="1"/>
          <w:bCs w:val="1"/>
          <w:color w:val="auto"/>
        </w:rPr>
        <w:t>E</w:t>
      </w:r>
      <w:r>
        <w:rPr>
          <w:rFonts w:ascii="Arial" w:cs="Arial" w:eastAsia="Arial" w:hAnsi="Arial"/>
          <w:sz w:val="18"/>
          <w:szCs w:val="18"/>
          <w:b w:val="1"/>
          <w:bCs w:val="1"/>
          <w:color w:val="auto"/>
        </w:rPr>
        <w:t xml:space="preserve">FFECTIVE </w:t>
      </w:r>
      <w:r>
        <w:rPr>
          <w:rFonts w:ascii="Arial" w:cs="Arial" w:eastAsia="Arial" w:hAnsi="Arial"/>
          <w:sz w:val="21"/>
          <w:szCs w:val="21"/>
          <w:b w:val="1"/>
          <w:bCs w:val="1"/>
          <w:color w:val="auto"/>
        </w:rPr>
        <w:t>D</w:t>
      </w:r>
      <w:r>
        <w:rPr>
          <w:rFonts w:ascii="Arial" w:cs="Arial" w:eastAsia="Arial" w:hAnsi="Arial"/>
          <w:sz w:val="18"/>
          <w:szCs w:val="18"/>
          <w:b w:val="1"/>
          <w:bCs w:val="1"/>
          <w:color w:val="auto"/>
        </w:rPr>
        <w:t xml:space="preserve">ATE </w:t>
      </w:r>
      <w:r>
        <w:rPr>
          <w:rFonts w:ascii="Arial" w:cs="Arial" w:eastAsia="Arial" w:hAnsi="Arial"/>
          <w:sz w:val="21"/>
          <w:szCs w:val="21"/>
          <w:b w:val="1"/>
          <w:bCs w:val="1"/>
          <w:color w:val="auto"/>
        </w:rPr>
        <w:t>C</w:t>
      </w:r>
      <w:r>
        <w:rPr>
          <w:rFonts w:ascii="Arial" w:cs="Arial" w:eastAsia="Arial" w:hAnsi="Arial"/>
          <w:sz w:val="18"/>
          <w:szCs w:val="18"/>
          <w:b w:val="1"/>
          <w:bCs w:val="1"/>
          <w:color w:val="auto"/>
        </w:rPr>
        <w:t xml:space="preserve">LOSING </w:t>
      </w:r>
      <w:r>
        <w:rPr>
          <w:rFonts w:ascii="Arial" w:cs="Arial" w:eastAsia="Arial" w:hAnsi="Arial"/>
          <w:sz w:val="21"/>
          <w:szCs w:val="21"/>
          <w:b w:val="1"/>
          <w:bCs w:val="1"/>
          <w:color w:val="auto"/>
        </w:rPr>
        <w:t>C</w:t>
      </w:r>
      <w:r>
        <w:rPr>
          <w:rFonts w:ascii="Arial" w:cs="Arial" w:eastAsia="Arial" w:hAnsi="Arial"/>
          <w:sz w:val="18"/>
          <w:szCs w:val="18"/>
          <w:b w:val="1"/>
          <w:bCs w:val="1"/>
          <w:color w:val="auto"/>
        </w:rPr>
        <w:t>ERTIFICATE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7"/>
          <w:szCs w:val="17"/>
          <w:b w:val="1"/>
          <w:bCs w:val="1"/>
          <w:color w:val="auto"/>
        </w:rPr>
        <w:t>EE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TTACHED</w:t>
      </w:r>
      <w:r>
        <w:rPr>
          <w:rFonts w:ascii="Arial" w:cs="Arial" w:eastAsia="Arial" w:hAnsi="Arial"/>
          <w:sz w:val="22"/>
          <w:szCs w:val="22"/>
          <w:b w:val="1"/>
          <w:bCs w:val="1"/>
          <w:color w:val="auto"/>
        </w:rPr>
        <w:t>]</w:t>
      </w:r>
    </w:p>
    <w:p>
      <w:pPr>
        <w:sectPr>
          <w:pgSz w:w="11900" w:h="16838" w:orient="portrait"/>
          <w:cols w:equalWidth="0" w:num="1">
            <w:col w:w="9019"/>
          </w:cols>
          <w:pgMar w:left="1440" w:top="261" w:right="1440" w:bottom="1440" w:gutter="0" w:footer="0" w:header="0"/>
        </w:sectPr>
      </w:pPr>
    </w:p>
    <w:bookmarkStart w:id="256" w:name="page257"/>
    <w:bookmarkEnd w:id="256"/>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Borrowing Base Calculation Statement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Amounts are pro forma for proposed borrowing and related use of proceeds</w:t>
      </w:r>
    </w:p>
    <w:p>
      <w:pPr>
        <w:spacing w:after="0" w:line="265" w:lineRule="exact"/>
        <w:rPr>
          <w:sz w:val="20"/>
          <w:szCs w:val="20"/>
          <w:color w:val="auto"/>
        </w:rPr>
      </w:pPr>
    </w:p>
    <w:p>
      <w:pPr>
        <w:spacing w:after="0"/>
        <w:rPr>
          <w:sz w:val="20"/>
          <w:szCs w:val="20"/>
          <w:color w:val="auto"/>
        </w:rPr>
      </w:pPr>
      <w:r>
        <w:rPr>
          <w:rFonts w:ascii="Arial" w:cs="Arial" w:eastAsia="Arial" w:hAnsi="Arial"/>
          <w:sz w:val="11"/>
          <w:szCs w:val="11"/>
          <w:color w:val="auto"/>
        </w:rPr>
        <w:t>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-73660</wp:posOffset>
            </wp:positionV>
            <wp:extent cx="574040" cy="946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4040" cy="946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208915</wp:posOffset>
            </wp:positionV>
            <wp:extent cx="7149465" cy="1974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197485"/>
                    </a:xfrm>
                    <a:prstGeom prst="rect">
                      <a:avLst/>
                    </a:prstGeom>
                    <a:noFill/>
                  </pic:spPr>
                </pic:pic>
              </a:graphicData>
            </a:graphic>
          </wp:anchor>
        </w:drawing>
      </w:r>
    </w:p>
    <w:p>
      <w:pPr>
        <w:spacing w:after="0" w:line="322"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Maximum Advance Rate Test: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Satisfied if (A) is less than (B)</w:t>
      </w:r>
    </w:p>
    <w:p>
      <w:pPr>
        <w:sectPr>
          <w:pgSz w:w="11900" w:h="16838" w:orient="portrait"/>
          <w:cols w:equalWidth="0" w:num="1">
            <w:col w:w="11260"/>
          </w:cols>
          <w:pgMar w:left="320" w:top="274" w:right="319" w:bottom="1440" w:gutter="0" w:footer="0" w:header="0"/>
        </w:sectPr>
      </w:pPr>
    </w:p>
    <w:p>
      <w:pPr>
        <w:spacing w:after="0" w:line="149" w:lineRule="exact"/>
        <w:rPr>
          <w:sz w:val="20"/>
          <w:szCs w:val="20"/>
          <w:color w:val="auto"/>
        </w:rPr>
      </w:pPr>
    </w:p>
    <w:p>
      <w:pPr>
        <w:ind w:left="260" w:hanging="252"/>
        <w:spacing w:after="0"/>
        <w:tabs>
          <w:tab w:leader="none" w:pos="260" w:val="left"/>
        </w:tabs>
        <w:numPr>
          <w:ilvl w:val="0"/>
          <w:numId w:val="330"/>
        </w:numPr>
        <w:rPr>
          <w:rFonts w:ascii="Arial" w:cs="Arial" w:eastAsia="Arial" w:hAnsi="Arial"/>
          <w:sz w:val="11"/>
          <w:szCs w:val="11"/>
          <w:color w:val="auto"/>
        </w:rPr>
      </w:pPr>
      <w:r>
        <w:rPr>
          <w:rFonts w:ascii="Arial" w:cs="Arial" w:eastAsia="Arial" w:hAnsi="Arial"/>
          <w:sz w:val="11"/>
          <w:szCs w:val="11"/>
          <w:color w:val="auto"/>
        </w:rPr>
        <w:t>Sum of:</w:t>
      </w:r>
    </w:p>
    <w:p>
      <w:pPr>
        <w:spacing w:after="0" w:line="3" w:lineRule="exact"/>
        <w:rPr>
          <w:rFonts w:ascii="Arial" w:cs="Arial" w:eastAsia="Arial" w:hAnsi="Arial"/>
          <w:sz w:val="11"/>
          <w:szCs w:val="11"/>
          <w:color w:val="auto"/>
        </w:rPr>
      </w:pPr>
    </w:p>
    <w:p>
      <w:pPr>
        <w:ind w:left="420" w:hanging="156"/>
        <w:spacing w:after="0"/>
        <w:tabs>
          <w:tab w:leader="none" w:pos="420" w:val="left"/>
        </w:tabs>
        <w:numPr>
          <w:ilvl w:val="1"/>
          <w:numId w:val="330"/>
        </w:numPr>
        <w:rPr>
          <w:rFonts w:ascii="Arial" w:cs="Arial" w:eastAsia="Arial" w:hAnsi="Arial"/>
          <w:sz w:val="11"/>
          <w:szCs w:val="11"/>
          <w:color w:val="auto"/>
        </w:rPr>
      </w:pPr>
      <w:r>
        <w:rPr>
          <w:rFonts w:ascii="Arial" w:cs="Arial" w:eastAsia="Arial" w:hAnsi="Arial"/>
          <w:sz w:val="11"/>
          <w:szCs w:val="11"/>
          <w:color w:val="auto"/>
        </w:rPr>
        <w:t>Dollar Equivalent of the Aggregate principal balance of Advances outstanding</w:t>
      </w:r>
    </w:p>
    <w:p>
      <w:pPr>
        <w:spacing w:after="0" w:line="135" w:lineRule="exact"/>
        <w:rPr>
          <w:rFonts w:ascii="Arial" w:cs="Arial" w:eastAsia="Arial" w:hAnsi="Arial"/>
          <w:sz w:val="11"/>
          <w:szCs w:val="11"/>
          <w:color w:val="auto"/>
        </w:rPr>
      </w:pPr>
    </w:p>
    <w:p>
      <w:pPr>
        <w:ind w:left="420" w:hanging="156"/>
        <w:spacing w:after="0"/>
        <w:tabs>
          <w:tab w:leader="none" w:pos="420" w:val="left"/>
        </w:tabs>
        <w:numPr>
          <w:ilvl w:val="1"/>
          <w:numId w:val="330"/>
        </w:numPr>
        <w:rPr>
          <w:rFonts w:ascii="Arial" w:cs="Arial" w:eastAsia="Arial" w:hAnsi="Arial"/>
          <w:sz w:val="11"/>
          <w:szCs w:val="11"/>
          <w:color w:val="auto"/>
        </w:rPr>
      </w:pPr>
      <w:r>
        <w:rPr>
          <w:rFonts w:ascii="Arial" w:cs="Arial" w:eastAsia="Arial" w:hAnsi="Arial"/>
          <w:sz w:val="11"/>
          <w:szCs w:val="11"/>
          <w:color w:val="auto"/>
        </w:rPr>
        <w:t>Net Aggregate Exposure Amounts:</w:t>
      </w:r>
    </w:p>
    <w:p>
      <w:pPr>
        <w:ind w:left="860"/>
        <w:spacing w:after="0" w:line="236" w:lineRule="auto"/>
        <w:rPr>
          <w:sz w:val="20"/>
          <w:szCs w:val="20"/>
          <w:color w:val="auto"/>
        </w:rPr>
      </w:pPr>
      <w:r>
        <w:rPr>
          <w:rFonts w:ascii="Arial" w:cs="Arial" w:eastAsia="Arial" w:hAnsi="Arial"/>
          <w:sz w:val="11"/>
          <w:szCs w:val="11"/>
          <w:color w:val="auto"/>
        </w:rPr>
        <w:t>Excess of:</w:t>
      </w:r>
    </w:p>
    <w:p>
      <w:pPr>
        <w:ind w:left="1340" w:hanging="239"/>
        <w:spacing w:after="0"/>
        <w:tabs>
          <w:tab w:leader="none" w:pos="1340" w:val="left"/>
        </w:tabs>
        <w:numPr>
          <w:ilvl w:val="4"/>
          <w:numId w:val="331"/>
        </w:numPr>
        <w:rPr>
          <w:rFonts w:ascii="Arial" w:cs="Arial" w:eastAsia="Arial" w:hAnsi="Arial"/>
          <w:sz w:val="9"/>
          <w:szCs w:val="9"/>
          <w:color w:val="auto"/>
        </w:rPr>
      </w:pPr>
      <w:r>
        <w:rPr>
          <w:rFonts w:ascii="Arial" w:cs="Arial" w:eastAsia="Arial" w:hAnsi="Arial"/>
          <w:sz w:val="9"/>
          <w:szCs w:val="9"/>
          <w:color w:val="auto"/>
        </w:rPr>
        <w:t>Dollar Equivalent of the Aggregate unfunded amounts of all Revolving Collateral Loans and Delayed Draw Collateral Loans</w:t>
      </w:r>
    </w:p>
    <w:p>
      <w:pPr>
        <w:spacing w:after="0" w:line="24" w:lineRule="exact"/>
        <w:rPr>
          <w:rFonts w:ascii="Arial" w:cs="Arial" w:eastAsia="Arial" w:hAnsi="Arial"/>
          <w:sz w:val="9"/>
          <w:szCs w:val="9"/>
          <w:color w:val="auto"/>
        </w:rPr>
      </w:pPr>
    </w:p>
    <w:p>
      <w:pPr>
        <w:ind w:left="1340" w:hanging="239"/>
        <w:spacing w:after="0"/>
        <w:tabs>
          <w:tab w:leader="none" w:pos="1340" w:val="left"/>
        </w:tabs>
        <w:numPr>
          <w:ilvl w:val="4"/>
          <w:numId w:val="331"/>
        </w:numPr>
        <w:rPr>
          <w:rFonts w:ascii="Arial" w:cs="Arial" w:eastAsia="Arial" w:hAnsi="Arial"/>
          <w:sz w:val="11"/>
          <w:szCs w:val="11"/>
          <w:color w:val="auto"/>
        </w:rPr>
      </w:pPr>
      <w:r>
        <w:rPr>
          <w:rFonts w:ascii="Arial" w:cs="Arial" w:eastAsia="Arial" w:hAnsi="Arial"/>
          <w:sz w:val="11"/>
          <w:szCs w:val="11"/>
          <w:color w:val="auto"/>
        </w:rPr>
        <w:t>Dollar Equivalent of the Amount on deposit in the Revolving Reserve Account</w:t>
      </w:r>
    </w:p>
    <w:p>
      <w:pPr>
        <w:spacing w:after="0" w:line="200" w:lineRule="exact"/>
        <w:rPr>
          <w:rFonts w:ascii="Arial" w:cs="Arial" w:eastAsia="Arial" w:hAnsi="Arial"/>
          <w:sz w:val="11"/>
          <w:szCs w:val="11"/>
          <w:color w:val="auto"/>
        </w:rPr>
      </w:pPr>
    </w:p>
    <w:p>
      <w:pPr>
        <w:spacing w:after="0" w:line="212" w:lineRule="exact"/>
        <w:rPr>
          <w:rFonts w:ascii="Arial" w:cs="Arial" w:eastAsia="Arial" w:hAnsi="Arial"/>
          <w:sz w:val="11"/>
          <w:szCs w:val="11"/>
          <w:color w:val="auto"/>
        </w:rPr>
      </w:pPr>
    </w:p>
    <w:p>
      <w:pPr>
        <w:ind w:left="260" w:hanging="252"/>
        <w:spacing w:after="0"/>
        <w:tabs>
          <w:tab w:leader="none" w:pos="260" w:val="left"/>
        </w:tabs>
        <w:numPr>
          <w:ilvl w:val="0"/>
          <w:numId w:val="332"/>
        </w:numPr>
        <w:rPr>
          <w:rFonts w:ascii="Arial" w:cs="Arial" w:eastAsia="Arial" w:hAnsi="Arial"/>
          <w:sz w:val="11"/>
          <w:szCs w:val="11"/>
          <w:color w:val="auto"/>
        </w:rPr>
      </w:pPr>
      <w:r>
        <w:rPr>
          <w:rFonts w:ascii="Arial" w:cs="Arial" w:eastAsia="Arial" w:hAnsi="Arial"/>
          <w:sz w:val="11"/>
          <w:szCs w:val="11"/>
          <w:color w:val="auto"/>
        </w:rPr>
        <w:t xml:space="preserve">The Maximum Available Amount </w:t>
      </w:r>
      <w:r>
        <w:rPr>
          <w:rFonts w:ascii="Arial" w:cs="Arial" w:eastAsia="Arial" w:hAnsi="Arial"/>
          <w:sz w:val="11"/>
          <w:szCs w:val="11"/>
          <w:i w:val="1"/>
          <w:iCs w:val="1"/>
          <w:color w:val="auto"/>
        </w:rPr>
        <w:t>minus</w:t>
      </w:r>
      <w:r>
        <w:rPr>
          <w:rFonts w:ascii="Arial" w:cs="Arial" w:eastAsia="Arial" w:hAnsi="Arial"/>
          <w:sz w:val="11"/>
          <w:szCs w:val="11"/>
          <w:color w:val="auto"/>
        </w:rPr>
        <w:t xml:space="preserve"> Foreign Currency Variability Reserve</w:t>
      </w:r>
    </w:p>
    <w:p>
      <w:pPr>
        <w:spacing w:after="0" w:line="116" w:lineRule="exact"/>
        <w:rPr>
          <w:rFonts w:ascii="Arial" w:cs="Arial" w:eastAsia="Arial" w:hAnsi="Arial"/>
          <w:sz w:val="11"/>
          <w:szCs w:val="11"/>
          <w:color w:val="auto"/>
        </w:rPr>
      </w:pPr>
    </w:p>
    <w:p>
      <w:pPr>
        <w:ind w:left="400" w:hanging="136"/>
        <w:spacing w:after="0"/>
        <w:tabs>
          <w:tab w:leader="none" w:pos="400" w:val="left"/>
        </w:tabs>
        <w:numPr>
          <w:ilvl w:val="1"/>
          <w:numId w:val="332"/>
        </w:numPr>
        <w:rPr>
          <w:rFonts w:ascii="Arial" w:cs="Arial" w:eastAsia="Arial" w:hAnsi="Arial"/>
          <w:sz w:val="11"/>
          <w:szCs w:val="11"/>
          <w:color w:val="auto"/>
        </w:rPr>
      </w:pPr>
      <w:r>
        <w:rPr>
          <w:rFonts w:ascii="Arial" w:cs="Arial" w:eastAsia="Arial" w:hAnsi="Arial"/>
          <w:sz w:val="11"/>
          <w:szCs w:val="11"/>
          <w:color w:val="auto"/>
        </w:rPr>
        <w:t>The Maximum Available Amount (the least of):</w:t>
      </w:r>
    </w:p>
    <w:p>
      <w:pPr>
        <w:spacing w:after="0" w:line="3" w:lineRule="exact"/>
        <w:rPr>
          <w:rFonts w:ascii="Arial" w:cs="Arial" w:eastAsia="Arial" w:hAnsi="Arial"/>
          <w:sz w:val="11"/>
          <w:szCs w:val="11"/>
          <w:color w:val="auto"/>
        </w:rPr>
      </w:pPr>
    </w:p>
    <w:p>
      <w:pPr>
        <w:ind w:left="860" w:hanging="245"/>
        <w:spacing w:after="0"/>
        <w:tabs>
          <w:tab w:leader="none" w:pos="860" w:val="left"/>
        </w:tabs>
        <w:numPr>
          <w:ilvl w:val="2"/>
          <w:numId w:val="332"/>
        </w:numPr>
        <w:rPr>
          <w:rFonts w:ascii="Arial" w:cs="Arial" w:eastAsia="Arial" w:hAnsi="Arial"/>
          <w:sz w:val="11"/>
          <w:szCs w:val="11"/>
          <w:color w:val="auto"/>
        </w:rPr>
      </w:pPr>
      <w:r>
        <w:rPr>
          <w:rFonts w:ascii="Arial" w:cs="Arial" w:eastAsia="Arial" w:hAnsi="Arial"/>
          <w:sz w:val="11"/>
          <w:szCs w:val="11"/>
          <w:color w:val="auto"/>
        </w:rPr>
        <w:t>The Facility Amount</w:t>
      </w:r>
    </w:p>
    <w:p>
      <w:pPr>
        <w:spacing w:after="0" w:line="1" w:lineRule="exact"/>
        <w:rPr>
          <w:rFonts w:ascii="Arial" w:cs="Arial" w:eastAsia="Arial" w:hAnsi="Arial"/>
          <w:sz w:val="11"/>
          <w:szCs w:val="11"/>
          <w:color w:val="auto"/>
        </w:rPr>
      </w:pPr>
    </w:p>
    <w:p>
      <w:pPr>
        <w:ind w:left="860" w:hanging="245"/>
        <w:spacing w:after="0"/>
        <w:tabs>
          <w:tab w:leader="none" w:pos="860" w:val="left"/>
        </w:tabs>
        <w:numPr>
          <w:ilvl w:val="2"/>
          <w:numId w:val="332"/>
        </w:numPr>
        <w:rPr>
          <w:rFonts w:ascii="Arial" w:cs="Arial" w:eastAsia="Arial" w:hAnsi="Arial"/>
          <w:sz w:val="11"/>
          <w:szCs w:val="11"/>
          <w:color w:val="auto"/>
        </w:rPr>
      </w:pPr>
      <w:r>
        <w:rPr>
          <w:rFonts w:ascii="Arial" w:cs="Arial" w:eastAsia="Arial" w:hAnsi="Arial"/>
          <w:sz w:val="11"/>
          <w:szCs w:val="11"/>
          <w:color w:val="auto"/>
        </w:rPr>
        <w:t>The sum of:</w:t>
      </w:r>
    </w:p>
    <w:p>
      <w:pPr>
        <w:spacing w:after="0" w:line="8" w:lineRule="exact"/>
        <w:rPr>
          <w:rFonts w:ascii="Arial" w:cs="Arial" w:eastAsia="Arial" w:hAnsi="Arial"/>
          <w:sz w:val="11"/>
          <w:szCs w:val="11"/>
          <w:color w:val="auto"/>
        </w:rPr>
      </w:pPr>
    </w:p>
    <w:p>
      <w:pPr>
        <w:ind w:left="1020" w:hanging="162"/>
        <w:spacing w:after="0"/>
        <w:tabs>
          <w:tab w:leader="none" w:pos="1020" w:val="left"/>
        </w:tabs>
        <w:numPr>
          <w:ilvl w:val="3"/>
          <w:numId w:val="332"/>
        </w:numPr>
        <w:rPr>
          <w:rFonts w:ascii="Arial" w:cs="Arial" w:eastAsia="Arial" w:hAnsi="Arial"/>
          <w:sz w:val="11"/>
          <w:szCs w:val="11"/>
          <w:color w:val="auto"/>
        </w:rPr>
      </w:pPr>
      <w:r>
        <w:rPr>
          <w:rFonts w:ascii="Arial" w:cs="Arial" w:eastAsia="Arial" w:hAnsi="Arial"/>
          <w:sz w:val="11"/>
          <w:szCs w:val="11"/>
          <w:color w:val="auto"/>
        </w:rPr>
        <w:t>The product of:</w:t>
      </w:r>
    </w:p>
    <w:p>
      <w:pPr>
        <w:spacing w:after="0" w:line="1" w:lineRule="exact"/>
        <w:rPr>
          <w:rFonts w:ascii="Arial" w:cs="Arial" w:eastAsia="Arial" w:hAnsi="Arial"/>
          <w:sz w:val="11"/>
          <w:szCs w:val="11"/>
          <w:color w:val="auto"/>
        </w:rPr>
      </w:pPr>
    </w:p>
    <w:p>
      <w:pPr>
        <w:ind w:left="1340" w:hanging="239"/>
        <w:spacing w:after="0" w:line="230" w:lineRule="auto"/>
        <w:tabs>
          <w:tab w:leader="none" w:pos="1340" w:val="left"/>
        </w:tabs>
        <w:numPr>
          <w:ilvl w:val="4"/>
          <w:numId w:val="332"/>
        </w:numPr>
        <w:rPr>
          <w:rFonts w:ascii="Arial" w:cs="Arial" w:eastAsia="Arial" w:hAnsi="Arial"/>
          <w:sz w:val="11"/>
          <w:szCs w:val="11"/>
          <w:color w:val="auto"/>
        </w:rPr>
      </w:pPr>
      <w:r>
        <w:rPr>
          <w:rFonts w:ascii="Arial" w:cs="Arial" w:eastAsia="Arial" w:hAnsi="Arial"/>
          <w:sz w:val="11"/>
          <w:szCs w:val="11"/>
          <w:color w:val="auto"/>
        </w:rPr>
        <w:t>The Borrowing Base:</w:t>
      </w:r>
    </w:p>
    <w:p>
      <w:pPr>
        <w:ind w:left="1460"/>
        <w:spacing w:after="0"/>
        <w:tabs>
          <w:tab w:leader="none" w:pos="1720" w:val="left"/>
        </w:tabs>
        <w:rPr>
          <w:sz w:val="20"/>
          <w:szCs w:val="20"/>
          <w:color w:val="auto"/>
        </w:rPr>
      </w:pPr>
      <w:r>
        <w:rPr>
          <w:rFonts w:ascii="Arial" w:cs="Arial" w:eastAsia="Arial" w:hAnsi="Arial"/>
          <w:sz w:val="11"/>
          <w:szCs w:val="11"/>
          <w:color w:val="auto"/>
        </w:rPr>
        <w:t>(X)</w:t>
        <w:tab/>
        <w:t>The Aggregate Collateral Balance per clause (a),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-78740</wp:posOffset>
            </wp:positionV>
            <wp:extent cx="565785" cy="939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65785" cy="93980"/>
                    </a:xfrm>
                    <a:prstGeom prst="rect">
                      <a:avLst/>
                    </a:prstGeom>
                    <a:noFill/>
                  </pic:spPr>
                </pic:pic>
              </a:graphicData>
            </a:graphic>
          </wp:anchor>
        </w:drawing>
      </w:r>
    </w:p>
    <w:p>
      <w:pPr>
        <w:spacing w:after="0" w:line="116" w:lineRule="exact"/>
        <w:rPr>
          <w:sz w:val="20"/>
          <w:szCs w:val="20"/>
          <w:color w:val="auto"/>
        </w:rPr>
      </w:pPr>
    </w:p>
    <w:p>
      <w:pPr>
        <w:ind w:left="1460"/>
        <w:spacing w:after="0"/>
        <w:tabs>
          <w:tab w:leader="none" w:pos="1720" w:val="left"/>
        </w:tabs>
        <w:rPr>
          <w:sz w:val="20"/>
          <w:szCs w:val="20"/>
          <w:color w:val="auto"/>
        </w:rPr>
      </w:pPr>
      <w:r>
        <w:rPr>
          <w:rFonts w:ascii="Arial" w:cs="Arial" w:eastAsia="Arial" w:hAnsi="Arial"/>
          <w:sz w:val="11"/>
          <w:szCs w:val="11"/>
          <w:color w:val="auto"/>
        </w:rPr>
        <w:t>(Y)</w:t>
        <w:tab/>
        <w:t>Any Excess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-73660</wp:posOffset>
            </wp:positionV>
            <wp:extent cx="565785" cy="2654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65785" cy="265430"/>
                    </a:xfrm>
                    <a:prstGeom prst="rect">
                      <a:avLst/>
                    </a:prstGeom>
                    <a:noFill/>
                  </pic:spPr>
                </pic:pic>
              </a:graphicData>
            </a:graphic>
          </wp:anchor>
        </w:drawing>
      </w:r>
    </w:p>
    <w:p>
      <w:pPr>
        <w:ind w:left="1460"/>
        <w:spacing w:after="0"/>
        <w:tabs>
          <w:tab w:leader="none" w:pos="1720" w:val="left"/>
        </w:tabs>
        <w:rPr>
          <w:sz w:val="20"/>
          <w:szCs w:val="20"/>
          <w:color w:val="auto"/>
        </w:rPr>
      </w:pPr>
      <w:r>
        <w:rPr>
          <w:rFonts w:ascii="Arial" w:cs="Arial" w:eastAsia="Arial" w:hAnsi="Arial"/>
          <w:sz w:val="11"/>
          <w:szCs w:val="11"/>
          <w:color w:val="auto"/>
        </w:rPr>
        <w:t>(Z)</w:t>
        <w:tab/>
        <w:t>Incremental Senior B Haircut</w:t>
      </w:r>
    </w:p>
    <w:p>
      <w:pPr>
        <w:spacing w:after="0" w:line="142" w:lineRule="exact"/>
        <w:rPr>
          <w:sz w:val="20"/>
          <w:szCs w:val="20"/>
          <w:color w:val="auto"/>
        </w:rPr>
      </w:pPr>
    </w:p>
    <w:p>
      <w:pPr>
        <w:ind w:left="1460"/>
        <w:spacing w:after="0"/>
        <w:rPr>
          <w:sz w:val="20"/>
          <w:szCs w:val="20"/>
          <w:color w:val="auto"/>
        </w:rPr>
      </w:pPr>
      <w:r>
        <w:rPr>
          <w:rFonts w:ascii="Arial" w:cs="Arial" w:eastAsia="Arial" w:hAnsi="Arial"/>
          <w:sz w:val="11"/>
          <w:szCs w:val="11"/>
          <w:i w:val="1"/>
          <w:iCs w:val="1"/>
          <w:color w:val="auto"/>
        </w:rPr>
        <w:t>times</w:t>
      </w:r>
    </w:p>
    <w:p>
      <w:pPr>
        <w:spacing w:after="0" w:line="10" w:lineRule="exact"/>
        <w:rPr>
          <w:sz w:val="20"/>
          <w:szCs w:val="20"/>
          <w:color w:val="auto"/>
        </w:rPr>
      </w:pPr>
    </w:p>
    <w:p>
      <w:pPr>
        <w:ind w:left="1340" w:hanging="239"/>
        <w:spacing w:after="0"/>
        <w:tabs>
          <w:tab w:leader="none" w:pos="1340" w:val="left"/>
        </w:tabs>
        <w:numPr>
          <w:ilvl w:val="0"/>
          <w:numId w:val="333"/>
        </w:numPr>
        <w:rPr>
          <w:rFonts w:ascii="Arial" w:cs="Arial" w:eastAsia="Arial" w:hAnsi="Arial"/>
          <w:sz w:val="11"/>
          <w:szCs w:val="11"/>
          <w:color w:val="auto"/>
        </w:rPr>
      </w:pPr>
      <w:r>
        <w:rPr>
          <w:rFonts w:ascii="Arial" w:cs="Arial" w:eastAsia="Arial" w:hAnsi="Arial"/>
          <w:sz w:val="11"/>
          <w:szCs w:val="11"/>
          <w:color w:val="auto"/>
        </w:rPr>
        <w:t>The Maximum Advance Rate</w:t>
      </w:r>
    </w:p>
    <w:p>
      <w:pPr>
        <w:spacing w:after="0" w:line="8" w:lineRule="exact"/>
        <w:rPr>
          <w:rFonts w:ascii="Arial" w:cs="Arial" w:eastAsia="Arial" w:hAnsi="Arial"/>
          <w:sz w:val="11"/>
          <w:szCs w:val="11"/>
          <w:color w:val="auto"/>
        </w:rPr>
      </w:pPr>
    </w:p>
    <w:p>
      <w:pPr>
        <w:ind w:left="1340"/>
        <w:spacing w:after="0"/>
        <w:rPr>
          <w:rFonts w:ascii="Arial" w:cs="Arial" w:eastAsia="Arial" w:hAnsi="Arial"/>
          <w:sz w:val="11"/>
          <w:szCs w:val="11"/>
          <w:color w:val="auto"/>
        </w:rPr>
      </w:pPr>
      <w:r>
        <w:rPr>
          <w:rFonts w:ascii="Arial" w:cs="Arial" w:eastAsia="Arial" w:hAnsi="Arial"/>
          <w:sz w:val="11"/>
          <w:szCs w:val="11"/>
          <w:b w:val="1"/>
          <w:bCs w:val="1"/>
          <w:color w:val="auto"/>
        </w:rPr>
        <w:t>(Based on Row [ ] of the Matrix)</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1"/>
          <w:szCs w:val="11"/>
          <w:i w:val="1"/>
          <w:iCs w:val="1"/>
          <w:color w:val="auto"/>
        </w:rPr>
        <w:t>plus</w:t>
      </w:r>
    </w:p>
    <w:p>
      <w:pPr>
        <w:spacing w:after="0" w:line="9" w:lineRule="exact"/>
        <w:rPr>
          <w:sz w:val="20"/>
          <w:szCs w:val="20"/>
          <w:color w:val="auto"/>
        </w:rPr>
      </w:pPr>
    </w:p>
    <w:p>
      <w:pPr>
        <w:ind w:left="1100" w:hanging="242"/>
        <w:spacing w:after="0"/>
        <w:tabs>
          <w:tab w:leader="none" w:pos="1100" w:val="left"/>
        </w:tabs>
        <w:numPr>
          <w:ilvl w:val="2"/>
          <w:numId w:val="334"/>
        </w:numPr>
        <w:rPr>
          <w:rFonts w:ascii="Arial" w:cs="Arial" w:eastAsia="Arial" w:hAnsi="Arial"/>
          <w:sz w:val="11"/>
          <w:szCs w:val="11"/>
          <w:color w:val="auto"/>
        </w:rPr>
      </w:pPr>
      <w:r>
        <w:rPr>
          <w:rFonts w:ascii="Arial" w:cs="Arial" w:eastAsia="Arial" w:hAnsi="Arial"/>
          <w:sz w:val="11"/>
          <w:szCs w:val="11"/>
          <w:color w:val="auto"/>
        </w:rPr>
        <w:t>Dollar Equivalent of Cash in the Principal Collection Subaccount</w:t>
      </w:r>
    </w:p>
    <w:p>
      <w:pPr>
        <w:spacing w:after="0" w:line="142" w:lineRule="exact"/>
        <w:rPr>
          <w:rFonts w:ascii="Arial" w:cs="Arial" w:eastAsia="Arial" w:hAnsi="Arial"/>
          <w:sz w:val="11"/>
          <w:szCs w:val="11"/>
          <w:color w:val="auto"/>
        </w:rPr>
      </w:pPr>
    </w:p>
    <w:p>
      <w:pPr>
        <w:ind w:left="760" w:hanging="145"/>
        <w:spacing w:after="0"/>
        <w:tabs>
          <w:tab w:leader="none" w:pos="760" w:val="left"/>
        </w:tabs>
        <w:numPr>
          <w:ilvl w:val="1"/>
          <w:numId w:val="335"/>
        </w:numPr>
        <w:rPr>
          <w:rFonts w:ascii="Arial" w:cs="Arial" w:eastAsia="Arial" w:hAnsi="Arial"/>
          <w:sz w:val="11"/>
          <w:szCs w:val="11"/>
          <w:color w:val="auto"/>
        </w:rPr>
      </w:pPr>
      <w:r>
        <w:rPr>
          <w:rFonts w:ascii="Arial" w:cs="Arial" w:eastAsia="Arial" w:hAnsi="Arial"/>
          <w:sz w:val="11"/>
          <w:szCs w:val="11"/>
          <w:color w:val="auto"/>
        </w:rPr>
        <w:t>The sum of:</w:t>
      </w:r>
    </w:p>
    <w:p>
      <w:pPr>
        <w:spacing w:after="0" w:line="9" w:lineRule="exact"/>
        <w:rPr>
          <w:rFonts w:ascii="Arial" w:cs="Arial" w:eastAsia="Arial" w:hAnsi="Arial"/>
          <w:sz w:val="11"/>
          <w:szCs w:val="11"/>
          <w:color w:val="auto"/>
        </w:rPr>
      </w:pPr>
    </w:p>
    <w:p>
      <w:pPr>
        <w:ind w:left="1100" w:hanging="242"/>
        <w:spacing w:after="0"/>
        <w:tabs>
          <w:tab w:leader="none" w:pos="1100" w:val="left"/>
        </w:tabs>
        <w:numPr>
          <w:ilvl w:val="2"/>
          <w:numId w:val="335"/>
        </w:numPr>
        <w:rPr>
          <w:rFonts w:ascii="Arial" w:cs="Arial" w:eastAsia="Arial" w:hAnsi="Arial"/>
          <w:sz w:val="11"/>
          <w:szCs w:val="11"/>
          <w:color w:val="auto"/>
        </w:rPr>
      </w:pPr>
      <w:r>
        <w:rPr>
          <w:rFonts w:ascii="Arial" w:cs="Arial" w:eastAsia="Arial" w:hAnsi="Arial"/>
          <w:sz w:val="11"/>
          <w:szCs w:val="11"/>
          <w:color w:val="auto"/>
        </w:rPr>
        <w:t>The Borrowing Base, less</w:t>
      </w:r>
    </w:p>
    <w:p>
      <w:pPr>
        <w:spacing w:after="0" w:line="8" w:lineRule="exact"/>
        <w:rPr>
          <w:rFonts w:ascii="Arial" w:cs="Arial" w:eastAsia="Arial" w:hAnsi="Arial"/>
          <w:sz w:val="11"/>
          <w:szCs w:val="11"/>
          <w:color w:val="auto"/>
        </w:rPr>
      </w:pPr>
    </w:p>
    <w:p>
      <w:pPr>
        <w:ind w:left="1100" w:hanging="242"/>
        <w:spacing w:after="0"/>
        <w:tabs>
          <w:tab w:leader="none" w:pos="1100" w:val="left"/>
        </w:tabs>
        <w:numPr>
          <w:ilvl w:val="2"/>
          <w:numId w:val="335"/>
        </w:numPr>
        <w:rPr>
          <w:rFonts w:ascii="Arial" w:cs="Arial" w:eastAsia="Arial" w:hAnsi="Arial"/>
          <w:sz w:val="11"/>
          <w:szCs w:val="11"/>
          <w:color w:val="auto"/>
        </w:rPr>
      </w:pPr>
      <w:r>
        <w:rPr>
          <w:rFonts w:ascii="Arial" w:cs="Arial" w:eastAsia="Arial" w:hAnsi="Arial"/>
          <w:sz w:val="11"/>
          <w:szCs w:val="11"/>
          <w:color w:val="auto"/>
        </w:rPr>
        <w:t>The Minimum Equity Amount, plus</w:t>
      </w:r>
    </w:p>
    <w:p>
      <w:pPr>
        <w:spacing w:after="0" w:line="8" w:lineRule="exact"/>
        <w:rPr>
          <w:rFonts w:ascii="Arial" w:cs="Arial" w:eastAsia="Arial" w:hAnsi="Arial"/>
          <w:sz w:val="11"/>
          <w:szCs w:val="11"/>
          <w:color w:val="auto"/>
        </w:rPr>
      </w:pPr>
    </w:p>
    <w:p>
      <w:pPr>
        <w:ind w:left="1100" w:hanging="242"/>
        <w:spacing w:after="0"/>
        <w:tabs>
          <w:tab w:leader="none" w:pos="1100" w:val="left"/>
        </w:tabs>
        <w:numPr>
          <w:ilvl w:val="2"/>
          <w:numId w:val="335"/>
        </w:numPr>
        <w:rPr>
          <w:rFonts w:ascii="Arial" w:cs="Arial" w:eastAsia="Arial" w:hAnsi="Arial"/>
          <w:sz w:val="11"/>
          <w:szCs w:val="11"/>
          <w:color w:val="auto"/>
        </w:rPr>
      </w:pPr>
      <w:r>
        <w:rPr>
          <w:rFonts w:ascii="Arial" w:cs="Arial" w:eastAsia="Arial" w:hAnsi="Arial"/>
          <w:sz w:val="11"/>
          <w:szCs w:val="11"/>
          <w:color w:val="auto"/>
        </w:rPr>
        <w:t>Dollar Equivalent of Cash in the Principal Collection Subaccount</w:t>
      </w:r>
    </w:p>
    <w:p>
      <w:pPr>
        <w:spacing w:after="0" w:line="200" w:lineRule="exact"/>
        <w:rPr>
          <w:rFonts w:ascii="Arial" w:cs="Arial" w:eastAsia="Arial" w:hAnsi="Arial"/>
          <w:sz w:val="11"/>
          <w:szCs w:val="11"/>
          <w:color w:val="auto"/>
        </w:rPr>
      </w:pPr>
    </w:p>
    <w:p>
      <w:pPr>
        <w:spacing w:after="0" w:line="333" w:lineRule="exact"/>
        <w:rPr>
          <w:rFonts w:ascii="Arial" w:cs="Arial" w:eastAsia="Arial" w:hAnsi="Arial"/>
          <w:sz w:val="11"/>
          <w:szCs w:val="11"/>
          <w:color w:val="auto"/>
        </w:rPr>
      </w:pPr>
    </w:p>
    <w:p>
      <w:pPr>
        <w:ind w:left="620" w:hanging="356"/>
        <w:spacing w:after="0"/>
        <w:tabs>
          <w:tab w:leader="none" w:pos="620" w:val="left"/>
        </w:tabs>
        <w:numPr>
          <w:ilvl w:val="0"/>
          <w:numId w:val="336"/>
        </w:numPr>
        <w:rPr>
          <w:rFonts w:ascii="Arial" w:cs="Arial" w:eastAsia="Arial" w:hAnsi="Arial"/>
          <w:sz w:val="11"/>
          <w:szCs w:val="11"/>
          <w:color w:val="auto"/>
        </w:rPr>
      </w:pPr>
      <w:r>
        <w:rPr>
          <w:rFonts w:ascii="Arial" w:cs="Arial" w:eastAsia="Arial" w:hAnsi="Arial"/>
          <w:sz w:val="11"/>
          <w:szCs w:val="11"/>
          <w:color w:val="auto"/>
        </w:rPr>
        <w:t>Foreign Currency Variability Reserve (the sum of):</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1"/>
          <w:szCs w:val="11"/>
          <w:color w:val="auto"/>
        </w:rPr>
        <w:t>Australian Dollar Variability Reserve</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Canadian Dollar Variability Reserve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Euro Variability Reserve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Pounds Sterling Variability Reserve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149465" cy="1968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800"/>
        <w:spacing w:after="0"/>
        <w:rPr>
          <w:sz w:val="20"/>
          <w:szCs w:val="20"/>
          <w:color w:val="auto"/>
        </w:rPr>
      </w:pP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251460</wp:posOffset>
            </wp:positionV>
            <wp:extent cx="1706245" cy="3511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06245" cy="35115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-73660</wp:posOffset>
            </wp:positionV>
            <wp:extent cx="574675" cy="939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40"/>
        <w:spacing w:after="0"/>
        <w:rPr>
          <w:sz w:val="20"/>
          <w:szCs w:val="20"/>
          <w:color w:val="auto"/>
        </w:rPr>
      </w:pPr>
      <w:r>
        <w:rPr>
          <w:rFonts w:ascii="Arial" w:cs="Arial" w:eastAsia="Arial" w:hAnsi="Arial"/>
          <w:sz w:val="11"/>
          <w:szCs w:val="11"/>
          <w:color w:val="auto"/>
        </w:rPr>
        <w:t>(b)</w:t>
      </w:r>
    </w:p>
    <w:p>
      <w:pPr>
        <w:spacing w:after="0" w:line="10" w:lineRule="exact"/>
        <w:rPr>
          <w:sz w:val="20"/>
          <w:szCs w:val="20"/>
          <w:color w:val="auto"/>
        </w:rPr>
      </w:pPr>
    </w:p>
    <w:p>
      <w:pPr>
        <w:ind w:left="1760"/>
        <w:spacing w:after="0"/>
        <w:rPr>
          <w:sz w:val="20"/>
          <w:szCs w:val="20"/>
          <w:color w:val="auto"/>
        </w:rPr>
      </w:pPr>
      <w:r>
        <w:rPr>
          <w:rFonts w:ascii="Arial" w:cs="Arial" w:eastAsia="Arial" w:hAnsi="Arial"/>
          <w:sz w:val="11"/>
          <w:szCs w:val="11"/>
          <w:b w:val="1"/>
          <w:bCs w:val="1"/>
          <w:color w:val="auto"/>
        </w:rPr>
        <w: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1022985</wp:posOffset>
            </wp:positionV>
            <wp:extent cx="1139825" cy="1803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39825" cy="180340"/>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765810</wp:posOffset>
            </wp:positionV>
            <wp:extent cx="1131570" cy="1803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131570" cy="18034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-73660</wp:posOffset>
            </wp:positionV>
            <wp:extent cx="574675" cy="939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88900</wp:posOffset>
            </wp:positionV>
            <wp:extent cx="1705610" cy="4375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05610" cy="4375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1"/>
          <w:szCs w:val="1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328930</wp:posOffset>
            </wp:positionV>
            <wp:extent cx="1706245" cy="5226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062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40"/>
        <w:spacing w:after="0"/>
        <w:rPr>
          <w:sz w:val="20"/>
          <w:szCs w:val="20"/>
          <w:color w:val="auto"/>
        </w:rPr>
      </w:pPr>
      <w:r>
        <w:rPr>
          <w:rFonts w:ascii="Arial" w:cs="Arial" w:eastAsia="Arial" w:hAnsi="Arial"/>
          <w:sz w:val="11"/>
          <w:szCs w:val="11"/>
          <w:color w:val="auto"/>
        </w:rPr>
        <w:t>(ii)</w:t>
      </w:r>
    </w:p>
    <w:p>
      <w:pPr>
        <w:spacing w:after="0" w:line="10" w:lineRule="exact"/>
        <w:rPr>
          <w:sz w:val="20"/>
          <w:szCs w:val="20"/>
          <w:color w:val="auto"/>
        </w:rPr>
      </w:pPr>
    </w:p>
    <w:p>
      <w:pPr>
        <w:ind w:left="1760"/>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88265</wp:posOffset>
            </wp:positionV>
            <wp:extent cx="582930" cy="1111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82930" cy="111125"/>
                    </a:xfrm>
                    <a:prstGeom prst="rect">
                      <a:avLst/>
                    </a:prstGeom>
                    <a:noFill/>
                  </pic:spPr>
                </pic:pic>
              </a:graphicData>
            </a:graphic>
          </wp:anchor>
        </w:drawing>
      </w:r>
    </w:p>
    <w:p>
      <w:pPr>
        <w:spacing w:after="0" w:line="132" w:lineRule="exact"/>
        <w:rPr>
          <w:sz w:val="20"/>
          <w:szCs w:val="20"/>
          <w:color w:val="auto"/>
        </w:rPr>
      </w:pPr>
    </w:p>
    <w:p>
      <w:pPr>
        <w:jc w:val="right"/>
        <w:ind w:right="280"/>
        <w:spacing w:after="0"/>
        <w:rPr>
          <w:sz w:val="20"/>
          <w:szCs w:val="20"/>
          <w:color w:val="auto"/>
        </w:rPr>
      </w:pPr>
      <w:r>
        <w:rPr>
          <w:rFonts w:ascii="Arial" w:cs="Arial" w:eastAsia="Arial" w:hAnsi="Arial"/>
          <w:sz w:val="11"/>
          <w:szCs w:val="11"/>
          <w:b w:val="1"/>
          <w:bCs w:val="1"/>
          <w:color w:val="auto"/>
        </w:rPr>
        <w:t>YES/NO</w:t>
      </w:r>
    </w:p>
    <w:p>
      <w:pPr>
        <w:spacing w:after="0" w:line="200" w:lineRule="exact"/>
        <w:rPr>
          <w:sz w:val="20"/>
          <w:szCs w:val="20"/>
          <w:color w:val="auto"/>
        </w:rPr>
      </w:pPr>
    </w:p>
    <w:p>
      <w:pPr>
        <w:sectPr>
          <w:pgSz w:w="11900" w:h="16838" w:orient="portrait"/>
          <w:cols w:equalWidth="0" w:num="2">
            <w:col w:w="7400" w:space="720"/>
            <w:col w:w="3140"/>
          </w:cols>
          <w:pgMar w:left="320" w:top="274" w:right="319" w:bottom="1440" w:gutter="0" w:footer="0" w:header="0"/>
          <w:type w:val="continuous"/>
        </w:sectPr>
      </w:pPr>
    </w:p>
    <w:p>
      <w:pPr>
        <w:spacing w:after="0" w:line="92"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Interest Coverage Ratio Test: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Satisfied if (A) is greater than or equal to (B) as of the most recent Payment Date Report</w:t>
      </w:r>
    </w:p>
    <w:p>
      <w:pPr>
        <w:spacing w:after="0" w:line="118" w:lineRule="exact"/>
        <w:rPr>
          <w:sz w:val="20"/>
          <w:szCs w:val="20"/>
          <w:color w:val="auto"/>
        </w:rPr>
      </w:pPr>
    </w:p>
    <w:p>
      <w:pPr>
        <w:ind w:left="260" w:hanging="252"/>
        <w:spacing w:after="0"/>
        <w:tabs>
          <w:tab w:leader="none" w:pos="260" w:val="left"/>
        </w:tabs>
        <w:numPr>
          <w:ilvl w:val="0"/>
          <w:numId w:val="337"/>
        </w:numPr>
        <w:rPr>
          <w:rFonts w:ascii="Arial" w:cs="Arial" w:eastAsia="Arial" w:hAnsi="Arial"/>
          <w:sz w:val="11"/>
          <w:szCs w:val="11"/>
          <w:color w:val="auto"/>
        </w:rPr>
      </w:pPr>
      <w:r>
        <w:rPr>
          <w:rFonts w:ascii="Arial" w:cs="Arial" w:eastAsia="Arial" w:hAnsi="Arial"/>
          <w:sz w:val="11"/>
          <w:szCs w:val="11"/>
          <w:b w:val="1"/>
          <w:bCs w:val="1"/>
          <w:color w:val="auto"/>
        </w:rPr>
        <w:t xml:space="preserve">ESTIMATED </w:t>
      </w:r>
      <w:r>
        <w:rPr>
          <w:rFonts w:ascii="Arial" w:cs="Arial" w:eastAsia="Arial" w:hAnsi="Arial"/>
          <w:sz w:val="11"/>
          <w:szCs w:val="11"/>
          <w:color w:val="auto"/>
        </w:rPr>
        <w:t>Interest Coverage Ratio, the percentage equal to:</w:t>
      </w:r>
    </w:p>
    <w:p>
      <w:pPr>
        <w:spacing w:after="0" w:line="7" w:lineRule="exact"/>
        <w:rPr>
          <w:rFonts w:ascii="Arial" w:cs="Arial" w:eastAsia="Arial" w:hAnsi="Arial"/>
          <w:sz w:val="11"/>
          <w:szCs w:val="11"/>
          <w:color w:val="auto"/>
        </w:rPr>
      </w:pPr>
    </w:p>
    <w:p>
      <w:pPr>
        <w:ind w:left="420" w:hanging="156"/>
        <w:spacing w:after="0"/>
        <w:tabs>
          <w:tab w:leader="none" w:pos="420" w:val="left"/>
        </w:tabs>
        <w:numPr>
          <w:ilvl w:val="1"/>
          <w:numId w:val="337"/>
        </w:numPr>
        <w:rPr>
          <w:rFonts w:ascii="Arial" w:cs="Arial" w:eastAsia="Arial" w:hAnsi="Arial"/>
          <w:sz w:val="11"/>
          <w:szCs w:val="11"/>
          <w:color w:val="auto"/>
        </w:rPr>
      </w:pPr>
      <w:r>
        <w:rPr>
          <w:rFonts w:ascii="Arial" w:cs="Arial" w:eastAsia="Arial" w:hAnsi="Arial"/>
          <w:sz w:val="11"/>
          <w:szCs w:val="11"/>
          <w:color w:val="auto"/>
        </w:rPr>
        <w:t xml:space="preserve">Dollar Equivalent of the Collateral Interest Amount,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by</w:t>
      </w:r>
    </w:p>
    <w:p>
      <w:pPr>
        <w:spacing w:after="0" w:line="1" w:lineRule="exact"/>
        <w:rPr>
          <w:rFonts w:ascii="Arial" w:cs="Arial" w:eastAsia="Arial" w:hAnsi="Arial"/>
          <w:sz w:val="11"/>
          <w:szCs w:val="11"/>
          <w:color w:val="auto"/>
        </w:rPr>
      </w:pPr>
    </w:p>
    <w:p>
      <w:pPr>
        <w:ind w:left="480" w:hanging="216"/>
        <w:spacing w:after="0"/>
        <w:tabs>
          <w:tab w:leader="none" w:pos="480" w:val="left"/>
        </w:tabs>
        <w:numPr>
          <w:ilvl w:val="1"/>
          <w:numId w:val="337"/>
        </w:numPr>
        <w:rPr>
          <w:rFonts w:ascii="Arial" w:cs="Arial" w:eastAsia="Arial" w:hAnsi="Arial"/>
          <w:sz w:val="9"/>
          <w:szCs w:val="9"/>
          <w:color w:val="auto"/>
        </w:rPr>
      </w:pPr>
      <w:r>
        <w:rPr>
          <w:rFonts w:ascii="Arial" w:cs="Arial" w:eastAsia="Arial" w:hAnsi="Arial"/>
          <w:sz w:val="9"/>
          <w:szCs w:val="9"/>
          <w:color w:val="auto"/>
        </w:rPr>
        <w:t>Dollar Equivalent of the Aggregate amount payable under Section 9.01(a)(i)(A) on the related Payment Date</w:t>
      </w:r>
    </w:p>
    <w:p>
      <w:pPr>
        <w:spacing w:after="0" w:line="300" w:lineRule="exact"/>
        <w:rPr>
          <w:rFonts w:ascii="Arial" w:cs="Arial" w:eastAsia="Arial" w:hAnsi="Arial"/>
          <w:sz w:val="9"/>
          <w:szCs w:val="9"/>
          <w:color w:val="auto"/>
        </w:rPr>
      </w:pPr>
    </w:p>
    <w:p>
      <w:pPr>
        <w:ind w:left="260" w:hanging="252"/>
        <w:spacing w:after="0"/>
        <w:tabs>
          <w:tab w:leader="none" w:pos="260" w:val="left"/>
        </w:tabs>
        <w:numPr>
          <w:ilvl w:val="0"/>
          <w:numId w:val="337"/>
        </w:numPr>
        <w:rPr>
          <w:rFonts w:ascii="Arial" w:cs="Arial" w:eastAsia="Arial" w:hAnsi="Arial"/>
          <w:sz w:val="11"/>
          <w:szCs w:val="11"/>
          <w:color w:val="auto"/>
        </w:rPr>
      </w:pPr>
      <w:r>
        <w:rPr>
          <w:rFonts w:ascii="Arial" w:cs="Arial" w:eastAsia="Arial" w:hAnsi="Arial"/>
          <w:sz w:val="11"/>
          <w:szCs w:val="11"/>
          <w:color w:val="auto"/>
        </w:rPr>
        <w:t>125%</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149465" cy="2743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-250825</wp:posOffset>
            </wp:positionV>
            <wp:extent cx="1140460" cy="2660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40460" cy="26606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99695</wp:posOffset>
            </wp:positionV>
            <wp:extent cx="582930" cy="1111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82930" cy="11112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-71120</wp:posOffset>
            </wp:positionV>
            <wp:extent cx="574040" cy="946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74040" cy="94615"/>
                    </a:xfrm>
                    <a:prstGeom prst="rect">
                      <a:avLst/>
                    </a:prstGeom>
                    <a:noFill/>
                  </pic:spPr>
                </pic:pic>
              </a:graphicData>
            </a:graphic>
          </wp:anchor>
        </w:drawing>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1"/>
          <w:szCs w:val="11"/>
          <w:b w:val="1"/>
          <w:bCs w:val="1"/>
          <w:color w:val="auto"/>
        </w:rPr>
        <w:t>YES/NO</w:t>
      </w:r>
    </w:p>
    <w:p>
      <w:pPr>
        <w:spacing w:after="0" w:line="200" w:lineRule="exact"/>
        <w:rPr>
          <w:sz w:val="20"/>
          <w:szCs w:val="20"/>
          <w:color w:val="auto"/>
        </w:rPr>
      </w:pPr>
    </w:p>
    <w:p>
      <w:pPr>
        <w:sectPr>
          <w:pgSz w:w="11900" w:h="16838" w:orient="portrait"/>
          <w:cols w:equalWidth="0" w:num="2">
            <w:col w:w="9160" w:space="720"/>
            <w:col w:w="1380"/>
          </w:cols>
          <w:pgMar w:left="320" w:top="274" w:right="319" w:bottom="1440" w:gutter="0" w:footer="0" w:header="0"/>
          <w:type w:val="continuous"/>
        </w:sectPr>
      </w:pPr>
    </w:p>
    <w:p>
      <w:pPr>
        <w:spacing w:after="0" w:line="92"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Currency Borrowing Base Test:</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1"/>
          <w:szCs w:val="11"/>
          <w:color w:val="auto"/>
        </w:rPr>
        <w:t>Satisfied if each of following test is satisfied (i) Pounds Sterling Borrowing Base Test, (ii) Australian Dollar Borrowing Base Test, (iii) Euro Borrowing Base Test,</w:t>
      </w:r>
    </w:p>
    <w:p>
      <w:pPr>
        <w:ind w:left="340" w:hanging="175"/>
        <w:spacing w:after="0"/>
        <w:tabs>
          <w:tab w:leader="none" w:pos="340" w:val="left"/>
        </w:tabs>
        <w:numPr>
          <w:ilvl w:val="0"/>
          <w:numId w:val="338"/>
        </w:numPr>
        <w:rPr>
          <w:rFonts w:ascii="Arial" w:cs="Arial" w:eastAsia="Arial" w:hAnsi="Arial"/>
          <w:sz w:val="11"/>
          <w:szCs w:val="11"/>
          <w:color w:val="auto"/>
        </w:rPr>
      </w:pPr>
      <w:r>
        <w:rPr>
          <w:rFonts w:ascii="Arial" w:cs="Arial" w:eastAsia="Arial" w:hAnsi="Arial"/>
          <w:sz w:val="11"/>
          <w:szCs w:val="11"/>
          <w:color w:val="auto"/>
        </w:rPr>
        <w:t>Canadian Dollars Borrowing Base Test, (v) Dollar Advance Test, and (vi) Foreign Currency Advance Test</w:t>
      </w:r>
    </w:p>
    <w:p>
      <w:pPr>
        <w:spacing w:after="0" w:line="118" w:lineRule="exact"/>
        <w:rPr>
          <w:rFonts w:ascii="Arial" w:cs="Arial" w:eastAsia="Arial" w:hAnsi="Arial"/>
          <w:sz w:val="11"/>
          <w:szCs w:val="11"/>
          <w:color w:val="auto"/>
        </w:rPr>
      </w:pPr>
    </w:p>
    <w:p>
      <w:pPr>
        <w:ind w:left="400" w:hanging="136"/>
        <w:spacing w:after="0"/>
        <w:tabs>
          <w:tab w:leader="none" w:pos="400" w:val="left"/>
        </w:tabs>
        <w:numPr>
          <w:ilvl w:val="1"/>
          <w:numId w:val="338"/>
        </w:numPr>
        <w:rPr>
          <w:rFonts w:ascii="Arial" w:cs="Arial" w:eastAsia="Arial" w:hAnsi="Arial"/>
          <w:sz w:val="11"/>
          <w:szCs w:val="11"/>
          <w:b w:val="1"/>
          <w:bCs w:val="1"/>
          <w:color w:val="auto"/>
        </w:rPr>
      </w:pPr>
      <w:r>
        <w:rPr>
          <w:rFonts w:ascii="Arial" w:cs="Arial" w:eastAsia="Arial" w:hAnsi="Arial"/>
          <w:sz w:val="11"/>
          <w:szCs w:val="11"/>
          <w:b w:val="1"/>
          <w:bCs w:val="1"/>
          <w:color w:val="auto"/>
        </w:rPr>
        <w:t>Pounds Sterling Borrowing Base Test (satisfied if A is less than or equal to B)</w:t>
      </w:r>
    </w:p>
    <w:p>
      <w:pPr>
        <w:spacing w:after="0" w:line="117" w:lineRule="exact"/>
        <w:rPr>
          <w:sz w:val="20"/>
          <w:szCs w:val="20"/>
          <w:color w:val="auto"/>
        </w:rPr>
      </w:pPr>
    </w:p>
    <w:p>
      <w:pPr>
        <w:ind w:left="860"/>
        <w:spacing w:after="0"/>
        <w:tabs>
          <w:tab w:leader="none" w:pos="8980" w:val="left"/>
        </w:tabs>
        <w:rPr>
          <w:sz w:val="20"/>
          <w:szCs w:val="20"/>
          <w:color w:val="auto"/>
        </w:rPr>
      </w:pPr>
      <w:r>
        <w:rPr>
          <w:rFonts w:ascii="Arial" w:cs="Arial" w:eastAsia="Arial" w:hAnsi="Arial"/>
          <w:sz w:val="11"/>
          <w:szCs w:val="11"/>
          <w:color w:val="auto"/>
        </w:rPr>
        <w:t>(A) Dollar Equivalent of aggregate outstanding principal balance of Advances denominated in GBP</w:t>
      </w:r>
      <w:r>
        <w:rPr>
          <w:sz w:val="20"/>
          <w:szCs w:val="20"/>
          <w:color w:val="auto"/>
        </w:rPr>
        <w:tab/>
      </w:r>
      <w:r>
        <w:rPr>
          <w:rFonts w:ascii="Arial" w:cs="Arial" w:eastAsia="Arial" w:hAnsi="Arial"/>
          <w:sz w:val="10"/>
          <w:szCs w:val="10"/>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-71120</wp:posOffset>
            </wp:positionV>
            <wp:extent cx="574675" cy="946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74675" cy="94615"/>
                    </a:xfrm>
                    <a:prstGeom prst="rect">
                      <a:avLst/>
                    </a:prstGeom>
                    <a:noFill/>
                  </pic:spPr>
                </pic:pic>
              </a:graphicData>
            </a:graphic>
          </wp:anchor>
        </w:drawing>
      </w:r>
    </w:p>
    <w:p>
      <w:pPr>
        <w:spacing w:after="0" w:line="128" w:lineRule="exact"/>
        <w:rPr>
          <w:sz w:val="20"/>
          <w:szCs w:val="20"/>
          <w:color w:val="auto"/>
        </w:rPr>
      </w:pPr>
    </w:p>
    <w:p>
      <w:pPr>
        <w:ind w:left="1020" w:hanging="162"/>
        <w:spacing w:after="0"/>
        <w:tabs>
          <w:tab w:leader="none" w:pos="1020" w:val="left"/>
        </w:tabs>
        <w:numPr>
          <w:ilvl w:val="0"/>
          <w:numId w:val="339"/>
        </w:numPr>
        <w:rPr>
          <w:rFonts w:ascii="Arial" w:cs="Arial" w:eastAsia="Arial" w:hAnsi="Arial"/>
          <w:sz w:val="11"/>
          <w:szCs w:val="11"/>
          <w:color w:val="auto"/>
        </w:rPr>
      </w:pPr>
      <w:r>
        <w:rPr>
          <w:rFonts w:ascii="Arial" w:cs="Arial" w:eastAsia="Arial" w:hAnsi="Arial"/>
          <w:sz w:val="11"/>
          <w:szCs w:val="11"/>
          <w:color w:val="auto"/>
        </w:rPr>
        <w:t>GBP Borrowing Base (the sum of )</w:t>
      </w:r>
    </w:p>
    <w:p>
      <w:pPr>
        <w:spacing w:after="0" w:line="3" w:lineRule="exact"/>
        <w:rPr>
          <w:rFonts w:ascii="Arial" w:cs="Arial" w:eastAsia="Arial" w:hAnsi="Arial"/>
          <w:sz w:val="11"/>
          <w:szCs w:val="11"/>
          <w:color w:val="auto"/>
        </w:rPr>
      </w:pPr>
    </w:p>
    <w:p>
      <w:pPr>
        <w:ind w:left="1280" w:hanging="152"/>
        <w:spacing w:after="0" w:line="230" w:lineRule="auto"/>
        <w:tabs>
          <w:tab w:leader="none" w:pos="1280" w:val="left"/>
        </w:tabs>
        <w:numPr>
          <w:ilvl w:val="1"/>
          <w:numId w:val="339"/>
        </w:numPr>
        <w:rPr>
          <w:rFonts w:ascii="Arial" w:cs="Arial" w:eastAsia="Arial" w:hAnsi="Arial"/>
          <w:sz w:val="11"/>
          <w:szCs w:val="11"/>
          <w:color w:val="auto"/>
        </w:rPr>
      </w:pPr>
      <w:r>
        <w:rPr>
          <w:rFonts w:ascii="Arial" w:cs="Arial" w:eastAsia="Arial" w:hAnsi="Arial"/>
          <w:sz w:val="11"/>
          <w:szCs w:val="11"/>
          <w:color w:val="auto"/>
        </w:rPr>
        <w:t>Portion of the Borrowing Base allocable to Collateral Loans denominated in GBP (i minus ii)</w:t>
      </w:r>
    </w:p>
    <w:p>
      <w:pPr>
        <w:ind w:left="1480" w:hanging="136"/>
        <w:spacing w:after="0"/>
        <w:tabs>
          <w:tab w:leader="none" w:pos="1480" w:val="left"/>
        </w:tabs>
        <w:numPr>
          <w:ilvl w:val="2"/>
          <w:numId w:val="339"/>
        </w:numPr>
        <w:rPr>
          <w:rFonts w:ascii="Arial" w:cs="Arial" w:eastAsia="Arial" w:hAnsi="Arial"/>
          <w:sz w:val="11"/>
          <w:szCs w:val="11"/>
          <w:color w:val="auto"/>
        </w:rPr>
      </w:pPr>
      <w:r>
        <w:rPr>
          <w:rFonts w:ascii="Arial" w:cs="Arial" w:eastAsia="Arial" w:hAnsi="Arial"/>
          <w:sz w:val="11"/>
          <w:szCs w:val="11"/>
          <w:color w:val="auto"/>
        </w:rPr>
        <w:t>Dollar Equivalent of aggregate Collateral Balance denominated in GBP</w:t>
      </w:r>
    </w:p>
    <w:p>
      <w:pPr>
        <w:spacing w:after="0" w:line="1" w:lineRule="exact"/>
        <w:rPr>
          <w:rFonts w:ascii="Arial" w:cs="Arial" w:eastAsia="Arial" w:hAnsi="Arial"/>
          <w:sz w:val="11"/>
          <w:szCs w:val="11"/>
          <w:color w:val="auto"/>
        </w:rPr>
      </w:pPr>
    </w:p>
    <w:p>
      <w:pPr>
        <w:ind w:left="1500" w:hanging="156"/>
        <w:spacing w:after="0"/>
        <w:tabs>
          <w:tab w:leader="none" w:pos="1500" w:val="left"/>
        </w:tabs>
        <w:numPr>
          <w:ilvl w:val="2"/>
          <w:numId w:val="339"/>
        </w:numPr>
        <w:rPr>
          <w:rFonts w:ascii="Arial" w:cs="Arial" w:eastAsia="Arial" w:hAnsi="Arial"/>
          <w:sz w:val="11"/>
          <w:szCs w:val="11"/>
          <w:color w:val="auto"/>
        </w:rPr>
      </w:pPr>
      <w:r>
        <w:rPr>
          <w:rFonts w:ascii="Arial" w:cs="Arial" w:eastAsia="Arial" w:hAnsi="Arial"/>
          <w:sz w:val="11"/>
          <w:szCs w:val="11"/>
          <w:color w:val="auto"/>
        </w:rPr>
        <w:t>Dollar Equivalent of Excess concentration denominated in GBP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574675" cy="3517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74675" cy="3517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7680" w:type="dxa"/>
            <w:vAlign w:val="bottom"/>
          </w:tcPr>
          <w:p>
            <w:pPr>
              <w:spacing w:after="0"/>
              <w:rPr>
                <w:sz w:val="10"/>
                <w:szCs w:val="10"/>
                <w:color w:val="auto"/>
              </w:rPr>
            </w:pPr>
          </w:p>
        </w:tc>
        <w:tc>
          <w:tcPr>
            <w:tcW w:w="1800" w:type="dxa"/>
            <w:vAlign w:val="bottom"/>
            <w:tcBorders>
              <w:top w:val="single" w:sz="8" w:color="auto"/>
              <w:right w:val="single" w:sz="8" w:color="auto"/>
            </w:tcBorders>
            <w:gridSpan w:val="2"/>
          </w:tcPr>
          <w:p>
            <w:pPr>
              <w:ind w:left="440"/>
              <w:spacing w:after="0" w:line="114" w:lineRule="exact"/>
              <w:rPr>
                <w:sz w:val="20"/>
                <w:szCs w:val="20"/>
                <w:color w:val="auto"/>
              </w:rPr>
            </w:pPr>
            <w:r>
              <w:rPr>
                <w:rFonts w:ascii="Arial" w:cs="Arial" w:eastAsia="Arial" w:hAnsi="Arial"/>
                <w:sz w:val="11"/>
                <w:szCs w:val="11"/>
                <w:color w:val="auto"/>
              </w:rPr>
              <w:t>(a)</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680" w:type="dxa"/>
            <w:vAlign w:val="bottom"/>
          </w:tcPr>
          <w:p>
            <w:pPr>
              <w:ind w:left="1120"/>
              <w:spacing w:after="0" w:line="113" w:lineRule="exact"/>
              <w:rPr>
                <w:sz w:val="20"/>
                <w:szCs w:val="20"/>
                <w:color w:val="auto"/>
              </w:rPr>
            </w:pPr>
            <w:r>
              <w:rPr>
                <w:rFonts w:ascii="Arial" w:cs="Arial" w:eastAsia="Arial" w:hAnsi="Arial"/>
                <w:sz w:val="11"/>
                <w:szCs w:val="11"/>
                <w:color w:val="auto"/>
              </w:rPr>
              <w:t>(b) Dollar Equivalent of aggregate amount of GBP deposit in Principal Collection Subaccount</w:t>
            </w:r>
          </w:p>
        </w:tc>
        <w:tc>
          <w:tcPr>
            <w:tcW w:w="880" w:type="dxa"/>
            <w:vAlign w:val="bottom"/>
          </w:tcPr>
          <w:p>
            <w:pPr>
              <w:ind w:left="440"/>
              <w:spacing w:after="0" w:line="113" w:lineRule="exact"/>
              <w:rPr>
                <w:sz w:val="20"/>
                <w:szCs w:val="20"/>
                <w:color w:val="auto"/>
              </w:rPr>
            </w:pPr>
            <w:r>
              <w:rPr>
                <w:rFonts w:ascii="Arial" w:cs="Arial" w:eastAsia="Arial" w:hAnsi="Arial"/>
                <w:sz w:val="11"/>
                <w:szCs w:val="11"/>
                <w:color w:val="auto"/>
              </w:rPr>
              <w:t>(b)</w:t>
            </w:r>
          </w:p>
        </w:tc>
        <w:tc>
          <w:tcPr>
            <w:tcW w:w="920" w:type="dxa"/>
            <w:vAlign w:val="bottom"/>
            <w:tcBorders>
              <w:top w:val="single" w:sz="8" w:color="auto"/>
              <w:right w:val="single" w:sz="8" w:color="auto"/>
            </w:tcBorders>
          </w:tcPr>
          <w:p>
            <w:pPr>
              <w:spacing w:after="0"/>
              <w:rPr>
                <w:sz w:val="10"/>
                <w:szCs w:val="10"/>
                <w:color w:val="auto"/>
              </w:rPr>
            </w:pPr>
          </w:p>
        </w:tc>
        <w:tc>
          <w:tcPr>
            <w:tcW w:w="1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Borders>
              <w:top w:val="single" w:sz="8" w:color="auto"/>
              <w:right w:val="single" w:sz="8" w:color="auto"/>
            </w:tcBorders>
          </w:tcPr>
          <w:p>
            <w:pPr>
              <w:ind w:left="440"/>
              <w:spacing w:after="0" w:line="122" w:lineRule="exact"/>
              <w:rPr>
                <w:sz w:val="20"/>
                <w:szCs w:val="20"/>
                <w:color w:val="auto"/>
              </w:rPr>
            </w:pPr>
            <w:r>
              <w:rPr>
                <w:rFonts w:ascii="Arial" w:cs="Arial" w:eastAsia="Arial" w:hAnsi="Arial"/>
                <w:sz w:val="11"/>
                <w:szCs w:val="11"/>
                <w:b w:val="1"/>
                <w:bCs w:val="1"/>
                <w:color w:val="auto"/>
              </w:rPr>
              <w:t>(B)</w:t>
            </w:r>
          </w:p>
        </w:tc>
        <w:tc>
          <w:tcPr>
            <w:tcW w:w="900" w:type="dxa"/>
            <w:vAlign w:val="bottom"/>
            <w:tcBorders>
              <w:top w:val="single" w:sz="8" w:color="auto"/>
              <w:bottom w:val="single" w:sz="8" w:color="auto"/>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7680" w:type="dxa"/>
            <w:vAlign w:val="bottom"/>
            <w:vMerge w:val="restart"/>
          </w:tcPr>
          <w:p>
            <w:pPr>
              <w:spacing w:after="0"/>
              <w:rPr>
                <w:sz w:val="20"/>
                <w:szCs w:val="20"/>
                <w:color w:val="auto"/>
              </w:rPr>
            </w:pPr>
            <w:r>
              <w:rPr>
                <w:rFonts w:ascii="Arial" w:cs="Arial" w:eastAsia="Arial" w:hAnsi="Arial"/>
                <w:sz w:val="11"/>
                <w:szCs w:val="11"/>
                <w:b w:val="1"/>
                <w:bCs w:val="1"/>
                <w:color w:val="auto"/>
              </w:rPr>
              <w:t>COMPLIANCE?</w:t>
            </w: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6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b w:val="1"/>
                <w:bCs w:val="1"/>
                <w:color w:val="auto"/>
              </w:rPr>
              <w:t>YES/NO</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type w:val="continuous"/>
        </w:sectPr>
      </w:pPr>
    </w:p>
    <w:bookmarkStart w:id="257" w:name="page258"/>
    <w:bookmarkEnd w:id="257"/>
    <w:p>
      <w:pPr>
        <w:ind w:left="420" w:hanging="169"/>
        <w:spacing w:after="0"/>
        <w:tabs>
          <w:tab w:leader="none" w:pos="420" w:val="left"/>
        </w:tabs>
        <w:numPr>
          <w:ilvl w:val="0"/>
          <w:numId w:val="340"/>
        </w:numPr>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Australian Dollar Borrowing Base Test (satisfied if A is less than or equal to B)</w:t>
      </w:r>
    </w:p>
    <w:p>
      <w:pPr>
        <w:spacing w:after="0" w:line="120" w:lineRule="exact"/>
        <w:rPr>
          <w:rFonts w:ascii="Arial" w:cs="Arial" w:eastAsia="Arial" w:hAnsi="Arial"/>
          <w:sz w:val="11"/>
          <w:szCs w:val="11"/>
          <w:b w:val="1"/>
          <w:bCs w:val="1"/>
          <w:color w:val="auto"/>
        </w:rPr>
      </w:pPr>
    </w:p>
    <w:p>
      <w:pPr>
        <w:ind w:left="1020" w:hanging="175"/>
        <w:spacing w:after="0"/>
        <w:tabs>
          <w:tab w:leader="none" w:pos="1020" w:val="left"/>
        </w:tabs>
        <w:numPr>
          <w:ilvl w:val="1"/>
          <w:numId w:val="340"/>
        </w:numPr>
        <w:rPr>
          <w:rFonts w:ascii="Arial" w:cs="Arial" w:eastAsia="Arial" w:hAnsi="Arial"/>
          <w:sz w:val="10"/>
          <w:szCs w:val="10"/>
          <w:color w:val="auto"/>
        </w:rPr>
      </w:pPr>
      <w:r>
        <w:rPr>
          <w:rFonts w:ascii="Arial" w:cs="Arial" w:eastAsia="Arial" w:hAnsi="Arial"/>
          <w:sz w:val="10"/>
          <w:szCs w:val="10"/>
          <w:color w:val="auto"/>
        </w:rPr>
        <w:t>Dollar Equivalent of aggregate outstanding principal balance of Advances denominated in AUD</w:t>
      </w:r>
    </w:p>
    <w:p>
      <w:pPr>
        <w:spacing w:after="0" w:line="155" w:lineRule="exact"/>
        <w:rPr>
          <w:rFonts w:ascii="Arial" w:cs="Arial" w:eastAsia="Arial" w:hAnsi="Arial"/>
          <w:sz w:val="10"/>
          <w:szCs w:val="10"/>
          <w:color w:val="auto"/>
        </w:rPr>
      </w:pPr>
    </w:p>
    <w:p>
      <w:pPr>
        <w:ind w:left="1020" w:hanging="175"/>
        <w:spacing w:after="0"/>
        <w:tabs>
          <w:tab w:leader="none" w:pos="1020" w:val="left"/>
        </w:tabs>
        <w:numPr>
          <w:ilvl w:val="1"/>
          <w:numId w:val="340"/>
        </w:numPr>
        <w:rPr>
          <w:rFonts w:ascii="Arial" w:cs="Arial" w:eastAsia="Arial" w:hAnsi="Arial"/>
          <w:sz w:val="11"/>
          <w:szCs w:val="11"/>
          <w:color w:val="auto"/>
        </w:rPr>
      </w:pPr>
      <w:r>
        <w:rPr>
          <w:rFonts w:ascii="Arial" w:cs="Arial" w:eastAsia="Arial" w:hAnsi="Arial"/>
          <w:sz w:val="11"/>
          <w:szCs w:val="11"/>
          <w:color w:val="auto"/>
        </w:rPr>
        <w:t>AUD Borrowing Base (the sum of )</w:t>
      </w:r>
    </w:p>
    <w:p>
      <w:pPr>
        <w:spacing w:after="0" w:line="3" w:lineRule="exact"/>
        <w:rPr>
          <w:rFonts w:ascii="Arial" w:cs="Arial" w:eastAsia="Arial" w:hAnsi="Arial"/>
          <w:sz w:val="11"/>
          <w:szCs w:val="11"/>
          <w:color w:val="auto"/>
        </w:rPr>
      </w:pPr>
    </w:p>
    <w:p>
      <w:pPr>
        <w:ind w:left="1340" w:hanging="144"/>
        <w:spacing w:after="0"/>
        <w:tabs>
          <w:tab w:leader="none" w:pos="1340" w:val="left"/>
        </w:tabs>
        <w:numPr>
          <w:ilvl w:val="2"/>
          <w:numId w:val="340"/>
        </w:numPr>
        <w:rPr>
          <w:rFonts w:ascii="Arial" w:cs="Arial" w:eastAsia="Arial" w:hAnsi="Arial"/>
          <w:sz w:val="10"/>
          <w:szCs w:val="10"/>
          <w:color w:val="auto"/>
        </w:rPr>
      </w:pPr>
      <w:r>
        <w:rPr>
          <w:rFonts w:ascii="Arial" w:cs="Arial" w:eastAsia="Arial" w:hAnsi="Arial"/>
          <w:sz w:val="10"/>
          <w:szCs w:val="10"/>
          <w:color w:val="auto"/>
        </w:rPr>
        <w:t>Portion of the Borrowing Base allocable to Collateral Loans denominated in AUD (i minus ii)</w:t>
      </w:r>
    </w:p>
    <w:p>
      <w:pPr>
        <w:spacing w:after="0" w:line="6" w:lineRule="exact"/>
        <w:rPr>
          <w:rFonts w:ascii="Arial" w:cs="Arial" w:eastAsia="Arial" w:hAnsi="Arial"/>
          <w:sz w:val="10"/>
          <w:szCs w:val="10"/>
          <w:color w:val="auto"/>
        </w:rPr>
      </w:pPr>
    </w:p>
    <w:p>
      <w:pPr>
        <w:ind w:left="1540" w:hanging="128"/>
        <w:spacing w:after="0"/>
        <w:tabs>
          <w:tab w:leader="none" w:pos="1540" w:val="left"/>
        </w:tabs>
        <w:numPr>
          <w:ilvl w:val="3"/>
          <w:numId w:val="340"/>
        </w:numPr>
        <w:rPr>
          <w:rFonts w:ascii="Arial" w:cs="Arial" w:eastAsia="Arial" w:hAnsi="Arial"/>
          <w:sz w:val="11"/>
          <w:szCs w:val="11"/>
          <w:color w:val="auto"/>
        </w:rPr>
      </w:pPr>
      <w:r>
        <w:rPr>
          <w:rFonts w:ascii="Arial" w:cs="Arial" w:eastAsia="Arial" w:hAnsi="Arial"/>
          <w:sz w:val="11"/>
          <w:szCs w:val="11"/>
          <w:color w:val="auto"/>
        </w:rPr>
        <w:t>Dollar Equivalent of aggregate Collateral Balance denominated in AUD</w:t>
      </w:r>
    </w:p>
    <w:p>
      <w:pPr>
        <w:spacing w:after="0" w:line="1" w:lineRule="exact"/>
        <w:rPr>
          <w:rFonts w:ascii="Arial" w:cs="Arial" w:eastAsia="Arial" w:hAnsi="Arial"/>
          <w:sz w:val="11"/>
          <w:szCs w:val="11"/>
          <w:color w:val="auto"/>
        </w:rPr>
      </w:pPr>
    </w:p>
    <w:p>
      <w:pPr>
        <w:ind w:left="1580" w:hanging="168"/>
        <w:spacing w:after="0"/>
        <w:tabs>
          <w:tab w:leader="none" w:pos="1580" w:val="left"/>
        </w:tabs>
        <w:numPr>
          <w:ilvl w:val="3"/>
          <w:numId w:val="340"/>
        </w:numPr>
        <w:rPr>
          <w:rFonts w:ascii="Arial" w:cs="Arial" w:eastAsia="Arial" w:hAnsi="Arial"/>
          <w:sz w:val="11"/>
          <w:szCs w:val="11"/>
          <w:color w:val="auto"/>
        </w:rPr>
      </w:pPr>
      <w:r>
        <w:rPr>
          <w:rFonts w:ascii="Arial" w:cs="Arial" w:eastAsia="Arial" w:hAnsi="Arial"/>
          <w:sz w:val="11"/>
          <w:szCs w:val="11"/>
          <w:color w:val="auto"/>
        </w:rPr>
        <w:t>Dollar Equivalent of Excess concentration denominated in AUD</w:t>
      </w:r>
    </w:p>
    <w:p>
      <w:pPr>
        <w:spacing w:after="0" w:line="142" w:lineRule="exact"/>
        <w:rPr>
          <w:rFonts w:ascii="Arial" w:cs="Arial" w:eastAsia="Arial" w:hAnsi="Arial"/>
          <w:sz w:val="11"/>
          <w:szCs w:val="11"/>
          <w:color w:val="auto"/>
        </w:rPr>
      </w:pPr>
    </w:p>
    <w:p>
      <w:pPr>
        <w:ind w:left="1340" w:hanging="144"/>
        <w:spacing w:after="0"/>
        <w:tabs>
          <w:tab w:leader="none" w:pos="1340" w:val="left"/>
        </w:tabs>
        <w:numPr>
          <w:ilvl w:val="2"/>
          <w:numId w:val="340"/>
        </w:numPr>
        <w:rPr>
          <w:rFonts w:ascii="Arial" w:cs="Arial" w:eastAsia="Arial" w:hAnsi="Arial"/>
          <w:sz w:val="10"/>
          <w:szCs w:val="10"/>
          <w:color w:val="auto"/>
        </w:rPr>
      </w:pPr>
      <w:r>
        <w:rPr>
          <w:rFonts w:ascii="Arial" w:cs="Arial" w:eastAsia="Arial" w:hAnsi="Arial"/>
          <w:sz w:val="10"/>
          <w:szCs w:val="10"/>
          <w:color w:val="auto"/>
        </w:rPr>
        <w:t>Dollar Equivalent of aggregate amount of AUD deposit in Principal Collection Subaccount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(iii) Euro Borrowing Base Test (satisfied if A is less than or equal to B)</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254000</wp:posOffset>
            </wp:positionV>
            <wp:extent cx="1705610" cy="4368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05610" cy="43688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-71120</wp:posOffset>
            </wp:positionV>
            <wp:extent cx="574675" cy="939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82550</wp:posOffset>
            </wp:positionV>
            <wp:extent cx="582930" cy="1111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82930" cy="11112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YES/NO</w:t>
      </w:r>
    </w:p>
    <w:p>
      <w:pPr>
        <w:spacing w:after="0" w:line="508" w:lineRule="exact"/>
        <w:rPr>
          <w:sz w:val="20"/>
          <w:szCs w:val="20"/>
          <w:color w:val="auto"/>
        </w:rPr>
      </w:pPr>
    </w:p>
    <w:p>
      <w:pPr>
        <w:sectPr>
          <w:pgSz w:w="11900" w:h="16838" w:orient="portrait"/>
          <w:cols w:equalWidth="0" w:num="2">
            <w:col w:w="7400" w:space="720"/>
            <w:col w:w="2860"/>
          </w:cols>
          <w:pgMar w:left="320" w:top="274" w:right="599" w:bottom="1440" w:gutter="0" w:footer="0" w:header="0"/>
        </w:sectPr>
      </w:pPr>
    </w:p>
    <w:p>
      <w:pPr>
        <w:spacing w:after="0" w:line="4" w:lineRule="exact"/>
        <w:rPr>
          <w:sz w:val="20"/>
          <w:szCs w:val="20"/>
          <w:color w:val="auto"/>
        </w:rPr>
      </w:pPr>
    </w:p>
    <w:p>
      <w:pPr>
        <w:ind w:left="1020" w:hanging="175"/>
        <w:spacing w:after="0"/>
        <w:tabs>
          <w:tab w:leader="none" w:pos="1020" w:val="left"/>
        </w:tabs>
        <w:numPr>
          <w:ilvl w:val="0"/>
          <w:numId w:val="341"/>
        </w:numPr>
        <w:rPr>
          <w:rFonts w:ascii="Arial" w:cs="Arial" w:eastAsia="Arial" w:hAnsi="Arial"/>
          <w:sz w:val="10"/>
          <w:szCs w:val="10"/>
          <w:color w:val="auto"/>
        </w:rPr>
      </w:pPr>
      <w:r>
        <w:rPr>
          <w:rFonts w:ascii="Arial" w:cs="Arial" w:eastAsia="Arial" w:hAnsi="Arial"/>
          <w:sz w:val="10"/>
          <w:szCs w:val="10"/>
          <w:color w:val="auto"/>
        </w:rPr>
        <w:t>Dollar Equivalent of aggregate outstanding principal balance of Advances denominated in EUR</w:t>
      </w:r>
    </w:p>
    <w:p>
      <w:pPr>
        <w:spacing w:after="0" w:line="155" w:lineRule="exact"/>
        <w:rPr>
          <w:rFonts w:ascii="Arial" w:cs="Arial" w:eastAsia="Arial" w:hAnsi="Arial"/>
          <w:sz w:val="10"/>
          <w:szCs w:val="10"/>
          <w:color w:val="auto"/>
        </w:rPr>
      </w:pPr>
    </w:p>
    <w:p>
      <w:pPr>
        <w:ind w:left="1020" w:hanging="175"/>
        <w:spacing w:after="0"/>
        <w:tabs>
          <w:tab w:leader="none" w:pos="1020" w:val="left"/>
        </w:tabs>
        <w:numPr>
          <w:ilvl w:val="0"/>
          <w:numId w:val="341"/>
        </w:numPr>
        <w:rPr>
          <w:rFonts w:ascii="Arial" w:cs="Arial" w:eastAsia="Arial" w:hAnsi="Arial"/>
          <w:sz w:val="11"/>
          <w:szCs w:val="11"/>
          <w:color w:val="auto"/>
        </w:rPr>
      </w:pPr>
      <w:r>
        <w:rPr>
          <w:rFonts w:ascii="Arial" w:cs="Arial" w:eastAsia="Arial" w:hAnsi="Arial"/>
          <w:sz w:val="11"/>
          <w:szCs w:val="11"/>
          <w:color w:val="auto"/>
        </w:rPr>
        <w:t>EUR Borrowing Base (the sum of )</w:t>
      </w:r>
    </w:p>
    <w:p>
      <w:pPr>
        <w:spacing w:after="0" w:line="3" w:lineRule="exact"/>
        <w:rPr>
          <w:rFonts w:ascii="Arial" w:cs="Arial" w:eastAsia="Arial" w:hAnsi="Arial"/>
          <w:sz w:val="11"/>
          <w:szCs w:val="11"/>
          <w:color w:val="auto"/>
        </w:rPr>
      </w:pPr>
    </w:p>
    <w:p>
      <w:pPr>
        <w:ind w:left="1340" w:hanging="144"/>
        <w:spacing w:after="0"/>
        <w:tabs>
          <w:tab w:leader="none" w:pos="1340" w:val="left"/>
        </w:tabs>
        <w:numPr>
          <w:ilvl w:val="1"/>
          <w:numId w:val="341"/>
        </w:numPr>
        <w:rPr>
          <w:rFonts w:ascii="Arial" w:cs="Arial" w:eastAsia="Arial" w:hAnsi="Arial"/>
          <w:sz w:val="9"/>
          <w:szCs w:val="9"/>
          <w:color w:val="auto"/>
        </w:rPr>
      </w:pPr>
      <w:r>
        <w:rPr>
          <w:rFonts w:ascii="Arial" w:cs="Arial" w:eastAsia="Arial" w:hAnsi="Arial"/>
          <w:sz w:val="9"/>
          <w:szCs w:val="9"/>
          <w:color w:val="auto"/>
        </w:rPr>
        <w:t>Portion of the Borrowing Base allocable to Collateral Loans denominated in EUR (i minus ii)</w:t>
      </w:r>
    </w:p>
    <w:p>
      <w:pPr>
        <w:spacing w:after="0" w:line="18" w:lineRule="exact"/>
        <w:rPr>
          <w:rFonts w:ascii="Arial" w:cs="Arial" w:eastAsia="Arial" w:hAnsi="Arial"/>
          <w:sz w:val="9"/>
          <w:szCs w:val="9"/>
          <w:color w:val="auto"/>
        </w:rPr>
      </w:pPr>
    </w:p>
    <w:p>
      <w:pPr>
        <w:ind w:left="1540" w:hanging="128"/>
        <w:spacing w:after="0"/>
        <w:tabs>
          <w:tab w:leader="none" w:pos="1540" w:val="left"/>
        </w:tabs>
        <w:numPr>
          <w:ilvl w:val="2"/>
          <w:numId w:val="341"/>
        </w:numPr>
        <w:rPr>
          <w:rFonts w:ascii="Arial" w:cs="Arial" w:eastAsia="Arial" w:hAnsi="Arial"/>
          <w:sz w:val="11"/>
          <w:szCs w:val="11"/>
          <w:color w:val="auto"/>
        </w:rPr>
      </w:pPr>
      <w:r>
        <w:rPr>
          <w:rFonts w:ascii="Arial" w:cs="Arial" w:eastAsia="Arial" w:hAnsi="Arial"/>
          <w:sz w:val="11"/>
          <w:szCs w:val="11"/>
          <w:color w:val="auto"/>
        </w:rPr>
        <w:t>Dollar Equivalent of aggregate Collateral Balance denominated in EUR</w:t>
      </w:r>
    </w:p>
    <w:p>
      <w:pPr>
        <w:spacing w:after="0" w:line="1" w:lineRule="exact"/>
        <w:rPr>
          <w:rFonts w:ascii="Arial" w:cs="Arial" w:eastAsia="Arial" w:hAnsi="Arial"/>
          <w:sz w:val="11"/>
          <w:szCs w:val="11"/>
          <w:color w:val="auto"/>
        </w:rPr>
      </w:pPr>
    </w:p>
    <w:p>
      <w:pPr>
        <w:ind w:left="1580" w:hanging="168"/>
        <w:spacing w:after="0"/>
        <w:tabs>
          <w:tab w:leader="none" w:pos="1580" w:val="left"/>
        </w:tabs>
        <w:numPr>
          <w:ilvl w:val="2"/>
          <w:numId w:val="341"/>
        </w:numPr>
        <w:rPr>
          <w:rFonts w:ascii="Arial" w:cs="Arial" w:eastAsia="Arial" w:hAnsi="Arial"/>
          <w:sz w:val="11"/>
          <w:szCs w:val="11"/>
          <w:color w:val="auto"/>
        </w:rPr>
      </w:pPr>
      <w:r>
        <w:rPr>
          <w:rFonts w:ascii="Arial" w:cs="Arial" w:eastAsia="Arial" w:hAnsi="Arial"/>
          <w:sz w:val="11"/>
          <w:szCs w:val="11"/>
          <w:color w:val="auto"/>
        </w:rPr>
        <w:t>Dollar Equivalent of Excess concentration denominated in EUR</w:t>
      </w:r>
    </w:p>
    <w:p>
      <w:pPr>
        <w:spacing w:after="0" w:line="142" w:lineRule="exact"/>
        <w:rPr>
          <w:rFonts w:ascii="Arial" w:cs="Arial" w:eastAsia="Arial" w:hAnsi="Arial"/>
          <w:sz w:val="11"/>
          <w:szCs w:val="11"/>
          <w:color w:val="auto"/>
        </w:rPr>
      </w:pPr>
    </w:p>
    <w:p>
      <w:pPr>
        <w:ind w:left="1340" w:hanging="144"/>
        <w:spacing w:after="0"/>
        <w:tabs>
          <w:tab w:leader="none" w:pos="1340" w:val="left"/>
        </w:tabs>
        <w:numPr>
          <w:ilvl w:val="1"/>
          <w:numId w:val="341"/>
        </w:numPr>
        <w:rPr>
          <w:rFonts w:ascii="Arial" w:cs="Arial" w:eastAsia="Arial" w:hAnsi="Arial"/>
          <w:sz w:val="10"/>
          <w:szCs w:val="10"/>
          <w:color w:val="auto"/>
        </w:rPr>
      </w:pPr>
      <w:r>
        <w:rPr>
          <w:rFonts w:ascii="Arial" w:cs="Arial" w:eastAsia="Arial" w:hAnsi="Arial"/>
          <w:sz w:val="10"/>
          <w:szCs w:val="10"/>
          <w:color w:val="auto"/>
        </w:rPr>
        <w:t>Dollar Equivalent of aggregate amount of EUR deposit in Principal Collection Subaccount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(iv) Canadian Dollar Borrowing Base Test (satisfied if A is less than or equal to B)</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254000</wp:posOffset>
            </wp:positionV>
            <wp:extent cx="1705610" cy="4368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05610" cy="43688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-71120</wp:posOffset>
            </wp:positionV>
            <wp:extent cx="574675" cy="939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82550</wp:posOffset>
            </wp:positionV>
            <wp:extent cx="582930" cy="11112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82930" cy="11112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YES/NO</w:t>
      </w:r>
    </w:p>
    <w:p>
      <w:pPr>
        <w:spacing w:after="0" w:line="508" w:lineRule="exact"/>
        <w:rPr>
          <w:sz w:val="20"/>
          <w:szCs w:val="20"/>
          <w:color w:val="auto"/>
        </w:rPr>
      </w:pPr>
    </w:p>
    <w:p>
      <w:pPr>
        <w:sectPr>
          <w:pgSz w:w="11900" w:h="16838" w:orient="portrait"/>
          <w:cols w:equalWidth="0" w:num="2">
            <w:col w:w="7400" w:space="720"/>
            <w:col w:w="2860"/>
          </w:cols>
          <w:pgMar w:left="320" w:top="274" w:right="599" w:bottom="1440" w:gutter="0" w:footer="0" w:header="0"/>
          <w:type w:val="continuous"/>
        </w:sectPr>
      </w:pPr>
    </w:p>
    <w:p>
      <w:pPr>
        <w:spacing w:after="0" w:line="4" w:lineRule="exact"/>
        <w:rPr>
          <w:sz w:val="20"/>
          <w:szCs w:val="20"/>
          <w:color w:val="auto"/>
        </w:rPr>
      </w:pPr>
    </w:p>
    <w:p>
      <w:pPr>
        <w:ind w:left="1020" w:hanging="175"/>
        <w:spacing w:after="0"/>
        <w:tabs>
          <w:tab w:leader="none" w:pos="1020" w:val="left"/>
        </w:tabs>
        <w:numPr>
          <w:ilvl w:val="0"/>
          <w:numId w:val="342"/>
        </w:numPr>
        <w:rPr>
          <w:rFonts w:ascii="Arial" w:cs="Arial" w:eastAsia="Arial" w:hAnsi="Arial"/>
          <w:sz w:val="10"/>
          <w:szCs w:val="10"/>
          <w:color w:val="auto"/>
        </w:rPr>
      </w:pPr>
      <w:r>
        <w:rPr>
          <w:rFonts w:ascii="Arial" w:cs="Arial" w:eastAsia="Arial" w:hAnsi="Arial"/>
          <w:sz w:val="10"/>
          <w:szCs w:val="10"/>
          <w:color w:val="auto"/>
        </w:rPr>
        <w:t>Dollar Equivalent of aggregate outstanding principal balance of Advances denominated in CAD</w:t>
      </w:r>
    </w:p>
    <w:p>
      <w:pPr>
        <w:spacing w:after="0" w:line="155" w:lineRule="exact"/>
        <w:rPr>
          <w:rFonts w:ascii="Arial" w:cs="Arial" w:eastAsia="Arial" w:hAnsi="Arial"/>
          <w:sz w:val="10"/>
          <w:szCs w:val="10"/>
          <w:color w:val="auto"/>
        </w:rPr>
      </w:pPr>
    </w:p>
    <w:p>
      <w:pPr>
        <w:ind w:left="1020" w:hanging="175"/>
        <w:spacing w:after="0"/>
        <w:tabs>
          <w:tab w:leader="none" w:pos="1020" w:val="left"/>
        </w:tabs>
        <w:numPr>
          <w:ilvl w:val="0"/>
          <w:numId w:val="342"/>
        </w:numPr>
        <w:rPr>
          <w:rFonts w:ascii="Arial" w:cs="Arial" w:eastAsia="Arial" w:hAnsi="Arial"/>
          <w:sz w:val="11"/>
          <w:szCs w:val="11"/>
          <w:color w:val="auto"/>
        </w:rPr>
      </w:pPr>
      <w:r>
        <w:rPr>
          <w:rFonts w:ascii="Arial" w:cs="Arial" w:eastAsia="Arial" w:hAnsi="Arial"/>
          <w:sz w:val="11"/>
          <w:szCs w:val="11"/>
          <w:color w:val="auto"/>
        </w:rPr>
        <w:t>CAD Borrowing Base (the sum of )</w:t>
      </w:r>
    </w:p>
    <w:p>
      <w:pPr>
        <w:spacing w:after="0" w:line="3" w:lineRule="exact"/>
        <w:rPr>
          <w:rFonts w:ascii="Arial" w:cs="Arial" w:eastAsia="Arial" w:hAnsi="Arial"/>
          <w:sz w:val="11"/>
          <w:szCs w:val="11"/>
          <w:color w:val="auto"/>
        </w:rPr>
      </w:pPr>
    </w:p>
    <w:p>
      <w:pPr>
        <w:ind w:left="1340" w:hanging="144"/>
        <w:spacing w:after="0"/>
        <w:tabs>
          <w:tab w:leader="none" w:pos="1340" w:val="left"/>
        </w:tabs>
        <w:numPr>
          <w:ilvl w:val="1"/>
          <w:numId w:val="342"/>
        </w:numPr>
        <w:rPr>
          <w:rFonts w:ascii="Arial" w:cs="Arial" w:eastAsia="Arial" w:hAnsi="Arial"/>
          <w:sz w:val="10"/>
          <w:szCs w:val="10"/>
          <w:color w:val="auto"/>
        </w:rPr>
      </w:pPr>
      <w:r>
        <w:rPr>
          <w:rFonts w:ascii="Arial" w:cs="Arial" w:eastAsia="Arial" w:hAnsi="Arial"/>
          <w:sz w:val="10"/>
          <w:szCs w:val="10"/>
          <w:color w:val="auto"/>
        </w:rPr>
        <w:t>Portion of the Borrowing Base allocable to Collateral Loans denominated in CAD (i minus ii)</w:t>
      </w:r>
    </w:p>
    <w:p>
      <w:pPr>
        <w:spacing w:after="0" w:line="6" w:lineRule="exact"/>
        <w:rPr>
          <w:rFonts w:ascii="Arial" w:cs="Arial" w:eastAsia="Arial" w:hAnsi="Arial"/>
          <w:sz w:val="10"/>
          <w:szCs w:val="10"/>
          <w:color w:val="auto"/>
        </w:rPr>
      </w:pPr>
    </w:p>
    <w:p>
      <w:pPr>
        <w:ind w:left="1540" w:hanging="128"/>
        <w:spacing w:after="0"/>
        <w:tabs>
          <w:tab w:leader="none" w:pos="1540" w:val="left"/>
        </w:tabs>
        <w:numPr>
          <w:ilvl w:val="2"/>
          <w:numId w:val="342"/>
        </w:numPr>
        <w:rPr>
          <w:rFonts w:ascii="Arial" w:cs="Arial" w:eastAsia="Arial" w:hAnsi="Arial"/>
          <w:sz w:val="11"/>
          <w:szCs w:val="11"/>
          <w:color w:val="auto"/>
        </w:rPr>
      </w:pPr>
      <w:r>
        <w:rPr>
          <w:rFonts w:ascii="Arial" w:cs="Arial" w:eastAsia="Arial" w:hAnsi="Arial"/>
          <w:sz w:val="11"/>
          <w:szCs w:val="11"/>
          <w:color w:val="auto"/>
        </w:rPr>
        <w:t>Dollar Equivalent of aggregate Collateral Balance denominated in CAD</w:t>
      </w:r>
    </w:p>
    <w:p>
      <w:pPr>
        <w:spacing w:after="0" w:line="1" w:lineRule="exact"/>
        <w:rPr>
          <w:rFonts w:ascii="Arial" w:cs="Arial" w:eastAsia="Arial" w:hAnsi="Arial"/>
          <w:sz w:val="11"/>
          <w:szCs w:val="11"/>
          <w:color w:val="auto"/>
        </w:rPr>
      </w:pPr>
    </w:p>
    <w:p>
      <w:pPr>
        <w:ind w:left="1580" w:hanging="168"/>
        <w:spacing w:after="0"/>
        <w:tabs>
          <w:tab w:leader="none" w:pos="1580" w:val="left"/>
        </w:tabs>
        <w:numPr>
          <w:ilvl w:val="2"/>
          <w:numId w:val="342"/>
        </w:numPr>
        <w:rPr>
          <w:rFonts w:ascii="Arial" w:cs="Arial" w:eastAsia="Arial" w:hAnsi="Arial"/>
          <w:sz w:val="11"/>
          <w:szCs w:val="11"/>
          <w:color w:val="auto"/>
        </w:rPr>
      </w:pPr>
      <w:r>
        <w:rPr>
          <w:rFonts w:ascii="Arial" w:cs="Arial" w:eastAsia="Arial" w:hAnsi="Arial"/>
          <w:sz w:val="11"/>
          <w:szCs w:val="11"/>
          <w:color w:val="auto"/>
        </w:rPr>
        <w:t>Dollar Equivalent of Excess concentration denominated in CAD</w:t>
      </w:r>
    </w:p>
    <w:p>
      <w:pPr>
        <w:spacing w:after="0" w:line="142" w:lineRule="exact"/>
        <w:rPr>
          <w:rFonts w:ascii="Arial" w:cs="Arial" w:eastAsia="Arial" w:hAnsi="Arial"/>
          <w:sz w:val="11"/>
          <w:szCs w:val="11"/>
          <w:color w:val="auto"/>
        </w:rPr>
      </w:pPr>
    </w:p>
    <w:p>
      <w:pPr>
        <w:ind w:left="1340" w:hanging="144"/>
        <w:spacing w:after="0"/>
        <w:tabs>
          <w:tab w:leader="none" w:pos="1340" w:val="left"/>
        </w:tabs>
        <w:numPr>
          <w:ilvl w:val="1"/>
          <w:numId w:val="342"/>
        </w:numPr>
        <w:rPr>
          <w:rFonts w:ascii="Arial" w:cs="Arial" w:eastAsia="Arial" w:hAnsi="Arial"/>
          <w:sz w:val="10"/>
          <w:szCs w:val="10"/>
          <w:color w:val="auto"/>
        </w:rPr>
      </w:pPr>
      <w:r>
        <w:rPr>
          <w:rFonts w:ascii="Arial" w:cs="Arial" w:eastAsia="Arial" w:hAnsi="Arial"/>
          <w:sz w:val="10"/>
          <w:szCs w:val="10"/>
          <w:color w:val="auto"/>
        </w:rPr>
        <w:t>Dollar Equivalent of aggregate amount of CAD deposit in Principal Collection Subaccount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(v) Dollar Advance Test (satisfied if A is less than or equal to B)</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254000</wp:posOffset>
            </wp:positionV>
            <wp:extent cx="1705610" cy="4368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705610" cy="43688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-71120</wp:posOffset>
            </wp:positionV>
            <wp:extent cx="574675" cy="946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7467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82550</wp:posOffset>
            </wp:positionV>
            <wp:extent cx="582930" cy="11112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82930" cy="11112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YES/NO</w:t>
      </w:r>
    </w:p>
    <w:p>
      <w:pPr>
        <w:spacing w:after="0" w:line="508" w:lineRule="exact"/>
        <w:rPr>
          <w:sz w:val="20"/>
          <w:szCs w:val="20"/>
          <w:color w:val="auto"/>
        </w:rPr>
      </w:pPr>
    </w:p>
    <w:p>
      <w:pPr>
        <w:sectPr>
          <w:pgSz w:w="11900" w:h="16838" w:orient="portrait"/>
          <w:cols w:equalWidth="0" w:num="2">
            <w:col w:w="7400" w:space="720"/>
            <w:col w:w="2860"/>
          </w:cols>
          <w:pgMar w:left="320" w:top="274" w:right="599" w:bottom="1440" w:gutter="0" w:footer="0" w:header="0"/>
          <w:type w:val="continuous"/>
        </w:sectPr>
      </w:pPr>
    </w:p>
    <w:p>
      <w:pPr>
        <w:spacing w:after="0" w:line="4" w:lineRule="exact"/>
        <w:rPr>
          <w:sz w:val="20"/>
          <w:szCs w:val="20"/>
          <w:color w:val="auto"/>
        </w:rPr>
      </w:pPr>
    </w:p>
    <w:p>
      <w:pPr>
        <w:ind w:left="1020" w:hanging="175"/>
        <w:spacing w:after="0"/>
        <w:tabs>
          <w:tab w:leader="none" w:pos="1020" w:val="left"/>
        </w:tabs>
        <w:numPr>
          <w:ilvl w:val="0"/>
          <w:numId w:val="343"/>
        </w:numPr>
        <w:rPr>
          <w:rFonts w:ascii="Arial" w:cs="Arial" w:eastAsia="Arial" w:hAnsi="Arial"/>
          <w:sz w:val="11"/>
          <w:szCs w:val="11"/>
          <w:color w:val="auto"/>
        </w:rPr>
      </w:pPr>
      <w:r>
        <w:rPr>
          <w:rFonts w:ascii="Arial" w:cs="Arial" w:eastAsia="Arial" w:hAnsi="Arial"/>
          <w:sz w:val="11"/>
          <w:szCs w:val="11"/>
          <w:color w:val="auto"/>
        </w:rPr>
        <w:t>Aggregate outstanding principal balance of Advances denominated in USD</w:t>
      </w:r>
    </w:p>
    <w:p>
      <w:pPr>
        <w:spacing w:after="0" w:line="143" w:lineRule="exact"/>
        <w:rPr>
          <w:rFonts w:ascii="Arial" w:cs="Arial" w:eastAsia="Arial" w:hAnsi="Arial"/>
          <w:sz w:val="11"/>
          <w:szCs w:val="11"/>
          <w:color w:val="auto"/>
        </w:rPr>
      </w:pPr>
    </w:p>
    <w:p>
      <w:pPr>
        <w:ind w:left="1020" w:hanging="175"/>
        <w:spacing w:after="0"/>
        <w:tabs>
          <w:tab w:leader="none" w:pos="1020" w:val="left"/>
        </w:tabs>
        <w:numPr>
          <w:ilvl w:val="0"/>
          <w:numId w:val="343"/>
        </w:numPr>
        <w:rPr>
          <w:rFonts w:ascii="Arial" w:cs="Arial" w:eastAsia="Arial" w:hAnsi="Arial"/>
          <w:sz w:val="11"/>
          <w:szCs w:val="11"/>
          <w:color w:val="auto"/>
        </w:rPr>
      </w:pPr>
      <w:r>
        <w:rPr>
          <w:rFonts w:ascii="Arial" w:cs="Arial" w:eastAsia="Arial" w:hAnsi="Arial"/>
          <w:sz w:val="11"/>
          <w:szCs w:val="11"/>
          <w:color w:val="auto"/>
        </w:rPr>
        <w:t>Dollar Availability (a minus b)</w:t>
      </w:r>
    </w:p>
    <w:p>
      <w:pPr>
        <w:spacing w:after="0" w:line="3" w:lineRule="exact"/>
        <w:rPr>
          <w:rFonts w:ascii="Arial" w:cs="Arial" w:eastAsia="Arial" w:hAnsi="Arial"/>
          <w:sz w:val="11"/>
          <w:szCs w:val="11"/>
          <w:color w:val="auto"/>
        </w:rPr>
      </w:pPr>
    </w:p>
    <w:p>
      <w:pPr>
        <w:ind w:left="1340" w:hanging="144"/>
        <w:spacing w:after="0" w:line="230" w:lineRule="auto"/>
        <w:tabs>
          <w:tab w:leader="none" w:pos="1340" w:val="left"/>
        </w:tabs>
        <w:numPr>
          <w:ilvl w:val="1"/>
          <w:numId w:val="343"/>
        </w:numPr>
        <w:rPr>
          <w:rFonts w:ascii="Arial" w:cs="Arial" w:eastAsia="Arial" w:hAnsi="Arial"/>
          <w:sz w:val="11"/>
          <w:szCs w:val="11"/>
          <w:color w:val="auto"/>
        </w:rPr>
      </w:pPr>
      <w:r>
        <w:rPr>
          <w:rFonts w:ascii="Arial" w:cs="Arial" w:eastAsia="Arial" w:hAnsi="Arial"/>
          <w:sz w:val="11"/>
          <w:szCs w:val="11"/>
          <w:color w:val="auto"/>
        </w:rPr>
        <w:t>the lesser of (x) and (y)</w:t>
      </w:r>
    </w:p>
    <w:p>
      <w:pPr>
        <w:ind w:left="1560" w:hanging="148"/>
        <w:spacing w:after="0" w:line="230" w:lineRule="auto"/>
        <w:tabs>
          <w:tab w:leader="none" w:pos="1560" w:val="left"/>
        </w:tabs>
        <w:numPr>
          <w:ilvl w:val="2"/>
          <w:numId w:val="343"/>
        </w:numPr>
        <w:rPr>
          <w:rFonts w:ascii="Arial" w:cs="Arial" w:eastAsia="Arial" w:hAnsi="Arial"/>
          <w:sz w:val="11"/>
          <w:szCs w:val="11"/>
          <w:color w:val="auto"/>
        </w:rPr>
      </w:pPr>
      <w:r>
        <w:rPr>
          <w:rFonts w:ascii="Arial" w:cs="Arial" w:eastAsia="Arial" w:hAnsi="Arial"/>
          <w:sz w:val="11"/>
          <w:szCs w:val="11"/>
          <w:color w:val="auto"/>
        </w:rPr>
        <w:t xml:space="preserve">Calculation of (i) </w:t>
      </w:r>
      <w:r>
        <w:rPr>
          <w:rFonts w:ascii="Arial" w:cs="Arial" w:eastAsia="Arial" w:hAnsi="Arial"/>
          <w:sz w:val="11"/>
          <w:szCs w:val="11"/>
          <w:i w:val="1"/>
          <w:iCs w:val="1"/>
          <w:color w:val="auto"/>
        </w:rPr>
        <w:t>plus</w:t>
      </w:r>
      <w:r>
        <w:rPr>
          <w:rFonts w:ascii="Arial" w:cs="Arial" w:eastAsia="Arial" w:hAnsi="Arial"/>
          <w:sz w:val="11"/>
          <w:szCs w:val="11"/>
          <w:color w:val="auto"/>
        </w:rPr>
        <w:t xml:space="preserve"> (ii) </w:t>
      </w:r>
      <w:r>
        <w:rPr>
          <w:rFonts w:ascii="Arial" w:cs="Arial" w:eastAsia="Arial" w:hAnsi="Arial"/>
          <w:sz w:val="11"/>
          <w:szCs w:val="11"/>
          <w:i w:val="1"/>
          <w:iCs w:val="1"/>
          <w:color w:val="auto"/>
        </w:rPr>
        <w:t>minus</w:t>
      </w:r>
      <w:r>
        <w:rPr>
          <w:rFonts w:ascii="Arial" w:cs="Arial" w:eastAsia="Arial" w:hAnsi="Arial"/>
          <w:sz w:val="11"/>
          <w:szCs w:val="11"/>
          <w:color w:val="auto"/>
        </w:rPr>
        <w:t xml:space="preserve"> (iii)</w:t>
      </w:r>
    </w:p>
    <w:p>
      <w:pPr>
        <w:ind w:left="1760" w:hanging="132"/>
        <w:spacing w:after="0" w:line="230" w:lineRule="auto"/>
        <w:tabs>
          <w:tab w:leader="none" w:pos="1760" w:val="left"/>
        </w:tabs>
        <w:numPr>
          <w:ilvl w:val="3"/>
          <w:numId w:val="343"/>
        </w:numPr>
        <w:rPr>
          <w:rFonts w:ascii="Arial" w:cs="Arial" w:eastAsia="Arial" w:hAnsi="Arial"/>
          <w:sz w:val="11"/>
          <w:szCs w:val="11"/>
          <w:color w:val="auto"/>
        </w:rPr>
      </w:pPr>
      <w:r>
        <w:rPr>
          <w:rFonts w:ascii="Arial" w:cs="Arial" w:eastAsia="Arial" w:hAnsi="Arial"/>
          <w:sz w:val="11"/>
          <w:szCs w:val="11"/>
          <w:color w:val="auto"/>
        </w:rPr>
        <w:t>Dollar Borrowing Base (the product of p and q)</w:t>
      </w:r>
    </w:p>
    <w:p>
      <w:pPr>
        <w:ind w:left="2000" w:hanging="156"/>
        <w:spacing w:after="0"/>
        <w:tabs>
          <w:tab w:leader="none" w:pos="2000" w:val="left"/>
        </w:tabs>
        <w:numPr>
          <w:ilvl w:val="4"/>
          <w:numId w:val="343"/>
        </w:numPr>
        <w:rPr>
          <w:rFonts w:ascii="Arial" w:cs="Arial" w:eastAsia="Arial" w:hAnsi="Arial"/>
          <w:sz w:val="9"/>
          <w:szCs w:val="9"/>
          <w:color w:val="auto"/>
        </w:rPr>
      </w:pPr>
      <w:r>
        <w:rPr>
          <w:rFonts w:ascii="Arial" w:cs="Arial" w:eastAsia="Arial" w:hAnsi="Arial"/>
          <w:sz w:val="9"/>
          <w:szCs w:val="9"/>
          <w:color w:val="auto"/>
        </w:rPr>
        <w:t>The Portion of BB allocable to Collateral Loans denominated in USD</w:t>
      </w:r>
    </w:p>
    <w:p>
      <w:pPr>
        <w:spacing w:after="0" w:line="24" w:lineRule="exact"/>
        <w:rPr>
          <w:rFonts w:ascii="Arial" w:cs="Arial" w:eastAsia="Arial" w:hAnsi="Arial"/>
          <w:sz w:val="9"/>
          <w:szCs w:val="9"/>
          <w:color w:val="auto"/>
        </w:rPr>
      </w:pPr>
    </w:p>
    <w:p>
      <w:pPr>
        <w:ind w:left="2000" w:hanging="156"/>
        <w:spacing w:after="0"/>
        <w:tabs>
          <w:tab w:leader="none" w:pos="2000" w:val="left"/>
        </w:tabs>
        <w:numPr>
          <w:ilvl w:val="4"/>
          <w:numId w:val="343"/>
        </w:numPr>
        <w:rPr>
          <w:rFonts w:ascii="Arial" w:cs="Arial" w:eastAsia="Arial" w:hAnsi="Arial"/>
          <w:sz w:val="11"/>
          <w:szCs w:val="11"/>
          <w:color w:val="auto"/>
        </w:rPr>
      </w:pPr>
      <w:r>
        <w:rPr>
          <w:rFonts w:ascii="Arial" w:cs="Arial" w:eastAsia="Arial" w:hAnsi="Arial"/>
          <w:sz w:val="11"/>
          <w:szCs w:val="11"/>
          <w:color w:val="auto"/>
        </w:rPr>
        <w:t>The Maximum Advance Rate</w:t>
      </w:r>
    </w:p>
    <w:p>
      <w:pPr>
        <w:spacing w:after="0" w:line="142" w:lineRule="exact"/>
        <w:rPr>
          <w:sz w:val="20"/>
          <w:szCs w:val="20"/>
          <w:color w:val="auto"/>
        </w:rPr>
      </w:pPr>
    </w:p>
    <w:p>
      <w:pPr>
        <w:ind w:left="1780" w:hanging="152"/>
        <w:spacing w:after="0"/>
        <w:tabs>
          <w:tab w:leader="none" w:pos="1780" w:val="left"/>
        </w:tabs>
        <w:numPr>
          <w:ilvl w:val="2"/>
          <w:numId w:val="344"/>
        </w:numPr>
        <w:rPr>
          <w:rFonts w:ascii="Arial" w:cs="Arial" w:eastAsia="Arial" w:hAnsi="Arial"/>
          <w:sz w:val="10"/>
          <w:szCs w:val="10"/>
          <w:color w:val="auto"/>
        </w:rPr>
      </w:pPr>
      <w:r>
        <w:rPr>
          <w:rFonts w:ascii="Arial" w:cs="Arial" w:eastAsia="Arial" w:hAnsi="Arial"/>
          <w:sz w:val="10"/>
          <w:szCs w:val="10"/>
          <w:color w:val="auto"/>
        </w:rPr>
        <w:t>Aggregate amount of USD deposit in Principal Collection Subaccount</w:t>
      </w:r>
    </w:p>
    <w:p>
      <w:pPr>
        <w:spacing w:after="0" w:line="21" w:lineRule="exact"/>
        <w:rPr>
          <w:rFonts w:ascii="Arial" w:cs="Arial" w:eastAsia="Arial" w:hAnsi="Arial"/>
          <w:sz w:val="10"/>
          <w:szCs w:val="10"/>
          <w:color w:val="auto"/>
        </w:rPr>
      </w:pPr>
    </w:p>
    <w:p>
      <w:pPr>
        <w:ind w:left="1820" w:hanging="192"/>
        <w:spacing w:after="0"/>
        <w:tabs>
          <w:tab w:leader="none" w:pos="1820" w:val="left"/>
        </w:tabs>
        <w:numPr>
          <w:ilvl w:val="2"/>
          <w:numId w:val="344"/>
        </w:numPr>
        <w:rPr>
          <w:rFonts w:ascii="Arial" w:cs="Arial" w:eastAsia="Arial" w:hAnsi="Arial"/>
          <w:sz w:val="11"/>
          <w:szCs w:val="11"/>
          <w:color w:val="auto"/>
        </w:rPr>
      </w:pPr>
      <w:r>
        <w:rPr>
          <w:rFonts w:ascii="Arial" w:cs="Arial" w:eastAsia="Arial" w:hAnsi="Arial"/>
          <w:sz w:val="11"/>
          <w:szCs w:val="11"/>
          <w:color w:val="auto"/>
        </w:rPr>
        <w:t>The product of (m) and (n):</w:t>
      </w:r>
    </w:p>
    <w:p>
      <w:pPr>
        <w:spacing w:after="0" w:line="8" w:lineRule="exact"/>
        <w:rPr>
          <w:rFonts w:ascii="Arial" w:cs="Arial" w:eastAsia="Arial" w:hAnsi="Arial"/>
          <w:sz w:val="11"/>
          <w:szCs w:val="11"/>
          <w:color w:val="auto"/>
        </w:rPr>
      </w:pPr>
    </w:p>
    <w:p>
      <w:pPr>
        <w:jc w:val="both"/>
        <w:ind w:left="2020" w:right="1940" w:hanging="176"/>
        <w:spacing w:after="0" w:line="386" w:lineRule="auto"/>
        <w:tabs>
          <w:tab w:leader="none" w:pos="2020" w:val="left"/>
        </w:tabs>
        <w:numPr>
          <w:ilvl w:val="3"/>
          <w:numId w:val="344"/>
        </w:numPr>
        <w:rPr>
          <w:rFonts w:ascii="Arial" w:cs="Arial" w:eastAsia="Arial" w:hAnsi="Arial"/>
          <w:sz w:val="9"/>
          <w:szCs w:val="9"/>
          <w:color w:val="auto"/>
        </w:rPr>
      </w:pPr>
      <w:r>
        <w:rPr>
          <w:rFonts w:ascii="Arial" w:cs="Arial" w:eastAsia="Arial" w:hAnsi="Arial"/>
          <w:sz w:val="9"/>
          <w:szCs w:val="9"/>
          <w:color w:val="auto"/>
        </w:rPr>
        <w:t xml:space="preserve">The Aggregate Foreign Currency Borrowing Base, </w:t>
      </w:r>
      <w:r>
        <w:rPr>
          <w:rFonts w:ascii="Arial" w:cs="Arial" w:eastAsia="Arial" w:hAnsi="Arial"/>
          <w:sz w:val="9"/>
          <w:szCs w:val="9"/>
          <w:i w:val="1"/>
          <w:iCs w:val="1"/>
          <w:color w:val="auto"/>
        </w:rPr>
        <w:t>minus</w:t>
      </w:r>
      <w:r>
        <w:rPr>
          <w:rFonts w:ascii="Arial" w:cs="Arial" w:eastAsia="Arial" w:hAnsi="Arial"/>
          <w:sz w:val="9"/>
          <w:szCs w:val="9"/>
          <w:color w:val="auto"/>
        </w:rPr>
        <w:t xml:space="preserve"> Agreed Foreign Currency deposit in Principal Subaccount</w:t>
      </w:r>
    </w:p>
    <w:p>
      <w:pPr>
        <w:spacing w:after="0" w:line="70" w:lineRule="exact"/>
        <w:rPr>
          <w:rFonts w:ascii="Arial" w:cs="Arial" w:eastAsia="Arial" w:hAnsi="Arial"/>
          <w:sz w:val="9"/>
          <w:szCs w:val="9"/>
          <w:color w:val="auto"/>
        </w:rPr>
      </w:pPr>
    </w:p>
    <w:p>
      <w:pPr>
        <w:ind w:left="2000" w:hanging="156"/>
        <w:spacing w:after="0"/>
        <w:tabs>
          <w:tab w:leader="none" w:pos="2000" w:val="left"/>
        </w:tabs>
        <w:numPr>
          <w:ilvl w:val="3"/>
          <w:numId w:val="344"/>
        </w:numPr>
        <w:rPr>
          <w:rFonts w:ascii="Arial" w:cs="Arial" w:eastAsia="Arial" w:hAnsi="Arial"/>
          <w:sz w:val="11"/>
          <w:szCs w:val="11"/>
          <w:color w:val="auto"/>
        </w:rPr>
      </w:pPr>
      <w:r>
        <w:rPr>
          <w:rFonts w:ascii="Arial" w:cs="Arial" w:eastAsia="Arial" w:hAnsi="Arial"/>
          <w:sz w:val="11"/>
          <w:szCs w:val="11"/>
          <w:color w:val="auto"/>
        </w:rPr>
        <w:t xml:space="preserve">100% </w:t>
      </w:r>
      <w:r>
        <w:rPr>
          <w:rFonts w:ascii="Arial" w:cs="Arial" w:eastAsia="Arial" w:hAnsi="Arial"/>
          <w:sz w:val="11"/>
          <w:szCs w:val="11"/>
          <w:i w:val="1"/>
          <w:iCs w:val="1"/>
          <w:color w:val="auto"/>
        </w:rPr>
        <w:t>minus</w:t>
      </w:r>
      <w:r>
        <w:rPr>
          <w:rFonts w:ascii="Arial" w:cs="Arial" w:eastAsia="Arial" w:hAnsi="Arial"/>
          <w:sz w:val="11"/>
          <w:szCs w:val="11"/>
          <w:color w:val="auto"/>
        </w:rPr>
        <w:t xml:space="preserve"> the Maximum Advance Rate</w:t>
      </w:r>
    </w:p>
    <w:p>
      <w:pPr>
        <w:spacing w:after="0" w:line="278" w:lineRule="exact"/>
        <w:rPr>
          <w:rFonts w:ascii="Arial" w:cs="Arial" w:eastAsia="Arial" w:hAnsi="Arial"/>
          <w:sz w:val="11"/>
          <w:szCs w:val="11"/>
          <w:color w:val="auto"/>
        </w:rPr>
      </w:pPr>
    </w:p>
    <w:p>
      <w:pPr>
        <w:ind w:left="1560" w:hanging="148"/>
        <w:spacing w:after="0"/>
        <w:tabs>
          <w:tab w:leader="none" w:pos="1560" w:val="left"/>
        </w:tabs>
        <w:numPr>
          <w:ilvl w:val="1"/>
          <w:numId w:val="345"/>
        </w:numPr>
        <w:rPr>
          <w:rFonts w:ascii="Arial" w:cs="Arial" w:eastAsia="Arial" w:hAnsi="Arial"/>
          <w:sz w:val="11"/>
          <w:szCs w:val="11"/>
          <w:color w:val="auto"/>
        </w:rPr>
      </w:pPr>
      <w:r>
        <w:rPr>
          <w:rFonts w:ascii="Arial" w:cs="Arial" w:eastAsia="Arial" w:hAnsi="Arial"/>
          <w:sz w:val="11"/>
          <w:szCs w:val="11"/>
          <w:color w:val="auto"/>
        </w:rPr>
        <w:t xml:space="preserve">Calculation (i) </w:t>
      </w:r>
      <w:r>
        <w:rPr>
          <w:rFonts w:ascii="Arial" w:cs="Arial" w:eastAsia="Arial" w:hAnsi="Arial"/>
          <w:sz w:val="11"/>
          <w:szCs w:val="11"/>
          <w:i w:val="1"/>
          <w:iCs w:val="1"/>
          <w:color w:val="auto"/>
        </w:rPr>
        <w:t>minus</w:t>
      </w:r>
      <w:r>
        <w:rPr>
          <w:rFonts w:ascii="Arial" w:cs="Arial" w:eastAsia="Arial" w:hAnsi="Arial"/>
          <w:sz w:val="11"/>
          <w:szCs w:val="11"/>
          <w:color w:val="auto"/>
        </w:rPr>
        <w:t xml:space="preserve"> (ii)</w:t>
      </w:r>
    </w:p>
    <w:p>
      <w:pPr>
        <w:spacing w:after="0" w:line="9" w:lineRule="exact"/>
        <w:rPr>
          <w:rFonts w:ascii="Arial" w:cs="Arial" w:eastAsia="Arial" w:hAnsi="Arial"/>
          <w:sz w:val="11"/>
          <w:szCs w:val="11"/>
          <w:color w:val="auto"/>
        </w:rPr>
      </w:pPr>
    </w:p>
    <w:p>
      <w:pPr>
        <w:ind w:left="1760" w:hanging="132"/>
        <w:spacing w:after="0"/>
        <w:tabs>
          <w:tab w:leader="none" w:pos="1760" w:val="left"/>
        </w:tabs>
        <w:numPr>
          <w:ilvl w:val="2"/>
          <w:numId w:val="345"/>
        </w:numPr>
        <w:rPr>
          <w:rFonts w:ascii="Arial" w:cs="Arial" w:eastAsia="Arial" w:hAnsi="Arial"/>
          <w:sz w:val="11"/>
          <w:szCs w:val="11"/>
          <w:color w:val="auto"/>
        </w:rPr>
      </w:pPr>
      <w:r>
        <w:rPr>
          <w:rFonts w:ascii="Arial" w:cs="Arial" w:eastAsia="Arial" w:hAnsi="Arial"/>
          <w:sz w:val="11"/>
          <w:szCs w:val="11"/>
          <w:color w:val="auto"/>
        </w:rPr>
        <w:t>The Facility Amount</w:t>
      </w:r>
    </w:p>
    <w:p>
      <w:pPr>
        <w:spacing w:after="0" w:line="8" w:lineRule="exact"/>
        <w:rPr>
          <w:rFonts w:ascii="Arial" w:cs="Arial" w:eastAsia="Arial" w:hAnsi="Arial"/>
          <w:sz w:val="11"/>
          <w:szCs w:val="11"/>
          <w:color w:val="auto"/>
        </w:rPr>
      </w:pPr>
    </w:p>
    <w:p>
      <w:pPr>
        <w:ind w:left="1780" w:hanging="152"/>
        <w:spacing w:after="0"/>
        <w:tabs>
          <w:tab w:leader="none" w:pos="1780" w:val="left"/>
        </w:tabs>
        <w:numPr>
          <w:ilvl w:val="2"/>
          <w:numId w:val="345"/>
        </w:numPr>
        <w:rPr>
          <w:rFonts w:ascii="Arial" w:cs="Arial" w:eastAsia="Arial" w:hAnsi="Arial"/>
          <w:sz w:val="11"/>
          <w:szCs w:val="11"/>
          <w:color w:val="auto"/>
        </w:rPr>
      </w:pPr>
      <w:r>
        <w:rPr>
          <w:rFonts w:ascii="Arial" w:cs="Arial" w:eastAsia="Arial" w:hAnsi="Arial"/>
          <w:sz w:val="11"/>
          <w:szCs w:val="11"/>
          <w:color w:val="auto"/>
        </w:rPr>
        <w:t>The Aggregate Foreign Currency Borrowing Base</w:t>
      </w:r>
    </w:p>
    <w:p>
      <w:pPr>
        <w:spacing w:after="0" w:line="277" w:lineRule="exact"/>
        <w:rPr>
          <w:rFonts w:ascii="Arial" w:cs="Arial" w:eastAsia="Arial" w:hAnsi="Arial"/>
          <w:sz w:val="11"/>
          <w:szCs w:val="11"/>
          <w:color w:val="auto"/>
        </w:rPr>
      </w:pPr>
    </w:p>
    <w:p>
      <w:pPr>
        <w:ind w:left="1340" w:hanging="144"/>
        <w:spacing w:after="0"/>
        <w:tabs>
          <w:tab w:leader="none" w:pos="1340" w:val="left"/>
        </w:tabs>
        <w:numPr>
          <w:ilvl w:val="0"/>
          <w:numId w:val="346"/>
        </w:numPr>
        <w:rPr>
          <w:rFonts w:ascii="Arial" w:cs="Arial" w:eastAsia="Arial" w:hAnsi="Arial"/>
          <w:sz w:val="11"/>
          <w:szCs w:val="11"/>
          <w:color w:val="auto"/>
        </w:rPr>
      </w:pPr>
      <w:r>
        <w:rPr>
          <w:rFonts w:ascii="Arial" w:cs="Arial" w:eastAsia="Arial" w:hAnsi="Arial"/>
          <w:sz w:val="11"/>
          <w:szCs w:val="11"/>
          <w:color w:val="auto"/>
        </w:rPr>
        <w:t>The Foreign Currency Variability Reserve</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(vi) Foreign Currency Advance Test (satisfied if A is less than or equal to B)</w:t>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408305</wp:posOffset>
            </wp:positionV>
            <wp:extent cx="1139825" cy="3511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139825" cy="3511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-71120</wp:posOffset>
            </wp:positionV>
            <wp:extent cx="574675" cy="946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7467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20"/>
        <w:spacing w:after="0"/>
        <w:rPr>
          <w:sz w:val="20"/>
          <w:szCs w:val="20"/>
          <w:color w:val="auto"/>
        </w:rPr>
      </w:pPr>
      <w:r>
        <w:rPr>
          <w:rFonts w:ascii="Arial" w:cs="Arial" w:eastAsia="Arial" w:hAnsi="Arial"/>
          <w:sz w:val="11"/>
          <w:szCs w:val="11"/>
          <w:color w:val="auto"/>
        </w:rPr>
        <w:t>(i)</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1"/>
          <w:szCs w:val="1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92075</wp:posOffset>
            </wp:positionV>
            <wp:extent cx="1705610" cy="5226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05610" cy="52260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(m)</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1"/>
          <w:szCs w:val="11"/>
          <w:color w:val="auto"/>
        </w:rPr>
        <w:t>(iii)</w:t>
      </w:r>
    </w:p>
    <w:p>
      <w:pPr>
        <w:spacing w:after="0" w:line="3" w:lineRule="exact"/>
        <w:rPr>
          <w:sz w:val="20"/>
          <w:szCs w:val="20"/>
          <w:color w:val="auto"/>
        </w:rPr>
      </w:pPr>
    </w:p>
    <w:p>
      <w:pPr>
        <w:ind w:left="920"/>
        <w:spacing w:after="0"/>
        <w:rPr>
          <w:sz w:val="20"/>
          <w:szCs w:val="20"/>
          <w:color w:val="auto"/>
        </w:rPr>
      </w:pPr>
      <w:r>
        <w:rPr>
          <w:rFonts w:ascii="Arial" w:cs="Arial" w:eastAsia="Arial" w:hAnsi="Arial"/>
          <w:sz w:val="11"/>
          <w:szCs w:val="11"/>
          <w:color w:val="auto"/>
        </w:rPr>
        <w:t>(x)</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1"/>
          <w:szCs w:val="1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-73660</wp:posOffset>
            </wp:positionV>
            <wp:extent cx="2271395" cy="6172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271395" cy="6172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(ii)</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1"/>
          <w:szCs w:val="11"/>
          <w:color w:val="auto"/>
        </w:rPr>
        <w:t>(y)</w:t>
      </w:r>
    </w:p>
    <w:p>
      <w:pPr>
        <w:spacing w:after="0" w:line="3" w:lineRule="exact"/>
        <w:rPr>
          <w:sz w:val="20"/>
          <w:szCs w:val="20"/>
          <w:color w:val="auto"/>
        </w:rPr>
      </w:pPr>
    </w:p>
    <w:p>
      <w:pPr>
        <w:ind w:left="920"/>
        <w:spacing w:after="0"/>
        <w:rPr>
          <w:sz w:val="20"/>
          <w:szCs w:val="20"/>
          <w:color w:val="auto"/>
        </w:rPr>
      </w:pPr>
      <w:r>
        <w:rPr>
          <w:rFonts w:ascii="Arial" w:cs="Arial" w:eastAsia="Arial" w:hAnsi="Arial"/>
          <w:sz w:val="11"/>
          <w:szCs w:val="11"/>
          <w:color w:val="auto"/>
        </w:rPr>
        <w:t>(a)</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1"/>
          <w:szCs w:val="11"/>
          <w:color w:val="auto"/>
        </w:rPr>
        <w:t>(b)</w:t>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11"/>
          <w:szCs w:val="11"/>
          <w:b w:val="1"/>
          <w:bCs w:val="1"/>
          <w:color w:val="auto"/>
        </w:rPr>
        <w:t>(B)</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YES/NO</w:t>
      </w:r>
    </w:p>
    <w:p>
      <w:pPr>
        <w:spacing w:after="0" w:line="507" w:lineRule="exact"/>
        <w:rPr>
          <w:sz w:val="20"/>
          <w:szCs w:val="20"/>
          <w:color w:val="auto"/>
        </w:rPr>
      </w:pPr>
    </w:p>
    <w:p>
      <w:pPr>
        <w:sectPr>
          <w:pgSz w:w="11900" w:h="16838" w:orient="portrait"/>
          <w:cols w:equalWidth="0" w:num="2">
            <w:col w:w="6480" w:space="720"/>
            <w:col w:w="3780"/>
          </w:cols>
          <w:pgMar w:left="320" w:top="274" w:right="599" w:bottom="1440" w:gutter="0" w:footer="0" w:header="0"/>
          <w:type w:val="continuous"/>
        </w:sectPr>
      </w:pPr>
    </w:p>
    <w:p>
      <w:pPr>
        <w:ind w:left="840"/>
        <w:spacing w:after="0"/>
        <w:tabs>
          <w:tab w:leader="none" w:pos="8980" w:val="left"/>
        </w:tabs>
        <w:rPr>
          <w:sz w:val="20"/>
          <w:szCs w:val="20"/>
          <w:color w:val="auto"/>
        </w:rPr>
      </w:pPr>
      <w:r>
        <w:rPr>
          <w:rFonts w:ascii="Arial" w:cs="Arial" w:eastAsia="Arial" w:hAnsi="Arial"/>
          <w:sz w:val="11"/>
          <w:szCs w:val="11"/>
          <w:color w:val="auto"/>
        </w:rPr>
        <w:t>(A) Dollar Equivalent of all advances denominated in Foreign Currencies</w:t>
      </w:r>
      <w:r>
        <w:rPr>
          <w:sz w:val="20"/>
          <w:szCs w:val="20"/>
          <w:color w:val="auto"/>
        </w:rPr>
        <w:tab/>
      </w:r>
      <w:r>
        <w:rPr>
          <w:rFonts w:ascii="Arial" w:cs="Arial" w:eastAsia="Arial" w:hAnsi="Arial"/>
          <w:sz w:val="10"/>
          <w:szCs w:val="10"/>
          <w:color w:val="auto"/>
        </w:rPr>
        <w:t>(A)</w:t>
      </w:r>
    </w:p>
    <w:p>
      <w:pPr>
        <w:spacing w:after="0" w:line="144" w:lineRule="exact"/>
        <w:rPr>
          <w:sz w:val="20"/>
          <w:szCs w:val="20"/>
          <w:color w:val="auto"/>
        </w:rPr>
      </w:pPr>
    </w:p>
    <w:p>
      <w:pPr>
        <w:ind w:left="840"/>
        <w:spacing w:after="0"/>
        <w:tabs>
          <w:tab w:leader="none" w:pos="8980" w:val="left"/>
        </w:tabs>
        <w:rPr>
          <w:sz w:val="20"/>
          <w:szCs w:val="20"/>
          <w:color w:val="auto"/>
        </w:rPr>
      </w:pPr>
      <w:r>
        <w:rPr>
          <w:rFonts w:ascii="Arial" w:cs="Arial" w:eastAsia="Arial" w:hAnsi="Arial"/>
          <w:sz w:val="11"/>
          <w:szCs w:val="11"/>
          <w:color w:val="auto"/>
        </w:rPr>
        <w:t>(B) 15% of the Maximum Available Amount</w:t>
      </w:r>
      <w:r>
        <w:rPr>
          <w:sz w:val="20"/>
          <w:szCs w:val="20"/>
          <w:color w:val="auto"/>
        </w:rPr>
        <w:tab/>
      </w:r>
      <w:r>
        <w:rPr>
          <w:rFonts w:ascii="Arial" w:cs="Arial" w:eastAsia="Arial" w:hAnsi="Arial"/>
          <w:sz w:val="10"/>
          <w:szCs w:val="10"/>
          <w:color w:val="auto"/>
        </w:rPr>
        <w:t>(B)</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COMPLIANCE?</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COMPLIANCE (CURRENCY BORROWING BASE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149465" cy="1974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99695</wp:posOffset>
            </wp:positionV>
            <wp:extent cx="582930" cy="11112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82930" cy="11112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-88265</wp:posOffset>
            </wp:positionV>
            <wp:extent cx="582930" cy="1111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82930" cy="11112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-250825</wp:posOffset>
            </wp:positionV>
            <wp:extent cx="574675" cy="939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74675" cy="9398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-422275</wp:posOffset>
            </wp:positionV>
            <wp:extent cx="574675" cy="939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74675" cy="9398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YES/NO</w:t>
      </w:r>
    </w:p>
    <w:p>
      <w:pPr>
        <w:spacing w:after="0" w:line="200" w:lineRule="exact"/>
        <w:rPr>
          <w:sz w:val="20"/>
          <w:szCs w:val="20"/>
          <w:color w:val="auto"/>
        </w:rPr>
      </w:pPr>
    </w:p>
    <w:p>
      <w:pPr>
        <w:sectPr>
          <w:pgSz w:w="11900" w:h="16838" w:orient="portrait"/>
          <w:cols w:equalWidth="0" w:num="2">
            <w:col w:w="9840" w:space="720"/>
            <w:col w:w="420"/>
          </w:cols>
          <w:pgMar w:left="320" w:top="274" w:right="599" w:bottom="1440" w:gutter="0" w:footer="0" w:header="0"/>
          <w:type w:val="continuous"/>
        </w:sectPr>
      </w:pPr>
    </w:p>
    <w:p>
      <w:pPr>
        <w:spacing w:after="0" w:line="92"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Availability and Outstanding:</w:t>
      </w:r>
    </w:p>
    <w:p>
      <w:pPr>
        <w:spacing w:after="0" w:line="272" w:lineRule="exact"/>
        <w:rPr>
          <w:sz w:val="20"/>
          <w:szCs w:val="20"/>
          <w:color w:val="auto"/>
        </w:rPr>
      </w:pPr>
    </w:p>
    <w:tbl>
      <w:tblPr>
        <w:tblLayout w:type="fixed"/>
        <w:tblInd w:w="250" w:type="dxa"/>
        <w:tblCellMar>
          <w:top w:w="0" w:type="dxa"/>
          <w:left w:w="0" w:type="dxa"/>
          <w:bottom w:w="0" w:type="dxa"/>
          <w:right w:w="0" w:type="dxa"/>
        </w:tblCellMar>
      </w:tblPr>
      <w:tr>
        <w:trPr>
          <w:trHeight w:val="135"/>
        </w:trPr>
        <w:tc>
          <w:tcPr>
            <w:tcW w:w="700" w:type="dxa"/>
            <w:vAlign w:val="bottom"/>
            <w:tcBorders>
              <w:bottom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c>
          <w:tcPr>
            <w:tcW w:w="162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color w:val="auto"/>
              </w:rPr>
              <w:t>In USD</w:t>
            </w:r>
          </w:p>
        </w:tc>
        <w:tc>
          <w:tcPr>
            <w:tcW w:w="1280" w:type="dxa"/>
            <w:vAlign w:val="bottom"/>
            <w:tcBorders>
              <w:top w:val="single" w:sz="8" w:color="auto"/>
              <w:bottom w:val="single" w:sz="8" w:color="auto"/>
              <w:right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1"/>
                <w:szCs w:val="11"/>
                <w:color w:val="auto"/>
                <w:w w:val="95"/>
              </w:rPr>
              <w:t>In Local Currency</w:t>
            </w:r>
          </w:p>
        </w:tc>
        <w:tc>
          <w:tcPr>
            <w:tcW w:w="940" w:type="dxa"/>
            <w:vAlign w:val="bottom"/>
            <w:tcBorders>
              <w:top w:val="single" w:sz="8" w:color="auto"/>
              <w:bottom w:val="single" w:sz="8" w:color="auto"/>
              <w:right w:val="single" w:sz="8" w:color="auto"/>
            </w:tcBorders>
          </w:tcPr>
          <w:p>
            <w:pPr>
              <w:spacing w:after="0"/>
              <w:rPr>
                <w:sz w:val="11"/>
                <w:szCs w:val="11"/>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Currency</w:t>
            </w:r>
          </w:p>
        </w:tc>
        <w:tc>
          <w:tcPr>
            <w:tcW w:w="2480" w:type="dxa"/>
            <w:vAlign w:val="bottom"/>
            <w:tcBorders>
              <w:bottom w:val="single" w:sz="8" w:color="auto"/>
              <w:right w:val="single" w:sz="8" w:color="auto"/>
            </w:tcBorders>
          </w:tcPr>
          <w:p>
            <w:pPr>
              <w:ind w:left="720"/>
              <w:spacing w:after="0" w:line="115" w:lineRule="exact"/>
              <w:rPr>
                <w:sz w:val="20"/>
                <w:szCs w:val="20"/>
                <w:color w:val="auto"/>
              </w:rPr>
            </w:pPr>
            <w:r>
              <w:rPr>
                <w:rFonts w:ascii="Arial" w:cs="Arial" w:eastAsia="Arial" w:hAnsi="Arial"/>
                <w:sz w:val="11"/>
                <w:szCs w:val="11"/>
                <w:color w:val="auto"/>
              </w:rPr>
              <w:t>Exchange Rate (FX/USD)</w:t>
            </w:r>
          </w:p>
        </w:tc>
        <w:tc>
          <w:tcPr>
            <w:tcW w:w="1620" w:type="dxa"/>
            <w:vAlign w:val="bottom"/>
            <w:tcBorders>
              <w:bottom w:val="single" w:sz="8" w:color="auto"/>
              <w:right w:val="single" w:sz="8" w:color="auto"/>
            </w:tcBorders>
          </w:tcPr>
          <w:p>
            <w:pPr>
              <w:ind w:left="480"/>
              <w:spacing w:after="0" w:line="115" w:lineRule="exact"/>
              <w:rPr>
                <w:sz w:val="20"/>
                <w:szCs w:val="20"/>
                <w:color w:val="auto"/>
              </w:rPr>
            </w:pPr>
            <w:r>
              <w:rPr>
                <w:rFonts w:ascii="Arial" w:cs="Arial" w:eastAsia="Arial" w:hAnsi="Arial"/>
                <w:sz w:val="11"/>
                <w:szCs w:val="11"/>
                <w:color w:val="auto"/>
              </w:rPr>
              <w:t>Max Availability</w:t>
            </w:r>
          </w:p>
        </w:tc>
        <w:tc>
          <w:tcPr>
            <w:tcW w:w="1260" w:type="dxa"/>
            <w:vAlign w:val="bottom"/>
            <w:tcBorders>
              <w:bottom w:val="single" w:sz="8" w:color="auto"/>
              <w:right w:val="single" w:sz="8" w:color="auto"/>
            </w:tcBorders>
          </w:tcPr>
          <w:p>
            <w:pPr>
              <w:ind w:left="400"/>
              <w:spacing w:after="0" w:line="115" w:lineRule="exact"/>
              <w:rPr>
                <w:sz w:val="20"/>
                <w:szCs w:val="20"/>
                <w:color w:val="auto"/>
              </w:rPr>
            </w:pPr>
            <w:r>
              <w:rPr>
                <w:rFonts w:ascii="Arial" w:cs="Arial" w:eastAsia="Arial" w:hAnsi="Arial"/>
                <w:sz w:val="11"/>
                <w:szCs w:val="11"/>
                <w:color w:val="auto"/>
              </w:rPr>
              <w:t>Outstanding</w:t>
            </w:r>
          </w:p>
        </w:tc>
        <w:tc>
          <w:tcPr>
            <w:tcW w:w="1280" w:type="dxa"/>
            <w:vAlign w:val="bottom"/>
            <w:tcBorders>
              <w:bottom w:val="single" w:sz="8" w:color="auto"/>
              <w:right w:val="single" w:sz="8" w:color="auto"/>
            </w:tcBorders>
          </w:tcPr>
          <w:p>
            <w:pPr>
              <w:ind w:left="280"/>
              <w:spacing w:after="0" w:line="115" w:lineRule="exact"/>
              <w:rPr>
                <w:sz w:val="20"/>
                <w:szCs w:val="20"/>
                <w:color w:val="auto"/>
              </w:rPr>
            </w:pPr>
            <w:r>
              <w:rPr>
                <w:rFonts w:ascii="Arial" w:cs="Arial" w:eastAsia="Arial" w:hAnsi="Arial"/>
                <w:sz w:val="11"/>
                <w:szCs w:val="11"/>
                <w:color w:val="auto"/>
              </w:rPr>
              <w:t>Available to Draw</w:t>
            </w:r>
          </w:p>
        </w:tc>
        <w:tc>
          <w:tcPr>
            <w:tcW w:w="940" w:type="dxa"/>
            <w:vAlign w:val="bottom"/>
            <w:tcBorders>
              <w:bottom w:val="single" w:sz="8" w:color="auto"/>
              <w:right w:val="single" w:sz="8" w:color="auto"/>
            </w:tcBorders>
          </w:tcPr>
          <w:p>
            <w:pPr>
              <w:ind w:left="140"/>
              <w:spacing w:after="0" w:line="115" w:lineRule="exact"/>
              <w:rPr>
                <w:sz w:val="20"/>
                <w:szCs w:val="20"/>
                <w:color w:val="auto"/>
              </w:rPr>
            </w:pPr>
            <w:r>
              <w:rPr>
                <w:rFonts w:ascii="Arial" w:cs="Arial" w:eastAsia="Arial" w:hAnsi="Arial"/>
                <w:sz w:val="11"/>
                <w:szCs w:val="11"/>
                <w:color w:val="auto"/>
              </w:rPr>
              <w:t>Max Availability</w:t>
            </w:r>
          </w:p>
        </w:tc>
        <w:tc>
          <w:tcPr>
            <w:tcW w:w="840" w:type="dxa"/>
            <w:vAlign w:val="bottom"/>
            <w:tcBorders>
              <w:bottom w:val="single" w:sz="8" w:color="auto"/>
              <w:right w:val="single" w:sz="8" w:color="auto"/>
            </w:tcBorders>
          </w:tcPr>
          <w:p>
            <w:pPr>
              <w:ind w:left="180"/>
              <w:spacing w:after="0" w:line="115" w:lineRule="exact"/>
              <w:rPr>
                <w:sz w:val="20"/>
                <w:szCs w:val="20"/>
                <w:color w:val="auto"/>
              </w:rPr>
            </w:pPr>
            <w:r>
              <w:rPr>
                <w:rFonts w:ascii="Arial" w:cs="Arial" w:eastAsia="Arial" w:hAnsi="Arial"/>
                <w:sz w:val="11"/>
                <w:szCs w:val="11"/>
                <w:color w:val="auto"/>
              </w:rPr>
              <w:t>Outstanding</w:t>
            </w: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ind w:left="60"/>
              <w:spacing w:after="0" w:line="115" w:lineRule="exact"/>
              <w:rPr>
                <w:sz w:val="20"/>
                <w:szCs w:val="20"/>
                <w:color w:val="auto"/>
              </w:rPr>
            </w:pPr>
            <w:r>
              <w:rPr>
                <w:rFonts w:ascii="Arial" w:cs="Arial" w:eastAsia="Arial" w:hAnsi="Arial"/>
                <w:sz w:val="11"/>
                <w:szCs w:val="11"/>
                <w:color w:val="auto"/>
                <w:w w:val="98"/>
              </w:rPr>
              <w:t>Available to Draw</w:t>
            </w: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USD</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GBP</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AUD</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EUR</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15"/>
        </w:trPr>
        <w:tc>
          <w:tcPr>
            <w:tcW w:w="700" w:type="dxa"/>
            <w:vAlign w:val="bottom"/>
            <w:tcBorders>
              <w:left w:val="single" w:sz="8" w:color="auto"/>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CAD</w:t>
            </w:r>
          </w:p>
        </w:tc>
        <w:tc>
          <w:tcPr>
            <w:tcW w:w="24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0980"/>
          </w:cols>
          <w:pgMar w:left="320" w:top="274" w:right="599" w:bottom="1440" w:gutter="0" w:footer="0" w:header="0"/>
          <w:type w:val="continuous"/>
        </w:sectPr>
      </w:pPr>
    </w:p>
    <w:bookmarkStart w:id="258" w:name="page259"/>
    <w:bookmarkEnd w:id="258"/>
    <w:p>
      <w:pPr>
        <w:jc w:val="center"/>
        <w:ind w:left="15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7"/>
          <w:szCs w:val="17"/>
          <w:b w:val="1"/>
          <w:bCs w:val="1"/>
          <w:color w:val="auto"/>
        </w:rPr>
        <w:t>CHEDULE</w:t>
      </w:r>
      <w:r>
        <w:rPr>
          <w:rFonts w:ascii="Arial" w:cs="Arial" w:eastAsia="Arial" w:hAnsi="Arial"/>
          <w:sz w:val="22"/>
          <w:szCs w:val="22"/>
          <w:b w:val="1"/>
          <w:bCs w:val="1"/>
          <w:color w:val="auto"/>
        </w:rPr>
        <w:t xml:space="preserve"> II</w:t>
      </w:r>
    </w:p>
    <w:p>
      <w:pPr>
        <w:spacing w:after="0" w:line="14"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21"/>
          <w:szCs w:val="21"/>
          <w:b w:val="1"/>
          <w:bCs w:val="1"/>
          <w:color w:val="auto"/>
        </w:rPr>
        <w:t>T</w:t>
      </w:r>
      <w:r>
        <w:rPr>
          <w:rFonts w:ascii="Arial" w:cs="Arial" w:eastAsia="Arial" w:hAnsi="Arial"/>
          <w:sz w:val="18"/>
          <w:szCs w:val="18"/>
          <w:b w:val="1"/>
          <w:bCs w:val="1"/>
          <w:color w:val="auto"/>
        </w:rPr>
        <w:t xml:space="preserve">HIRD </w:t>
      </w:r>
      <w:r>
        <w:rPr>
          <w:rFonts w:ascii="Arial" w:cs="Arial" w:eastAsia="Arial" w:hAnsi="Arial"/>
          <w:sz w:val="21"/>
          <w:szCs w:val="21"/>
          <w:b w:val="1"/>
          <w:bCs w:val="1"/>
          <w:color w:val="auto"/>
        </w:rPr>
        <w:t>R</w:t>
      </w:r>
      <w:r>
        <w:rPr>
          <w:rFonts w:ascii="Arial" w:cs="Arial" w:eastAsia="Arial" w:hAnsi="Arial"/>
          <w:sz w:val="18"/>
          <w:szCs w:val="18"/>
          <w:b w:val="1"/>
          <w:bCs w:val="1"/>
          <w:color w:val="auto"/>
        </w:rPr>
        <w:t xml:space="preserve">ESTATEMENT </w:t>
      </w:r>
      <w:r>
        <w:rPr>
          <w:rFonts w:ascii="Arial" w:cs="Arial" w:eastAsia="Arial" w:hAnsi="Arial"/>
          <w:sz w:val="21"/>
          <w:szCs w:val="21"/>
          <w:b w:val="1"/>
          <w:bCs w:val="1"/>
          <w:color w:val="auto"/>
        </w:rPr>
        <w:t>E</w:t>
      </w:r>
      <w:r>
        <w:rPr>
          <w:rFonts w:ascii="Arial" w:cs="Arial" w:eastAsia="Arial" w:hAnsi="Arial"/>
          <w:sz w:val="18"/>
          <w:szCs w:val="18"/>
          <w:b w:val="1"/>
          <w:bCs w:val="1"/>
          <w:color w:val="auto"/>
        </w:rPr>
        <w:t xml:space="preserve">FFECTIVE </w:t>
      </w:r>
      <w:r>
        <w:rPr>
          <w:rFonts w:ascii="Arial" w:cs="Arial" w:eastAsia="Arial" w:hAnsi="Arial"/>
          <w:sz w:val="21"/>
          <w:szCs w:val="21"/>
          <w:b w:val="1"/>
          <w:bCs w:val="1"/>
          <w:color w:val="auto"/>
        </w:rPr>
        <w:t>D</w:t>
      </w:r>
      <w:r>
        <w:rPr>
          <w:rFonts w:ascii="Arial" w:cs="Arial" w:eastAsia="Arial" w:hAnsi="Arial"/>
          <w:sz w:val="18"/>
          <w:szCs w:val="18"/>
          <w:b w:val="1"/>
          <w:bCs w:val="1"/>
          <w:color w:val="auto"/>
        </w:rPr>
        <w:t xml:space="preserve">ATE </w:t>
      </w:r>
      <w:r>
        <w:rPr>
          <w:rFonts w:ascii="Arial" w:cs="Arial" w:eastAsia="Arial" w:hAnsi="Arial"/>
          <w:sz w:val="21"/>
          <w:szCs w:val="21"/>
          <w:b w:val="1"/>
          <w:bCs w:val="1"/>
          <w:color w:val="auto"/>
        </w:rPr>
        <w:t>C</w:t>
      </w:r>
      <w:r>
        <w:rPr>
          <w:rFonts w:ascii="Arial" w:cs="Arial" w:eastAsia="Arial" w:hAnsi="Arial"/>
          <w:sz w:val="18"/>
          <w:szCs w:val="18"/>
          <w:b w:val="1"/>
          <w:bCs w:val="1"/>
          <w:color w:val="auto"/>
        </w:rPr>
        <w:t xml:space="preserve">LOSING </w:t>
      </w:r>
      <w:r>
        <w:rPr>
          <w:rFonts w:ascii="Arial" w:cs="Arial" w:eastAsia="Arial" w:hAnsi="Arial"/>
          <w:sz w:val="21"/>
          <w:szCs w:val="21"/>
          <w:b w:val="1"/>
          <w:bCs w:val="1"/>
          <w:color w:val="auto"/>
        </w:rPr>
        <w:t>C</w:t>
      </w:r>
      <w:r>
        <w:rPr>
          <w:rFonts w:ascii="Arial" w:cs="Arial" w:eastAsia="Arial" w:hAnsi="Arial"/>
          <w:sz w:val="18"/>
          <w:szCs w:val="18"/>
          <w:b w:val="1"/>
          <w:bCs w:val="1"/>
          <w:color w:val="auto"/>
        </w:rPr>
        <w:t>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157480</wp:posOffset>
            </wp:positionV>
            <wp:extent cx="7132320" cy="3346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32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FFFFFF"/>
        </w:rPr>
        <w:t>Matrix Selection and Compliance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Matrix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-142875</wp:posOffset>
            </wp:positionV>
            <wp:extent cx="643255" cy="1714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43255" cy="171450"/>
                    </a:xfrm>
                    <a:prstGeom prst="rect">
                      <a:avLst/>
                    </a:prstGeom>
                    <a:noFill/>
                  </pic:spPr>
                </pic:pic>
              </a:graphicData>
            </a:graphic>
          </wp:anchor>
        </w:drawing>
      </w:r>
    </w:p>
    <w:p>
      <w:pPr>
        <w:spacing w:after="0" w:line="204" w:lineRule="exact"/>
        <w:rPr>
          <w:sz w:val="20"/>
          <w:szCs w:val="20"/>
          <w:color w:val="auto"/>
        </w:rPr>
      </w:pPr>
    </w:p>
    <w:p>
      <w:pPr>
        <w:jc w:val="both"/>
        <w:ind w:left="7420"/>
        <w:spacing w:after="0"/>
        <w:tabs>
          <w:tab w:leader="none" w:pos="8520" w:val="left"/>
        </w:tabs>
        <w:rPr>
          <w:sz w:val="20"/>
          <w:szCs w:val="20"/>
          <w:color w:val="auto"/>
        </w:rPr>
      </w:pPr>
      <w:r>
        <w:rPr>
          <w:rFonts w:ascii="Arial" w:cs="Arial" w:eastAsia="Arial" w:hAnsi="Arial"/>
          <w:sz w:val="20"/>
          <w:szCs w:val="20"/>
          <w:b w:val="1"/>
          <w:bCs w:val="1"/>
          <w:color w:val="auto"/>
        </w:rPr>
        <w:t>Current</w:t>
      </w:r>
      <w:r>
        <w:rPr>
          <w:sz w:val="20"/>
          <w:szCs w:val="20"/>
          <w:color w:val="auto"/>
        </w:rPr>
        <w:tab/>
      </w:r>
      <w:r>
        <w:rPr>
          <w:rFonts w:ascii="Arial" w:cs="Arial" w:eastAsia="Arial" w:hAnsi="Arial"/>
          <w:sz w:val="20"/>
          <w:szCs w:val="20"/>
          <w:b w:val="1"/>
          <w:bCs w:val="1"/>
          <w:color w:val="auto"/>
        </w:rPr>
        <w:t>Applicable</w:t>
      </w:r>
    </w:p>
    <w:p>
      <w:pPr>
        <w:spacing w:after="0" w:line="22" w:lineRule="exact"/>
        <w:rPr>
          <w:sz w:val="20"/>
          <w:szCs w:val="20"/>
          <w:color w:val="auto"/>
        </w:rPr>
      </w:pPr>
    </w:p>
    <w:p>
      <w:pPr>
        <w:ind w:left="8760"/>
        <w:spacing w:after="0"/>
        <w:rPr>
          <w:sz w:val="20"/>
          <w:szCs w:val="20"/>
          <w:color w:val="auto"/>
        </w:rPr>
      </w:pPr>
      <w:r>
        <w:rPr>
          <w:rFonts w:ascii="Arial" w:cs="Arial" w:eastAsia="Arial" w:hAnsi="Arial"/>
          <w:sz w:val="20"/>
          <w:szCs w:val="20"/>
          <w:b w:val="1"/>
          <w:bCs w:val="1"/>
          <w:color w:val="auto"/>
        </w:rPr>
        <w:t>Limit</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Advance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-142875</wp:posOffset>
            </wp:positionV>
            <wp:extent cx="1594485" cy="1714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594485" cy="1714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Weighted Average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-142875</wp:posOffset>
            </wp:positionV>
            <wp:extent cx="1594485" cy="1714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594485" cy="17145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Diversity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-142875</wp:posOffset>
            </wp:positionV>
            <wp:extent cx="1594485" cy="1714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594485" cy="1714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Obligor Concentration</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Largest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-158115</wp:posOffset>
            </wp:positionV>
            <wp:extent cx="1594485" cy="13112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594485" cy="131127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Second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Third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Fourth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Fifth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Sixth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Seventh Largest Obligor</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All Others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Ratings Limitations</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Percentage of Aggregate Collateral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-151765</wp:posOffset>
            </wp:positionV>
            <wp:extent cx="1594485" cy="3257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94485" cy="3257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rated B/B2 or better</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Loan Types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Senior B and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-158115</wp:posOffset>
            </wp:positionV>
            <wp:extent cx="1594485" cy="3346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594485" cy="33464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Second Lien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-151130</wp:posOffset>
            </wp:positionV>
            <wp:extent cx="796925" cy="1714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969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-151130</wp:posOffset>
            </wp:positionV>
            <wp:extent cx="796925" cy="1714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969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0000"/>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-151130</wp:posOffset>
            </wp:positionV>
            <wp:extent cx="796925" cy="3257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96925" cy="325755"/>
                    </a:xfrm>
                    <a:prstGeom prst="rect">
                      <a:avLst/>
                    </a:prstGeom>
                    <a:noFill/>
                  </pic:spPr>
                </pic:pic>
              </a:graphicData>
            </a:graphic>
          </wp:anchor>
        </w:drawing>
      </w:r>
    </w:p>
    <w:p>
      <w:pPr>
        <w:sectPr>
          <w:pgSz w:w="11900" w:h="16838" w:orient="portrait"/>
          <w:cols w:equalWidth="0" w:num="2">
            <w:col w:w="9460" w:space="600"/>
            <w:col w:w="1000"/>
          </w:cols>
          <w:pgMar w:left="440" w:top="261" w:right="399" w:bottom="1440" w:gutter="0" w:footer="0" w:header="0"/>
        </w:sectPr>
      </w:pPr>
    </w:p>
    <w:bookmarkStart w:id="259" w:name="page260"/>
    <w:bookmarkEnd w:id="259"/>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204" w:lineRule="exact"/>
        <w:rPr>
          <w:sz w:val="20"/>
          <w:szCs w:val="20"/>
          <w:color w:val="auto"/>
        </w:rPr>
      </w:pPr>
    </w:p>
    <w:p>
      <w:pPr>
        <w:ind w:left="480" w:hanging="135"/>
        <w:spacing w:after="0"/>
        <w:tabs>
          <w:tab w:leader="none" w:pos="480" w:val="left"/>
        </w:tabs>
        <w:numPr>
          <w:ilvl w:val="0"/>
          <w:numId w:val="34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203" w:lineRule="exact"/>
        <w:rPr>
          <w:rFonts w:ascii="Arial" w:cs="Arial" w:eastAsia="Arial" w:hAnsi="Arial"/>
          <w:sz w:val="14"/>
          <w:szCs w:val="14"/>
          <w:color w:val="auto"/>
        </w:rPr>
      </w:pPr>
    </w:p>
    <w:p>
      <w:pPr>
        <w:ind w:right="500" w:firstLine="345"/>
        <w:spacing w:after="0" w:line="253" w:lineRule="auto"/>
        <w:tabs>
          <w:tab w:leader="none" w:pos="481" w:val="left"/>
        </w:tabs>
        <w:numPr>
          <w:ilvl w:val="0"/>
          <w:numId w:val="3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4"/>
          <w:szCs w:val="14"/>
          <w:color w:val="auto"/>
        </w:rPr>
      </w:pPr>
    </w:p>
    <w:p>
      <w:pPr>
        <w:ind w:right="580" w:firstLine="345"/>
        <w:spacing w:after="0" w:line="253" w:lineRule="auto"/>
        <w:tabs>
          <w:tab w:leader="none" w:pos="481" w:val="left"/>
        </w:tabs>
        <w:numPr>
          <w:ilvl w:val="0"/>
          <w:numId w:val="3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4"/>
          <w:szCs w:val="14"/>
          <w:color w:val="auto"/>
        </w:rPr>
      </w:pPr>
    </w:p>
    <w:p>
      <w:pPr>
        <w:ind w:right="180" w:firstLine="345"/>
        <w:spacing w:after="0" w:line="253" w:lineRule="auto"/>
        <w:tabs>
          <w:tab w:leader="none" w:pos="481" w:val="left"/>
        </w:tabs>
        <w:numPr>
          <w:ilvl w:val="0"/>
          <w:numId w:val="34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4"/>
          <w:szCs w:val="14"/>
          <w:color w:val="auto"/>
        </w:rPr>
      </w:pPr>
    </w:p>
    <w:p>
      <w:pPr>
        <w:jc w:val="both"/>
        <w:ind w:right="260" w:firstLine="794"/>
        <w:spacing w:after="0" w:line="335" w:lineRule="auto"/>
        <w:tabs>
          <w:tab w:leader="none" w:pos="934" w:val="left"/>
        </w:tabs>
        <w:numPr>
          <w:ilvl w:val="1"/>
          <w:numId w:val="34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34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5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3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34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3"/>
          <w:szCs w:val="13"/>
          <w:color w:val="auto"/>
        </w:rPr>
      </w:pPr>
    </w:p>
    <w:p>
      <w:pPr>
        <w:ind w:right="340" w:firstLine="345"/>
        <w:spacing w:after="0" w:line="253" w:lineRule="auto"/>
        <w:tabs>
          <w:tab w:leader="none" w:pos="481" w:val="left"/>
        </w:tabs>
        <w:numPr>
          <w:ilvl w:val="0"/>
          <w:numId w:val="34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3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right="600" w:firstLine="794"/>
        <w:spacing w:after="0" w:line="563" w:lineRule="auto"/>
        <w:tabs>
          <w:tab w:leader="none" w:pos="934" w:val="left"/>
        </w:tabs>
        <w:numPr>
          <w:ilvl w:val="1"/>
          <w:numId w:val="3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August 6, 2015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204" w:lineRule="exact"/>
        <w:rPr>
          <w:sz w:val="20"/>
          <w:szCs w:val="20"/>
          <w:color w:val="auto"/>
        </w:rPr>
      </w:pPr>
    </w:p>
    <w:p>
      <w:pPr>
        <w:ind w:left="480" w:hanging="135"/>
        <w:spacing w:after="0"/>
        <w:tabs>
          <w:tab w:leader="none" w:pos="480" w:val="left"/>
        </w:tabs>
        <w:numPr>
          <w:ilvl w:val="0"/>
          <w:numId w:val="34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203" w:lineRule="exact"/>
        <w:rPr>
          <w:rFonts w:ascii="Arial" w:cs="Arial" w:eastAsia="Arial" w:hAnsi="Arial"/>
          <w:sz w:val="14"/>
          <w:szCs w:val="14"/>
          <w:color w:val="auto"/>
        </w:rPr>
      </w:pPr>
    </w:p>
    <w:p>
      <w:pPr>
        <w:ind w:right="500" w:firstLine="345"/>
        <w:spacing w:after="0" w:line="253" w:lineRule="auto"/>
        <w:tabs>
          <w:tab w:leader="none" w:pos="481" w:val="left"/>
        </w:tabs>
        <w:numPr>
          <w:ilvl w:val="0"/>
          <w:numId w:val="3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4"/>
          <w:szCs w:val="14"/>
          <w:color w:val="auto"/>
        </w:rPr>
      </w:pPr>
    </w:p>
    <w:p>
      <w:pPr>
        <w:ind w:right="580" w:firstLine="345"/>
        <w:spacing w:after="0" w:line="253" w:lineRule="auto"/>
        <w:tabs>
          <w:tab w:leader="none" w:pos="481" w:val="left"/>
        </w:tabs>
        <w:numPr>
          <w:ilvl w:val="0"/>
          <w:numId w:val="3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4"/>
          <w:szCs w:val="14"/>
          <w:color w:val="auto"/>
        </w:rPr>
      </w:pPr>
    </w:p>
    <w:p>
      <w:pPr>
        <w:ind w:right="180" w:firstLine="345"/>
        <w:spacing w:after="0" w:line="253" w:lineRule="auto"/>
        <w:tabs>
          <w:tab w:leader="none" w:pos="481" w:val="left"/>
        </w:tabs>
        <w:numPr>
          <w:ilvl w:val="0"/>
          <w:numId w:val="3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73" w:lineRule="exact"/>
        <w:rPr>
          <w:rFonts w:ascii="Arial" w:cs="Arial" w:eastAsia="Arial" w:hAnsi="Arial"/>
          <w:sz w:val="14"/>
          <w:szCs w:val="14"/>
          <w:color w:val="auto"/>
        </w:rPr>
      </w:pPr>
    </w:p>
    <w:p>
      <w:pPr>
        <w:jc w:val="both"/>
        <w:ind w:right="260" w:firstLine="794"/>
        <w:spacing w:after="0" w:line="335" w:lineRule="auto"/>
        <w:tabs>
          <w:tab w:leader="none" w:pos="934" w:val="left"/>
        </w:tabs>
        <w:numPr>
          <w:ilvl w:val="1"/>
          <w:numId w:val="34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34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5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3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34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3"/>
          <w:szCs w:val="13"/>
          <w:color w:val="auto"/>
        </w:rPr>
      </w:pPr>
    </w:p>
    <w:p>
      <w:pPr>
        <w:ind w:right="340" w:firstLine="345"/>
        <w:spacing w:after="0" w:line="253" w:lineRule="auto"/>
        <w:tabs>
          <w:tab w:leader="none" w:pos="481" w:val="left"/>
        </w:tabs>
        <w:numPr>
          <w:ilvl w:val="0"/>
          <w:numId w:val="3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3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right="600" w:firstLine="794"/>
        <w:spacing w:after="0" w:line="563" w:lineRule="auto"/>
        <w:tabs>
          <w:tab w:leader="none" w:pos="934" w:val="left"/>
        </w:tabs>
        <w:numPr>
          <w:ilvl w:val="1"/>
          <w:numId w:val="3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August 6, 2015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92" w:lineRule="exact"/>
        <w:rPr>
          <w:sz w:val="20"/>
          <w:szCs w:val="20"/>
          <w:color w:val="auto"/>
        </w:rPr>
      </w:pPr>
    </w:p>
    <w:p>
      <w:pPr>
        <w:ind w:right="60" w:firstLine="768"/>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2015,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52" w:lineRule="exact"/>
        <w:rPr>
          <w:sz w:val="20"/>
          <w:szCs w:val="20"/>
          <w:color w:val="auto"/>
        </w:rPr>
      </w:pPr>
    </w:p>
    <w:p>
      <w:pPr>
        <w:ind w:left="760" w:hanging="415"/>
        <w:spacing w:after="0"/>
        <w:tabs>
          <w:tab w:leader="none" w:pos="760" w:val="left"/>
        </w:tabs>
        <w:numPr>
          <w:ilvl w:val="0"/>
          <w:numId w:val="34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03" w:lineRule="exact"/>
        <w:rPr>
          <w:rFonts w:ascii="Arial" w:cs="Arial" w:eastAsia="Arial" w:hAnsi="Arial"/>
          <w:sz w:val="14"/>
          <w:szCs w:val="14"/>
          <w:color w:val="auto"/>
        </w:rPr>
      </w:pPr>
    </w:p>
    <w:p>
      <w:pPr>
        <w:ind w:left="760" w:hanging="415"/>
        <w:spacing w:after="0"/>
        <w:tabs>
          <w:tab w:leader="none" w:pos="760" w:val="left"/>
        </w:tabs>
        <w:numPr>
          <w:ilvl w:val="0"/>
          <w:numId w:val="34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August 6, 2015</w:t>
      </w:r>
    </w:p>
    <w:p>
      <w:pPr>
        <w:sectPr>
          <w:pgSz w:w="11900" w:h="16838" w:orient="portrait"/>
          <w:cols w:equalWidth="0" w:num="1">
            <w:col w:w="11240"/>
          </w:cols>
          <w:pgMar w:left="320" w:top="118"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92" w:lineRule="exact"/>
        <w:rPr>
          <w:sz w:val="20"/>
          <w:szCs w:val="20"/>
          <w:color w:val="auto"/>
        </w:rPr>
      </w:pPr>
    </w:p>
    <w:p>
      <w:pPr>
        <w:ind w:right="60" w:firstLine="768"/>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2015,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152" w:lineRule="exact"/>
        <w:rPr>
          <w:sz w:val="20"/>
          <w:szCs w:val="20"/>
          <w:color w:val="auto"/>
        </w:rPr>
      </w:pPr>
    </w:p>
    <w:p>
      <w:pPr>
        <w:ind w:left="760" w:hanging="415"/>
        <w:spacing w:after="0"/>
        <w:tabs>
          <w:tab w:leader="none" w:pos="760" w:val="left"/>
        </w:tabs>
        <w:numPr>
          <w:ilvl w:val="0"/>
          <w:numId w:val="35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203" w:lineRule="exact"/>
        <w:rPr>
          <w:rFonts w:ascii="Arial" w:cs="Arial" w:eastAsia="Arial" w:hAnsi="Arial"/>
          <w:sz w:val="14"/>
          <w:szCs w:val="14"/>
          <w:color w:val="auto"/>
        </w:rPr>
      </w:pPr>
    </w:p>
    <w:p>
      <w:pPr>
        <w:ind w:left="760" w:hanging="415"/>
        <w:spacing w:after="0"/>
        <w:tabs>
          <w:tab w:leader="none" w:pos="760" w:val="left"/>
        </w:tabs>
        <w:numPr>
          <w:ilvl w:val="0"/>
          <w:numId w:val="35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August 6, 2015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B26E78"/>
    <w:multiLevelType w:val="hybridMultilevel"/>
    <w:lvl w:ilvl="0">
      <w:lvlJc w:val="left"/>
      <w:lvlText w:val="☒"/>
      <w:numFmt w:val="bullet"/>
      <w:start w:val="1"/>
    </w:lvl>
  </w:abstractNum>
  <w:abstractNum w:abstractNumId="1">
    <w:nsid w:val="21FAA2FA"/>
    <w:multiLevelType w:val="hybridMultilevel"/>
    <w:lvl w:ilvl="0">
      <w:lvlJc w:val="left"/>
      <w:lvlText w:val="☐"/>
      <w:numFmt w:val="bullet"/>
      <w:start w:val="1"/>
    </w:lvl>
  </w:abstractNum>
  <w:abstractNum w:abstractNumId="2">
    <w:nsid w:val="5451CF49"/>
    <w:multiLevelType w:val="hybridMultilevel"/>
    <w:lvl w:ilvl="0">
      <w:lvlJc w:val="left"/>
      <w:lvlText w:val="(%1)"/>
      <w:numFmt w:val="decimal"/>
      <w:start w:val="1"/>
    </w:lvl>
  </w:abstractNum>
  <w:abstractNum w:abstractNumId="3">
    <w:nsid w:val="6181EF69"/>
    <w:multiLevelType w:val="hybridMultilevel"/>
    <w:lvl w:ilvl="0">
      <w:lvlJc w:val="left"/>
      <w:lvlText w:val="(%1)"/>
      <w:numFmt w:val="decimal"/>
      <w:start w:val="1"/>
    </w:lvl>
  </w:abstractNum>
  <w:abstractNum w:abstractNumId="4">
    <w:nsid w:val="3E6400E6"/>
    <w:multiLevelType w:val="hybridMultilevel"/>
    <w:lvl w:ilvl="0">
      <w:lvlJc w:val="left"/>
      <w:lvlText w:val="(%1)"/>
      <w:numFmt w:val="decimal"/>
      <w:start w:val="1"/>
    </w:lvl>
  </w:abstractNum>
  <w:abstractNum w:abstractNumId="5">
    <w:nsid w:val="14217E23"/>
    <w:multiLevelType w:val="hybridMultilevel"/>
    <w:lvl w:ilvl="0">
      <w:lvlJc w:val="left"/>
      <w:lvlText w:val="(%1)"/>
      <w:numFmt w:val="decimal"/>
      <w:start w:val="4"/>
    </w:lvl>
  </w:abstractNum>
  <w:abstractNum w:abstractNumId="6">
    <w:nsid w:val="710757D0"/>
    <w:multiLevelType w:val="hybridMultilevel"/>
    <w:lvl w:ilvl="0">
      <w:lvlJc w:val="left"/>
      <w:lvlText w:val="*"/>
      <w:numFmt w:val="bullet"/>
      <w:start w:val="1"/>
    </w:lvl>
  </w:abstractNum>
  <w:abstractNum w:abstractNumId="7">
    <w:nsid w:val="5015CD1A"/>
    <w:multiLevelType w:val="hybridMultilevel"/>
    <w:lvl w:ilvl="0">
      <w:lvlJc w:val="left"/>
      <w:lvlText w:val="(%1)"/>
      <w:numFmt w:val="decimal"/>
      <w:start w:val="1"/>
    </w:lvl>
  </w:abstractNum>
  <w:abstractNum w:abstractNumId="8">
    <w:nsid w:val="424479DA"/>
    <w:multiLevelType w:val="hybridMultilevel"/>
    <w:lvl w:ilvl="0">
      <w:lvlJc w:val="left"/>
      <w:lvlText w:val="•"/>
      <w:numFmt w:val="bullet"/>
      <w:start w:val="1"/>
    </w:lvl>
  </w:abstractNum>
  <w:abstractNum w:abstractNumId="9">
    <w:nsid w:val="1A9A9E69"/>
    <w:multiLevelType w:val="hybridMultilevel"/>
    <w:lvl w:ilvl="0">
      <w:lvlJc w:val="left"/>
      <w:lvlText w:val="•"/>
      <w:numFmt w:val="bullet"/>
      <w:start w:val="1"/>
    </w:lvl>
  </w:abstractNum>
  <w:abstractNum w:abstractNumId="10">
    <w:nsid w:val="475E256A"/>
    <w:multiLevelType w:val="hybridMultilevel"/>
    <w:lvl w:ilvl="0">
      <w:lvlJc w:val="left"/>
      <w:lvlText w:val="(%1)"/>
      <w:numFmt w:val="decimal"/>
      <w:start w:val="1"/>
    </w:lvl>
  </w:abstractNum>
  <w:abstractNum w:abstractNumId="11">
    <w:nsid w:val="368DB37E"/>
    <w:multiLevelType w:val="hybridMultilevel"/>
    <w:lvl w:ilvl="0">
      <w:lvlJc w:val="left"/>
      <w:lvlText w:val="(%1)"/>
      <w:numFmt w:val="decimal"/>
      <w:start w:val="1"/>
    </w:lvl>
  </w:abstractNum>
  <w:abstractNum w:abstractNumId="12">
    <w:nsid w:val="6A3B714C"/>
    <w:multiLevelType w:val="hybridMultilevel"/>
    <w:lvl w:ilvl="0">
      <w:lvlJc w:val="left"/>
      <w:lvlText w:val="%1"/>
      <w:numFmt w:val="decimal"/>
      <w:start w:val="11"/>
    </w:lvl>
  </w:abstractNum>
  <w:abstractNum w:abstractNumId="13">
    <w:nsid w:val="327B517E"/>
    <w:multiLevelType w:val="hybridMultilevel"/>
    <w:lvl w:ilvl="0">
      <w:lvlJc w:val="left"/>
      <w:lvlText w:val="*"/>
      <w:numFmt w:val="bullet"/>
      <w:start w:val="1"/>
    </w:lvl>
  </w:abstractNum>
  <w:abstractNum w:abstractNumId="14">
    <w:nsid w:val="1F461B51"/>
    <w:multiLevelType w:val="hybridMultilevel"/>
    <w:lvl w:ilvl="0">
      <w:lvlJc w:val="left"/>
      <w:lvlText w:val="(%1)"/>
      <w:numFmt w:val="lowerLetter"/>
      <w:start w:val="2"/>
    </w:lvl>
  </w:abstractNum>
  <w:abstractNum w:abstractNumId="15">
    <w:nsid w:val="29BACF2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6">
    <w:nsid w:val="5D5BABB3"/>
    <w:multiLevelType w:val="hybridMultilevel"/>
    <w:lvl w:ilvl="0">
      <w:lvlJc w:val="left"/>
      <w:lvlText w:val="(%1)"/>
      <w:numFmt w:val="lowerLetter"/>
      <w:start w:val="1"/>
    </w:lvl>
  </w:abstractNum>
  <w:abstractNum w:abstractNumId="17">
    <w:nsid w:val="51BF6B48"/>
    <w:multiLevelType w:val="hybridMultilevel"/>
    <w:lvl w:ilvl="0">
      <w:lvlJc w:val="left"/>
      <w:lvlText w:val="(%1)"/>
      <w:numFmt w:val="lowerLetter"/>
      <w:start w:val="1"/>
    </w:lvl>
  </w:abstractNum>
  <w:abstractNum w:abstractNumId="18">
    <w:nsid w:val="7E0F6384"/>
    <w:multiLevelType w:val="hybridMultilevel"/>
    <w:lvl w:ilvl="0">
      <w:lvlJc w:val="left"/>
      <w:lvlText w:val="(%1)"/>
      <w:numFmt w:val="lowerRoman"/>
      <w:start w:val="2"/>
    </w:lvl>
  </w:abstractNum>
  <w:abstractNum w:abstractNumId="19">
    <w:nsid w:val="2B4B8B53"/>
    <w:multiLevelType w:val="hybridMultilevel"/>
    <w:lvl w:ilvl="0">
      <w:lvlJc w:val="left"/>
      <w:lvlText w:val="(%1)"/>
      <w:numFmt w:val="lowerLetter"/>
      <w:start w:val="1"/>
    </w:lvl>
  </w:abstractNum>
  <w:abstractNum w:abstractNumId="20">
    <w:nsid w:val="72E3413A"/>
    <w:multiLevelType w:val="hybridMultilevel"/>
    <w:lvl w:ilvl="0">
      <w:lvlJc w:val="left"/>
      <w:lvlText w:val="(%1)"/>
      <w:numFmt w:val="lowerLetter"/>
      <w:start w:val="1"/>
    </w:lvl>
  </w:abstractNum>
  <w:abstractNum w:abstractNumId="21">
    <w:nsid w:val="116AE494"/>
    <w:multiLevelType w:val="hybridMultilevel"/>
    <w:lvl w:ilvl="0">
      <w:lvlJc w:val="left"/>
      <w:lvlText w:val="(%1)"/>
      <w:numFmt w:val="lowerLetter"/>
      <w:start w:val="4"/>
    </w:lvl>
    <w:lvl w:ilvl="1">
      <w:lvlJc w:val="left"/>
      <w:lvlText w:val="(%2)"/>
      <w:numFmt w:val="lowerLetter"/>
      <w:start w:val="6"/>
    </w:lvl>
    <w:lvl w:ilvl="2">
      <w:lvlJc w:val="left"/>
      <w:lvlText w:val="(%3)"/>
      <w:numFmt w:val="lowerLetter"/>
      <w:start w:val="9"/>
    </w:lvl>
    <w:lvl w:ilvl="3">
      <w:lvlJc w:val="left"/>
      <w:lvlText w:val="(%4)"/>
      <w:numFmt w:val="lowerLetter"/>
      <w:start w:val="8"/>
    </w:lvl>
    <w:lvl w:ilvl="4">
      <w:lvlJc w:val="left"/>
      <w:lvlText w:val="(%5)"/>
      <w:numFmt w:val="lowerLetter"/>
      <w:start w:val="12"/>
    </w:lvl>
    <w:lvl w:ilvl="5">
      <w:lvlJc w:val="left"/>
      <w:lvlText w:val="(%6)"/>
      <w:numFmt w:val="lowerLetter"/>
      <w:start w:val="9"/>
    </w:lvl>
  </w:abstractNum>
  <w:abstractNum w:abstractNumId="22">
    <w:nsid w:val="3494B2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3"/>
    </w:lvl>
    <w:lvl w:ilvl="3">
      <w:lvlJc w:val="left"/>
      <w:lvlText w:val="(%4)"/>
      <w:numFmt w:val="lowerLetter"/>
      <w:start w:val="15"/>
    </w:lvl>
    <w:lvl w:ilvl="4">
      <w:lvlJc w:val="left"/>
      <w:lvlText w:val="%5"/>
      <w:numFmt w:val="lowerLetter"/>
      <w:start w:val="1"/>
    </w:lvl>
    <w:lvl w:ilvl="5">
      <w:lvlJc w:val="left"/>
      <w:lvlText w:val="%6"/>
      <w:numFmt w:val="lowerLetter"/>
      <w:start w:val="1"/>
    </w:lvl>
  </w:abstractNum>
  <w:abstractNum w:abstractNumId="23">
    <w:nsid w:val="B13A31"/>
    <w:multiLevelType w:val="hybridMultilevel"/>
    <w:lvl w:ilvl="0">
      <w:lvlJc w:val="left"/>
      <w:lvlText w:val="(%1)"/>
      <w:numFmt w:val="lowerLetter"/>
      <w:start w:val="16"/>
    </w:lvl>
    <w:lvl w:ilvl="1">
      <w:lvlJc w:val="left"/>
      <w:lvlText w:val="(%2)"/>
      <w:numFmt w:val="lowerLetter"/>
      <w:start w:val="20"/>
    </w:lvl>
  </w:abstractNum>
  <w:abstractNum w:abstractNumId="24">
    <w:nsid w:val="64429599"/>
    <w:multiLevelType w:val="hybridMultilevel"/>
    <w:lvl w:ilvl="0">
      <w:lvlJc w:val="left"/>
      <w:lvlText w:val="%1"/>
      <w:numFmt w:val="lowerLetter"/>
      <w:start w:val="1"/>
    </w:lvl>
    <w:lvl w:ilvl="1">
      <w:lvlJc w:val="left"/>
      <w:lvlText w:val="(%2)"/>
      <w:numFmt w:val="lowerLetter"/>
      <w:start w:val="21"/>
    </w:lvl>
  </w:abstractNum>
  <w:abstractNum w:abstractNumId="25">
    <w:nsid w:val="631F1690"/>
    <w:multiLevelType w:val="hybridMultilevel"/>
    <w:lvl w:ilvl="0">
      <w:lvlJc w:val="left"/>
      <w:lvlText w:val="(%1)"/>
      <w:numFmt w:val="lowerLetter"/>
      <w:start w:val="22"/>
    </w:lvl>
    <w:lvl w:ilvl="1">
      <w:lvlJc w:val="left"/>
      <w:lvlText w:val="(%2)"/>
      <w:numFmt w:val="lowerLetter"/>
      <w:start w:val="24"/>
    </w:lvl>
  </w:abstractNum>
  <w:abstractNum w:abstractNumId="26">
    <w:nsid w:val="25973E32"/>
    <w:multiLevelType w:val="hybridMultilevel"/>
    <w:lvl w:ilvl="0">
      <w:lvlJc w:val="left"/>
      <w:lvlText w:val="(%1)"/>
      <w:numFmt w:val="lowerLetter"/>
      <w:start w:val="1"/>
    </w:lvl>
  </w:abstractNum>
  <w:abstractNum w:abstractNumId="27">
    <w:nsid w:val="EAD6F57"/>
    <w:multiLevelType w:val="hybridMultilevel"/>
    <w:lvl w:ilvl="0">
      <w:lvlJc w:val="left"/>
      <w:lvlText w:val="(%1)"/>
      <w:numFmt w:val="lowerLetter"/>
      <w:start w:val="9"/>
    </w:lvl>
  </w:abstractNum>
  <w:abstractNum w:abstractNumId="28">
    <w:nsid w:val="6EC9D844"/>
    <w:multiLevelType w:val="hybridMultilevel"/>
    <w:lvl w:ilvl="0">
      <w:lvlJc w:val="left"/>
      <w:lvlText w:val="(%1)"/>
      <w:numFmt w:val="lowerLetter"/>
      <w:start w:val="1"/>
    </w:lvl>
  </w:abstractNum>
  <w:abstractNum w:abstractNumId="29">
    <w:nsid w:val="5C49EAEE"/>
    <w:multiLevelType w:val="hybridMultilevel"/>
    <w:lvl w:ilvl="0">
      <w:lvlJc w:val="left"/>
      <w:lvlText w:val="(%1)"/>
      <w:numFmt w:val="lowerLetter"/>
      <w:start w:val="1"/>
    </w:lvl>
    <w:lvl w:ilvl="1">
      <w:lvlJc w:val="left"/>
      <w:lvlText w:val="(%2)"/>
      <w:numFmt w:val="lowerLetter"/>
      <w:start w:val="5"/>
    </w:lvl>
  </w:abstractNum>
  <w:abstractNum w:abstractNumId="30">
    <w:nsid w:val="64AF49B"/>
    <w:multiLevelType w:val="hybridMultilevel"/>
    <w:lvl w:ilvl="0">
      <w:lvlJc w:val="left"/>
      <w:lvlText w:val="(%1)"/>
      <w:numFmt w:val="lowerLetter"/>
      <w:start w:val="8"/>
    </w:lvl>
  </w:abstractNum>
  <w:abstractNum w:abstractNumId="31">
    <w:nsid w:val="397C46B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0"/>
    </w:lvl>
  </w:abstractNum>
  <w:abstractNum w:abstractNumId="32">
    <w:nsid w:val="7E448DE9"/>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abstractNum>
  <w:abstractNum w:abstractNumId="33">
    <w:nsid w:val="5A9CC3E5"/>
    <w:multiLevelType w:val="hybridMultilevel"/>
    <w:lvl w:ilvl="0">
      <w:lvlJc w:val="left"/>
      <w:lvlText w:val="(%1)"/>
      <w:numFmt w:val="lowerLetter"/>
      <w:start w:val="13"/>
    </w:lvl>
    <w:lvl w:ilvl="1">
      <w:lvlJc w:val="left"/>
      <w:lvlText w:val="(%2)"/>
      <w:numFmt w:val="lowerLetter"/>
      <w:start w:val="14"/>
    </w:lvl>
  </w:abstractNum>
  <w:abstractNum w:abstractNumId="34">
    <w:nsid w:val="1AFE3625"/>
    <w:multiLevelType w:val="hybridMultilevel"/>
    <w:lvl w:ilvl="0">
      <w:lvlJc w:val="left"/>
      <w:lvlText w:val="(%1)"/>
      <w:numFmt w:val="lowerLetter"/>
      <w:start w:val="15"/>
    </w:lvl>
  </w:abstractNum>
  <w:abstractNum w:abstractNumId="35">
    <w:nsid w:val="3CA88E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7"/>
    </w:lvl>
  </w:abstractNum>
  <w:abstractNum w:abstractNumId="36">
    <w:nsid w:val="6EBE4208"/>
    <w:multiLevelType w:val="hybridMultilevel"/>
    <w:lvl w:ilvl="0">
      <w:lvlJc w:val="left"/>
      <w:lvlText w:val="%1"/>
      <w:numFmt w:val="lowerLetter"/>
      <w:start w:val="1"/>
    </w:lvl>
    <w:lvl w:ilvl="1">
      <w:lvlJc w:val="left"/>
      <w:lvlText w:val="(%2)"/>
      <w:numFmt w:val="lowerLetter"/>
      <w:start w:val="18"/>
    </w:lvl>
    <w:lvl w:ilvl="2">
      <w:lvlJc w:val="left"/>
      <w:lvlText w:val="(%3)"/>
      <w:numFmt w:val="lowerLetter"/>
      <w:start w:val="20"/>
    </w:lvl>
  </w:abstractNum>
  <w:abstractNum w:abstractNumId="37">
    <w:nsid w:val="C058DF5"/>
    <w:multiLevelType w:val="hybridMultilevel"/>
    <w:lvl w:ilvl="0">
      <w:lvlJc w:val="left"/>
      <w:lvlText w:val="(%1)"/>
      <w:numFmt w:val="lowerLetter"/>
      <w:start w:val="23"/>
    </w:lvl>
    <w:lvl w:ilvl="1">
      <w:lvlJc w:val="left"/>
      <w:lvlText w:val="%2"/>
      <w:numFmt w:val="lowerLetter"/>
      <w:start w:val="1"/>
    </w:lvl>
    <w:lvl w:ilvl="2">
      <w:lvlJc w:val="left"/>
      <w:lvlText w:val="%3"/>
      <w:numFmt w:val="lowerLetter"/>
      <w:start w:val="1"/>
    </w:lvl>
  </w:abstractNum>
  <w:abstractNum w:abstractNumId="38">
    <w:nsid w:val="CBE5BE9"/>
    <w:multiLevelType w:val="hybridMultilevel"/>
    <w:lvl w:ilvl="0">
      <w:lvlJc w:val="left"/>
      <w:lvlText w:val="(%1)"/>
      <w:numFmt w:val="lowerLetter"/>
      <w:start w:val="24"/>
    </w:lvl>
  </w:abstractNum>
  <w:abstractNum w:abstractNumId="39">
    <w:nsid w:val="3102BBE2"/>
    <w:multiLevelType w:val="hybridMultilevel"/>
    <w:lvl w:ilvl="0">
      <w:lvlJc w:val="left"/>
      <w:lvlText w:val="(%1)"/>
      <w:numFmt w:val="lowerRoman"/>
      <w:start w:val="1"/>
    </w:lvl>
  </w:abstractNum>
  <w:abstractNum w:abstractNumId="40">
    <w:nsid w:val="26A02C5E"/>
    <w:multiLevelType w:val="hybridMultilevel"/>
    <w:lvl w:ilvl="0">
      <w:lvlJc w:val="left"/>
      <w:lvlText w:val="(%1)"/>
      <w:numFmt w:val="lowerLetter"/>
      <w:start w:val="5"/>
    </w:lvl>
  </w:abstractNum>
  <w:abstractNum w:abstractNumId="41">
    <w:nsid w:val="541C8153"/>
    <w:multiLevelType w:val="hybridMultilevel"/>
    <w:lvl w:ilvl="0">
      <w:lvlJc w:val="left"/>
      <w:lvlText w:val="(%1)"/>
      <w:numFmt w:val="lowerLetter"/>
      <w:start w:val="1"/>
    </w:lvl>
  </w:abstractNum>
  <w:abstractNum w:abstractNumId="42">
    <w:nsid w:val="67906F60"/>
    <w:multiLevelType w:val="hybridMultilevel"/>
    <w:lvl w:ilvl="0">
      <w:lvlJc w:val="left"/>
      <w:lvlText w:val="(%1)"/>
      <w:numFmt w:val="lowerLetter"/>
      <w:start w:val="1"/>
    </w:lvl>
  </w:abstractNum>
  <w:abstractNum w:abstractNumId="43">
    <w:nsid w:val="10DB9DAA"/>
    <w:multiLevelType w:val="hybridMultilevel"/>
    <w:lvl w:ilvl="0">
      <w:lvlJc w:val="left"/>
      <w:lvlText w:val="(%1)"/>
      <w:numFmt w:val="lowerLetter"/>
      <w:start w:val="1"/>
    </w:lvl>
  </w:abstractNum>
  <w:abstractNum w:abstractNumId="44">
    <w:nsid w:val="697D2D2"/>
    <w:multiLevelType w:val="hybridMultilevel"/>
    <w:lvl w:ilvl="0">
      <w:lvlJc w:val="left"/>
      <w:lvlText w:val="(%1)"/>
      <w:numFmt w:val="lowerLetter"/>
      <w:start w:val="1"/>
    </w:lvl>
    <w:lvl w:ilvl="1">
      <w:lvlJc w:val="left"/>
      <w:lvlText w:val="(%2)"/>
      <w:numFmt w:val="lowerLetter"/>
      <w:start w:val="9"/>
    </w:lvl>
  </w:abstractNum>
  <w:abstractNum w:abstractNumId="45">
    <w:nsid w:val="6D68A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6">
    <w:nsid w:val="3A966CD0"/>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47">
    <w:nsid w:val="63F37E85"/>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2"/>
    </w:lvl>
  </w:abstractNum>
  <w:abstractNum w:abstractNumId="48">
    <w:nsid w:val="5895F5F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49">
    <w:nsid w:val="38A5D05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Letter"/>
      <w:start w:val="35"/>
    </w:lvl>
    <w:lvl w:ilvl="5">
      <w:lvlJc w:val="left"/>
      <w:lvlText w:val="%6"/>
      <w:numFmt w:val="lowerLetter"/>
      <w:start w:val="1"/>
    </w:lvl>
  </w:abstractNum>
  <w:abstractNum w:abstractNumId="50">
    <w:nsid w:val="F3F09D8"/>
    <w:multiLevelType w:val="hybridMultilevel"/>
    <w:lvl w:ilvl="0">
      <w:lvlJc w:val="left"/>
      <w:lvlText w:val="(%1)"/>
      <w:numFmt w:val="lowerLetter"/>
      <w:start w:val="5"/>
    </w:lvl>
    <w:lvl w:ilvl="1">
      <w:lvlJc w:val="left"/>
      <w:lvlText w:val="(%2)"/>
      <w:numFmt w:val="lowerLetter"/>
      <w:start w:val="60"/>
    </w:lvl>
    <w:lvl w:ilvl="2">
      <w:lvlJc w:val="left"/>
      <w:lvlText w:val="(%3)"/>
      <w:numFmt w:val="lowerLetter"/>
      <w:start w:val="9"/>
    </w:lvl>
    <w:lvl w:ilvl="3">
      <w:lvlJc w:val="left"/>
      <w:lvlText w:val="(%4)"/>
      <w:numFmt w:val="lowerRoman"/>
      <w:start w:val="1"/>
    </w:lvl>
    <w:lvl w:ilvl="4">
      <w:lvlJc w:val="left"/>
      <w:lvlText w:val="%5"/>
      <w:numFmt w:val="lowerLetter"/>
      <w:start w:val="1"/>
    </w:lvl>
    <w:lvl w:ilvl="5">
      <w:lvlJc w:val="left"/>
      <w:lvlText w:val="(%6)"/>
      <w:numFmt w:val="lowerLetter"/>
      <w:start w:val="9"/>
    </w:lvl>
  </w:abstractNum>
  <w:abstractNum w:abstractNumId="51">
    <w:nsid w:val="4B793735"/>
    <w:multiLevelType w:val="hybridMultilevel"/>
    <w:lvl w:ilvl="0">
      <w:lvlJc w:val="left"/>
      <w:lvlText w:val="%1"/>
      <w:numFmt w:val="lowerLetter"/>
      <w:start w:val="1"/>
    </w:lvl>
    <w:lvl w:ilvl="1">
      <w:lvlJc w:val="left"/>
      <w:lvlText w:val="(%2)"/>
      <w:numFmt w:val="lowerRoman"/>
      <w:start w:val="2"/>
    </w:lvl>
  </w:abstractNum>
  <w:abstractNum w:abstractNumId="52">
    <w:nsid w:val="4A10B4E8"/>
    <w:multiLevelType w:val="hybridMultilevel"/>
    <w:lvl w:ilvl="0">
      <w:lvlJc w:val="left"/>
      <w:lvlText w:val="(%1)"/>
      <w:numFmt w:val="lowerLetter"/>
      <w:start w:val="7"/>
    </w:lvl>
    <w:lvl w:ilvl="1">
      <w:lvlJc w:val="left"/>
      <w:lvlText w:val="%2"/>
      <w:numFmt w:val="lowerRoman"/>
      <w:start w:val="1"/>
    </w:lvl>
  </w:abstractNum>
  <w:abstractNum w:abstractNumId="53">
    <w:nsid w:val="43D3BCD4"/>
    <w:multiLevelType w:val="hybridMultilevel"/>
    <w:lvl w:ilvl="0">
      <w:lvlJc w:val="left"/>
      <w:lvlText w:val="%1"/>
      <w:numFmt w:val="upperLetter"/>
      <w:start w:val="1"/>
    </w:lvl>
    <w:lvl w:ilvl="1">
      <w:lvlJc w:val="left"/>
      <w:lvlText w:val="(%2)"/>
      <w:numFmt w:val="lowerLetter"/>
      <w:start w:val="1"/>
    </w:lvl>
  </w:abstractNum>
  <w:abstractNum w:abstractNumId="54">
    <w:nsid w:val="4C2A7166"/>
    <w:multiLevelType w:val="hybridMultilevel"/>
    <w:lvl w:ilvl="0">
      <w:lvlJc w:val="left"/>
      <w:lvlText w:val="(%1)"/>
      <w:numFmt w:val="upperLetter"/>
      <w:start w:val="1"/>
    </w:lvl>
    <w:lvl w:ilvl="1">
      <w:lvlJc w:val="left"/>
      <w:lvlText w:val="%2"/>
      <w:numFmt w:val="lowerLetter"/>
      <w:start w:val="1"/>
    </w:lvl>
  </w:abstractNum>
  <w:abstractNum w:abstractNumId="55">
    <w:nsid w:val="2E534A82"/>
    <w:multiLevelType w:val="hybridMultilevel"/>
    <w:lvl w:ilvl="0">
      <w:lvlJc w:val="left"/>
      <w:lvlText w:val="(%1)"/>
      <w:numFmt w:val="upperLetter"/>
      <w:start w:val="1"/>
    </w:lvl>
    <w:lvl w:ilvl="1">
      <w:lvlJc w:val="left"/>
      <w:lvlText w:val="(%2)"/>
      <w:numFmt w:val="lowerLetter"/>
      <w:start w:val="24"/>
    </w:lvl>
  </w:abstractNum>
  <w:abstractNum w:abstractNumId="56">
    <w:nsid w:val="26F2D364"/>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57">
    <w:nsid w:val="71C1AF98"/>
    <w:multiLevelType w:val="hybridMultilevel"/>
    <w:lvl w:ilvl="0">
      <w:lvlJc w:val="left"/>
      <w:lvlText w:val="(%1)"/>
      <w:numFmt w:val="decimal"/>
      <w:start w:val="2"/>
    </w:lvl>
  </w:abstractNum>
  <w:abstractNum w:abstractNumId="58">
    <w:nsid w:val="3D00B9D9"/>
    <w:multiLevelType w:val="hybridMultilevel"/>
    <w:lvl w:ilvl="0">
      <w:lvlJc w:val="left"/>
      <w:lvlText w:val="(%1)"/>
      <w:numFmt w:val="lowerRoman"/>
      <w:start w:val="1"/>
    </w:lvl>
    <w:lvl w:ilvl="1">
      <w:lvlJc w:val="left"/>
      <w:lvlText w:val="(%2)"/>
      <w:numFmt w:val="lowerRoman"/>
      <w:start w:val="2"/>
    </w:lvl>
  </w:abstractNum>
  <w:abstractNum w:abstractNumId="59">
    <w:nsid w:val="15BCABA8"/>
    <w:multiLevelType w:val="hybridMultilevel"/>
    <w:lvl w:ilvl="0">
      <w:lvlJc w:val="left"/>
      <w:lvlText w:val="%1"/>
      <w:numFmt w:val="lowerLetter"/>
      <w:start w:val="1"/>
    </w:lvl>
    <w:lvl w:ilvl="1">
      <w:lvlJc w:val="left"/>
      <w:lvlText w:val="(%2)"/>
      <w:numFmt w:val="lowerLetter"/>
      <w:start w:val="61"/>
    </w:lvl>
  </w:abstractNum>
  <w:abstractNum w:abstractNumId="60">
    <w:nsid w:val="4E0B9A87"/>
    <w:multiLevelType w:val="hybridMultilevel"/>
    <w:lvl w:ilvl="0">
      <w:lvlJc w:val="left"/>
      <w:lvlText w:val="(%1)"/>
      <w:numFmt w:val="lowerLetter"/>
      <w:start w:val="2"/>
    </w:lvl>
    <w:lvl w:ilvl="1">
      <w:lvlJc w:val="left"/>
      <w:lvlText w:val="%2"/>
      <w:numFmt w:val="lowerLetter"/>
      <w:start w:val="1"/>
    </w:lvl>
  </w:abstractNum>
  <w:abstractNum w:abstractNumId="61">
    <w:nsid w:val="434BAE75"/>
    <w:multiLevelType w:val="hybridMultilevel"/>
    <w:lvl w:ilvl="0">
      <w:lvlJc w:val="left"/>
      <w:lvlText w:val="(%1)"/>
      <w:numFmt w:val="lowerRoman"/>
      <w:start w:val="4"/>
    </w:lvl>
    <w:lvl w:ilvl="1">
      <w:lvlJc w:val="left"/>
      <w:lvlText w:val="(%2)"/>
      <w:numFmt w:val="lowerRoman"/>
      <w:start w:val="5"/>
    </w:lvl>
  </w:abstractNum>
  <w:abstractNum w:abstractNumId="62">
    <w:nsid w:val="4F38F265"/>
    <w:multiLevelType w:val="hybridMultilevel"/>
    <w:lvl w:ilvl="0">
      <w:lvlJc w:val="left"/>
      <w:lvlText w:val="%1"/>
      <w:numFmt w:val="lowerLetter"/>
      <w:start w:val="1"/>
    </w:lvl>
    <w:lvl w:ilvl="1">
      <w:lvlJc w:val="left"/>
      <w:lvlText w:val="(%2)"/>
      <w:numFmt w:val="lowerRoman"/>
      <w:start w:val="6"/>
    </w:lvl>
  </w:abstractNum>
  <w:abstractNum w:abstractNumId="63">
    <w:nsid w:val="4C502870"/>
    <w:multiLevelType w:val="hybridMultilevel"/>
    <w:lvl w:ilvl="0">
      <w:lvlJc w:val="left"/>
      <w:lvlText w:val="(%1)"/>
      <w:numFmt w:val="lowerLetter"/>
      <w:start w:val="2"/>
    </w:lvl>
    <w:lvl w:ilvl="1">
      <w:lvlJc w:val="left"/>
      <w:lvlText w:val="%2"/>
      <w:numFmt w:val="lowerRoman"/>
      <w:start w:val="1"/>
    </w:lvl>
  </w:abstractNum>
  <w:abstractNum w:abstractNumId="64">
    <w:nsid w:val="1DE8725A"/>
    <w:multiLevelType w:val="hybridMultilevel"/>
    <w:lvl w:ilvl="0">
      <w:lvlJc w:val="left"/>
      <w:lvlText w:val="%1"/>
      <w:numFmt w:val="lowerRoman"/>
      <w:start w:val="1"/>
    </w:lvl>
    <w:lvl w:ilvl="1">
      <w:lvlJc w:val="left"/>
      <w:lvlText w:val="(%2)"/>
      <w:numFmt w:val="lowerRoman"/>
      <w:start w:val="7"/>
    </w:lvl>
  </w:abstractNum>
  <w:abstractNum w:abstractNumId="65">
    <w:nsid w:val="6A37288A"/>
    <w:multiLevelType w:val="hybridMultilevel"/>
    <w:lvl w:ilvl="0">
      <w:lvlJc w:val="left"/>
      <w:lvlText w:val="(%1)"/>
      <w:numFmt w:val="lowerRoman"/>
      <w:start w:val="8"/>
    </w:lvl>
    <w:lvl w:ilvl="1">
      <w:lvlJc w:val="left"/>
      <w:lvlText w:val="%2"/>
      <w:numFmt w:val="lowerRoman"/>
      <w:start w:val="1"/>
    </w:lvl>
  </w:abstractNum>
  <w:abstractNum w:abstractNumId="66">
    <w:nsid w:val="8F8B73F"/>
    <w:multiLevelType w:val="hybridMultilevel"/>
    <w:lvl w:ilvl="0">
      <w:lvlJc w:val="left"/>
      <w:lvlText w:val="(%1)"/>
      <w:numFmt w:val="lowerRoman"/>
      <w:start w:val="7"/>
    </w:lvl>
  </w:abstractNum>
  <w:abstractNum w:abstractNumId="67">
    <w:nsid w:val="CA6B462"/>
    <w:multiLevelType w:val="hybridMultilevel"/>
    <w:lvl w:ilvl="0">
      <w:lvlJc w:val="left"/>
      <w:lvlText w:val="(%1)"/>
      <w:numFmt w:val="lowerLetter"/>
      <w:start w:val="1"/>
    </w:lvl>
    <w:lvl w:ilvl="1">
      <w:lvlJc w:val="left"/>
      <w:lvlText w:val="(%2)"/>
      <w:numFmt w:val="lowerLetter"/>
      <w:start w:val="9"/>
    </w:lvl>
  </w:abstractNum>
  <w:abstractNum w:abstractNumId="68">
    <w:nsid w:val="763CB68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69">
    <w:nsid w:val="15B7132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70">
    <w:nsid w:val="3DA97044"/>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71">
    <w:nsid w:val="1CDCE2DE"/>
    <w:multiLevelType w:val="hybridMultilevel"/>
    <w:lvl w:ilvl="0">
      <w:lvlJc w:val="left"/>
      <w:lvlText w:val="(%1)"/>
      <w:numFmt w:val="lowerLetter"/>
      <w:start w:val="2"/>
    </w:lvl>
  </w:abstractNum>
  <w:abstractNum w:abstractNumId="72">
    <w:nsid w:val="69D3947C"/>
    <w:multiLevelType w:val="hybridMultilevel"/>
    <w:lvl w:ilvl="0">
      <w:lvlJc w:val="left"/>
      <w:lvlText w:val="(%1)"/>
      <w:numFmt w:val="lowerLetter"/>
      <w:start w:val="1"/>
    </w:lvl>
  </w:abstractNum>
  <w:abstractNum w:abstractNumId="73">
    <w:nsid w:val="2539DFA5"/>
    <w:multiLevelType w:val="hybridMultilevel"/>
    <w:lvl w:ilvl="0">
      <w:lvlJc w:val="left"/>
      <w:lvlText w:val="%1"/>
      <w:numFmt w:val="lowerLetter"/>
      <w:start w:val="1"/>
    </w:lvl>
    <w:lvl w:ilvl="1">
      <w:lvlJc w:val="left"/>
      <w:lvlText w:val="(%2)"/>
      <w:numFmt w:val="lowerLetter"/>
      <w:start w:val="1"/>
    </w:lvl>
  </w:abstractNum>
  <w:abstractNum w:abstractNumId="74">
    <w:nsid w:val="2DB88089"/>
    <w:multiLevelType w:val="hybridMultilevel"/>
    <w:lvl w:ilvl="0">
      <w:lvlJc w:val="left"/>
      <w:lvlText w:val="(%1)"/>
      <w:numFmt w:val="lowerLetter"/>
      <w:start w:val="2"/>
    </w:lvl>
    <w:lvl w:ilvl="1">
      <w:lvlJc w:val="left"/>
      <w:lvlText w:val="%2"/>
      <w:numFmt w:val="lowerLetter"/>
      <w:start w:val="1"/>
    </w:lvl>
  </w:abstractNum>
  <w:abstractNum w:abstractNumId="75">
    <w:nsid w:val="706B674E"/>
    <w:multiLevelType w:val="hybridMultilevel"/>
    <w:lvl w:ilvl="0">
      <w:lvlJc w:val="left"/>
      <w:lvlText w:val="(%1)"/>
      <w:numFmt w:val="lowerLetter"/>
      <w:start w:val="3"/>
    </w:lvl>
  </w:abstractNum>
  <w:abstractNum w:abstractNumId="76">
    <w:nsid w:val="2C106A57"/>
    <w:multiLevelType w:val="hybridMultilevel"/>
    <w:lvl w:ilvl="0">
      <w:lvlJc w:val="left"/>
      <w:lvlText w:val="(%1)"/>
      <w:numFmt w:val="lowerLetter"/>
      <w:start w:val="6"/>
    </w:lvl>
  </w:abstractNum>
  <w:abstractNum w:abstractNumId="77">
    <w:nsid w:val="684EED59"/>
    <w:multiLevelType w:val="hybridMultilevel"/>
    <w:lvl w:ilvl="0">
      <w:lvlJc w:val="left"/>
      <w:lvlText w:val="P"/>
      <w:numFmt w:val="bullet"/>
      <w:start w:val="1"/>
    </w:lvl>
  </w:abstractNum>
  <w:abstractNum w:abstractNumId="78">
    <w:nsid w:val="545EE5D3"/>
    <w:multiLevelType w:val="hybridMultilevel"/>
    <w:lvl w:ilvl="0">
      <w:lvlJc w:val="left"/>
      <w:lvlText w:val="D"/>
      <w:numFmt w:val="bullet"/>
      <w:start w:val="1"/>
    </w:lvl>
  </w:abstractNum>
  <w:abstractNum w:abstractNumId="79">
    <w:nsid w:val="4A66051"/>
    <w:multiLevelType w:val="hybridMultilevel"/>
    <w:lvl w:ilvl="0">
      <w:lvlJc w:val="left"/>
      <w:lvlText w:val="(%1)"/>
      <w:numFmt w:val="lowerLetter"/>
      <w:start w:val="1"/>
    </w:lvl>
  </w:abstractNum>
  <w:abstractNum w:abstractNumId="80">
    <w:nsid w:val="20F4BDAD"/>
    <w:multiLevelType w:val="hybridMultilevel"/>
    <w:lvl w:ilvl="0">
      <w:lvlJc w:val="left"/>
      <w:lvlText w:val="(%1)"/>
      <w:numFmt w:val="lowerLetter"/>
      <w:start w:val="1"/>
    </w:lvl>
  </w:abstractNum>
  <w:abstractNum w:abstractNumId="81">
    <w:nsid w:val="639DEFAC"/>
    <w:multiLevelType w:val="hybridMultilevel"/>
    <w:lvl w:ilvl="0">
      <w:lvlJc w:val="left"/>
      <w:lvlText w:val="(%1)"/>
      <w:numFmt w:val="decimal"/>
      <w:start w:val="1"/>
    </w:lvl>
  </w:abstractNum>
  <w:abstractNum w:abstractNumId="82">
    <w:nsid w:val="501F9786"/>
    <w:multiLevelType w:val="hybridMultilevel"/>
    <w:lvl w:ilvl="0">
      <w:lvlJc w:val="left"/>
      <w:lvlText w:val="(%1)"/>
      <w:numFmt w:val="lowerLetter"/>
      <w:start w:val="1"/>
    </w:lvl>
  </w:abstractNum>
  <w:abstractNum w:abstractNumId="83">
    <w:nsid w:val="6B057295"/>
    <w:multiLevelType w:val="hybridMultilevel"/>
    <w:lvl w:ilvl="0">
      <w:lvlJc w:val="left"/>
      <w:lvlText w:val="%1"/>
      <w:numFmt w:val="decimal"/>
      <w:start w:val="1"/>
    </w:lvl>
    <w:lvl w:ilvl="1">
      <w:lvlJc w:val="left"/>
      <w:lvlText w:val="(%2)"/>
      <w:numFmt w:val="lowerLetter"/>
      <w:start w:val="1"/>
    </w:lvl>
  </w:abstractNum>
  <w:abstractNum w:abstractNumId="84">
    <w:nsid w:val="2771AC80"/>
    <w:multiLevelType w:val="hybridMultilevel"/>
    <w:lvl w:ilvl="0">
      <w:lvlJc w:val="left"/>
      <w:lvlText w:val="(%1)"/>
      <w:numFmt w:val="decimal"/>
      <w:start w:val="2"/>
    </w:lvl>
    <w:lvl w:ilvl="1">
      <w:lvlJc w:val="left"/>
      <w:lvlText w:val="%2"/>
      <w:numFmt w:val="lowerLetter"/>
      <w:start w:val="1"/>
    </w:lvl>
  </w:abstractNum>
  <w:abstractNum w:abstractNumId="85">
    <w:nsid w:val="1C4A08EC"/>
    <w:multiLevelType w:val="hybridMultilevel"/>
    <w:lvl w:ilvl="0">
      <w:lvlJc w:val="left"/>
      <w:lvlText w:val="(%1)"/>
      <w:numFmt w:val="lowerLetter"/>
      <w:start w:val="2"/>
    </w:lvl>
  </w:abstractNum>
  <w:abstractNum w:abstractNumId="86">
    <w:nsid w:val="1958BD17"/>
    <w:multiLevelType w:val="hybridMultilevel"/>
    <w:lvl w:ilvl="0">
      <w:lvlJc w:val="left"/>
      <w:lvlText w:val="(%1)"/>
      <w:numFmt w:val="lowerLetter"/>
      <w:start w:val="3"/>
    </w:lvl>
  </w:abstractNum>
  <w:abstractNum w:abstractNumId="87">
    <w:nsid w:val="4E647FE4"/>
    <w:multiLevelType w:val="hybridMultilevel"/>
    <w:lvl w:ilvl="0">
      <w:lvlJc w:val="left"/>
      <w:lvlText w:val="1"/>
      <w:numFmt w:val="bullet"/>
      <w:start w:val="1"/>
    </w:lvl>
  </w:abstractNum>
  <w:abstractNum w:abstractNumId="88">
    <w:nsid w:val="E0BB885"/>
    <w:multiLevelType w:val="hybridMultilevel"/>
    <w:lvl w:ilvl="0">
      <w:lvlJc w:val="left"/>
      <w:lvlText w:val="(%1)"/>
      <w:numFmt w:val="lowerLetter"/>
      <w:start w:val="1"/>
    </w:lvl>
    <w:lvl w:ilvl="1">
      <w:lvlJc w:val="left"/>
      <w:lvlText w:val="(%2)"/>
      <w:numFmt w:val="lowerLetter"/>
      <w:start w:val="9"/>
    </w:lvl>
  </w:abstractNum>
  <w:abstractNum w:abstractNumId="89">
    <w:nsid w:val="565976F1"/>
    <w:multiLevelType w:val="hybridMultilevel"/>
    <w:lvl w:ilvl="0">
      <w:lvlJc w:val="left"/>
      <w:lvlText w:val="(%1)"/>
      <w:numFmt w:val="lowerRoman"/>
      <w:start w:val="2"/>
    </w:lvl>
  </w:abstractNum>
  <w:abstractNum w:abstractNumId="90">
    <w:nsid w:val="64212B8C"/>
    <w:multiLevelType w:val="hybridMultilevel"/>
    <w:lvl w:ilvl="0">
      <w:lvlJc w:val="left"/>
      <w:lvlText w:val="(%1)"/>
      <w:numFmt w:val="lowerLetter"/>
      <w:start w:val="1"/>
    </w:lvl>
  </w:abstractNum>
  <w:abstractNum w:abstractNumId="91">
    <w:nsid w:val="5C17530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61"/>
    </w:lvl>
  </w:abstractNum>
  <w:abstractNum w:abstractNumId="92">
    <w:nsid w:val="19A52566"/>
    <w:multiLevelType w:val="hybridMultilevel"/>
    <w:lvl w:ilvl="0">
      <w:lvlJc w:val="left"/>
      <w:lvlText w:val="(%1)"/>
      <w:numFmt w:val="lowerLetter"/>
      <w:start w:val="1"/>
    </w:lvl>
  </w:abstractNum>
  <w:abstractNum w:abstractNumId="93">
    <w:nsid w:val="335A1DF1"/>
    <w:multiLevelType w:val="hybridMultilevel"/>
    <w:lvl w:ilvl="0">
      <w:lvlJc w:val="left"/>
      <w:lvlText w:val="(%1)"/>
      <w:numFmt w:val="decimal"/>
      <w:start w:val="2"/>
    </w:lvl>
  </w:abstractNum>
  <w:abstractNum w:abstractNumId="94">
    <w:nsid w:val="28677B7C"/>
    <w:multiLevelType w:val="hybridMultilevel"/>
    <w:lvl w:ilvl="0">
      <w:lvlJc w:val="left"/>
      <w:lvlText w:val="(%1)"/>
      <w:numFmt w:val="lowerLetter"/>
      <w:start w:val="1"/>
    </w:lvl>
  </w:abstractNum>
  <w:abstractNum w:abstractNumId="95">
    <w:nsid w:val="378D97C0"/>
    <w:multiLevelType w:val="hybridMultilevel"/>
    <w:lvl w:ilvl="0">
      <w:lvlJc w:val="left"/>
      <w:lvlText w:val="(%1)"/>
      <w:numFmt w:val="lowerLetter"/>
      <w:start w:val="1"/>
    </w:lvl>
  </w:abstractNum>
  <w:abstractNum w:abstractNumId="96">
    <w:nsid w:val="1D91467C"/>
    <w:multiLevelType w:val="hybridMultilevel"/>
    <w:lvl w:ilvl="0">
      <w:lvlJc w:val="left"/>
      <w:lvlText w:val="(%1)"/>
      <w:numFmt w:val="lowerLetter"/>
      <w:start w:val="1"/>
    </w:lvl>
  </w:abstractNum>
  <w:abstractNum w:abstractNumId="97">
    <w:nsid w:val="316032BB"/>
    <w:multiLevelType w:val="hybridMultilevel"/>
    <w:lvl w:ilvl="0">
      <w:lvlJc w:val="left"/>
      <w:lvlText w:val="(%1)"/>
      <w:numFmt w:val="lowerRoman"/>
      <w:start w:val="1"/>
    </w:lvl>
    <w:lvl w:ilvl="1">
      <w:lvlJc w:val="left"/>
      <w:lvlText w:val="(%2)"/>
      <w:numFmt w:val="lowerLetter"/>
      <w:start w:val="61"/>
    </w:lvl>
    <w:lvl w:ilvl="2">
      <w:lvlJc w:val="left"/>
      <w:lvlText w:val="(%3)"/>
      <w:numFmt w:val="lowerLetter"/>
      <w:start w:val="1"/>
    </w:lvl>
  </w:abstractNum>
  <w:abstractNum w:abstractNumId="98">
    <w:nsid w:val="44344C22"/>
    <w:multiLevelType w:val="hybridMultilevel"/>
    <w:lvl w:ilvl="0">
      <w:lvlJc w:val="left"/>
      <w:lvlText w:val="(%1)"/>
      <w:numFmt w:val="lowerLetter"/>
      <w:start w:val="1"/>
    </w:lvl>
  </w:abstractNum>
  <w:abstractNum w:abstractNumId="99">
    <w:nsid w:val="13CDFCFC"/>
    <w:multiLevelType w:val="hybridMultilevel"/>
    <w:lvl w:ilvl="0">
      <w:lvlJc w:val="left"/>
      <w:lvlText w:val="(%1)"/>
      <w:numFmt w:val="lowerLetter"/>
      <w:start w:val="2"/>
    </w:lvl>
  </w:abstractNum>
  <w:abstractNum w:abstractNumId="100">
    <w:nsid w:val="471745E4"/>
    <w:multiLevelType w:val="hybridMultilevel"/>
    <w:lvl w:ilvl="0">
      <w:lvlJc w:val="left"/>
      <w:lvlText w:val="(%1)"/>
      <w:numFmt w:val="lowerLetter"/>
      <w:start w:val="1"/>
    </w:lvl>
  </w:abstractNum>
  <w:abstractNum w:abstractNumId="101">
    <w:nsid w:val="1DDBC66"/>
    <w:multiLevelType w:val="hybridMultilevel"/>
    <w:lvl w:ilvl="0">
      <w:lvlJc w:val="left"/>
      <w:lvlText w:val="(%1)"/>
      <w:numFmt w:val="lowerLetter"/>
      <w:start w:val="1"/>
    </w:lvl>
  </w:abstractNum>
  <w:abstractNum w:abstractNumId="102">
    <w:nsid w:val="30AADFDA"/>
    <w:multiLevelType w:val="hybridMultilevel"/>
    <w:lvl w:ilvl="0">
      <w:lvlJc w:val="left"/>
      <w:lvlText w:val="X"/>
      <w:numFmt w:val="bullet"/>
      <w:start w:val="1"/>
    </w:lvl>
  </w:abstractNum>
  <w:abstractNum w:abstractNumId="103">
    <w:nsid w:val="30EADA61"/>
    <w:multiLevelType w:val="hybridMultilevel"/>
    <w:lvl w:ilvl="0">
      <w:lvlJc w:val="left"/>
      <w:lvlText w:val="(%1)"/>
      <w:numFmt w:val="lowerLetter"/>
      <w:start w:val="1"/>
    </w:lvl>
    <w:lvl w:ilvl="1">
      <w:lvlJc w:val="left"/>
      <w:lvlText w:val="(%2)"/>
      <w:numFmt w:val="lowerLetter"/>
      <w:start w:val="3"/>
    </w:lvl>
  </w:abstractNum>
  <w:abstractNum w:abstractNumId="104">
    <w:nsid w:val="27179C0B"/>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lvl w:ilvl="3">
      <w:lvlJc w:val="left"/>
      <w:lvlText w:val="(%4)"/>
      <w:numFmt w:val="lowerLetter"/>
      <w:start w:val="7"/>
    </w:lvl>
  </w:abstractNum>
  <w:abstractNum w:abstractNumId="105">
    <w:nsid w:val="5E63606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06">
    <w:nsid w:val="215641AF"/>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3"/>
    </w:lvl>
    <w:lvl w:ilvl="3">
      <w:lvlJc w:val="left"/>
      <w:lvlText w:val="%4"/>
      <w:numFmt w:val="lowerLetter"/>
      <w:start w:val="1"/>
    </w:lvl>
  </w:abstractNum>
  <w:abstractNum w:abstractNumId="107">
    <w:nsid w:val="53280662"/>
    <w:multiLevelType w:val="hybridMultilevel"/>
    <w:lvl w:ilvl="0">
      <w:lvlJc w:val="left"/>
      <w:lvlText w:val="(%1)"/>
      <w:numFmt w:val="lowerLetter"/>
      <w:start w:val="1"/>
    </w:lvl>
  </w:abstractNum>
  <w:abstractNum w:abstractNumId="108">
    <w:nsid w:val="46B24DBC"/>
    <w:multiLevelType w:val="hybridMultilevel"/>
    <w:lvl w:ilvl="0">
      <w:lvlJc w:val="left"/>
      <w:lvlText w:val="(%1)"/>
      <w:numFmt w:val="lowerLetter"/>
      <w:start w:val="2"/>
    </w:lvl>
  </w:abstractNum>
  <w:abstractNum w:abstractNumId="109">
    <w:nsid w:val="75B52783"/>
    <w:multiLevelType w:val="hybridMultilevel"/>
    <w:lvl w:ilvl="0">
      <w:lvlJc w:val="left"/>
      <w:lvlText w:val="%1"/>
      <w:numFmt w:val="lowerLetter"/>
      <w:start w:val="1"/>
    </w:lvl>
    <w:lvl w:ilvl="1">
      <w:lvlJc w:val="left"/>
      <w:lvlText w:val="(%2)"/>
      <w:numFmt w:val="lowerLetter"/>
      <w:start w:val="3"/>
    </w:lvl>
  </w:abstractNum>
  <w:abstractNum w:abstractNumId="110">
    <w:nsid w:val="57CE66B4"/>
    <w:multiLevelType w:val="hybridMultilevel"/>
    <w:lvl w:ilvl="0">
      <w:lvlJc w:val="left"/>
      <w:lvlText w:val="(%1)"/>
      <w:numFmt w:val="lowerLetter"/>
      <w:start w:val="9"/>
    </w:lvl>
    <w:lvl w:ilvl="1">
      <w:lvlJc w:val="left"/>
      <w:lvlText w:val="%2"/>
      <w:numFmt w:val="lowerLetter"/>
      <w:start w:val="1"/>
    </w:lvl>
  </w:abstractNum>
  <w:abstractNum w:abstractNumId="111">
    <w:nsid w:val="67A70B69"/>
    <w:multiLevelType w:val="hybridMultilevel"/>
    <w:lvl w:ilvl="0">
      <w:lvlJc w:val="left"/>
      <w:lvlText w:val="(%1)"/>
      <w:numFmt w:val="lowerRoman"/>
      <w:start w:val="1"/>
    </w:lvl>
  </w:abstractNum>
  <w:abstractNum w:abstractNumId="112">
    <w:nsid w:val="5953172F"/>
    <w:multiLevelType w:val="hybridMultilevel"/>
    <w:lvl w:ilvl="0">
      <w:lvlJc w:val="left"/>
      <w:lvlText w:val="(%1)"/>
      <w:numFmt w:val="lowerRoman"/>
      <w:start w:val="2"/>
    </w:lvl>
  </w:abstractNum>
  <w:abstractNum w:abstractNumId="113">
    <w:nsid w:val="27EDFE3A"/>
    <w:multiLevelType w:val="hybridMultilevel"/>
    <w:lvl w:ilvl="0">
      <w:lvlJc w:val="left"/>
      <w:lvlText w:val="(%1)"/>
      <w:numFmt w:val="lowerLetter"/>
      <w:start w:val="2"/>
    </w:lvl>
  </w:abstractNum>
  <w:abstractNum w:abstractNumId="114">
    <w:nsid w:val="52AC7DF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15">
    <w:nsid w:val="C4C3AF"/>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116">
    <w:nsid w:val="4438072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17">
    <w:nsid w:val="6C053B16"/>
    <w:multiLevelType w:val="hybridMultilevel"/>
    <w:lvl w:ilvl="0">
      <w:lvlJc w:val="left"/>
      <w:lvlText w:val="(%1)"/>
      <w:numFmt w:val="lowerLetter"/>
      <w:start w:val="4"/>
    </w:lvl>
  </w:abstractNum>
  <w:abstractNum w:abstractNumId="118">
    <w:nsid w:val="4F294393"/>
    <w:multiLevelType w:val="hybridMultilevel"/>
    <w:lvl w:ilvl="0">
      <w:lvlJc w:val="left"/>
      <w:lvlText w:val="(%1)"/>
      <w:numFmt w:val="lowerLetter"/>
      <w:start w:val="2"/>
    </w:lvl>
  </w:abstractNum>
  <w:abstractNum w:abstractNumId="119">
    <w:nsid w:val="5243BFAC"/>
    <w:multiLevelType w:val="hybridMultilevel"/>
    <w:lvl w:ilvl="0">
      <w:lvlJc w:val="left"/>
      <w:lvlText w:val="(%1)"/>
      <w:numFmt w:val="lowerLetter"/>
      <w:start w:val="1"/>
    </w:lvl>
  </w:abstractNum>
  <w:abstractNum w:abstractNumId="120">
    <w:nsid w:val="425EB207"/>
    <w:multiLevelType w:val="hybridMultilevel"/>
    <w:lvl w:ilvl="0">
      <w:lvlJc w:val="left"/>
      <w:lvlText w:val="(%1)"/>
      <w:numFmt w:val="lowerLetter"/>
      <w:start w:val="4"/>
    </w:lvl>
  </w:abstractNum>
  <w:abstractNum w:abstractNumId="121">
    <w:nsid w:val="334A6F1F"/>
    <w:multiLevelType w:val="hybridMultilevel"/>
    <w:lvl w:ilvl="0">
      <w:lvlJc w:val="left"/>
      <w:lvlText w:val="(%1)"/>
      <w:numFmt w:val="lowerLetter"/>
      <w:start w:val="2"/>
    </w:lvl>
  </w:abstractNum>
  <w:abstractNum w:abstractNumId="122">
    <w:nsid w:val="2E5B12B8"/>
    <w:multiLevelType w:val="hybridMultilevel"/>
    <w:lvl w:ilvl="0">
      <w:lvlJc w:val="left"/>
      <w:lvlText w:val="(%1)"/>
      <w:numFmt w:val="lowerLetter"/>
      <w:start w:val="4"/>
    </w:lvl>
  </w:abstractNum>
  <w:abstractNum w:abstractNumId="123">
    <w:nsid w:val="5C03D76D"/>
    <w:multiLevelType w:val="hybridMultilevel"/>
    <w:lvl w:ilvl="0">
      <w:lvlJc w:val="left"/>
      <w:lvlText w:val="(%1)"/>
      <w:numFmt w:val="lowerLetter"/>
      <w:start w:val="1"/>
    </w:lvl>
  </w:abstractNum>
  <w:abstractNum w:abstractNumId="124">
    <w:nsid w:val="66A48D11"/>
    <w:multiLevelType w:val="hybridMultilevel"/>
    <w:lvl w:ilvl="0">
      <w:lvlJc w:val="left"/>
      <w:lvlText w:val="%1"/>
      <w:numFmt w:val="lowerLetter"/>
      <w:start w:val="1"/>
    </w:lvl>
    <w:lvl w:ilvl="1">
      <w:lvlJc w:val="left"/>
      <w:lvlText w:val="(%2)"/>
      <w:numFmt w:val="lowerLetter"/>
      <w:start w:val="2"/>
    </w:lvl>
  </w:abstractNum>
  <w:abstractNum w:abstractNumId="125">
    <w:nsid w:val="56C28E34"/>
    <w:multiLevelType w:val="hybridMultilevel"/>
    <w:lvl w:ilvl="0">
      <w:lvlJc w:val="left"/>
      <w:lvlText w:val="(%1)"/>
      <w:numFmt w:val="lowerLetter"/>
      <w:start w:val="35"/>
    </w:lvl>
    <w:lvl w:ilvl="1">
      <w:lvlJc w:val="left"/>
      <w:lvlText w:val="%2"/>
      <w:numFmt w:val="lowerLetter"/>
      <w:start w:val="1"/>
    </w:lvl>
  </w:abstractNum>
  <w:abstractNum w:abstractNumId="126">
    <w:nsid w:val="13916F2D"/>
    <w:multiLevelType w:val="hybridMultilevel"/>
    <w:lvl w:ilvl="0">
      <w:lvlJc w:val="left"/>
      <w:lvlText w:val="(%1)"/>
      <w:numFmt w:val="lowerLetter"/>
      <w:start w:val="3"/>
    </w:lvl>
  </w:abstractNum>
  <w:abstractNum w:abstractNumId="127">
    <w:nsid w:val="435D38D"/>
    <w:multiLevelType w:val="hybridMultilevel"/>
    <w:lvl w:ilvl="0">
      <w:lvlJc w:val="left"/>
      <w:lvlText w:val="%1"/>
      <w:numFmt w:val="upperLetter"/>
      <w:start w:val="61"/>
    </w:lvl>
    <w:lvl w:ilvl="1">
      <w:lvlJc w:val="left"/>
      <w:lvlText w:val="(%2)"/>
      <w:numFmt w:val="lowerRoman"/>
      <w:start w:val="1"/>
    </w:lvl>
  </w:abstractNum>
  <w:abstractNum w:abstractNumId="128">
    <w:nsid w:val="822C0EF"/>
    <w:multiLevelType w:val="hybridMultilevel"/>
    <w:lvl w:ilvl="0">
      <w:lvlJc w:val="left"/>
      <w:lvlText w:val="%1"/>
      <w:numFmt w:val="lowerLetter"/>
      <w:start w:val="1"/>
    </w:lvl>
    <w:lvl w:ilvl="1">
      <w:lvlJc w:val="left"/>
      <w:lvlText w:val="(%2)"/>
      <w:numFmt w:val="lowerLetter"/>
      <w:start w:val="2"/>
    </w:lvl>
  </w:abstractNum>
  <w:abstractNum w:abstractNumId="129">
    <w:nsid w:val="57C5BB4F"/>
    <w:multiLevelType w:val="hybridMultilevel"/>
    <w:lvl w:ilvl="0">
      <w:lvlJc w:val="left"/>
      <w:lvlText w:val="(%1)"/>
      <w:numFmt w:val="lowerLetter"/>
      <w:start w:val="9"/>
    </w:lvl>
    <w:lvl w:ilvl="1">
      <w:lvlJc w:val="left"/>
      <w:lvlText w:val="%2"/>
      <w:numFmt w:val="lowerLetter"/>
      <w:start w:val="1"/>
    </w:lvl>
  </w:abstractNum>
  <w:abstractNum w:abstractNumId="130">
    <w:nsid w:val="1803D089"/>
    <w:multiLevelType w:val="hybridMultilevel"/>
    <w:lvl w:ilvl="0">
      <w:lvlJc w:val="left"/>
      <w:lvlText w:val="(%1)"/>
      <w:numFmt w:val="lowerLetter"/>
      <w:start w:val="2"/>
    </w:lvl>
  </w:abstractNum>
  <w:abstractNum w:abstractNumId="131">
    <w:nsid w:val="4F3A06D4"/>
    <w:multiLevelType w:val="hybridMultilevel"/>
    <w:lvl w:ilvl="0">
      <w:lvlJc w:val="left"/>
      <w:lvlText w:val="(%1)"/>
      <w:numFmt w:val="decimal"/>
      <w:start w:val="5"/>
    </w:lvl>
  </w:abstractNum>
  <w:abstractNum w:abstractNumId="132">
    <w:nsid w:val="59A377B6"/>
    <w:multiLevelType w:val="hybridMultilevel"/>
    <w:lvl w:ilvl="0">
      <w:lvlJc w:val="left"/>
      <w:lvlText w:val="(%1)"/>
      <w:numFmt w:val="lowerLetter"/>
      <w:start w:val="1"/>
    </w:lvl>
  </w:abstractNum>
  <w:abstractNum w:abstractNumId="133">
    <w:nsid w:val="48AEB063"/>
    <w:multiLevelType w:val="hybridMultilevel"/>
    <w:lvl w:ilvl="0">
      <w:lvlJc w:val="left"/>
      <w:lvlText w:val="(%1)"/>
      <w:numFmt w:val="lowerLetter"/>
      <w:start w:val="2"/>
    </w:lvl>
  </w:abstractNum>
  <w:abstractNum w:abstractNumId="134">
    <w:nsid w:val="24E135"/>
    <w:multiLevelType w:val="hybridMultilevel"/>
    <w:lvl w:ilvl="0">
      <w:lvlJc w:val="left"/>
      <w:lvlText w:val="(%1)"/>
      <w:numFmt w:val="lowerLetter"/>
      <w:start w:val="1"/>
    </w:lvl>
  </w:abstractNum>
  <w:abstractNum w:abstractNumId="135">
    <w:nsid w:val="BB13C1"/>
    <w:multiLevelType w:val="hybridMultilevel"/>
    <w:lvl w:ilvl="0">
      <w:lvlJc w:val="left"/>
      <w:lvlText w:val="(%1)"/>
      <w:numFmt w:val="lowerLetter"/>
      <w:start w:val="1"/>
    </w:lvl>
  </w:abstractNum>
  <w:abstractNum w:abstractNumId="136">
    <w:nsid w:val="271210C7"/>
    <w:multiLevelType w:val="hybridMultilevel"/>
    <w:lvl w:ilvl="0">
      <w:lvlJc w:val="left"/>
      <w:lvlText w:val="(%1)"/>
      <w:numFmt w:val="lowerLetter"/>
      <w:start w:val="5"/>
    </w:lvl>
  </w:abstractNum>
  <w:abstractNum w:abstractNumId="137">
    <w:nsid w:val="217B22E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abstractNum>
  <w:abstractNum w:abstractNumId="138">
    <w:nsid w:val="53E31A24"/>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139">
    <w:nsid w:val="6DC45E83"/>
    <w:multiLevelType w:val="hybridMultilevel"/>
    <w:lvl w:ilvl="0">
      <w:lvlJc w:val="left"/>
      <w:lvlText w:val="(%1)"/>
      <w:numFmt w:val="lowerLetter"/>
      <w:start w:val="13"/>
    </w:lvl>
    <w:lvl w:ilvl="1">
      <w:lvlJc w:val="left"/>
      <w:lvlText w:val="%2"/>
      <w:numFmt w:val="lowerLetter"/>
      <w:start w:val="1"/>
    </w:lvl>
    <w:lvl w:ilvl="2">
      <w:lvlJc w:val="left"/>
      <w:lvlText w:val="%3"/>
      <w:numFmt w:val="lowerLetter"/>
      <w:start w:val="1"/>
    </w:lvl>
  </w:abstractNum>
  <w:abstractNum w:abstractNumId="140">
    <w:nsid w:val="17304A67"/>
    <w:multiLevelType w:val="hybridMultilevel"/>
    <w:lvl w:ilvl="0">
      <w:lvlJc w:val="left"/>
      <w:lvlText w:val="(%1)"/>
      <w:numFmt w:val="lowerLetter"/>
      <w:start w:val="16"/>
    </w:lvl>
    <w:lvl w:ilvl="1">
      <w:lvlJc w:val="left"/>
      <w:lvlText w:val="(%2)"/>
      <w:numFmt w:val="lowerRoman"/>
      <w:start w:val="1"/>
    </w:lvl>
    <w:lvl w:ilvl="2">
      <w:lvlJc w:val="left"/>
      <w:lvlText w:val="(%3)"/>
      <w:numFmt w:val="lowerRoman"/>
      <w:start w:val="1"/>
    </w:lvl>
  </w:abstractNum>
  <w:abstractNum w:abstractNumId="141">
    <w:nsid w:val="2BB180D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142">
    <w:nsid w:val="556B69ED"/>
    <w:multiLevelType w:val="hybridMultilevel"/>
    <w:lvl w:ilvl="0">
      <w:lvlJc w:val="left"/>
      <w:lvlText w:val="(%1)"/>
      <w:numFmt w:val="lowerRoman"/>
      <w:start w:val="4"/>
    </w:lvl>
    <w:lvl w:ilvl="1">
      <w:lvlJc w:val="left"/>
      <w:lvlText w:val="(%2)"/>
      <w:numFmt w:val="lowerRoman"/>
      <w:start w:val="5"/>
    </w:lvl>
    <w:lvl w:ilvl="2">
      <w:lvlJc w:val="left"/>
      <w:lvlText w:val="(%3)"/>
      <w:numFmt w:val="lowerRoman"/>
      <w:start w:val="5"/>
    </w:lvl>
  </w:abstractNum>
  <w:abstractNum w:abstractNumId="143">
    <w:nsid w:val="70836196"/>
    <w:multiLevelType w:val="hybridMultilevel"/>
    <w:lvl w:ilvl="0">
      <w:lvlJc w:val="left"/>
      <w:lvlText w:val="%1"/>
      <w:numFmt w:val="upperLetter"/>
      <w:start w:val="1"/>
    </w:lvl>
    <w:lvl w:ilvl="1">
      <w:lvlJc w:val="left"/>
      <w:lvlText w:val="(%2)"/>
      <w:numFmt w:val="lowerLetter"/>
      <w:start w:val="1"/>
    </w:lvl>
  </w:abstractNum>
  <w:abstractNum w:abstractNumId="144">
    <w:nsid w:val="539F7F12"/>
    <w:multiLevelType w:val="hybridMultilevel"/>
    <w:lvl w:ilvl="0">
      <w:lvlJc w:val="left"/>
      <w:lvlText w:val="(%1)"/>
      <w:numFmt w:val="upperLetter"/>
      <w:start w:val="1"/>
    </w:lvl>
    <w:lvl w:ilvl="1">
      <w:lvlJc w:val="left"/>
      <w:lvlText w:val="%2"/>
      <w:numFmt w:val="lowerLetter"/>
      <w:start w:val="1"/>
    </w:lvl>
  </w:abstractNum>
  <w:abstractNum w:abstractNumId="145">
    <w:nsid w:val="2817E7EC"/>
    <w:multiLevelType w:val="hybridMultilevel"/>
    <w:lvl w:ilvl="0">
      <w:lvlJc w:val="left"/>
      <w:lvlText w:val="(%1)"/>
      <w:numFmt w:val="lowerLetter"/>
      <w:start w:val="5"/>
    </w:lvl>
  </w:abstractNum>
  <w:abstractNum w:abstractNumId="146">
    <w:nsid w:val="71482545"/>
    <w:multiLevelType w:val="hybridMultilevel"/>
    <w:lvl w:ilvl="0">
      <w:lvlJc w:val="left"/>
      <w:lvlText w:val="(%1)"/>
      <w:numFmt w:val="lowerLetter"/>
      <w:start w:val="8"/>
    </w:lvl>
  </w:abstractNum>
  <w:abstractNum w:abstractNumId="147">
    <w:nsid w:val="17D78639"/>
    <w:multiLevelType w:val="hybridMultilevel"/>
    <w:lvl w:ilvl="0">
      <w:lvlJc w:val="left"/>
      <w:lvlText w:val="(%1)"/>
      <w:numFmt w:val="lowerLetter"/>
      <w:start w:val="1"/>
    </w:lvl>
  </w:abstractNum>
  <w:abstractNum w:abstractNumId="148">
    <w:nsid w:val="141D2302"/>
    <w:multiLevelType w:val="hybridMultilevel"/>
    <w:lvl w:ilvl="0">
      <w:lvlJc w:val="left"/>
      <w:lvlText w:val="(%1)"/>
      <w:numFmt w:val="lowerRoman"/>
      <w:start w:val="2"/>
    </w:lvl>
  </w:abstractNum>
  <w:abstractNum w:abstractNumId="149">
    <w:nsid w:val="407168D8"/>
    <w:multiLevelType w:val="hybridMultilevel"/>
    <w:lvl w:ilvl="0">
      <w:lvlJc w:val="left"/>
      <w:lvlText w:val="(%1)"/>
      <w:numFmt w:val="lowerLetter"/>
      <w:start w:val="3"/>
    </w:lvl>
  </w:abstractNum>
  <w:abstractNum w:abstractNumId="150">
    <w:nsid w:val="6A1B45E5"/>
    <w:multiLevelType w:val="hybridMultilevel"/>
    <w:lvl w:ilvl="0">
      <w:lvlJc w:val="left"/>
      <w:lvlText w:val="(%1)"/>
      <w:numFmt w:val="lowerLetter"/>
      <w:start w:val="4"/>
    </w:lvl>
    <w:lvl w:ilvl="1">
      <w:lvlJc w:val="left"/>
      <w:lvlText w:val="(%2)"/>
      <w:numFmt w:val="lowerRoman"/>
      <w:start w:val="1"/>
    </w:lvl>
  </w:abstractNum>
  <w:abstractNum w:abstractNumId="151">
    <w:nsid w:val="567BD50A"/>
    <w:multiLevelType w:val="hybridMultilevel"/>
    <w:lvl w:ilvl="0">
      <w:lvlJc w:val="left"/>
      <w:lvlText w:val="%1"/>
      <w:numFmt w:val="lowerRoman"/>
      <w:start w:val="1"/>
    </w:lvl>
    <w:lvl w:ilvl="1">
      <w:lvlJc w:val="left"/>
      <w:lvlText w:val="(%2)"/>
      <w:numFmt w:val="lowerRoman"/>
      <w:start w:val="5"/>
    </w:lvl>
  </w:abstractNum>
  <w:abstractNum w:abstractNumId="152">
    <w:nsid w:val="73BBD7F8"/>
    <w:multiLevelType w:val="hybridMultilevel"/>
    <w:lvl w:ilvl="0">
      <w:lvlJc w:val="left"/>
      <w:lvlText w:val="(%1)"/>
      <w:numFmt w:val="lowerRoman"/>
      <w:start w:val="6"/>
    </w:lvl>
    <w:lvl w:ilvl="1">
      <w:lvlJc w:val="left"/>
      <w:lvlText w:val="%2"/>
      <w:numFmt w:val="lowerRoman"/>
      <w:start w:val="1"/>
    </w:lvl>
  </w:abstractNum>
  <w:abstractNum w:abstractNumId="153">
    <w:nsid w:val="1876589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7"/>
    </w:lvl>
  </w:abstractNum>
  <w:abstractNum w:abstractNumId="154">
    <w:nsid w:val="327FAC7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lvl w:ilvl="3">
      <w:lvlJc w:val="left"/>
      <w:lvlText w:val="%4"/>
      <w:numFmt w:val="lowerRoman"/>
      <w:start w:val="1"/>
    </w:lvl>
  </w:abstractNum>
  <w:abstractNum w:abstractNumId="155">
    <w:nsid w:val="5A606509"/>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156">
    <w:nsid w:val="6F38E6D1"/>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57">
    <w:nsid w:val="46111BA5"/>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58">
    <w:nsid w:val="5E963896"/>
    <w:multiLevelType w:val="hybridMultilevel"/>
    <w:lvl w:ilvl="0">
      <w:lvlJc w:val="left"/>
      <w:lvlText w:val="(%1)"/>
      <w:numFmt w:val="lowerLetter"/>
      <w:start w:val="6"/>
    </w:lvl>
    <w:lvl w:ilvl="1">
      <w:lvlJc w:val="left"/>
      <w:lvlText w:val="(%2)"/>
      <w:numFmt w:val="lowerLetter"/>
      <w:start w:val="9"/>
    </w:lvl>
  </w:abstractNum>
  <w:abstractNum w:abstractNumId="159">
    <w:nsid w:val="775BA7C1"/>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60">
    <w:nsid w:val="1DD6D6F4"/>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61">
    <w:nsid w:val="769A091F"/>
    <w:multiLevelType w:val="hybridMultilevel"/>
    <w:lvl w:ilvl="0">
      <w:lvlJc w:val="left"/>
      <w:lvlText w:val="(%1)"/>
      <w:numFmt w:val="lowerRoman"/>
      <w:start w:val="4"/>
    </w:lvl>
    <w:lvl w:ilvl="1">
      <w:lvlJc w:val="left"/>
      <w:lvlText w:val="(%2)"/>
      <w:numFmt w:val="lowerRoman"/>
      <w:start w:val="5"/>
    </w:lvl>
    <w:lvl w:ilvl="2">
      <w:lvlJc w:val="left"/>
      <w:lvlText w:val="%3"/>
      <w:numFmt w:val="lowerRoman"/>
      <w:start w:val="1"/>
    </w:lvl>
  </w:abstractNum>
  <w:abstractNum w:abstractNumId="162">
    <w:nsid w:val="4695AE95"/>
    <w:multiLevelType w:val="hybridMultilevel"/>
    <w:lvl w:ilvl="0">
      <w:lvlJc w:val="left"/>
      <w:lvlText w:val="(%1)"/>
      <w:numFmt w:val="lowerLetter"/>
      <w:start w:val="7"/>
    </w:lvl>
  </w:abstractNum>
  <w:abstractNum w:abstractNumId="163">
    <w:nsid w:val="777A4EAA"/>
    <w:multiLevelType w:val="hybridMultilevel"/>
    <w:lvl w:ilvl="0">
      <w:lvlJc w:val="left"/>
      <w:lvlText w:val="(%1)"/>
      <w:numFmt w:val="lowerLetter"/>
      <w:start w:val="8"/>
    </w:lvl>
  </w:abstractNum>
  <w:abstractNum w:abstractNumId="164">
    <w:nsid w:val="3F48B982"/>
    <w:multiLevelType w:val="hybridMultilevel"/>
    <w:lvl w:ilvl="0">
      <w:lvlJc w:val="left"/>
      <w:lvlText w:val="(%1)"/>
      <w:numFmt w:val="lowerLetter"/>
      <w:start w:val="13"/>
    </w:lvl>
  </w:abstractNum>
  <w:abstractNum w:abstractNumId="165">
    <w:nsid w:val="46BA8FCA"/>
    <w:multiLevelType w:val="hybridMultilevel"/>
    <w:lvl w:ilvl="0">
      <w:lvlJc w:val="left"/>
      <w:lvlText w:val="%1"/>
      <w:numFmt w:val="lowerLetter"/>
      <w:start w:val="1"/>
    </w:lvl>
    <w:lvl w:ilvl="1">
      <w:lvlJc w:val="left"/>
      <w:lvlText w:val="(%2)"/>
      <w:numFmt w:val="lowerLetter"/>
      <w:start w:val="1"/>
    </w:lvl>
  </w:abstractNum>
  <w:abstractNum w:abstractNumId="166">
    <w:nsid w:val="7835626C"/>
    <w:multiLevelType w:val="hybridMultilevel"/>
    <w:lvl w:ilvl="0">
      <w:lvlJc w:val="left"/>
      <w:lvlText w:val="(%1)"/>
      <w:numFmt w:val="lowerLetter"/>
      <w:start w:val="35"/>
    </w:lvl>
    <w:lvl w:ilvl="1">
      <w:lvlJc w:val="left"/>
      <w:lvlText w:val="(%2)"/>
      <w:numFmt w:val="lowerLetter"/>
      <w:start w:val="4"/>
    </w:lvl>
  </w:abstractNum>
  <w:abstractNum w:abstractNumId="167">
    <w:nsid w:val="665ACA49"/>
    <w:multiLevelType w:val="hybridMultilevel"/>
    <w:lvl w:ilvl="0">
      <w:lvlJc w:val="left"/>
      <w:lvlText w:val="(%1)"/>
      <w:numFmt w:val="lowerLetter"/>
      <w:start w:val="7"/>
    </w:lvl>
  </w:abstractNum>
  <w:abstractNum w:abstractNumId="168">
    <w:nsid w:val="6835B2AE"/>
    <w:multiLevelType w:val="hybridMultilevel"/>
    <w:lvl w:ilvl="0">
      <w:lvlJc w:val="left"/>
      <w:lvlText w:val="(%1)"/>
      <w:numFmt w:val="lowerLetter"/>
      <w:start w:val="13"/>
    </w:lvl>
  </w:abstractNum>
  <w:abstractNum w:abstractNumId="169">
    <w:nsid w:val="4C187C90"/>
    <w:multiLevelType w:val="hybridMultilevel"/>
    <w:lvl w:ilvl="0">
      <w:lvlJc w:val="left"/>
      <w:lvlText w:val="(%1)"/>
      <w:numFmt w:val="lowerLetter"/>
      <w:start w:val="14"/>
    </w:lvl>
  </w:abstractNum>
  <w:abstractNum w:abstractNumId="170">
    <w:nsid w:val="541F28CD"/>
    <w:multiLevelType w:val="hybridMultilevel"/>
    <w:lvl w:ilvl="0">
      <w:lvlJc w:val="left"/>
      <w:lvlText w:val="%1"/>
      <w:numFmt w:val="upperLetter"/>
      <w:start w:val="1"/>
    </w:lvl>
    <w:lvl w:ilvl="1">
      <w:lvlJc w:val="left"/>
      <w:lvlText w:val="(%2)"/>
      <w:numFmt w:val="lowerLetter"/>
      <w:start w:val="1"/>
    </w:lvl>
  </w:abstractNum>
  <w:abstractNum w:abstractNumId="171">
    <w:nsid w:val="7F65FD16"/>
    <w:multiLevelType w:val="hybridMultilevel"/>
    <w:lvl w:ilvl="0">
      <w:lvlJc w:val="left"/>
      <w:lvlText w:val="(%1)"/>
      <w:numFmt w:val="upperLetter"/>
      <w:start w:val="2"/>
    </w:lvl>
    <w:lvl w:ilvl="1">
      <w:lvlJc w:val="left"/>
      <w:lvlText w:val="%2"/>
      <w:numFmt w:val="lowerLetter"/>
      <w:start w:val="1"/>
    </w:lvl>
  </w:abstractNum>
  <w:abstractNum w:abstractNumId="172">
    <w:nsid w:val="77C9FD68"/>
    <w:multiLevelType w:val="hybridMultilevel"/>
    <w:lvl w:ilvl="0">
      <w:lvlJc w:val="left"/>
      <w:lvlText w:val="(%1)"/>
      <w:numFmt w:val="lowerRoman"/>
      <w:start w:val="2"/>
    </w:lvl>
  </w:abstractNum>
  <w:abstractNum w:abstractNumId="173">
    <w:nsid w:val="298A92BA"/>
    <w:multiLevelType w:val="hybridMultilevel"/>
    <w:lvl w:ilvl="0">
      <w:lvlJc w:val="left"/>
      <w:lvlText w:val="%1"/>
      <w:numFmt w:val="lowerLetter"/>
      <w:start w:val="1"/>
    </w:lvl>
    <w:lvl w:ilvl="1">
      <w:lvlJc w:val="left"/>
      <w:lvlText w:val="(%2)"/>
      <w:numFmt w:val="lowerLetter"/>
      <w:start w:val="3"/>
    </w:lvl>
  </w:abstractNum>
  <w:abstractNum w:abstractNumId="174">
    <w:nsid w:val="6FE95EAC"/>
    <w:multiLevelType w:val="hybridMultilevel"/>
    <w:lvl w:ilvl="0">
      <w:lvlJc w:val="left"/>
      <w:lvlText w:val="(%1)"/>
      <w:numFmt w:val="lowerLetter"/>
      <w:start w:val="25"/>
    </w:lvl>
    <w:lvl w:ilvl="1">
      <w:lvlJc w:val="left"/>
      <w:lvlText w:val="%2"/>
      <w:numFmt w:val="lowerLetter"/>
      <w:start w:val="1"/>
    </w:lvl>
  </w:abstractNum>
  <w:abstractNum w:abstractNumId="175">
    <w:nsid w:val="4B697C7A"/>
    <w:multiLevelType w:val="hybridMultilevel"/>
    <w:lvl w:ilvl="0">
      <w:lvlJc w:val="left"/>
      <w:lvlText w:val="(%1)"/>
      <w:numFmt w:val="lowerLetter"/>
      <w:start w:val="4"/>
    </w:lvl>
  </w:abstractNum>
  <w:abstractNum w:abstractNumId="176">
    <w:nsid w:val="51A27AA6"/>
    <w:multiLevelType w:val="hybridMultilevel"/>
    <w:lvl w:ilvl="0">
      <w:lvlJc w:val="left"/>
      <w:lvlText w:val="(%1)"/>
      <w:numFmt w:val="lowerLetter"/>
      <w:start w:val="6"/>
    </w:lvl>
  </w:abstractNum>
  <w:abstractNum w:abstractNumId="177">
    <w:nsid w:val="613183F2"/>
    <w:multiLevelType w:val="hybridMultilevel"/>
    <w:lvl w:ilvl="0">
      <w:lvlJc w:val="left"/>
      <w:lvlText w:val="(%1)"/>
      <w:numFmt w:val="lowerLetter"/>
      <w:start w:val="1"/>
    </w:lvl>
  </w:abstractNum>
  <w:abstractNum w:abstractNumId="178">
    <w:nsid w:val="634102B4"/>
    <w:multiLevelType w:val="hybridMultilevel"/>
    <w:lvl w:ilvl="0">
      <w:lvlJc w:val="left"/>
      <w:lvlText w:val="(%1)"/>
      <w:numFmt w:val="decimal"/>
      <w:start w:val="1"/>
    </w:lvl>
  </w:abstractNum>
  <w:abstractNum w:abstractNumId="179">
    <w:nsid w:val="65BF9DA8"/>
    <w:multiLevelType w:val="hybridMultilevel"/>
    <w:lvl w:ilvl="0">
      <w:lvlJc w:val="left"/>
      <w:lvlText w:val="%1"/>
      <w:numFmt w:val="decimal"/>
      <w:start w:val="1"/>
    </w:lvl>
    <w:lvl w:ilvl="1">
      <w:lvlJc w:val="left"/>
      <w:lvlText w:val="(%2)"/>
      <w:numFmt w:val="decimal"/>
      <w:start w:val="9"/>
    </w:lvl>
  </w:abstractNum>
  <w:abstractNum w:abstractNumId="180">
    <w:nsid w:val="21A2ECCA"/>
    <w:multiLevelType w:val="hybridMultilevel"/>
    <w:lvl w:ilvl="0">
      <w:lvlJc w:val="left"/>
      <w:lvlText w:val="(%1)"/>
      <w:numFmt w:val="decimal"/>
      <w:start w:val="10"/>
    </w:lvl>
    <w:lvl w:ilvl="1">
      <w:lvlJc w:val="left"/>
      <w:lvlText w:val="%2"/>
      <w:numFmt w:val="decimal"/>
      <w:start w:val="1"/>
    </w:lvl>
  </w:abstractNum>
  <w:abstractNum w:abstractNumId="181">
    <w:nsid w:val="4D5C4899"/>
    <w:multiLevelType w:val="hybridMultilevel"/>
    <w:lvl w:ilvl="0">
      <w:lvlJc w:val="left"/>
      <w:lvlText w:val="(%1)"/>
      <w:numFmt w:val="lowerLetter"/>
      <w:start w:val="1"/>
    </w:lvl>
  </w:abstractNum>
  <w:abstractNum w:abstractNumId="182">
    <w:nsid w:val="3C3B72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183">
    <w:nsid w:val="155EC4C2"/>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1"/>
    </w:lvl>
  </w:abstractNum>
  <w:abstractNum w:abstractNumId="184">
    <w:nsid w:val="65D2A137"/>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
    </w:lvl>
  </w:abstractNum>
  <w:abstractNum w:abstractNumId="185">
    <w:nsid w:val="6EBB1F2A"/>
    <w:multiLevelType w:val="hybridMultilevel"/>
    <w:lvl w:ilvl="0">
      <w:lvlJc w:val="left"/>
      <w:lvlText w:val="(%1)"/>
      <w:numFmt w:val="lowerLetter"/>
      <w:start w:val="1"/>
    </w:lvl>
  </w:abstractNum>
  <w:abstractNum w:abstractNumId="186">
    <w:nsid w:val="6FBF29CB"/>
    <w:multiLevelType w:val="hybridMultilevel"/>
    <w:lvl w:ilvl="0">
      <w:lvlJc w:val="left"/>
      <w:lvlText w:val="%1"/>
      <w:numFmt w:val="lowerLetter"/>
      <w:start w:val="1"/>
    </w:lvl>
    <w:lvl w:ilvl="1">
      <w:lvlJc w:val="left"/>
      <w:lvlText w:val="(%2)"/>
      <w:numFmt w:val="lowerLetter"/>
      <w:start w:val="4"/>
    </w:lvl>
  </w:abstractNum>
  <w:abstractNum w:abstractNumId="187">
    <w:nsid w:val="550B8808"/>
    <w:multiLevelType w:val="hybridMultilevel"/>
    <w:lvl w:ilvl="0">
      <w:lvlJc w:val="left"/>
      <w:lvlText w:val="(%1)"/>
      <w:numFmt w:val="lowerLetter"/>
      <w:start w:val="24"/>
    </w:lvl>
    <w:lvl w:ilvl="1">
      <w:lvlJc w:val="left"/>
      <w:lvlText w:val="(%2)"/>
      <w:numFmt w:val="lowerLetter"/>
      <w:start w:val="5"/>
    </w:lvl>
  </w:abstractNum>
  <w:abstractNum w:abstractNumId="188">
    <w:nsid w:val="34CC3ACF"/>
    <w:multiLevelType w:val="hybridMultilevel"/>
    <w:lvl w:ilvl="0">
      <w:lvlJc w:val="left"/>
      <w:lvlText w:val="%1"/>
      <w:numFmt w:val="lowerLetter"/>
      <w:start w:val="1"/>
    </w:lvl>
    <w:lvl w:ilvl="1">
      <w:lvlJc w:val="left"/>
      <w:lvlText w:val="(%2)"/>
      <w:numFmt w:val="lowerLetter"/>
      <w:start w:val="12"/>
    </w:lvl>
  </w:abstractNum>
  <w:abstractNum w:abstractNumId="189">
    <w:nsid w:val="4E556261"/>
    <w:multiLevelType w:val="hybridMultilevel"/>
    <w:lvl w:ilvl="0">
      <w:lvlJc w:val="left"/>
      <w:lvlText w:val="(%1)"/>
      <w:numFmt w:val="lowerLetter"/>
      <w:start w:val="13"/>
    </w:lvl>
    <w:lvl w:ilvl="1">
      <w:lvlJc w:val="left"/>
      <w:lvlText w:val="%2"/>
      <w:numFmt w:val="lowerLetter"/>
      <w:start w:val="1"/>
    </w:lvl>
  </w:abstractNum>
  <w:abstractNum w:abstractNumId="190">
    <w:nsid w:val="4C672FC9"/>
    <w:multiLevelType w:val="hybridMultilevel"/>
    <w:lvl w:ilvl="0">
      <w:lvlJc w:val="left"/>
      <w:lvlText w:val="(%1)"/>
      <w:numFmt w:val="lowerRoman"/>
      <w:start w:val="1"/>
    </w:lvl>
  </w:abstractNum>
  <w:abstractNum w:abstractNumId="191">
    <w:nsid w:val="52A311C3"/>
    <w:multiLevelType w:val="hybridMultilevel"/>
    <w:lvl w:ilvl="0">
      <w:lvlJc w:val="left"/>
      <w:lvlText w:val="(%1)"/>
      <w:numFmt w:val="lowerRoman"/>
      <w:start w:val="3"/>
    </w:lvl>
    <w:lvl w:ilvl="1">
      <w:lvlJc w:val="left"/>
      <w:lvlText w:val="(%2)"/>
      <w:numFmt w:val="lowerRoman"/>
      <w:start w:val="4"/>
    </w:lvl>
    <w:lvl w:ilvl="2">
      <w:lvlJc w:val="left"/>
      <w:lvlText w:val="(%3)"/>
      <w:numFmt w:val="lowerRoman"/>
      <w:start w:val="4"/>
    </w:lvl>
  </w:abstractNum>
  <w:abstractNum w:abstractNumId="192">
    <w:nsid w:val="44EF6B8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6"/>
    </w:lvl>
  </w:abstractNum>
  <w:abstractNum w:abstractNumId="193">
    <w:nsid w:val="12FCDE5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lvl w:ilvl="3">
      <w:lvlJc w:val="left"/>
      <w:lvlText w:val="%4"/>
      <w:numFmt w:val="lowerRoman"/>
      <w:start w:val="1"/>
    </w:lvl>
  </w:abstractNum>
  <w:abstractNum w:abstractNumId="194">
    <w:nsid w:val="4A1D606E"/>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9"/>
    </w:lvl>
    <w:lvl w:ilvl="3">
      <w:lvlJc w:val="left"/>
      <w:lvlText w:val="%4"/>
      <w:numFmt w:val="lowerRoman"/>
      <w:start w:val="1"/>
    </w:lvl>
  </w:abstractNum>
  <w:abstractNum w:abstractNumId="195">
    <w:nsid w:val="438250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196">
    <w:nsid w:val="59B76E28"/>
    <w:multiLevelType w:val="hybridMultilevel"/>
    <w:lvl w:ilvl="0">
      <w:lvlJc w:val="left"/>
      <w:lvlText w:val="(%1)"/>
      <w:numFmt w:val="lowerLetter"/>
      <w:start w:val="2"/>
    </w:lvl>
  </w:abstractNum>
  <w:abstractNum w:abstractNumId="197">
    <w:nsid w:val="4252C2DA"/>
    <w:multiLevelType w:val="hybridMultilevel"/>
    <w:lvl w:ilvl="0">
      <w:lvlJc w:val="left"/>
      <w:lvlText w:val="(%1)"/>
      <w:numFmt w:val="lowerLetter"/>
      <w:start w:val="2"/>
    </w:lvl>
  </w:abstractNum>
  <w:abstractNum w:abstractNumId="198">
    <w:nsid w:val="6A92EF4C"/>
    <w:multiLevelType w:val="hybridMultilevel"/>
    <w:lvl w:ilvl="0">
      <w:lvlJc w:val="left"/>
      <w:lvlText w:val="(%1)"/>
      <w:numFmt w:val="lowerRoman"/>
      <w:start w:val="1"/>
    </w:lvl>
  </w:abstractNum>
  <w:abstractNum w:abstractNumId="199">
    <w:nsid w:val="41ED20D7"/>
    <w:multiLevelType w:val="hybridMultilevel"/>
    <w:lvl w:ilvl="0">
      <w:lvlJc w:val="left"/>
      <w:lvlText w:val="%1"/>
      <w:numFmt w:val="lowerRoman"/>
      <w:start w:val="1"/>
    </w:lvl>
    <w:lvl w:ilvl="1">
      <w:lvlJc w:val="left"/>
      <w:lvlText w:val="(%2)"/>
      <w:numFmt w:val="lowerRoman"/>
      <w:start w:val="2"/>
    </w:lvl>
  </w:abstractNum>
  <w:abstractNum w:abstractNumId="200">
    <w:nsid w:val="E6B3F6A"/>
    <w:multiLevelType w:val="hybridMultilevel"/>
    <w:lvl w:ilvl="0">
      <w:lvlJc w:val="left"/>
      <w:lvlText w:val="(%1)"/>
      <w:numFmt w:val="lowerRoman"/>
      <w:start w:val="3"/>
    </w:lvl>
    <w:lvl w:ilvl="1">
      <w:lvlJc w:val="left"/>
      <w:lvlText w:val="(%2)"/>
      <w:numFmt w:val="lowerRoman"/>
      <w:start w:val="5"/>
    </w:lvl>
  </w:abstractNum>
  <w:abstractNum w:abstractNumId="201">
    <w:nsid w:val="3EB21819"/>
    <w:multiLevelType w:val="hybridMultilevel"/>
    <w:lvl w:ilvl="0">
      <w:lvlJc w:val="left"/>
      <w:lvlText w:val="(%1)"/>
      <w:numFmt w:val="lowerRoman"/>
      <w:start w:val="6"/>
    </w:lvl>
  </w:abstractNum>
  <w:abstractNum w:abstractNumId="202">
    <w:nsid w:val="41531DED"/>
    <w:multiLevelType w:val="hybridMultilevel"/>
    <w:lvl w:ilvl="0">
      <w:lvlJc w:val="left"/>
      <w:lvlText w:val="(%1)"/>
      <w:numFmt w:val="lowerLetter"/>
      <w:start w:val="2"/>
    </w:lvl>
  </w:abstractNum>
  <w:abstractNum w:abstractNumId="203">
    <w:nsid w:val="6353CD2"/>
    <w:multiLevelType w:val="hybridMultilevel"/>
    <w:lvl w:ilvl="0">
      <w:lvlJc w:val="left"/>
      <w:lvlText w:val="(%1)"/>
      <w:numFmt w:val="lowerLetter"/>
      <w:start w:val="3"/>
    </w:lvl>
  </w:abstractNum>
  <w:abstractNum w:abstractNumId="204">
    <w:nsid w:val="683CAAD3"/>
    <w:multiLevelType w:val="hybridMultilevel"/>
    <w:lvl w:ilvl="0">
      <w:lvlJc w:val="left"/>
      <w:lvlText w:val="(%1)"/>
      <w:numFmt w:val="lowerLetter"/>
      <w:start w:val="2"/>
    </w:lvl>
  </w:abstractNum>
  <w:abstractNum w:abstractNumId="205">
    <w:nsid w:val="313C7C99"/>
    <w:multiLevelType w:val="hybridMultilevel"/>
    <w:lvl w:ilvl="0">
      <w:lvlJc w:val="left"/>
      <w:lvlText w:val="(%1)"/>
      <w:numFmt w:val="decimal"/>
      <w:start w:val="30"/>
    </w:lvl>
    <w:lvl w:ilvl="1">
      <w:lvlJc w:val="left"/>
      <w:lvlText w:val="(%2)"/>
      <w:numFmt w:val="lowerLetter"/>
      <w:start w:val="2"/>
    </w:lvl>
  </w:abstractNum>
  <w:abstractNum w:abstractNumId="206">
    <w:nsid w:val="519EB94C"/>
    <w:multiLevelType w:val="hybridMultilevel"/>
    <w:lvl w:ilvl="0">
      <w:lvlJc w:val="left"/>
      <w:lvlText w:val="(%1)"/>
      <w:numFmt w:val="lowerLetter"/>
      <w:start w:val="1"/>
    </w:lvl>
  </w:abstractNum>
  <w:abstractNum w:abstractNumId="207">
    <w:nsid w:val="39DF2579"/>
    <w:multiLevelType w:val="hybridMultilevel"/>
    <w:lvl w:ilvl="0">
      <w:lvlJc w:val="left"/>
      <w:lvlText w:val="(%1)"/>
      <w:numFmt w:val="lowerLetter"/>
      <w:start w:val="2"/>
    </w:lvl>
  </w:abstractNum>
  <w:abstractNum w:abstractNumId="208">
    <w:nsid w:val="126E008B"/>
    <w:multiLevelType w:val="hybridMultilevel"/>
    <w:lvl w:ilvl="0">
      <w:lvlJc w:val="left"/>
      <w:lvlText w:val="(%1)"/>
      <w:numFmt w:val="lowerLetter"/>
      <w:start w:val="3"/>
    </w:lvl>
  </w:abstractNum>
  <w:abstractNum w:abstractNumId="209">
    <w:nsid w:val="34DFBC00"/>
    <w:multiLevelType w:val="hybridMultilevel"/>
    <w:lvl w:ilvl="0">
      <w:lvlJc w:val="left"/>
      <w:lvlText w:val="(%1)"/>
      <w:numFmt w:val="upperLetter"/>
      <w:start w:val="2"/>
    </w:lvl>
  </w:abstractNum>
  <w:abstractNum w:abstractNumId="210">
    <w:nsid w:val="1F9EC322"/>
    <w:multiLevelType w:val="hybridMultilevel"/>
    <w:lvl w:ilvl="0">
      <w:lvlJc w:val="left"/>
      <w:lvlText w:val="(%1)"/>
      <w:numFmt w:val="lowerLetter"/>
      <w:start w:val="2"/>
    </w:lvl>
  </w:abstractNum>
  <w:abstractNum w:abstractNumId="211">
    <w:nsid w:val="3410ED56"/>
    <w:multiLevelType w:val="hybridMultilevel"/>
    <w:lvl w:ilvl="0">
      <w:lvlJc w:val="left"/>
      <w:lvlText w:val="(%1)"/>
      <w:numFmt w:val="lowerLetter"/>
      <w:start w:val="3"/>
    </w:lvl>
  </w:abstractNum>
  <w:abstractNum w:abstractNumId="212">
    <w:nsid w:val="23C049A"/>
    <w:multiLevelType w:val="hybridMultilevel"/>
    <w:lvl w:ilvl="0">
      <w:lvlJc w:val="left"/>
      <w:lvlText w:val="(%1)"/>
      <w:numFmt w:val="lowerLetter"/>
      <w:start w:val="2"/>
    </w:lvl>
  </w:abstractNum>
  <w:abstractNum w:abstractNumId="213">
    <w:nsid w:val="5BDA35D4"/>
    <w:multiLevelType w:val="hybridMultilevel"/>
    <w:lvl w:ilvl="0">
      <w:lvlJc w:val="left"/>
      <w:lvlText w:val="(%1)"/>
      <w:numFmt w:val="lowerRoman"/>
      <w:start w:val="1"/>
    </w:lvl>
    <w:lvl w:ilvl="1">
      <w:lvlJc w:val="left"/>
      <w:lvlText w:val="(%2)"/>
      <w:numFmt w:val="upperLetter"/>
      <w:start w:val="1"/>
    </w:lvl>
  </w:abstractNum>
  <w:abstractNum w:abstractNumId="214">
    <w:nsid w:val="496FB218"/>
    <w:multiLevelType w:val="hybridMultilevel"/>
    <w:lvl w:ilvl="0">
      <w:lvlJc w:val="left"/>
      <w:lvlText w:val="(%1)"/>
      <w:numFmt w:val="upperLetter"/>
      <w:start w:val="4"/>
    </w:lvl>
    <w:lvl w:ilvl="1">
      <w:lvlJc w:val="left"/>
      <w:lvlText w:val="(%2)"/>
      <w:numFmt w:val="upperLetter"/>
      <w:start w:val="9"/>
    </w:lvl>
  </w:abstractNum>
  <w:abstractNum w:abstractNumId="215">
    <w:nsid w:val="680EA5D1"/>
    <w:multiLevelType w:val="hybridMultilevel"/>
    <w:lvl w:ilvl="0">
      <w:lvlJc w:val="left"/>
      <w:lvlText w:val="(%1)"/>
      <w:numFmt w:val="upperLetter"/>
      <w:start w:val="11"/>
    </w:lvl>
  </w:abstractNum>
  <w:abstractNum w:abstractNumId="216">
    <w:nsid w:val="4A9554F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5"/>
    </w:lvl>
  </w:abstractNum>
  <w:abstractNum w:abstractNumId="217">
    <w:nsid w:val="392EDBE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18">
    <w:nsid w:val="3D1A2DD9"/>
    <w:multiLevelType w:val="hybridMultilevel"/>
    <w:lvl w:ilvl="0">
      <w:lvlJc w:val="left"/>
      <w:lvlText w:val="(%1)"/>
      <w:numFmt w:val="lowerLetter"/>
      <w:start w:val="25"/>
    </w:lvl>
    <w:lvl w:ilvl="1">
      <w:lvlJc w:val="left"/>
      <w:lvlText w:val="%2"/>
      <w:numFmt w:val="lowerLetter"/>
      <w:start w:val="1"/>
    </w:lvl>
    <w:lvl w:ilvl="2">
      <w:lvlJc w:val="left"/>
      <w:lvlText w:val="(%3)"/>
      <w:numFmt w:val="upperLetter"/>
      <w:start w:val="3"/>
    </w:lvl>
  </w:abstractNum>
  <w:abstractNum w:abstractNumId="219">
    <w:nsid w:val="7F618FCD"/>
    <w:multiLevelType w:val="hybridMultilevel"/>
    <w:lvl w:ilvl="0">
      <w:lvlJc w:val="left"/>
      <w:lvlText w:val="(%1)"/>
      <w:numFmt w:val="lowerLetter"/>
      <w:start w:val="2"/>
    </w:lvl>
  </w:abstractNum>
  <w:abstractNum w:abstractNumId="220">
    <w:nsid w:val="7843E45"/>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lowerRoman"/>
      <w:start w:val="1"/>
    </w:lvl>
  </w:abstractNum>
  <w:abstractNum w:abstractNumId="221">
    <w:nsid w:val="9815DA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5"/>
    </w:lvl>
  </w:abstractNum>
  <w:abstractNum w:abstractNumId="222">
    <w:nsid w:val="5204A191"/>
    <w:multiLevelType w:val="hybridMultilevel"/>
    <w:lvl w:ilvl="0">
      <w:lvlJc w:val="left"/>
      <w:lvlText w:val="(%1)"/>
      <w:numFmt w:val="lowerRoman"/>
      <w:start w:val="6"/>
    </w:lvl>
  </w:abstractNum>
  <w:abstractNum w:abstractNumId="223">
    <w:nsid w:val="4C73A9C6"/>
    <w:multiLevelType w:val="hybridMultilevel"/>
    <w:lvl w:ilvl="0">
      <w:lvlJc w:val="left"/>
      <w:lvlText w:val="(%1)"/>
      <w:numFmt w:val="lowerLetter"/>
      <w:start w:val="2"/>
    </w:lvl>
  </w:abstractNum>
  <w:abstractNum w:abstractNumId="224">
    <w:nsid w:val="1C7E3C01"/>
    <w:multiLevelType w:val="hybridMultilevel"/>
    <w:lvl w:ilvl="0">
      <w:lvlJc w:val="left"/>
      <w:lvlText w:val="(%1)"/>
      <w:numFmt w:val="lowerLetter"/>
      <w:start w:val="1"/>
    </w:lvl>
    <w:lvl w:ilvl="1">
      <w:lvlJc w:val="left"/>
      <w:lvlText w:val="(%2)"/>
      <w:numFmt w:val="lowerRoman"/>
      <w:start w:val="1"/>
    </w:lvl>
  </w:abstractNum>
  <w:abstractNum w:abstractNumId="225">
    <w:nsid w:val="1C2201FF"/>
    <w:multiLevelType w:val="hybridMultilevel"/>
    <w:lvl w:ilvl="0">
      <w:lvlJc w:val="left"/>
      <w:lvlText w:val="(%1)"/>
      <w:numFmt w:val="lowerLetter"/>
      <w:start w:val="1"/>
    </w:lvl>
  </w:abstractNum>
  <w:abstractNum w:abstractNumId="226">
    <w:nsid w:val="50ABCEC9"/>
    <w:multiLevelType w:val="hybridMultilevel"/>
    <w:lvl w:ilvl="0">
      <w:lvlJc w:val="left"/>
      <w:lvlText w:val="(%1)"/>
      <w:numFmt w:val="lowerRoman"/>
      <w:start w:val="1"/>
    </w:lvl>
  </w:abstractNum>
  <w:abstractNum w:abstractNumId="227">
    <w:nsid w:val="7635AA2A"/>
    <w:multiLevelType w:val="hybridMultilevel"/>
    <w:lvl w:ilvl="0">
      <w:lvlJc w:val="left"/>
      <w:lvlText w:val="%1"/>
      <w:numFmt w:val="lowerRoman"/>
      <w:start w:val="1"/>
    </w:lvl>
    <w:lvl w:ilvl="1">
      <w:lvlJc w:val="left"/>
      <w:lvlText w:val="(%2)"/>
      <w:numFmt w:val="lowerRoman"/>
      <w:start w:val="2"/>
    </w:lvl>
  </w:abstractNum>
  <w:abstractNum w:abstractNumId="228">
    <w:nsid w:val="5E74C4D9"/>
    <w:multiLevelType w:val="hybridMultilevel"/>
    <w:lvl w:ilvl="0">
      <w:lvlJc w:val="left"/>
      <w:lvlText w:val="(%1)"/>
      <w:numFmt w:val="lowerRoman"/>
      <w:start w:val="3"/>
    </w:lvl>
    <w:lvl w:ilvl="1">
      <w:lvlJc w:val="left"/>
      <w:lvlText w:val="%2"/>
      <w:numFmt w:val="lowerRoman"/>
      <w:start w:val="1"/>
    </w:lvl>
  </w:abstractNum>
  <w:abstractNum w:abstractNumId="229">
    <w:nsid w:val="3B3EBE15"/>
    <w:multiLevelType w:val="hybridMultilevel"/>
    <w:lvl w:ilvl="0">
      <w:lvlJc w:val="left"/>
      <w:lvlText w:val="(%1)"/>
      <w:numFmt w:val="lowerRoman"/>
      <w:start w:val="4"/>
    </w:lvl>
  </w:abstractNum>
  <w:abstractNum w:abstractNumId="230">
    <w:nsid w:val="3822CB01"/>
    <w:multiLevelType w:val="hybridMultilevel"/>
    <w:lvl w:ilvl="0">
      <w:lvlJc w:val="left"/>
      <w:lvlText w:val="(%1)"/>
      <w:numFmt w:val="lowerRoman"/>
      <w:start w:val="5"/>
    </w:lvl>
  </w:abstractNum>
  <w:abstractNum w:abstractNumId="231">
    <w:nsid w:val="6CE00443"/>
    <w:multiLevelType w:val="hybridMultilevel"/>
    <w:lvl w:ilvl="0">
      <w:lvlJc w:val="left"/>
      <w:lvlText w:val="%1"/>
      <w:numFmt w:val="lowerRoman"/>
      <w:start w:val="1"/>
    </w:lvl>
    <w:lvl w:ilvl="1">
      <w:lvlJc w:val="left"/>
      <w:lvlText w:val="(%2)"/>
      <w:numFmt w:val="lowerRoman"/>
      <w:start w:val="6"/>
    </w:lvl>
  </w:abstractNum>
  <w:abstractNum w:abstractNumId="232">
    <w:nsid w:val="79F0D62F"/>
    <w:multiLevelType w:val="hybridMultilevel"/>
    <w:lvl w:ilvl="0">
      <w:lvlJc w:val="left"/>
      <w:lvlText w:val="(%1)"/>
      <w:numFmt w:val="lowerRoman"/>
      <w:start w:val="8"/>
    </w:lvl>
    <w:lvl w:ilvl="1">
      <w:lvlJc w:val="left"/>
      <w:lvlText w:val="%2"/>
      <w:numFmt w:val="lowerRoman"/>
      <w:start w:val="1"/>
    </w:lvl>
  </w:abstractNum>
  <w:abstractNum w:abstractNumId="233">
    <w:nsid w:val="7975E8EE"/>
    <w:multiLevelType w:val="hybridMultilevel"/>
    <w:lvl w:ilvl="0">
      <w:lvlJc w:val="left"/>
      <w:lvlText w:val="(%1)"/>
      <w:numFmt w:val="lowerRoman"/>
      <w:start w:val="9"/>
    </w:lvl>
  </w:abstractNum>
  <w:abstractNum w:abstractNumId="234">
    <w:nsid w:val="73154115"/>
    <w:multiLevelType w:val="hybridMultilevel"/>
    <w:lvl w:ilvl="0">
      <w:lvlJc w:val="left"/>
      <w:lvlText w:val="(%1)"/>
      <w:numFmt w:val="lowerLetter"/>
      <w:start w:val="2"/>
    </w:lvl>
  </w:abstractNum>
  <w:abstractNum w:abstractNumId="235">
    <w:nsid w:val="622D8102"/>
    <w:multiLevelType w:val="hybridMultilevel"/>
    <w:lvl w:ilvl="0">
      <w:lvlJc w:val="left"/>
      <w:lvlText w:val="(%1)"/>
      <w:numFmt w:val="lowerLetter"/>
      <w:start w:val="1"/>
    </w:lvl>
  </w:abstractNum>
  <w:abstractNum w:abstractNumId="236">
    <w:nsid w:val="2AB26587"/>
    <w:multiLevelType w:val="hybridMultilevel"/>
    <w:lvl w:ilvl="0">
      <w:lvlJc w:val="left"/>
      <w:lvlText w:val="(%1)"/>
      <w:numFmt w:val="lowerLetter"/>
      <w:start w:val="1"/>
    </w:lvl>
    <w:lvl w:ilvl="1">
      <w:lvlJc w:val="left"/>
      <w:lvlText w:val="(%2)"/>
      <w:numFmt w:val="lowerLetter"/>
      <w:start w:val="9"/>
    </w:lvl>
  </w:abstractNum>
  <w:abstractNum w:abstractNumId="237">
    <w:nsid w:val="44B3FA61"/>
    <w:multiLevelType w:val="hybridMultilevel"/>
    <w:lvl w:ilvl="0">
      <w:lvlJc w:val="left"/>
      <w:lvlText w:val="(%1)"/>
      <w:numFmt w:val="lowerRoman"/>
      <w:start w:val="2"/>
    </w:lvl>
  </w:abstractNum>
  <w:abstractNum w:abstractNumId="238">
    <w:nsid w:val="1C0CA67C"/>
    <w:multiLevelType w:val="hybridMultilevel"/>
    <w:lvl w:ilvl="0">
      <w:lvlJc w:val="left"/>
      <w:lvlText w:val="(%1)"/>
      <w:numFmt w:val="lowerRoman"/>
      <w:start w:val="3"/>
    </w:lvl>
    <w:lvl w:ilvl="1">
      <w:lvlJc w:val="left"/>
      <w:lvlText w:val="(%2)"/>
      <w:numFmt w:val="lowerRoman"/>
      <w:start w:val="4"/>
    </w:lvl>
    <w:lvl w:ilvl="2">
      <w:lvlJc w:val="left"/>
      <w:lvlText w:val="(%3)"/>
      <w:numFmt w:val="lowerRoman"/>
      <w:start w:val="5"/>
    </w:lvl>
    <w:lvl w:ilvl="3">
      <w:lvlJc w:val="left"/>
      <w:lvlText w:val="(%4)"/>
      <w:numFmt w:val="lowerRoman"/>
      <w:start w:val="5"/>
    </w:lvl>
  </w:abstractNum>
  <w:abstractNum w:abstractNumId="239">
    <w:nsid w:val="3D206613"/>
    <w:multiLevelType w:val="hybridMultilevel"/>
    <w:lvl w:ilvl="0">
      <w:lvlJc w:val="left"/>
      <w:lvlText w:val="(%1)"/>
      <w:numFmt w:val="lowerRoman"/>
      <w:start w:val="8"/>
    </w:lvl>
  </w:abstractNum>
  <w:abstractNum w:abstractNumId="240">
    <w:nsid w:val="7993B66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9"/>
    </w:lvl>
  </w:abstractNum>
  <w:abstractNum w:abstractNumId="241">
    <w:nsid w:val="3BAB699E"/>
    <w:multiLevelType w:val="hybridMultilevel"/>
    <w:lvl w:ilvl="0">
      <w:lvlJc w:val="left"/>
      <w:lvlText w:val="(%1)"/>
      <w:numFmt w:val="lowerRoman"/>
      <w:start w:val="11"/>
    </w:lvl>
    <w:lvl w:ilvl="1">
      <w:lvlJc w:val="left"/>
      <w:lvlText w:val="(%2)"/>
      <w:numFmt w:val="lowerRoman"/>
      <w:start w:val="13"/>
    </w:lvl>
    <w:lvl w:ilvl="2">
      <w:lvlJc w:val="left"/>
      <w:lvlText w:val="%3"/>
      <w:numFmt w:val="lowerRoman"/>
      <w:start w:val="1"/>
    </w:lvl>
  </w:abstractNum>
  <w:abstractNum w:abstractNumId="242">
    <w:nsid w:val="71315369"/>
    <w:multiLevelType w:val="hybridMultilevel"/>
    <w:lvl w:ilvl="0">
      <w:lvlJc w:val="left"/>
      <w:lvlText w:val="(%1)"/>
      <w:numFmt w:val="lowerRoman"/>
      <w:start w:val="14"/>
    </w:lvl>
    <w:lvl w:ilvl="1">
      <w:lvlJc w:val="left"/>
      <w:lvlText w:val="(%2)"/>
      <w:numFmt w:val="lowerRoman"/>
      <w:start w:val="15"/>
    </w:lvl>
  </w:abstractNum>
  <w:abstractNum w:abstractNumId="243">
    <w:nsid w:val="7BCFBAFC"/>
    <w:multiLevelType w:val="hybridMultilevel"/>
    <w:lvl w:ilvl="0">
      <w:lvlJc w:val="left"/>
      <w:lvlText w:val="(%1)"/>
      <w:numFmt w:val="lowerLetter"/>
      <w:start w:val="2"/>
    </w:lvl>
  </w:abstractNum>
  <w:abstractNum w:abstractNumId="244">
    <w:nsid w:val="17859F72"/>
    <w:multiLevelType w:val="hybridMultilevel"/>
    <w:lvl w:ilvl="0">
      <w:lvlJc w:val="left"/>
      <w:lvlText w:val="(%1)"/>
      <w:numFmt w:val="lowerLetter"/>
      <w:start w:val="2"/>
    </w:lvl>
  </w:abstractNum>
  <w:abstractNum w:abstractNumId="245">
    <w:nsid w:val="3AA10581"/>
    <w:multiLevelType w:val="hybridMultilevel"/>
    <w:lvl w:ilvl="0">
      <w:lvlJc w:val="left"/>
      <w:lvlText w:val="%1"/>
      <w:numFmt w:val="lowerRoman"/>
      <w:start w:val="1"/>
    </w:lvl>
    <w:lvl w:ilvl="1">
      <w:lvlJc w:val="left"/>
      <w:lvlText w:val="(%2)"/>
      <w:numFmt w:val="lowerLetter"/>
      <w:start w:val="2"/>
    </w:lvl>
  </w:abstractNum>
  <w:abstractNum w:abstractNumId="246">
    <w:nsid w:val="63DE60CD"/>
    <w:multiLevelType w:val="hybridMultilevel"/>
    <w:lvl w:ilvl="0">
      <w:lvlJc w:val="left"/>
      <w:lvlText w:val="(%1)"/>
      <w:numFmt w:val="lowerRoman"/>
      <w:start w:val="6"/>
    </w:lvl>
    <w:lvl w:ilvl="1">
      <w:lvlJc w:val="left"/>
      <w:lvlText w:val="(%2)"/>
      <w:numFmt w:val="lowerLetter"/>
      <w:start w:val="3"/>
    </w:lvl>
  </w:abstractNum>
  <w:abstractNum w:abstractNumId="247">
    <w:nsid w:val="621AF471"/>
    <w:multiLevelType w:val="hybridMultilevel"/>
    <w:lvl w:ilvl="0">
      <w:lvlJc w:val="left"/>
      <w:lvlText w:val="(%1)"/>
      <w:numFmt w:val="lowerLetter"/>
      <w:start w:val="4"/>
    </w:lvl>
  </w:abstractNum>
  <w:abstractNum w:abstractNumId="248">
    <w:nsid w:val="73CFE165"/>
    <w:multiLevelType w:val="hybridMultilevel"/>
    <w:lvl w:ilvl="0">
      <w:lvlJc w:val="left"/>
      <w:lvlText w:val="(%1)"/>
      <w:numFmt w:val="lowerLetter"/>
      <w:start w:val="8"/>
    </w:lvl>
  </w:abstractNum>
  <w:abstractNum w:abstractNumId="249">
    <w:nsid w:val="20F88EA6"/>
    <w:multiLevelType w:val="hybridMultilevel"/>
    <w:lvl w:ilvl="0">
      <w:lvlJc w:val="left"/>
      <w:lvlText w:val="(%1)"/>
      <w:numFmt w:val="lowerLetter"/>
      <w:start w:val="2"/>
    </w:lvl>
  </w:abstractNum>
  <w:abstractNum w:abstractNumId="250">
    <w:nsid w:val="617C843E"/>
    <w:multiLevelType w:val="hybridMultilevel"/>
    <w:lvl w:ilvl="0">
      <w:lvlJc w:val="left"/>
      <w:lvlText w:val="(%1)"/>
      <w:numFmt w:val="lowerLetter"/>
      <w:start w:val="3"/>
    </w:lvl>
  </w:abstractNum>
  <w:abstractNum w:abstractNumId="251">
    <w:nsid w:val="7B541FAB"/>
    <w:multiLevelType w:val="hybridMultilevel"/>
    <w:lvl w:ilvl="0">
      <w:lvlJc w:val="left"/>
      <w:lvlText w:val="(%1)"/>
      <w:numFmt w:val="lowerLetter"/>
      <w:start w:val="2"/>
    </w:lvl>
  </w:abstractNum>
  <w:abstractNum w:abstractNumId="252">
    <w:nsid w:val="2A79EC49"/>
    <w:multiLevelType w:val="hybridMultilevel"/>
    <w:lvl w:ilvl="0">
      <w:lvlJc w:val="left"/>
      <w:lvlText w:val="(%1)"/>
      <w:numFmt w:val="lowerLetter"/>
      <w:start w:val="2"/>
    </w:lvl>
  </w:abstractNum>
  <w:abstractNum w:abstractNumId="253">
    <w:nsid w:val="338125CF"/>
    <w:multiLevelType w:val="hybridMultilevel"/>
    <w:lvl w:ilvl="0">
      <w:lvlJc w:val="left"/>
      <w:lvlText w:val="(%1)"/>
      <w:numFmt w:val="lowerLetter"/>
      <w:start w:val="2"/>
    </w:lvl>
  </w:abstractNum>
  <w:abstractNum w:abstractNumId="254">
    <w:nsid w:val="47C7C971"/>
    <w:multiLevelType w:val="hybridMultilevel"/>
    <w:lvl w:ilvl="0">
      <w:lvlJc w:val="left"/>
      <w:lvlText w:val="%1"/>
      <w:numFmt w:val="lowerRoman"/>
      <w:start w:val="1"/>
    </w:lvl>
    <w:lvl w:ilvl="1">
      <w:lvlJc w:val="left"/>
      <w:lvlText w:val="(%2)"/>
      <w:numFmt w:val="lowerLetter"/>
      <w:start w:val="1"/>
    </w:lvl>
  </w:abstractNum>
  <w:abstractNum w:abstractNumId="255">
    <w:nsid w:val="46F8284B"/>
    <w:multiLevelType w:val="hybridMultilevel"/>
    <w:lvl w:ilvl="0">
      <w:lvlJc w:val="left"/>
      <w:lvlText w:val="(%1)"/>
      <w:numFmt w:val="lowerRoman"/>
      <w:start w:val="8"/>
    </w:lvl>
    <w:lvl w:ilvl="1">
      <w:lvlJc w:val="left"/>
      <w:lvlText w:val="(%2)"/>
      <w:numFmt w:val="lowerLetter"/>
      <w:start w:val="2"/>
    </w:lvl>
  </w:abstractNum>
  <w:abstractNum w:abstractNumId="256">
    <w:nsid w:val="4FA327CE"/>
    <w:multiLevelType w:val="hybridMultilevel"/>
    <w:lvl w:ilvl="0">
      <w:lvlJc w:val="left"/>
      <w:lvlText w:val="(%1)"/>
      <w:numFmt w:val="lowerLetter"/>
      <w:start w:val="1"/>
    </w:lvl>
  </w:abstractNum>
  <w:abstractNum w:abstractNumId="257">
    <w:nsid w:val="1873983A"/>
    <w:multiLevelType w:val="hybridMultilevel"/>
    <w:lvl w:ilvl="0">
      <w:lvlJc w:val="left"/>
      <w:lvlText w:val="(%1)"/>
      <w:numFmt w:val="lowerLetter"/>
      <w:start w:val="1"/>
    </w:lvl>
    <w:lvl w:ilvl="1">
      <w:lvlJc w:val="left"/>
      <w:lvlText w:val="(%2)"/>
      <w:numFmt w:val="lowerLetter"/>
      <w:start w:val="9"/>
    </w:lvl>
  </w:abstractNum>
  <w:abstractNum w:abstractNumId="258">
    <w:nsid w:val="3D2DD275"/>
    <w:multiLevelType w:val="hybridMultilevel"/>
    <w:lvl w:ilvl="0">
      <w:lvlJc w:val="left"/>
      <w:lvlText w:val="(%1)"/>
      <w:numFmt w:val="lowerRoman"/>
      <w:start w:val="2"/>
    </w:lvl>
  </w:abstractNum>
  <w:abstractNum w:abstractNumId="259">
    <w:nsid w:val="2E17ECA7"/>
    <w:multiLevelType w:val="hybridMultilevel"/>
    <w:lvl w:ilvl="0">
      <w:lvlJc w:val="left"/>
      <w:lvlText w:val="(%1)"/>
      <w:numFmt w:val="lowerRoman"/>
      <w:start w:val="4"/>
    </w:lvl>
    <w:lvl w:ilvl="1">
      <w:lvlJc w:val="left"/>
      <w:lvlText w:val="(%2)"/>
      <w:numFmt w:val="lowerRoman"/>
      <w:start w:val="7"/>
    </w:lvl>
    <w:lvl w:ilvl="2">
      <w:lvlJc w:val="left"/>
      <w:lvlText w:val="(%3)"/>
      <w:numFmt w:val="lowerRoman"/>
      <w:start w:val="7"/>
    </w:lvl>
  </w:abstractNum>
  <w:abstractNum w:abstractNumId="260">
    <w:nsid w:val="53B2564F"/>
    <w:multiLevelType w:val="hybridMultilevel"/>
    <w:lvl w:ilvl="0">
      <w:lvlJc w:val="left"/>
      <w:lvlText w:val="(%1)"/>
      <w:numFmt w:val="lowerLetter"/>
      <w:start w:val="2"/>
    </w:lvl>
    <w:lvl w:ilvl="1">
      <w:lvlJc w:val="left"/>
      <w:lvlText w:val="(%2)"/>
      <w:numFmt w:val="lowerLetter"/>
      <w:start w:val="2"/>
    </w:lvl>
  </w:abstractNum>
  <w:abstractNum w:abstractNumId="261">
    <w:nsid w:val="75509D76"/>
    <w:multiLevelType w:val="hybridMultilevel"/>
    <w:lvl w:ilvl="0">
      <w:lvlJc w:val="left"/>
      <w:lvlText w:val="(%1)"/>
      <w:numFmt w:val="lowerLetter"/>
      <w:start w:val="4"/>
    </w:lvl>
  </w:abstractNum>
  <w:abstractNum w:abstractNumId="262">
    <w:nsid w:val="1AF7F0EA"/>
    <w:multiLevelType w:val="hybridMultilevel"/>
    <w:lvl w:ilvl="0">
      <w:lvlJc w:val="left"/>
      <w:lvlText w:val="(%1)"/>
      <w:numFmt w:val="lowerLetter"/>
      <w:start w:val="1"/>
    </w:lvl>
  </w:abstractNum>
  <w:abstractNum w:abstractNumId="263">
    <w:nsid w:val="4DA32C7E"/>
    <w:multiLevelType w:val="hybridMultilevel"/>
    <w:lvl w:ilvl="0">
      <w:lvlJc w:val="left"/>
      <w:lvlText w:val="(%1)"/>
      <w:numFmt w:val="lowerLetter"/>
      <w:start w:val="2"/>
    </w:lvl>
  </w:abstractNum>
  <w:abstractNum w:abstractNumId="264">
    <w:nsid w:val="6EC68664"/>
    <w:multiLevelType w:val="hybridMultilevel"/>
    <w:lvl w:ilvl="0">
      <w:lvlJc w:val="left"/>
      <w:lvlText w:val="(%1)"/>
      <w:numFmt w:val="lowerLetter"/>
      <w:start w:val="1"/>
    </w:lvl>
  </w:abstractNum>
  <w:abstractNum w:abstractNumId="265">
    <w:nsid w:val="E0D31FF"/>
    <w:multiLevelType w:val="hybridMultilevel"/>
    <w:lvl w:ilvl="0">
      <w:lvlJc w:val="left"/>
      <w:lvlText w:val="(%1)"/>
      <w:numFmt w:val="lowerLetter"/>
      <w:start w:val="3"/>
    </w:lvl>
  </w:abstractNum>
  <w:abstractNum w:abstractNumId="266">
    <w:nsid w:val="2FD0AD81"/>
    <w:multiLevelType w:val="hybridMultilevel"/>
    <w:lvl w:ilvl="0">
      <w:lvlJc w:val="left"/>
      <w:lvlText w:val="(%1)"/>
      <w:numFmt w:val="lowerLetter"/>
      <w:start w:val="1"/>
    </w:lvl>
    <w:lvl w:ilvl="1">
      <w:lvlJc w:val="left"/>
      <w:lvlText w:val="(%2)"/>
      <w:numFmt w:val="lowerLetter"/>
      <w:start w:val="9"/>
    </w:lvl>
  </w:abstractNum>
  <w:abstractNum w:abstractNumId="267">
    <w:nsid w:val="1978EBEB"/>
    <w:multiLevelType w:val="hybridMultilevel"/>
    <w:lvl w:ilvl="0">
      <w:lvlJc w:val="left"/>
      <w:lvlText w:val="(%1)"/>
      <w:numFmt w:val="lowerRoman"/>
      <w:start w:val="2"/>
    </w:lvl>
  </w:abstractNum>
  <w:abstractNum w:abstractNumId="268">
    <w:nsid w:val="52C12C61"/>
    <w:multiLevelType w:val="hybridMultilevel"/>
    <w:lvl w:ilvl="0">
      <w:lvlJc w:val="left"/>
      <w:lvlText w:val="(%1)"/>
      <w:numFmt w:val="lowerLetter"/>
      <w:start w:val="2"/>
    </w:lvl>
    <w:lvl w:ilvl="1">
      <w:lvlJc w:val="left"/>
      <w:lvlText w:val="(%2)"/>
      <w:numFmt w:val="lowerRoman"/>
      <w:start w:val="1"/>
    </w:lvl>
  </w:abstractNum>
  <w:abstractNum w:abstractNumId="269">
    <w:nsid w:val="4BDD53FD"/>
    <w:multiLevelType w:val="hybridMultilevel"/>
    <w:lvl w:ilvl="0">
      <w:lvlJc w:val="left"/>
      <w:lvlText w:val="(%1)"/>
      <w:numFmt w:val="lowerLetter"/>
      <w:start w:val="2"/>
    </w:lvl>
    <w:lvl w:ilvl="1">
      <w:lvlJc w:val="left"/>
      <w:lvlText w:val="(%2)"/>
      <w:numFmt w:val="lowerRoman"/>
      <w:start w:val="1"/>
    </w:lvl>
  </w:abstractNum>
  <w:abstractNum w:abstractNumId="270">
    <w:nsid w:val="569951FE"/>
    <w:multiLevelType w:val="hybridMultilevel"/>
    <w:lvl w:ilvl="0">
      <w:lvlJc w:val="left"/>
      <w:lvlText w:val="(%1)"/>
      <w:numFmt w:val="lowerLetter"/>
      <w:start w:val="2"/>
    </w:lvl>
  </w:abstractNum>
  <w:abstractNum w:abstractNumId="271">
    <w:nsid w:val="4C54E2C3"/>
    <w:multiLevelType w:val="hybridMultilevel"/>
    <w:lvl w:ilvl="0">
      <w:lvlJc w:val="left"/>
      <w:lvlText w:val="(%1)"/>
      <w:numFmt w:val="lowerLetter"/>
      <w:start w:val="4"/>
    </w:lvl>
  </w:abstractNum>
  <w:abstractNum w:abstractNumId="272">
    <w:nsid w:val="788BD9B"/>
    <w:multiLevelType w:val="hybridMultilevel"/>
    <w:lvl w:ilvl="0">
      <w:lvlJc w:val="left"/>
      <w:lvlText w:val="(%1)"/>
      <w:numFmt w:val="lowerLetter"/>
      <w:start w:val="8"/>
    </w:lvl>
  </w:abstractNum>
  <w:abstractNum w:abstractNumId="273">
    <w:nsid w:val="47CAA567"/>
    <w:multiLevelType w:val="hybridMultilevel"/>
    <w:lvl w:ilvl="0">
      <w:lvlJc w:val="left"/>
      <w:lvlText w:val="(%1)"/>
      <w:numFmt w:val="lowerLetter"/>
      <w:start w:val="2"/>
    </w:lvl>
  </w:abstractNum>
  <w:abstractNum w:abstractNumId="274">
    <w:nsid w:val="48249DBF"/>
    <w:multiLevelType w:val="hybridMultilevel"/>
    <w:lvl w:ilvl="0">
      <w:lvlJc w:val="left"/>
      <w:lvlText w:val="(%1)"/>
      <w:numFmt w:val="decimal"/>
      <w:start w:val="1"/>
    </w:lvl>
    <w:lvl w:ilvl="1">
      <w:lvlJc w:val="left"/>
      <w:lvlText w:val="(%2)"/>
      <w:numFmt w:val="lowerLetter"/>
      <w:start w:val="3"/>
    </w:lvl>
  </w:abstractNum>
  <w:abstractNum w:abstractNumId="275">
    <w:nsid w:val="1F0E5D0D"/>
    <w:multiLevelType w:val="hybridMultilevel"/>
    <w:lvl w:ilvl="0">
      <w:lvlJc w:val="left"/>
      <w:lvlText w:val="%1"/>
      <w:numFmt w:val="lowerRoman"/>
      <w:start w:val="1"/>
    </w:lvl>
    <w:lvl w:ilvl="1">
      <w:lvlJc w:val="left"/>
      <w:lvlText w:val="(%2)"/>
      <w:numFmt w:val="lowerRoman"/>
      <w:start w:val="1"/>
    </w:lvl>
  </w:abstractNum>
  <w:abstractNum w:abstractNumId="276">
    <w:nsid w:val="26BAAE9"/>
    <w:multiLevelType w:val="hybridMultilevel"/>
    <w:lvl w:ilvl="0">
      <w:lvlJc w:val="left"/>
      <w:lvlText w:val="(%1)"/>
      <w:numFmt w:val="lowerRoman"/>
      <w:start w:val="2"/>
    </w:lvl>
    <w:lvl w:ilvl="1">
      <w:lvlJc w:val="left"/>
      <w:lvlText w:val="%2"/>
      <w:numFmt w:val="lowerRoman"/>
      <w:start w:val="1"/>
    </w:lvl>
  </w:abstractNum>
  <w:abstractNum w:abstractNumId="277">
    <w:nsid w:val="2C02FE8C"/>
    <w:multiLevelType w:val="hybridMultilevel"/>
    <w:lvl w:ilvl="0">
      <w:lvlJc w:val="left"/>
      <w:lvlText w:val="(%1)"/>
      <w:numFmt w:val="lowerLetter"/>
      <w:start w:val="2"/>
    </w:lvl>
  </w:abstractNum>
  <w:abstractNum w:abstractNumId="278">
    <w:nsid w:val="129517E"/>
    <w:multiLevelType w:val="hybridMultilevel"/>
    <w:lvl w:ilvl="0">
      <w:lvlJc w:val="left"/>
      <w:lvlText w:val="(%1)"/>
      <w:numFmt w:val="lowerRoman"/>
      <w:start w:val="2"/>
    </w:lvl>
  </w:abstractNum>
  <w:abstractNum w:abstractNumId="279">
    <w:nsid w:val="763B8C4E"/>
    <w:multiLevelType w:val="hybridMultilevel"/>
    <w:lvl w:ilvl="0">
      <w:lvlJc w:val="left"/>
      <w:lvlText w:val="(%1)"/>
      <w:numFmt w:val="lowerLetter"/>
      <w:start w:val="4"/>
    </w:lvl>
  </w:abstractNum>
  <w:abstractNum w:abstractNumId="280">
    <w:nsid w:val="4CFB8D32"/>
    <w:multiLevelType w:val="hybridMultilevel"/>
    <w:lvl w:ilvl="0">
      <w:lvlJc w:val="left"/>
      <w:lvlText w:val="(%1)"/>
      <w:numFmt w:val="lowerLetter"/>
      <w:start w:val="5"/>
    </w:lvl>
  </w:abstractNum>
  <w:abstractNum w:abstractNumId="281">
    <w:nsid w:val="62A5D5BD"/>
    <w:multiLevelType w:val="hybridMultilevel"/>
    <w:lvl w:ilvl="0">
      <w:lvlJc w:val="left"/>
      <w:lvlText w:val="(%1)"/>
      <w:numFmt w:val="lowerLetter"/>
      <w:start w:val="2"/>
    </w:lvl>
  </w:abstractNum>
  <w:abstractNum w:abstractNumId="282">
    <w:nsid w:val="718FABF9"/>
    <w:multiLevelType w:val="hybridMultilevel"/>
    <w:lvl w:ilvl="0">
      <w:lvlJc w:val="left"/>
      <w:lvlText w:val="(%1)"/>
      <w:numFmt w:val="lowerLetter"/>
      <w:start w:val="1"/>
    </w:lvl>
  </w:abstractNum>
  <w:abstractNum w:abstractNumId="283">
    <w:nsid w:val="7775797C"/>
    <w:multiLevelType w:val="hybridMultilevel"/>
    <w:lvl w:ilvl="0">
      <w:lvlJc w:val="left"/>
      <w:lvlText w:val="(%1)"/>
      <w:numFmt w:val="lowerLetter"/>
      <w:start w:val="3"/>
    </w:lvl>
  </w:abstractNum>
  <w:abstractNum w:abstractNumId="284">
    <w:nsid w:val="1626FB8C"/>
    <w:multiLevelType w:val="hybridMultilevel"/>
    <w:lvl w:ilvl="0">
      <w:lvlJc w:val="left"/>
      <w:lvlText w:val="(%1)"/>
      <w:numFmt w:val="lowerLetter"/>
      <w:start w:val="61"/>
    </w:lvl>
    <w:lvl w:ilvl="1">
      <w:lvlJc w:val="left"/>
      <w:lvlText w:val="(%2)"/>
      <w:numFmt w:val="lowerLetter"/>
      <w:start w:val="2"/>
    </w:lvl>
  </w:abstractNum>
  <w:abstractNum w:abstractNumId="285">
    <w:nsid w:val="3957756A"/>
    <w:multiLevelType w:val="hybridMultilevel"/>
    <w:lvl w:ilvl="0">
      <w:lvlJc w:val="left"/>
      <w:lvlText w:val="(%1)"/>
      <w:numFmt w:val="lowerLetter"/>
      <w:start w:val="35"/>
    </w:lvl>
    <w:lvl w:ilvl="1">
      <w:lvlJc w:val="left"/>
      <w:lvlText w:val="(%2)"/>
      <w:numFmt w:val="lowerLetter"/>
      <w:start w:val="3"/>
    </w:lvl>
  </w:abstractNum>
  <w:abstractNum w:abstractNumId="286">
    <w:nsid w:val="3E6DA1C7"/>
    <w:multiLevelType w:val="hybridMultilevel"/>
    <w:lvl w:ilvl="0">
      <w:lvlJc w:val="left"/>
      <w:lvlText w:val="(%1)"/>
      <w:numFmt w:val="lowerLetter"/>
      <w:start w:val="1"/>
    </w:lvl>
  </w:abstractNum>
  <w:abstractNum w:abstractNumId="287">
    <w:nsid w:val="65CA235B"/>
    <w:multiLevelType w:val="hybridMultilevel"/>
    <w:lvl w:ilvl="0">
      <w:lvlJc w:val="left"/>
      <w:lvlText w:val="(%1)"/>
      <w:numFmt w:val="lowerLetter"/>
      <w:start w:val="1"/>
    </w:lvl>
  </w:abstractNum>
  <w:abstractNum w:abstractNumId="288">
    <w:nsid w:val="51CB0DA4"/>
    <w:multiLevelType w:val="hybridMultilevel"/>
    <w:lvl w:ilvl="0">
      <w:lvlJc w:val="left"/>
      <w:lvlText w:val="2"/>
      <w:numFmt w:val="bullet"/>
      <w:start w:val="1"/>
    </w:lvl>
  </w:abstractNum>
  <w:abstractNum w:abstractNumId="289">
    <w:nsid w:val="7B9B743C"/>
    <w:multiLevelType w:val="hybridMultilevel"/>
    <w:lvl w:ilvl="0">
      <w:lvlJc w:val="left"/>
      <w:lvlText w:val="(%1)"/>
      <w:numFmt w:val="lowerLetter"/>
      <w:start w:val="6"/>
    </w:lvl>
  </w:abstractNum>
  <w:abstractNum w:abstractNumId="290">
    <w:nsid w:val="13E2100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91">
    <w:nsid w:val="257D63F4"/>
    <w:multiLevelType w:val="hybridMultilevel"/>
    <w:lvl w:ilvl="0">
      <w:lvlJc w:val="left"/>
      <w:lvlText w:val="%1."/>
      <w:numFmt w:val="decimal"/>
      <w:start w:val="2"/>
    </w:lvl>
  </w:abstractNum>
  <w:abstractNum w:abstractNumId="292">
    <w:nsid w:val="70EC11B2"/>
    <w:multiLevelType w:val="hybridMultilevel"/>
    <w:lvl w:ilvl="0">
      <w:lvlJc w:val="left"/>
      <w:lvlText w:val="%1."/>
      <w:numFmt w:val="decimal"/>
      <w:start w:val="3"/>
    </w:lvl>
    <w:lvl w:ilvl="1">
      <w:lvlJc w:val="left"/>
      <w:lvlText w:val="(%2)"/>
      <w:numFmt w:val="decimal"/>
      <w:start w:val="1"/>
    </w:lvl>
  </w:abstractNum>
  <w:abstractNum w:abstractNumId="293">
    <w:nsid w:val="2EDA00ED"/>
    <w:multiLevelType w:val="hybridMultilevel"/>
    <w:lvl w:ilvl="0">
      <w:lvlJc w:val="left"/>
      <w:lvlText w:val="%1."/>
      <w:numFmt w:val="decimal"/>
      <w:start w:val="2"/>
    </w:lvl>
  </w:abstractNum>
  <w:abstractNum w:abstractNumId="294">
    <w:nsid w:val="73209072"/>
    <w:multiLevelType w:val="hybridMultilevel"/>
    <w:lvl w:ilvl="0">
      <w:lvlJc w:val="left"/>
      <w:lvlText w:val="3"/>
      <w:numFmt w:val="bullet"/>
      <w:start w:val="1"/>
    </w:lvl>
  </w:abstractNum>
  <w:abstractNum w:abstractNumId="295">
    <w:nsid w:val="5FB29816"/>
    <w:multiLevelType w:val="hybridMultilevel"/>
    <w:lvl w:ilvl="0">
      <w:lvlJc w:val="left"/>
      <w:lvlText w:val="%1."/>
      <w:numFmt w:val="decimal"/>
      <w:start w:val="3"/>
    </w:lvl>
  </w:abstractNum>
  <w:abstractNum w:abstractNumId="296">
    <w:nsid w:val="3CE732EC"/>
    <w:multiLevelType w:val="hybridMultilevel"/>
    <w:lvl w:ilvl="0">
      <w:lvlJc w:val="left"/>
      <w:lvlText w:val="%1."/>
      <w:numFmt w:val="decimal"/>
      <w:start w:val="4"/>
    </w:lvl>
    <w:lvl w:ilvl="1">
      <w:lvlJc w:val="left"/>
      <w:lvlText w:val="(%2)"/>
      <w:numFmt w:val="decimal"/>
      <w:start w:val="1"/>
    </w:lvl>
  </w:abstractNum>
  <w:abstractNum w:abstractNumId="297">
    <w:nsid w:val="22F13DF3"/>
    <w:multiLevelType w:val="hybridMultilevel"/>
    <w:lvl w:ilvl="0">
      <w:lvlJc w:val="left"/>
      <w:lvlText w:val="4"/>
      <w:numFmt w:val="bullet"/>
      <w:start w:val="1"/>
    </w:lvl>
  </w:abstractNum>
  <w:abstractNum w:abstractNumId="298">
    <w:nsid w:val="792B8401"/>
    <w:multiLevelType w:val="hybridMultilevel"/>
    <w:lvl w:ilvl="0">
      <w:lvlJc w:val="left"/>
      <w:lvlText w:val="(%1)"/>
      <w:numFmt w:val="decimal"/>
      <w:start w:val="3"/>
    </w:lvl>
  </w:abstractNum>
  <w:abstractNum w:abstractNumId="299">
    <w:nsid w:val="FA85F4D"/>
    <w:multiLevelType w:val="hybridMultilevel"/>
    <w:lvl w:ilvl="0">
      <w:lvlJc w:val="left"/>
      <w:lvlText w:val="%1."/>
      <w:numFmt w:val="decimal"/>
      <w:start w:val="2"/>
    </w:lvl>
  </w:abstractNum>
  <w:abstractNum w:abstractNumId="300">
    <w:nsid w:val="6ECE91F0"/>
    <w:multiLevelType w:val="hybridMultilevel"/>
    <w:lvl w:ilvl="0">
      <w:lvlJc w:val="left"/>
      <w:lvlText w:val="%1"/>
      <w:numFmt w:val="lowerRoman"/>
      <w:start w:val="1"/>
    </w:lvl>
    <w:lvl w:ilvl="1">
      <w:lvlJc w:val="left"/>
      <w:lvlText w:val="%2."/>
      <w:numFmt w:val="decimal"/>
      <w:start w:val="1"/>
    </w:lvl>
  </w:abstractNum>
  <w:abstractNum w:abstractNumId="301">
    <w:nsid w:val="4FC4D600"/>
    <w:multiLevelType w:val="hybridMultilevel"/>
    <w:lvl w:ilvl="0">
      <w:lvlJc w:val="left"/>
      <w:lvlText w:val="(%1)"/>
      <w:numFmt w:val="lowerRoman"/>
      <w:start w:val="3"/>
    </w:lvl>
    <w:lvl w:ilvl="1">
      <w:lvlJc w:val="left"/>
      <w:lvlText w:val="%2"/>
      <w:numFmt w:val="decimal"/>
      <w:start w:val="1"/>
    </w:lvl>
  </w:abstractNum>
  <w:abstractNum w:abstractNumId="302">
    <w:nsid w:val="5BFD4210"/>
    <w:multiLevelType w:val="hybridMultilevel"/>
    <w:lvl w:ilvl="0">
      <w:lvlJc w:val="left"/>
      <w:lvlText w:val="☐"/>
      <w:numFmt w:val="bullet"/>
      <w:start w:val="1"/>
    </w:lvl>
    <w:lvl w:ilvl="1">
      <w:lvlJc w:val="left"/>
      <w:lvlText w:val="%2."/>
      <w:numFmt w:val="decimal"/>
      <w:start w:val="3"/>
    </w:lvl>
  </w:abstractNum>
  <w:abstractNum w:abstractNumId="303">
    <w:nsid w:val="76574F8B"/>
    <w:multiLevelType w:val="hybridMultilevel"/>
    <w:lvl w:ilvl="0">
      <w:lvlJc w:val="left"/>
      <w:lvlText w:val="☐"/>
      <w:numFmt w:val="bullet"/>
      <w:start w:val="1"/>
    </w:lvl>
    <w:lvl w:ilvl="1">
      <w:lvlJc w:val="left"/>
      <w:lvlText w:val="%2."/>
      <w:numFmt w:val="decimal"/>
      <w:start w:val="5"/>
    </w:lvl>
  </w:abstractNum>
  <w:abstractNum w:abstractNumId="304">
    <w:nsid w:val="178F7B67"/>
    <w:multiLevelType w:val="hybridMultilevel"/>
    <w:lvl w:ilvl="0">
      <w:lvlJc w:val="left"/>
      <w:lvlText w:val="%1."/>
      <w:numFmt w:val="decimal"/>
      <w:start w:val="8"/>
    </w:lvl>
  </w:abstractNum>
  <w:abstractNum w:abstractNumId="305">
    <w:nsid w:val="2421DFCF"/>
    <w:multiLevelType w:val="hybridMultilevel"/>
    <w:lvl w:ilvl="0">
      <w:lvlJc w:val="left"/>
      <w:lvlText w:val="5"/>
      <w:numFmt w:val="bullet"/>
      <w:start w:val="1"/>
    </w:lvl>
  </w:abstractNum>
  <w:abstractNum w:abstractNumId="306">
    <w:nsid w:val="1565AC99"/>
    <w:multiLevelType w:val="hybridMultilevel"/>
    <w:lvl w:ilvl="0">
      <w:lvlJc w:val="left"/>
      <w:lvlText w:val="%1."/>
      <w:numFmt w:val="decimal"/>
      <w:start w:val="1"/>
    </w:lvl>
  </w:abstractNum>
  <w:abstractNum w:abstractNumId="307">
    <w:nsid w:val="19FB2650"/>
    <w:multiLevelType w:val="hybridMultilevel"/>
    <w:lvl w:ilvl="0">
      <w:lvlJc w:val="left"/>
      <w:lvlText w:val="%1."/>
      <w:numFmt w:val="decimal"/>
      <w:start w:val="2"/>
    </w:lvl>
  </w:abstractNum>
  <w:abstractNum w:abstractNumId="308">
    <w:nsid w:val="5024DE5B"/>
    <w:multiLevelType w:val="hybridMultilevel"/>
    <w:lvl w:ilvl="0">
      <w:lvlJc w:val="left"/>
      <w:lvlText w:val="%1."/>
      <w:numFmt w:val="decimal"/>
      <w:start w:val="1"/>
    </w:lvl>
  </w:abstractNum>
  <w:abstractNum w:abstractNumId="309">
    <w:nsid w:val="168EFE17"/>
    <w:multiLevelType w:val="hybridMultilevel"/>
    <w:lvl w:ilvl="0">
      <w:lvlJc w:val="left"/>
      <w:lvlText w:val="%1."/>
      <w:numFmt w:val="decimal"/>
      <w:start w:val="3"/>
    </w:lvl>
  </w:abstractNum>
  <w:abstractNum w:abstractNumId="310">
    <w:nsid w:val="1036B29F"/>
    <w:multiLevelType w:val="hybridMultilevel"/>
    <w:lvl w:ilvl="0">
      <w:lvlJc w:val="left"/>
      <w:lvlText w:val="%1."/>
      <w:numFmt w:val="decimal"/>
      <w:start w:val="2"/>
    </w:lvl>
  </w:abstractNum>
  <w:abstractNum w:abstractNumId="311">
    <w:nsid w:val="1D206B8E"/>
    <w:multiLevelType w:val="hybridMultilevel"/>
    <w:lvl w:ilvl="0">
      <w:lvlJc w:val="left"/>
      <w:lvlText w:val="(%1)"/>
      <w:numFmt w:val="upperLetter"/>
      <w:start w:val="1"/>
    </w:lvl>
    <w:lvl w:ilvl="1">
      <w:lvlJc w:val="left"/>
      <w:lvlText w:val="(%2)"/>
      <w:numFmt w:val="lowerLetter"/>
      <w:start w:val="1"/>
    </w:lvl>
  </w:abstractNum>
  <w:abstractNum w:abstractNumId="312">
    <w:nsid w:val="7934D3D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4"/>
    </w:lvl>
    <w:lvl w:ilvl="5">
      <w:lvlJc w:val="left"/>
      <w:lvlText w:val="%6"/>
      <w:numFmt w:val="upperLetter"/>
      <w:start w:val="1"/>
    </w:lvl>
  </w:abstractNum>
  <w:abstractNum w:abstractNumId="313">
    <w:nsid w:val="1C65E98"/>
    <w:multiLevelType w:val="hybridMultilevel"/>
    <w:lvl w:ilvl="0">
      <w:lvlJc w:val="left"/>
      <w:lvlText w:val="(%1)"/>
      <w:numFmt w:val="upperLetter"/>
      <w:start w:val="2"/>
    </w:lvl>
    <w:lvl w:ilvl="1">
      <w:lvlJc w:val="left"/>
      <w:lvlText w:val="(%2)"/>
      <w:numFmt w:val="lowerLetter"/>
      <w:start w:val="9"/>
    </w:lvl>
    <w:lvl w:ilvl="2">
      <w:lvlJc w:val="left"/>
      <w:lvlText w:val="(%3)"/>
      <w:numFmt w:val="lowerLetter"/>
      <w:start w:val="1"/>
    </w:lvl>
    <w:lvl w:ilvl="3">
      <w:lvlJc w:val="left"/>
      <w:lvlText w:val="(%4)"/>
      <w:numFmt w:val="lowerLetter"/>
      <w:start w:val="24"/>
    </w:lvl>
    <w:lvl w:ilvl="4">
      <w:lvlJc w:val="left"/>
      <w:lvlText w:val="(%5)"/>
      <w:numFmt w:val="lowerLetter"/>
      <w:start w:val="9"/>
    </w:lvl>
    <w:lvl w:ilvl="5">
      <w:lvlJc w:val="left"/>
      <w:lvlText w:val="(%6)"/>
      <w:numFmt w:val="upperLetter"/>
      <w:start w:val="24"/>
    </w:lvl>
  </w:abstractNum>
  <w:abstractNum w:abstractNumId="314">
    <w:nsid w:val="1495E50A"/>
    <w:multiLevelType w:val="hybridMultilevel"/>
    <w:lvl w:ilvl="0">
      <w:lvlJc w:val="left"/>
      <w:lvlText w:val="(%1)"/>
      <w:numFmt w:val="lowerRoman"/>
      <w:start w:val="2"/>
    </w:lvl>
  </w:abstractNum>
  <w:abstractNum w:abstractNumId="315">
    <w:nsid w:val="F5BCF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316">
    <w:nsid w:val="3B1DD40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24"/>
    </w:lvl>
  </w:abstractNum>
  <w:abstractNum w:abstractNumId="317">
    <w:nsid w:val="530386D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18">
    <w:nsid w:val="7525F2BC"/>
    <w:multiLevelType w:val="hybridMultilevel"/>
    <w:lvl w:ilvl="0">
      <w:lvlJc w:val="left"/>
      <w:lvlText w:val="(%1)"/>
      <w:numFmt w:val="upperLetter"/>
      <w:start w:val="1"/>
    </w:lvl>
    <w:lvl w:ilvl="1">
      <w:lvlJc w:val="left"/>
      <w:lvlText w:val="(%2)"/>
      <w:numFmt w:val="lowerLetter"/>
      <w:start w:val="1"/>
    </w:lvl>
  </w:abstractNum>
  <w:abstractNum w:abstractNumId="319">
    <w:nsid w:val="CE8E1A7"/>
    <w:multiLevelType w:val="hybridMultilevel"/>
    <w:lvl w:ilvl="0">
      <w:lvlJc w:val="left"/>
      <w:lvlText w:val="(%1)"/>
      <w:numFmt w:val="lowerRoman"/>
      <w:start w:val="4"/>
    </w:lvl>
    <w:lvl w:ilvl="1">
      <w:lvlJc w:val="left"/>
      <w:lvlText w:val="(%2)"/>
      <w:numFmt w:val="lowerRoman"/>
      <w:start w:val="1"/>
    </w:lvl>
  </w:abstractNum>
  <w:abstractNum w:abstractNumId="320">
    <w:nsid w:val="4E9EFB0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21">
    <w:nsid w:val="90802BE"/>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322">
    <w:nsid w:val="326645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23">
    <w:nsid w:val="3F8B0CB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24">
    <w:nsid w:val="37E203A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4"/>
    </w:lvl>
    <w:lvl w:ilvl="3">
      <w:lvlJc w:val="left"/>
      <w:lvlText w:val="(%4)"/>
      <w:numFmt w:val="lowerLetter"/>
      <w:start w:val="9"/>
    </w:lvl>
    <w:lvl w:ilvl="4">
      <w:lvlJc w:val="left"/>
      <w:lvlText w:val="(%5)"/>
      <w:numFmt w:val="lowerLetter"/>
      <w:start w:val="16"/>
    </w:lvl>
  </w:abstractNum>
  <w:abstractNum w:abstractNumId="325">
    <w:nsid w:val="2586D60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Letter"/>
      <w:start w:val="13"/>
    </w:lvl>
  </w:abstractNum>
  <w:abstractNum w:abstractNumId="326">
    <w:nsid w:val="1F3DA4D5"/>
    <w:multiLevelType w:val="hybridMultilevel"/>
    <w:lvl w:ilvl="0">
      <w:lvlJc w:val="left"/>
      <w:lvlText w:val="%1"/>
      <w:numFmt w:val="lowerLetter"/>
      <w:start w:val="1"/>
    </w:lvl>
    <w:lvl w:ilvl="1">
      <w:lvlJc w:val="left"/>
      <w:lvlText w:val="(%2)"/>
      <w:numFmt w:val="lowerLetter"/>
      <w:start w:val="25"/>
    </w:lvl>
    <w:lvl w:ilvl="2">
      <w:lvlJc w:val="left"/>
      <w:lvlText w:val="(%3)"/>
      <w:numFmt w:val="lowerRoman"/>
      <w:start w:val="1"/>
    </w:lvl>
    <w:lvl w:ilvl="3">
      <w:lvlJc w:val="left"/>
      <w:lvlText w:val="%4"/>
      <w:numFmt w:val="lowerLetter"/>
      <w:start w:val="1"/>
    </w:lvl>
  </w:abstractNum>
  <w:abstractNum w:abstractNumId="327">
    <w:nsid w:val="74C9369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28">
    <w:nsid w:val="48781401"/>
    <w:multiLevelType w:val="hybridMultilevel"/>
    <w:lvl w:ilvl="0">
      <w:lvlJc w:val="left"/>
      <w:lvlText w:val="%1."/>
      <w:numFmt w:val="decimal"/>
      <w:start w:val="2"/>
    </w:lvl>
  </w:abstractNum>
  <w:abstractNum w:abstractNumId="329">
    <w:nsid w:val="186928D6"/>
    <w:multiLevelType w:val="hybridMultilevel"/>
    <w:lvl w:ilvl="0">
      <w:lvlJc w:val="left"/>
      <w:lvlText w:val="(%1)"/>
      <w:numFmt w:val="upperLetter"/>
      <w:start w:val="1"/>
    </w:lvl>
    <w:lvl w:ilvl="1">
      <w:lvlJc w:val="left"/>
      <w:lvlText w:val="(%2)"/>
      <w:numFmt w:val="lowerLetter"/>
      <w:start w:val="1"/>
    </w:lvl>
  </w:abstractNum>
  <w:abstractNum w:abstractNumId="330">
    <w:nsid w:val="47195E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4"/>
    </w:lvl>
  </w:abstractNum>
  <w:abstractNum w:abstractNumId="331">
    <w:nsid w:val="3746A5F2"/>
    <w:multiLevelType w:val="hybridMultilevel"/>
    <w:lvl w:ilvl="0">
      <w:lvlJc w:val="left"/>
      <w:lvlText w:val="(%1)"/>
      <w:numFmt w:val="upperLetter"/>
      <w:start w:val="2"/>
    </w:lvl>
    <w:lvl w:ilvl="1">
      <w:lvlJc w:val="left"/>
      <w:lvlText w:val="(%2)"/>
      <w:numFmt w:val="lowerLetter"/>
      <w:start w:val="9"/>
    </w:lvl>
    <w:lvl w:ilvl="2">
      <w:lvlJc w:val="left"/>
      <w:lvlText w:val="(%3)"/>
      <w:numFmt w:val="lowerLetter"/>
      <w:start w:val="1"/>
    </w:lvl>
    <w:lvl w:ilvl="3">
      <w:lvlJc w:val="left"/>
      <w:lvlText w:val="(%4)"/>
      <w:numFmt w:val="lowerLetter"/>
      <w:start w:val="24"/>
    </w:lvl>
    <w:lvl w:ilvl="4">
      <w:lvlJc w:val="left"/>
      <w:lvlText w:val="(%5)"/>
      <w:numFmt w:val="lowerLetter"/>
      <w:start w:val="9"/>
    </w:lvl>
  </w:abstractNum>
  <w:abstractNum w:abstractNumId="332">
    <w:nsid w:val="682DFED6"/>
    <w:multiLevelType w:val="hybridMultilevel"/>
    <w:lvl w:ilvl="0">
      <w:lvlJc w:val="left"/>
      <w:lvlText w:val="(%1)"/>
      <w:numFmt w:val="lowerRoman"/>
      <w:start w:val="2"/>
    </w:lvl>
  </w:abstractNum>
  <w:abstractNum w:abstractNumId="333">
    <w:nsid w:val="606ED7F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334">
    <w:nsid w:val="2D9DF57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24"/>
    </w:lvl>
  </w:abstractNum>
  <w:abstractNum w:abstractNumId="335">
    <w:nsid w:val="7FBD7A3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36">
    <w:nsid w:val="490B7C5"/>
    <w:multiLevelType w:val="hybridMultilevel"/>
    <w:lvl w:ilvl="0">
      <w:lvlJc w:val="left"/>
      <w:lvlText w:val="(%1)"/>
      <w:numFmt w:val="upperLetter"/>
      <w:start w:val="1"/>
    </w:lvl>
    <w:lvl w:ilvl="1">
      <w:lvlJc w:val="left"/>
      <w:lvlText w:val="(%2)"/>
      <w:numFmt w:val="lowerLetter"/>
      <w:start w:val="1"/>
    </w:lvl>
  </w:abstractNum>
  <w:abstractNum w:abstractNumId="337">
    <w:nsid w:val="4303A216"/>
    <w:multiLevelType w:val="hybridMultilevel"/>
    <w:lvl w:ilvl="0">
      <w:lvlJc w:val="left"/>
      <w:lvlText w:val="(%1)"/>
      <w:numFmt w:val="lowerRoman"/>
      <w:start w:val="4"/>
    </w:lvl>
    <w:lvl w:ilvl="1">
      <w:lvlJc w:val="left"/>
      <w:lvlText w:val="(%2)"/>
      <w:numFmt w:val="lowerRoman"/>
      <w:start w:val="1"/>
    </w:lvl>
  </w:abstractNum>
  <w:abstractNum w:abstractNumId="338">
    <w:nsid w:val="19B8A08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39">
    <w:nsid w:val="54B59621"/>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340">
    <w:nsid w:val="5992A02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41">
    <w:nsid w:val="29EF532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42">
    <w:nsid w:val="71D601A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4"/>
    </w:lvl>
    <w:lvl w:ilvl="3">
      <w:lvlJc w:val="left"/>
      <w:lvlText w:val="(%4)"/>
      <w:numFmt w:val="lowerLetter"/>
      <w:start w:val="9"/>
    </w:lvl>
    <w:lvl w:ilvl="4">
      <w:lvlJc w:val="left"/>
      <w:lvlText w:val="(%5)"/>
      <w:numFmt w:val="lowerLetter"/>
      <w:start w:val="16"/>
    </w:lvl>
  </w:abstractNum>
  <w:abstractNum w:abstractNumId="343">
    <w:nsid w:val="52C7740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Letter"/>
      <w:start w:val="13"/>
    </w:lvl>
  </w:abstractNum>
  <w:abstractNum w:abstractNumId="344">
    <w:nsid w:val="2BB5B1C6"/>
    <w:multiLevelType w:val="hybridMultilevel"/>
    <w:lvl w:ilvl="0">
      <w:lvlJc w:val="left"/>
      <w:lvlText w:val="%1"/>
      <w:numFmt w:val="lowerLetter"/>
      <w:start w:val="1"/>
    </w:lvl>
    <w:lvl w:ilvl="1">
      <w:lvlJc w:val="left"/>
      <w:lvlText w:val="(%2)"/>
      <w:numFmt w:val="lowerLetter"/>
      <w:start w:val="25"/>
    </w:lvl>
    <w:lvl w:ilvl="2">
      <w:lvlJc w:val="left"/>
      <w:lvlText w:val="(%3)"/>
      <w:numFmt w:val="lowerRoman"/>
      <w:start w:val="1"/>
    </w:lvl>
    <w:lvl w:ilvl="3">
      <w:lvlJc w:val="left"/>
      <w:lvlText w:val="%4"/>
      <w:numFmt w:val="lowerLetter"/>
      <w:start w:val="1"/>
    </w:lvl>
  </w:abstractNum>
  <w:abstractNum w:abstractNumId="345">
    <w:nsid w:val="66BE6B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46">
    <w:nsid w:val="62234363"/>
    <w:multiLevelType w:val="hybridMultilevel"/>
    <w:lvl w:ilvl="0">
      <w:lvlJc w:val="left"/>
      <w:lvlText w:val="%1."/>
      <w:numFmt w:val="decimal"/>
      <w:start w:val="1"/>
    </w:lvl>
    <w:lvl w:ilvl="1">
      <w:lvlJc w:val="left"/>
      <w:lvlText w:val="%2)"/>
      <w:numFmt w:val="lowerLetter"/>
      <w:start w:val="1"/>
    </w:lvl>
  </w:abstractNum>
  <w:abstractNum w:abstractNumId="347">
    <w:nsid w:val="66D385C9"/>
    <w:multiLevelType w:val="hybridMultilevel"/>
    <w:lvl w:ilvl="0">
      <w:lvlJc w:val="left"/>
      <w:lvlText w:val="%1."/>
      <w:numFmt w:val="decimal"/>
      <w:start w:val="1"/>
    </w:lvl>
    <w:lvl w:ilvl="1">
      <w:lvlJc w:val="left"/>
      <w:lvlText w:val="%2)"/>
      <w:numFmt w:val="lowerLetter"/>
      <w:start w:val="1"/>
    </w:lvl>
  </w:abstractNum>
  <w:abstractNum w:abstractNumId="348">
    <w:nsid w:val="596F6D8A"/>
    <w:multiLevelType w:val="hybridMultilevel"/>
    <w:lvl w:ilvl="0">
      <w:lvlJc w:val="left"/>
      <w:lvlText w:val="(%1)"/>
      <w:numFmt w:val="decimal"/>
      <w:start w:val="1"/>
    </w:lvl>
  </w:abstractNum>
  <w:abstractNum w:abstractNumId="349">
    <w:nsid w:val="574936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2020-05-05T12:09:49Z</dcterms:created>
  <dcterms:modified xsi:type="dcterms:W3CDTF">2020-05-05T12:09:49Z</dcterms:modified>
</cp:coreProperties>
</file>