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8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2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-3453130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-3075305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-2192020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-528320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cordially invited to attend the 2014 Joint Annual Meeting of Stockholders of PennantPark Investment Corporation (“PNNT”) and PennantPark Floating Rate Capital Ltd. (“PFLT” and PNNT each, a “Company” and together, the “Companies”) to be held on February 4, 2014 at 9:30 a.m., Eastern Time, at the offices of Dechert LLP, located at 1095 Avenue of the Americas, New York, New York.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Notice of Joint Annual Meeting of Stockholders and the Joint Proxy Statement of the Boards of Directors of the Companies, which is accessible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Internet or by request, provides an outline of the business to be conducted at the Joint Annual Meeting of Stockholders. At the meeting, you will be asked to:</w:t>
      </w:r>
    </w:p>
    <w:p>
      <w:pPr>
        <w:spacing w:after="0" w:line="32" w:lineRule="exact"/>
        <w:rPr>
          <w:sz w:val="20"/>
          <w:szCs w:val="20"/>
          <w:color w:val="auto"/>
        </w:rPr>
      </w:pPr>
    </w:p>
    <w:p>
      <w:pPr>
        <w:ind w:right="240" w:firstLine="8"/>
        <w:spacing w:after="0" w:line="255"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two directors for PNNT and/or one director for PFLT and (2) ratify the selection of McGladrey LLP as your Company’s independent registered public accounting firm for the fiscal year ending September 30, 2014. I will also report on the progress of the Companies during the past year and respond to stockholders’ questions.</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It is important that your shares be represented at the Joint Annual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will also receive separate proxy materials for the Joint Special Meeting of Stockholders, which will be held on the same date and at the same location as the Joint Annual Meeting. Please be certain to vote separately each proxy card you receive from us. Your vote and participation in the governance of your Company is very important to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4, 2014</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18, 2013</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2014 Joint Annual Meeting of Stockholders of the Companies (the “Annual Meeting”) will be held at the offices of Dechert LLP, located at 1095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Avenue of the Americas, New York, New York, on February 4, 2014 at 9:30 a.m., Eastern Time, for the following purposes:</w:t>
      </w:r>
    </w:p>
    <w:p>
      <w:pPr>
        <w:spacing w:after="0" w:line="84" w:lineRule="exact"/>
        <w:rPr>
          <w:sz w:val="20"/>
          <w:szCs w:val="20"/>
          <w:color w:val="auto"/>
        </w:rPr>
      </w:pPr>
    </w:p>
    <w:p>
      <w:pPr>
        <w:ind w:left="1220" w:right="500" w:hanging="753"/>
        <w:spacing w:after="0" w:line="268" w:lineRule="auto"/>
        <w:tabs>
          <w:tab w:leader="none" w:pos="80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For Stockholders of PNNT</w:t>
      </w:r>
      <w:r>
        <w:rPr>
          <w:rFonts w:ascii="Arial" w:cs="Arial" w:eastAsia="Arial" w:hAnsi="Arial"/>
          <w:sz w:val="18"/>
          <w:szCs w:val="18"/>
          <w:color w:val="auto"/>
        </w:rPr>
        <w:t>: to elect two directors to the Board of Directors of PNNT, who will each serve for a term of three years or until his successor is duly elected and qualifies; and</w:t>
      </w:r>
    </w:p>
    <w:p>
      <w:pPr>
        <w:spacing w:after="0" w:line="37" w:lineRule="exact"/>
        <w:rPr>
          <w:rFonts w:ascii="Arial" w:cs="Arial" w:eastAsia="Arial" w:hAnsi="Arial"/>
          <w:sz w:val="18"/>
          <w:szCs w:val="18"/>
          <w:color w:val="auto"/>
        </w:rPr>
      </w:pPr>
    </w:p>
    <w:p>
      <w:pPr>
        <w:ind w:left="1220" w:right="800" w:hanging="429"/>
        <w:spacing w:after="0" w:line="268"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For Stockholders of PFLT</w:t>
      </w:r>
      <w:r>
        <w:rPr>
          <w:rFonts w:ascii="Arial" w:cs="Arial" w:eastAsia="Arial" w:hAnsi="Arial"/>
          <w:sz w:val="18"/>
          <w:szCs w:val="18"/>
          <w:color w:val="auto"/>
        </w:rPr>
        <w:t>: to elect one director to the Board of Directors of PFLT, who will serve for a term of three years or until his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is duly elected and qualifies; and</w:t>
      </w:r>
    </w:p>
    <w:p>
      <w:pPr>
        <w:spacing w:after="0" w:line="37" w:lineRule="exact"/>
        <w:rPr>
          <w:rFonts w:ascii="Arial" w:cs="Arial" w:eastAsia="Arial" w:hAnsi="Arial"/>
          <w:sz w:val="18"/>
          <w:szCs w:val="18"/>
          <w:color w:val="auto"/>
        </w:rPr>
      </w:pPr>
    </w:p>
    <w:p>
      <w:pPr>
        <w:ind w:left="1220" w:right="740" w:hanging="753"/>
        <w:spacing w:after="0" w:line="268"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For Stockholders of each Company: </w:t>
      </w:r>
      <w:r>
        <w:rPr>
          <w:rFonts w:ascii="Arial" w:cs="Arial" w:eastAsia="Arial" w:hAnsi="Arial"/>
          <w:sz w:val="18"/>
          <w:szCs w:val="18"/>
          <w:color w:val="auto"/>
        </w:rPr>
        <w:t>to ratify the selection of McGladrey LLP to serve as the Company’s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for the fiscal year ending September 30, 2014.</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PNNT and/or a stockholder of record of PFLT at the close of business on December 9, 2013.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proposals at the time of the Annual Meeting, the Annual Meeting may be adjourned in order to permit further solicitation of proxies by the Company.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EACH OF THE PROPOSALS.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140" w:right="12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Joint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February 4, 2014</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Annual Meeting of Stockholders (“Notice of Annual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2014 Joint Annual Meeting of Stockholders (the “Meeting”) to be held on Tuesday, February 4, 2014 at 9:30 a.m., Eastern Time, at the offices of Dechert LLP, located at 1095 Avenue of the Americas, New York, New York, and at any postponements or adjournments thereof. This Joint Proxy Statement and each Company’s Annual Report for the fiscal year ended September 30, 2013 are being provided to the stockholders thereof (the “Stockholders”) via the Internet on or about December 18, 2013. In addition, a Notice of Annual Meeting and a Notice of Internet Availability of Proxy Materials are being sent to Stockholders of record of PNNT and Stockholders of record of PFLT as of December 9, 2013.</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Although each Company is a separate business development company that holds an annual meeting of stockholders, the Companies’ Proxy Statements have been combined into this Joint Proxy Statement to reduce expenses to the Companies of soliciting proxies for the Meeting.</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by the appropriate proxy’s discretion unless you specifically state otherwise on your proxy.</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4" w:name="page5"/>
    <w:bookmarkEnd w:id="4"/>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0" w:lineRule="exact"/>
        <w:rPr>
          <w:sz w:val="20"/>
          <w:szCs w:val="20"/>
          <w:color w:val="auto"/>
        </w:rPr>
      </w:pPr>
    </w:p>
    <w:p>
      <w:pPr>
        <w:ind w:left="1520" w:right="840" w:hanging="1053"/>
        <w:spacing w:after="0" w:line="268" w:lineRule="auto"/>
        <w:tabs>
          <w:tab w:leader="none" w:pos="965" w:val="left"/>
        </w:tabs>
        <w:numPr>
          <w:ilvl w:val="0"/>
          <w:numId w:val="7"/>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8"/>
          <w:szCs w:val="18"/>
          <w:i w:val="1"/>
          <w:iCs w:val="1"/>
          <w:color w:val="auto"/>
        </w:rPr>
        <w:t>For Stockholders of PNNT</w:t>
      </w:r>
      <w:r>
        <w:rPr>
          <w:rFonts w:ascii="Arial" w:cs="Arial" w:eastAsia="Arial" w:hAnsi="Arial"/>
          <w:sz w:val="18"/>
          <w:szCs w:val="18"/>
          <w:color w:val="auto"/>
        </w:rPr>
        <w:t>: to elect two directors to the Board of PNNT, who will each serve for a term of three years or until his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is duly elected and qualifies; and</w:t>
      </w:r>
    </w:p>
    <w:p>
      <w:pPr>
        <w:spacing w:after="0" w:line="77" w:lineRule="exact"/>
        <w:rPr>
          <w:rFonts w:ascii="Arial" w:cs="Arial" w:eastAsia="Arial" w:hAnsi="Arial"/>
          <w:sz w:val="18"/>
          <w:szCs w:val="18"/>
          <w:color w:val="auto"/>
        </w:rPr>
      </w:pPr>
    </w:p>
    <w:p>
      <w:pPr>
        <w:ind w:left="1520" w:right="500" w:hanging="564"/>
        <w:spacing w:after="0" w:line="268" w:lineRule="auto"/>
        <w:tabs>
          <w:tab w:leader="none" w:pos="152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For Stockholders of PFLT</w:t>
      </w:r>
      <w:r>
        <w:rPr>
          <w:rFonts w:ascii="Arial" w:cs="Arial" w:eastAsia="Arial" w:hAnsi="Arial"/>
          <w:sz w:val="18"/>
          <w:szCs w:val="18"/>
          <w:color w:val="auto"/>
        </w:rPr>
        <w:t>: to elect one director to the Board of PFLT, who will serve for a term of three years or until his successor is</w:t>
      </w:r>
      <w:r>
        <w:rPr>
          <w:rFonts w:ascii="Arial" w:cs="Arial" w:eastAsia="Arial" w:hAnsi="Arial"/>
          <w:sz w:val="18"/>
          <w:szCs w:val="18"/>
          <w:i w:val="1"/>
          <w:iCs w:val="1"/>
          <w:color w:val="auto"/>
        </w:rPr>
        <w:t xml:space="preserve"> </w:t>
      </w:r>
      <w:r>
        <w:rPr>
          <w:rFonts w:ascii="Arial" w:cs="Arial" w:eastAsia="Arial" w:hAnsi="Arial"/>
          <w:sz w:val="18"/>
          <w:szCs w:val="18"/>
          <w:color w:val="auto"/>
        </w:rPr>
        <w:t>duly elected and qualifies (together with clause (a) above, “Proposal 1”); and</w:t>
      </w:r>
    </w:p>
    <w:p>
      <w:pPr>
        <w:spacing w:after="0" w:line="77" w:lineRule="exact"/>
        <w:rPr>
          <w:rFonts w:ascii="Arial" w:cs="Arial" w:eastAsia="Arial" w:hAnsi="Arial"/>
          <w:sz w:val="18"/>
          <w:szCs w:val="18"/>
          <w:color w:val="auto"/>
        </w:rPr>
      </w:pPr>
    </w:p>
    <w:p>
      <w:pPr>
        <w:ind w:left="1520" w:right="920" w:hanging="1053"/>
        <w:spacing w:after="0" w:line="268"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For Stockholders of each Company</w:t>
      </w:r>
      <w:r>
        <w:rPr>
          <w:rFonts w:ascii="Arial" w:cs="Arial" w:eastAsia="Arial" w:hAnsi="Arial"/>
          <w:sz w:val="18"/>
          <w:szCs w:val="18"/>
          <w:color w:val="auto"/>
        </w:rPr>
        <w:t>: to ratify the selection of McGladrey LLP to serve as the Company’s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for the fiscal year ending September 30, 2014 (“Proposal 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December 9, 2013 (the “Record Date”). There were 66,546,734 shares of PNNT common stock and 14,898,056 shares of PFLT common stock (the “Common Stock”) outstanding on the Record Date. Stockholders are entitled to one vote for each share of Common Stock of their Company held. Stockholders can vote only on matters affecting the Company (or Companies) in which they hold shares of Common Stock. Because the proposals stated above and in the Notice of Annual Meeting are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Company to conduct business at the Meeting, a quorum of Stockholders of that Company must be present at the Meeting. The presence at the Meeting, in person or by proxy, of the holders of a majority of the shares of Common Stock of a Company outstanding on the Record Date will constitute a quorum of such Company. Abstentions and Broker Non-Votes (as defined below) will be treated as shares present at the Meeting for quorum purposes.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For PNNT, the election of a director to the Board of the Company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PNNT, votes to withhold authority, as well as abstentions and Broker Non-Votes or no votes, will have the effect of a vote against the nominee.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PFLT, the election of a director to the Board of the Company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 of Independent Registered Public Accounting Firm</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each Company, the affirmative vote of a majority of the votes of that Company cast at the Meeting in person or by proxy is required to ratify the appointment of McGladrey LLP to serve as such Company’s independent registered public accounting firm. Abstentions will not be included in determining the number of votes cast and, as a result, will have no effect on this proposal.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for both Companies. As a result, if you hold shares of a Company’s Common Stock in street name,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 1 for that Company. Thus, if you are a Stockholder of PNNT and you do not vote or give your Broker specific instructions on how to vote for you, your shares will have the effect of a vote against Proposal 1.</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For this reason, it is imperative that Stockholders of PNNT vote or provide instructions to their Brokers as to how to vote with respect to Proposal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Proposal 2 is a routine matter for both Companies. As a result, if you beneficially own shares of Common Stock of a Company and you do not vote or provide your Brokers with proxy instructions, your Brokers will be able to vote your shares for you on Proposal 2.</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appears not to be enough votes to approve a proposal at the Meeting, the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Meeting or the Stockholders of such Company who are represented in person or by proxy may vote to adjourn the Meeting with respect to that Company to permit further solicitation of proxies. If a vote to adjourn is submitted to the Stockholders, Messrs. Adam Bernstein and Jeffrey Flug are the persons named as proxies for the Companies and will vote proxies held by them for such adjournment, unless marked to be voted against any proposal for which an adjournment is sought, to permit the further solicitation of proxies.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Each Company will bear the expense of its solicitation of proxies for the Meeting, including the cost of preparing and posting this Joint Proxy Statement and the Annual Report to the Internet and the cost of mailing the Notice of Annual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07"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and voting in person or by a notice, provided in writing and signed by the Stockholder, delivered to the Companies’ Secretary on any business day before the date of the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the Record Dates, to our knowledge, no person would be deemed to “control” (as such term is defined in the Investment Company Act of 1940, as amended (the “1940 Act”)) either Company.</w:t>
      </w:r>
    </w:p>
    <w:p>
      <w:pPr>
        <w:spacing w:after="0" w:line="132"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as of December 4, 2013,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180" w:type="dxa"/>
            <w:vAlign w:val="bottom"/>
          </w:tcPr>
          <w:p>
            <w:pPr>
              <w:spacing w:after="0"/>
              <w:rPr>
                <w:sz w:val="12"/>
                <w:szCs w:val="12"/>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(4)</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9"/>
              </w:rPr>
              <w:t>Common Stock</w:t>
            </w:r>
          </w:p>
        </w:tc>
        <w:tc>
          <w:tcPr>
            <w:tcW w:w="0" w:type="dxa"/>
            <w:vAlign w:val="bottom"/>
          </w:tcPr>
          <w:p>
            <w:pPr>
              <w:spacing w:after="0"/>
              <w:rPr>
                <w:sz w:val="1"/>
                <w:szCs w:val="1"/>
                <w:color w:val="auto"/>
              </w:rPr>
            </w:pPr>
          </w:p>
        </w:tc>
      </w:tr>
      <w:tr>
        <w:trPr>
          <w:trHeight w:val="153"/>
        </w:trPr>
        <w:tc>
          <w:tcPr>
            <w:tcW w:w="484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800" w:type="dxa"/>
            <w:vAlign w:val="bottom"/>
            <w:gridSpan w:val="3"/>
          </w:tcPr>
          <w:p>
            <w:pPr>
              <w:jc w:val="right"/>
              <w:ind w:right="416"/>
              <w:spacing w:after="0" w:line="146" w:lineRule="exact"/>
              <w:rPr>
                <w:sz w:val="20"/>
                <w:szCs w:val="20"/>
                <w:color w:val="auto"/>
              </w:rPr>
            </w:pPr>
            <w:r>
              <w:rPr>
                <w:rFonts w:ascii="Arial" w:cs="Arial" w:eastAsia="Arial" w:hAnsi="Arial"/>
                <w:sz w:val="14"/>
                <w:szCs w:val="14"/>
                <w:color w:val="auto"/>
              </w:rPr>
              <w:t>Shares Owned</w:t>
            </w:r>
          </w:p>
        </w:tc>
        <w:tc>
          <w:tcPr>
            <w:tcW w:w="420" w:type="dxa"/>
            <w:vAlign w:val="bottom"/>
          </w:tcPr>
          <w:p>
            <w:pPr>
              <w:spacing w:after="0"/>
              <w:rPr>
                <w:sz w:val="13"/>
                <w:szCs w:val="13"/>
                <w:color w:val="auto"/>
              </w:rPr>
            </w:pPr>
          </w:p>
        </w:tc>
        <w:tc>
          <w:tcPr>
            <w:tcW w:w="1420" w:type="dxa"/>
            <w:vAlign w:val="bottom"/>
            <w:gridSpan w:val="4"/>
          </w:tcPr>
          <w:p>
            <w:pPr>
              <w:jc w:val="center"/>
              <w:ind w:right="200"/>
              <w:spacing w:after="0" w:line="146"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top w:val="single" w:sz="8" w:color="auto"/>
            </w:tcBorders>
          </w:tcPr>
          <w:p>
            <w:pPr>
              <w:jc w:val="right"/>
              <w:ind w:right="117"/>
              <w:spacing w:after="0" w:line="149" w:lineRule="exact"/>
              <w:rPr>
                <w:sz w:val="20"/>
                <w:szCs w:val="20"/>
                <w:color w:val="auto"/>
              </w:rPr>
            </w:pPr>
            <w:r>
              <w:rPr>
                <w:rFonts w:ascii="Arial" w:cs="Arial" w:eastAsia="Arial" w:hAnsi="Arial"/>
                <w:sz w:val="14"/>
                <w:szCs w:val="14"/>
                <w:color w:val="auto"/>
              </w:rPr>
              <w:t>PNNT</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6"/>
              <w:spacing w:after="0" w:line="149" w:lineRule="exact"/>
              <w:rPr>
                <w:sz w:val="20"/>
                <w:szCs w:val="20"/>
                <w:color w:val="auto"/>
              </w:rPr>
            </w:pPr>
            <w:r>
              <w:rPr>
                <w:rFonts w:ascii="Arial" w:cs="Arial" w:eastAsia="Arial" w:hAnsi="Arial"/>
                <w:sz w:val="14"/>
                <w:szCs w:val="14"/>
                <w:color w:val="auto"/>
              </w:rPr>
              <w:t>PFLT</w:t>
            </w:r>
          </w:p>
        </w:tc>
        <w:tc>
          <w:tcPr>
            <w:tcW w:w="4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color w:val="auto"/>
                <w:w w:val="89"/>
              </w:rPr>
              <w:t>PNNT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1"/>
              </w:rPr>
              <w:t>PFLT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tcPr>
          <w:p>
            <w:pPr>
              <w:jc w:val="right"/>
              <w:spacing w:after="0"/>
              <w:rPr>
                <w:sz w:val="20"/>
                <w:szCs w:val="20"/>
                <w:color w:val="auto"/>
              </w:rPr>
            </w:pPr>
            <w:r>
              <w:rPr>
                <w:rFonts w:ascii="Arial" w:cs="Arial" w:eastAsia="Arial" w:hAnsi="Arial"/>
                <w:sz w:val="18"/>
                <w:szCs w:val="18"/>
                <w:color w:val="auto"/>
              </w:rPr>
              <w:t>88,971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tcPr>
          <w:p>
            <w:pPr>
              <w:jc w:val="right"/>
              <w:spacing w:after="0"/>
              <w:rPr>
                <w:sz w:val="20"/>
                <w:szCs w:val="20"/>
                <w:color w:val="auto"/>
              </w:rPr>
            </w:pPr>
            <w:r>
              <w:rPr>
                <w:rFonts w:ascii="Arial" w:cs="Arial" w:eastAsia="Arial" w:hAnsi="Arial"/>
                <w:sz w:val="18"/>
                <w:szCs w:val="18"/>
                <w:color w:val="auto"/>
              </w:rPr>
              <w:t>227,288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149,209</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1,025,394</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227,459</w:t>
            </w:r>
          </w:p>
        </w:tc>
        <w:tc>
          <w:tcPr>
            <w:tcW w:w="4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3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342,611 shares of PNNT and 149,209 shares of PFLT held by the Adviser.</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Pursuant to Section 16(a) of the Securities Exchange Act of 1934, as amended (the “Exchange Act”), each Company’s directors and other executive officer and any persons holding more than 10% of that Company’s Common Stock are required to report their beneficial ownership and any changes therein to the SEC and the Company. Specific due dates for those reports have been established, and the Companies are required to report herein any failure to file such reports by those due dates. Based on the Companies’ review of Forms 3, 4 and 5 filed by such persons and information provided by the Companies’ directors and other executive officer, the Companies believe that, during the fiscal year ended September 30, 2013, all Section 16(a) filing requirements applicable to such persons were met in a timely manner.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dollar range of each Company’s Common Stock beneficially owned by each of our directors as of December 4,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beneficial ownership is based on information furnished to the Companies by such persons.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Directors of the Companies</w:t>
            </w:r>
          </w:p>
        </w:tc>
        <w:tc>
          <w:tcPr>
            <w:tcW w:w="2640" w:type="dxa"/>
            <w:vAlign w:val="bottom"/>
            <w:vMerge w:val="restart"/>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14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680" w:type="dxa"/>
            <w:vAlign w:val="bottom"/>
            <w:tcBorders>
              <w:bottom w:val="single" w:sz="8" w:color="auto"/>
            </w:tcBorders>
            <w:gridSpan w:val="2"/>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PNNT</w:t>
            </w:r>
          </w:p>
        </w:tc>
        <w:tc>
          <w:tcPr>
            <w:tcW w:w="960" w:type="dxa"/>
            <w:vAlign w:val="bottom"/>
          </w:tcPr>
          <w:p>
            <w:pPr>
              <w:spacing w:after="0"/>
              <w:rPr>
                <w:sz w:val="14"/>
                <w:szCs w:val="14"/>
                <w:color w:val="auto"/>
              </w:rPr>
            </w:pPr>
          </w:p>
        </w:tc>
        <w:tc>
          <w:tcPr>
            <w:tcW w:w="166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b w:val="1"/>
                <w:bCs w:val="1"/>
                <w:color w:val="auto"/>
              </w:rPr>
              <w:t>PFLT</w:t>
            </w:r>
          </w:p>
        </w:tc>
        <w:tc>
          <w:tcPr>
            <w:tcW w:w="1100" w:type="dxa"/>
            <w:vAlign w:val="bottom"/>
          </w:tcPr>
          <w:p>
            <w:pPr>
              <w:spacing w:after="0"/>
              <w:rPr>
                <w:sz w:val="14"/>
                <w:szCs w:val="14"/>
                <w:color w:val="auto"/>
              </w:rPr>
            </w:pPr>
          </w:p>
        </w:tc>
        <w:tc>
          <w:tcPr>
            <w:tcW w:w="1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7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Adam K. Bernstein</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(2)</w:t>
            </w:r>
          </w:p>
        </w:tc>
        <w:tc>
          <w:tcPr>
            <w:tcW w:w="2620" w:type="dxa"/>
            <w:vAlign w:val="bottom"/>
            <w:gridSpan w:val="2"/>
          </w:tcPr>
          <w:p>
            <w:pPr>
              <w:jc w:val="right"/>
              <w:ind w:right="57"/>
              <w:spacing w:after="0"/>
              <w:rPr>
                <w:sz w:val="20"/>
                <w:szCs w:val="20"/>
                <w:color w:val="auto"/>
              </w:rPr>
            </w:pPr>
            <w:r>
              <w:rPr>
                <w:rFonts w:ascii="Arial" w:cs="Arial" w:eastAsia="Arial" w:hAnsi="Arial"/>
                <w:sz w:val="18"/>
                <w:szCs w:val="18"/>
                <w:color w:val="auto"/>
              </w:rPr>
              <w:t>$50,001 - $100,000</w:t>
            </w:r>
          </w:p>
        </w:tc>
        <w:tc>
          <w:tcPr>
            <w:tcW w:w="11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9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88"/>
              </w:rPr>
              <w:t>None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tcPr>
          <w:p>
            <w:pPr>
              <w:ind w:left="440"/>
              <w:spacing w:after="0"/>
              <w:rPr>
                <w:sz w:val="20"/>
                <w:szCs w:val="20"/>
                <w:color w:val="auto"/>
              </w:rPr>
            </w:pPr>
            <w:r>
              <w:rPr>
                <w:rFonts w:ascii="Arial" w:cs="Arial" w:eastAsia="Arial" w:hAnsi="Arial"/>
                <w:sz w:val="18"/>
                <w:szCs w:val="18"/>
                <w:color w:val="auto"/>
              </w:rPr>
              <w:t>Jeffrey Flug</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960" w:type="dxa"/>
            <w:vAlign w:val="bottom"/>
          </w:tcPr>
          <w:p>
            <w:pPr>
              <w:spacing w:after="0"/>
              <w:rPr>
                <w:sz w:val="18"/>
                <w:szCs w:val="18"/>
                <w:color w:val="auto"/>
              </w:rPr>
            </w:pPr>
          </w:p>
        </w:tc>
        <w:tc>
          <w:tcPr>
            <w:tcW w:w="2760" w:type="dxa"/>
            <w:vAlign w:val="bottom"/>
            <w:gridSpan w:val="2"/>
          </w:tcPr>
          <w:p>
            <w:pPr>
              <w:jc w:val="center"/>
              <w:ind w:right="1100"/>
              <w:spacing w:after="0"/>
              <w:rPr>
                <w:sz w:val="20"/>
                <w:szCs w:val="20"/>
                <w:color w:val="auto"/>
              </w:rPr>
            </w:pPr>
            <w:r>
              <w:rPr>
                <w:rFonts w:ascii="Arial" w:cs="Arial" w:eastAsia="Arial" w:hAnsi="Arial"/>
                <w:sz w:val="18"/>
                <w:szCs w:val="18"/>
                <w:color w:val="auto"/>
                <w:w w:val="88"/>
              </w:rPr>
              <w:t>None</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$500,001 - $1,000,000</w:t>
            </w:r>
          </w:p>
        </w:tc>
        <w:tc>
          <w:tcPr>
            <w:tcW w:w="1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323"/>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9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87"/>
              </w:rPr>
              <w:t>Over $1,000,000</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Over $1,000,000</w:t>
            </w: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accordance with its bylaws, each of the Companies currently has five members on its Board. Directors are divided into three classes and are elected for staggered terms of three years each, with a term of office of one of the three classes of directors expiring each year. Each director will hold office for the term to which he is elected or until his successor is duly elected and qualifies. After this election, the terms of Class I, II and III will expire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100" w:type="dxa"/>
            <w:vAlign w:val="bottom"/>
            <w:gridSpan w:val="2"/>
          </w:tcPr>
          <w:p>
            <w:pPr>
              <w:spacing w:after="0"/>
              <w:rPr>
                <w:sz w:val="20"/>
                <w:szCs w:val="20"/>
                <w:color w:val="auto"/>
              </w:rPr>
            </w:pPr>
            <w:r>
              <w:rPr>
                <w:rFonts w:ascii="Arial" w:cs="Arial" w:eastAsia="Arial" w:hAnsi="Arial"/>
                <w:sz w:val="14"/>
                <w:szCs w:val="14"/>
                <w:b w:val="1"/>
                <w:bCs w:val="1"/>
                <w:color w:val="auto"/>
              </w:rPr>
              <w:t>Companies</w:t>
            </w: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Class I</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Class II</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Class III</w:t>
            </w:r>
          </w:p>
        </w:tc>
      </w:tr>
      <w:tr>
        <w:trPr>
          <w:trHeight w:val="195"/>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3"/>
              </w:rPr>
              <w:t>PennantPark</w:t>
            </w:r>
          </w:p>
        </w:tc>
        <w:tc>
          <w:tcPr>
            <w:tcW w:w="8400" w:type="dxa"/>
            <w:vAlign w:val="bottom"/>
          </w:tcPr>
          <w:p>
            <w:pPr>
              <w:ind w:left="240"/>
              <w:spacing w:after="0" w:line="188" w:lineRule="exact"/>
              <w:rPr>
                <w:sz w:val="20"/>
                <w:szCs w:val="20"/>
                <w:color w:val="auto"/>
              </w:rPr>
            </w:pPr>
            <w:r>
              <w:rPr>
                <w:rFonts w:ascii="Arial" w:cs="Arial" w:eastAsia="Arial" w:hAnsi="Arial"/>
                <w:sz w:val="18"/>
                <w:szCs w:val="18"/>
                <w:color w:val="auto"/>
              </w:rPr>
              <w:t>Investment Corporation</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2017</w:t>
            </w:r>
          </w:p>
        </w:tc>
        <w:tc>
          <w:tcPr>
            <w:tcW w:w="44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2015</w:t>
            </w:r>
          </w:p>
        </w:tc>
        <w:tc>
          <w:tcPr>
            <w:tcW w:w="42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2016</w:t>
            </w: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2015</w:t>
            </w:r>
          </w:p>
        </w:tc>
        <w:tc>
          <w:tcPr>
            <w:tcW w:w="4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2016</w:t>
            </w: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r>
    </w:tbl>
    <w:p>
      <w:pPr>
        <w:spacing w:after="0" w:line="15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Stockholder can vote for, or withhold his or her vote from, any nominee for his or her Company’s Board. In the absence of instructions to the contrary, it is the intention of the persons named as proxies to vote such proxy FOR the election of each nominee named below. If a nominee should decline or be unable to serve as a director, it is intended that the proxy will be voted for the election of such person as is nominated by the relevant Board as a replacement. The Boards have no reason to believe that either of their nominees will be unable or unwilling to serve.</w:t>
      </w:r>
    </w:p>
    <w:p>
      <w:pPr>
        <w:spacing w:after="0" w:line="107"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THE ELECTION OF THE NOMINEES NAMED IN THIS JOINT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each Company. The nominees currently serve as directors of each Company.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Each of Mr. Marshall Brozost and Mr. Samuel L. Katz has been nominated for election as a Class I director of PNNT for a three-year term expiring in 2017. Neither Mr. Brozost nor Mr. Katz is being proposed for election pursuant to any agreement or understanding between either Mr. Brozost or Mr. Katz and PNNT.</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Mr. Arthur H. Penn has been nominated for election as a Class III director of PFLT for a three-year term expiring in 2017. Mr. Penn is not being proposed for election pursuant to any agreement or understanding between Mr. Penn and PFLT.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8"/>
              </w:rPr>
              <w:t>Company,</w:t>
            </w:r>
          </w:p>
        </w:tc>
        <w:tc>
          <w:tcPr>
            <w:tcW w:w="10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10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Occupation(s)</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880" w:type="dxa"/>
            <w:vAlign w:val="bottom"/>
          </w:tcPr>
          <w:p>
            <w:pPr>
              <w:spacing w:after="0"/>
              <w:rPr>
                <w:sz w:val="12"/>
                <w:szCs w:val="12"/>
                <w:color w:val="auto"/>
              </w:rPr>
            </w:pPr>
          </w:p>
        </w:tc>
        <w:tc>
          <w:tcPr>
            <w:tcW w:w="160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Position(s) held</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Length of</w:t>
            </w:r>
          </w:p>
        </w:tc>
        <w:tc>
          <w:tcPr>
            <w:tcW w:w="10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 Past</w:t>
            </w:r>
          </w:p>
        </w:tc>
        <w:tc>
          <w:tcPr>
            <w:tcW w:w="0" w:type="dxa"/>
            <w:vAlign w:val="bottom"/>
          </w:tcPr>
          <w:p>
            <w:pPr>
              <w:spacing w:after="0"/>
              <w:rPr>
                <w:sz w:val="1"/>
                <w:szCs w:val="1"/>
                <w:color w:val="auto"/>
              </w:rPr>
            </w:pPr>
          </w:p>
        </w:tc>
      </w:tr>
      <w:tr>
        <w:trPr>
          <w:trHeight w:val="181"/>
        </w:trPr>
        <w:tc>
          <w:tcPr>
            <w:tcW w:w="258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ind w:left="360"/>
              <w:spacing w:after="0"/>
              <w:rPr>
                <w:sz w:val="20"/>
                <w:szCs w:val="20"/>
                <w:color w:val="auto"/>
              </w:rPr>
            </w:pPr>
            <w:r>
              <w:rPr>
                <w:rFonts w:ascii="Arial" w:cs="Arial" w:eastAsia="Arial" w:hAnsi="Arial"/>
                <w:sz w:val="14"/>
                <w:szCs w:val="14"/>
                <w:b w:val="1"/>
                <w:bCs w:val="1"/>
                <w:color w:val="auto"/>
              </w:rPr>
              <w:t>with Company</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0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81"/>
        </w:trPr>
        <w:tc>
          <w:tcPr>
            <w:tcW w:w="1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3"/>
              </w:rPr>
              <w:t>Independent Directors</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Adam K. Bernstein (50)</w:t>
            </w:r>
          </w:p>
        </w:tc>
        <w:tc>
          <w:tcPr>
            <w:tcW w:w="2480" w:type="dxa"/>
            <w:vAlign w:val="bottom"/>
            <w:gridSpan w:val="2"/>
          </w:tcPr>
          <w:p>
            <w:pPr>
              <w:ind w:left="880"/>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PNNT—Class II</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w w:val="89"/>
              </w:rPr>
              <w:t>President of The Bernstein Companies,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Director since</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w w:val="93"/>
              </w:rPr>
              <w:t>a Washington, D.C.-based real estate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February 2007;</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firm, since 1995 and President and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Term Expires</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w w:val="93"/>
              </w:rPr>
              <w:t>Chief Executive Officer of Consortium</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w w:val="89"/>
              </w:rPr>
              <w:t>Atlantic Realty Trust, Inc., a private real</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80" w:type="dxa"/>
            <w:vAlign w:val="bottom"/>
            <w:gridSpan w:val="2"/>
          </w:tcPr>
          <w:p>
            <w:pPr>
              <w:ind w:left="880"/>
              <w:spacing w:after="0"/>
              <w:rPr>
                <w:sz w:val="20"/>
                <w:szCs w:val="20"/>
                <w:color w:val="auto"/>
              </w:rPr>
            </w:pPr>
            <w:r>
              <w:rPr>
                <w:rFonts w:ascii="Arial" w:cs="Arial" w:eastAsia="Arial" w:hAnsi="Arial"/>
                <w:sz w:val="18"/>
                <w:szCs w:val="18"/>
                <w:color w:val="auto"/>
              </w:rPr>
              <w:t>Director</w:t>
            </w:r>
          </w:p>
        </w:tc>
        <w:tc>
          <w:tcPr>
            <w:tcW w:w="1940" w:type="dxa"/>
            <w:vAlign w:val="bottom"/>
            <w:gridSpan w:val="2"/>
            <w:vMerge w:val="restart"/>
          </w:tcPr>
          <w:p>
            <w:pPr>
              <w:ind w:left="100"/>
              <w:spacing w:after="0"/>
              <w:rPr>
                <w:sz w:val="20"/>
                <w:szCs w:val="20"/>
                <w:color w:val="auto"/>
              </w:rPr>
            </w:pPr>
            <w:r>
              <w:rPr>
                <w:rFonts w:ascii="Arial" w:cs="Arial" w:eastAsia="Arial" w:hAnsi="Arial"/>
                <w:sz w:val="18"/>
                <w:szCs w:val="18"/>
                <w:color w:val="auto"/>
              </w:rPr>
              <w:t>PFLT—Class II</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w w:val="90"/>
              </w:rPr>
              <w:t>estate investment trust operating in the</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2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Mid-Atlantic region, from 2006.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Director since</w:t>
            </w: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October 2010;</w:t>
            </w: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Term Expires 2016</w:t>
            </w: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59"/>
        <w:spacing w:after="0"/>
        <w:rPr>
          <w:sz w:val="20"/>
          <w:szCs w:val="20"/>
          <w:color w:val="auto"/>
        </w:rPr>
      </w:pPr>
      <w:r>
        <w:rPr>
          <w:rFonts w:ascii="Arial" w:cs="Arial" w:eastAsia="Arial" w:hAnsi="Arial"/>
          <w:sz w:val="14"/>
          <w:szCs w:val="14"/>
          <w:b w:val="1"/>
          <w:bCs w:val="1"/>
          <w:color w:val="auto"/>
        </w:rPr>
        <w:t>Other</w:t>
      </w:r>
    </w:p>
    <w:p>
      <w:pPr>
        <w:jc w:val="center"/>
        <w:ind w:right="-59"/>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or Nominee for</w:t>
      </w:r>
    </w:p>
    <w:p>
      <w:pPr>
        <w:jc w:val="center"/>
        <w:ind w:right="-59"/>
        <w:spacing w:after="0" w:line="237" w:lineRule="auto"/>
        <w:rPr>
          <w:sz w:val="20"/>
          <w:szCs w:val="20"/>
          <w:color w:val="auto"/>
        </w:rPr>
      </w:pPr>
      <w:r>
        <w:rPr>
          <w:rFonts w:ascii="Arial" w:cs="Arial" w:eastAsia="Arial" w:hAnsi="Arial"/>
          <w:sz w:val="14"/>
          <w:szCs w:val="14"/>
          <w:b w:val="1"/>
          <w:bCs w:val="1"/>
          <w:color w:val="auto"/>
        </w:rPr>
        <w:t>Director</w:t>
      </w:r>
    </w:p>
    <w:p>
      <w:pPr>
        <w:jc w:val="center"/>
        <w:ind w:right="-59"/>
        <w:spacing w:after="0" w:line="191" w:lineRule="auto"/>
        <w:rPr>
          <w:sz w:val="20"/>
          <w:szCs w:val="20"/>
          <w:color w:val="auto"/>
        </w:rPr>
      </w:pPr>
      <w:r>
        <w:rPr>
          <w:rFonts w:ascii="Arial" w:cs="Arial" w:eastAsia="Arial" w:hAnsi="Arial"/>
          <w:sz w:val="14"/>
          <w:szCs w:val="14"/>
          <w:b w:val="1"/>
          <w:bCs w:val="1"/>
          <w:color w:val="auto"/>
        </w:rPr>
        <w:t>During the</w:t>
      </w:r>
    </w:p>
    <w:p>
      <w:pPr>
        <w:jc w:val="center"/>
        <w:ind w:right="-59"/>
        <w:spacing w:after="0"/>
        <w:rPr>
          <w:sz w:val="20"/>
          <w:szCs w:val="20"/>
          <w:color w:val="auto"/>
        </w:rPr>
      </w:pPr>
      <w:r>
        <w:rPr>
          <w:rFonts w:ascii="Arial" w:cs="Arial" w:eastAsia="Arial" w:hAnsi="Arial"/>
          <w:sz w:val="12"/>
          <w:szCs w:val="12"/>
          <w:b w:val="1"/>
          <w:bCs w:val="1"/>
          <w:color w:val="auto"/>
        </w:rPr>
        <w:t xml:space="preserve">Past 5 Years </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1" w:lineRule="exact"/>
        <w:rPr>
          <w:sz w:val="20"/>
          <w:szCs w:val="20"/>
          <w:color w:val="auto"/>
        </w:rPr>
      </w:pPr>
    </w:p>
    <w:p>
      <w:pPr>
        <w:sectPr>
          <w:pgSz w:w="11900" w:h="16838" w:orient="portrait"/>
          <w:cols w:equalWidth="0" w:num="2">
            <w:col w:w="9940" w:space="120"/>
            <w:col w:w="1300"/>
          </w:cols>
          <w:pgMar w:left="240" w:top="275" w:right="299" w:bottom="1440" w:gutter="0" w:footer="0" w:header="0"/>
        </w:sectPr>
      </w:pPr>
    </w:p>
    <w:p>
      <w:pPr>
        <w:spacing w:after="0"/>
        <w:tabs>
          <w:tab w:leader="none" w:pos="3440" w:val="left"/>
        </w:tabs>
        <w:rPr>
          <w:sz w:val="20"/>
          <w:szCs w:val="20"/>
          <w:color w:val="auto"/>
        </w:rPr>
      </w:pPr>
      <w:r>
        <w:rPr>
          <w:rFonts w:ascii="Arial" w:cs="Arial" w:eastAsia="Arial" w:hAnsi="Arial"/>
          <w:sz w:val="18"/>
          <w:szCs w:val="18"/>
          <w:color w:val="auto"/>
        </w:rPr>
        <w:t>Marshall Brozost (46)</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Jeffrey Flug (51)</w:t>
      </w:r>
      <w:r>
        <w:rPr>
          <w:sz w:val="20"/>
          <w:szCs w:val="20"/>
          <w:color w:val="auto"/>
        </w:rPr>
        <w:tab/>
      </w: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PNNT—Class I</w:t>
            </w:r>
          </w:p>
        </w:tc>
        <w:tc>
          <w:tcPr>
            <w:tcW w:w="2880" w:type="dxa"/>
            <w:vAlign w:val="bottom"/>
          </w:tcPr>
          <w:p>
            <w:pPr>
              <w:ind w:left="80"/>
              <w:spacing w:after="0"/>
              <w:rPr>
                <w:sz w:val="20"/>
                <w:szCs w:val="20"/>
                <w:color w:val="auto"/>
              </w:rPr>
            </w:pPr>
            <w:r>
              <w:rPr>
                <w:rFonts w:ascii="Arial" w:cs="Arial" w:eastAsia="Arial" w:hAnsi="Arial"/>
                <w:sz w:val="18"/>
                <w:szCs w:val="18"/>
                <w:color w:val="auto"/>
                <w:w w:val="93"/>
              </w:rPr>
              <w:t>Partner at Schulte Roth &amp; Zabel LLP,</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Director since</w:t>
            </w:r>
          </w:p>
        </w:tc>
        <w:tc>
          <w:tcPr>
            <w:tcW w:w="2880" w:type="dxa"/>
            <w:vAlign w:val="bottom"/>
          </w:tcPr>
          <w:p>
            <w:pPr>
              <w:ind w:left="80"/>
              <w:spacing w:after="0"/>
              <w:rPr>
                <w:sz w:val="20"/>
                <w:szCs w:val="20"/>
                <w:color w:val="auto"/>
              </w:rPr>
            </w:pPr>
            <w:r>
              <w:rPr>
                <w:rFonts w:ascii="Arial" w:cs="Arial" w:eastAsia="Arial" w:hAnsi="Arial"/>
                <w:sz w:val="18"/>
                <w:szCs w:val="18"/>
                <w:color w:val="auto"/>
                <w:w w:val="85"/>
              </w:rPr>
              <w:t>where he practices in the real estate and</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February 2007;</w:t>
            </w:r>
          </w:p>
        </w:tc>
        <w:tc>
          <w:tcPr>
            <w:tcW w:w="2880" w:type="dxa"/>
            <w:vAlign w:val="bottom"/>
          </w:tcPr>
          <w:p>
            <w:pPr>
              <w:ind w:left="80"/>
              <w:spacing w:after="0"/>
              <w:rPr>
                <w:sz w:val="20"/>
                <w:szCs w:val="20"/>
                <w:color w:val="auto"/>
              </w:rPr>
            </w:pPr>
            <w:r>
              <w:rPr>
                <w:rFonts w:ascii="Arial" w:cs="Arial" w:eastAsia="Arial" w:hAnsi="Arial"/>
                <w:sz w:val="18"/>
                <w:szCs w:val="18"/>
                <w:color w:val="auto"/>
                <w:w w:val="90"/>
              </w:rPr>
              <w:t>private equity groups, since May 2012.</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Term Expires, if</w:t>
            </w:r>
          </w:p>
        </w:tc>
        <w:tc>
          <w:tcPr>
            <w:tcW w:w="2880" w:type="dxa"/>
            <w:vAlign w:val="bottom"/>
          </w:tcPr>
          <w:p>
            <w:pPr>
              <w:ind w:left="80"/>
              <w:spacing w:after="0"/>
              <w:rPr>
                <w:sz w:val="20"/>
                <w:szCs w:val="20"/>
                <w:color w:val="auto"/>
              </w:rPr>
            </w:pPr>
            <w:r>
              <w:rPr>
                <w:rFonts w:ascii="Arial" w:cs="Arial" w:eastAsia="Arial" w:hAnsi="Arial"/>
                <w:sz w:val="18"/>
                <w:szCs w:val="18"/>
                <w:color w:val="auto"/>
              </w:rPr>
              <w:t>Prior to Schulte Roth &amp; Zabel, Mr.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elected, 2017</w:t>
            </w:r>
          </w:p>
        </w:tc>
        <w:tc>
          <w:tcPr>
            <w:tcW w:w="2880" w:type="dxa"/>
            <w:vAlign w:val="bottom"/>
          </w:tcPr>
          <w:p>
            <w:pPr>
              <w:ind w:left="80"/>
              <w:spacing w:after="0"/>
              <w:rPr>
                <w:sz w:val="20"/>
                <w:szCs w:val="20"/>
                <w:color w:val="auto"/>
              </w:rPr>
            </w:pPr>
            <w:r>
              <w:rPr>
                <w:rFonts w:ascii="Arial" w:cs="Arial" w:eastAsia="Arial" w:hAnsi="Arial"/>
                <w:sz w:val="18"/>
                <w:szCs w:val="18"/>
                <w:color w:val="auto"/>
              </w:rPr>
              <w:t>Brozost practiced law at Dewey &amp;</w:t>
            </w:r>
          </w:p>
        </w:tc>
        <w:tc>
          <w:tcPr>
            <w:tcW w:w="0" w:type="dxa"/>
            <w:vAlign w:val="bottom"/>
          </w:tcPr>
          <w:p>
            <w:pPr>
              <w:spacing w:after="0"/>
              <w:rPr>
                <w:sz w:val="1"/>
                <w:szCs w:val="1"/>
                <w:color w:val="auto"/>
              </w:rPr>
            </w:pPr>
          </w:p>
        </w:tc>
      </w:tr>
      <w:tr>
        <w:trPr>
          <w:trHeight w:val="216"/>
        </w:trPr>
        <w:tc>
          <w:tcPr>
            <w:tcW w:w="1860" w:type="dxa"/>
            <w:vAlign w:val="bottom"/>
            <w:vMerge w:val="restart"/>
          </w:tcPr>
          <w:p>
            <w:pPr>
              <w:spacing w:after="0"/>
              <w:rPr>
                <w:sz w:val="20"/>
                <w:szCs w:val="20"/>
                <w:color w:val="auto"/>
              </w:rPr>
            </w:pPr>
            <w:r>
              <w:rPr>
                <w:rFonts w:ascii="Arial" w:cs="Arial" w:eastAsia="Arial" w:hAnsi="Arial"/>
                <w:sz w:val="18"/>
                <w:szCs w:val="18"/>
                <w:color w:val="auto"/>
              </w:rPr>
              <w:t>PFLT—Class I</w:t>
            </w:r>
          </w:p>
        </w:tc>
        <w:tc>
          <w:tcPr>
            <w:tcW w:w="2880" w:type="dxa"/>
            <w:vAlign w:val="bottom"/>
          </w:tcPr>
          <w:p>
            <w:pPr>
              <w:ind w:left="80"/>
              <w:spacing w:after="0"/>
              <w:rPr>
                <w:sz w:val="20"/>
                <w:szCs w:val="20"/>
                <w:color w:val="auto"/>
              </w:rPr>
            </w:pPr>
            <w:r>
              <w:rPr>
                <w:rFonts w:ascii="Arial" w:cs="Arial" w:eastAsia="Arial" w:hAnsi="Arial"/>
                <w:sz w:val="18"/>
                <w:szCs w:val="18"/>
                <w:color w:val="auto"/>
                <w:w w:val="99"/>
              </w:rPr>
              <w:t>LeBoeuf LLP from 2005 to 2012, at</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2880" w:type="dxa"/>
            <w:vAlign w:val="bottom"/>
          </w:tcPr>
          <w:p>
            <w:pPr>
              <w:ind w:left="80"/>
              <w:spacing w:after="0" w:line="202" w:lineRule="exact"/>
              <w:rPr>
                <w:sz w:val="20"/>
                <w:szCs w:val="20"/>
                <w:color w:val="auto"/>
              </w:rPr>
            </w:pPr>
            <w:r>
              <w:rPr>
                <w:rFonts w:ascii="Arial" w:cs="Arial" w:eastAsia="Arial" w:hAnsi="Arial"/>
                <w:sz w:val="18"/>
                <w:szCs w:val="18"/>
                <w:color w:val="auto"/>
                <w:w w:val="94"/>
              </w:rPr>
              <w:t>Solomon &amp; Weinberg LLP from 2004</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Director since October</w:t>
            </w:r>
          </w:p>
        </w:tc>
        <w:tc>
          <w:tcPr>
            <w:tcW w:w="2880" w:type="dxa"/>
            <w:vAlign w:val="bottom"/>
          </w:tcPr>
          <w:p>
            <w:pPr>
              <w:ind w:left="80"/>
              <w:spacing w:after="0"/>
              <w:rPr>
                <w:sz w:val="20"/>
                <w:szCs w:val="20"/>
                <w:color w:val="auto"/>
              </w:rPr>
            </w:pPr>
            <w:r>
              <w:rPr>
                <w:rFonts w:ascii="Arial" w:cs="Arial" w:eastAsia="Arial" w:hAnsi="Arial"/>
                <w:sz w:val="18"/>
                <w:szCs w:val="18"/>
                <w:color w:val="auto"/>
              </w:rPr>
              <w:t>to 2005 and at O’Melveny &amp; Myers</w:t>
            </w: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r>
              <w:rPr>
                <w:rFonts w:ascii="Arial" w:cs="Arial" w:eastAsia="Arial" w:hAnsi="Arial"/>
                <w:sz w:val="18"/>
                <w:szCs w:val="18"/>
                <w:color w:val="auto"/>
                <w:w w:val="91"/>
              </w:rPr>
              <w:t>2010; Term Expires 2015</w:t>
            </w:r>
          </w:p>
        </w:tc>
        <w:tc>
          <w:tcPr>
            <w:tcW w:w="2880" w:type="dxa"/>
            <w:vAlign w:val="bottom"/>
          </w:tcPr>
          <w:p>
            <w:pPr>
              <w:ind w:left="80"/>
              <w:spacing w:after="0"/>
              <w:rPr>
                <w:sz w:val="20"/>
                <w:szCs w:val="20"/>
                <w:color w:val="auto"/>
              </w:rPr>
            </w:pPr>
            <w:r>
              <w:rPr>
                <w:rFonts w:ascii="Arial" w:cs="Arial" w:eastAsia="Arial" w:hAnsi="Arial"/>
                <w:sz w:val="18"/>
                <w:szCs w:val="18"/>
                <w:color w:val="auto"/>
              </w:rPr>
              <w:t>LLP from 2001 to 2004.</w:t>
            </w:r>
          </w:p>
        </w:tc>
        <w:tc>
          <w:tcPr>
            <w:tcW w:w="0" w:type="dxa"/>
            <w:vAlign w:val="bottom"/>
          </w:tcPr>
          <w:p>
            <w:pPr>
              <w:spacing w:after="0"/>
              <w:rPr>
                <w:sz w:val="1"/>
                <w:szCs w:val="1"/>
                <w:color w:val="auto"/>
              </w:rPr>
            </w:pP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PNNT—Class II</w:t>
            </w:r>
          </w:p>
        </w:tc>
        <w:tc>
          <w:tcPr>
            <w:tcW w:w="2880" w:type="dxa"/>
            <w:vAlign w:val="bottom"/>
          </w:tcPr>
          <w:p>
            <w:pPr>
              <w:ind w:left="80"/>
              <w:spacing w:after="0"/>
              <w:rPr>
                <w:sz w:val="20"/>
                <w:szCs w:val="20"/>
                <w:color w:val="auto"/>
              </w:rPr>
            </w:pPr>
            <w:r>
              <w:rPr>
                <w:rFonts w:ascii="Arial" w:cs="Arial" w:eastAsia="Arial" w:hAnsi="Arial"/>
                <w:sz w:val="18"/>
                <w:szCs w:val="18"/>
                <w:color w:val="auto"/>
                <w:w w:val="97"/>
              </w:rPr>
              <w:t>Mr. Flug has held a variety of senior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Director since</w:t>
            </w:r>
          </w:p>
        </w:tc>
        <w:tc>
          <w:tcPr>
            <w:tcW w:w="2880" w:type="dxa"/>
            <w:vAlign w:val="bottom"/>
          </w:tcPr>
          <w:p>
            <w:pPr>
              <w:ind w:left="80"/>
              <w:spacing w:after="0"/>
              <w:rPr>
                <w:sz w:val="20"/>
                <w:szCs w:val="20"/>
                <w:color w:val="auto"/>
              </w:rPr>
            </w:pPr>
            <w:r>
              <w:rPr>
                <w:rFonts w:ascii="Arial" w:cs="Arial" w:eastAsia="Arial" w:hAnsi="Arial"/>
                <w:sz w:val="18"/>
                <w:szCs w:val="18"/>
                <w:color w:val="auto"/>
                <w:w w:val="91"/>
              </w:rPr>
              <w:t>positions, including President of Union</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February 2007;</w:t>
            </w:r>
          </w:p>
        </w:tc>
        <w:tc>
          <w:tcPr>
            <w:tcW w:w="2880" w:type="dxa"/>
            <w:vAlign w:val="bottom"/>
          </w:tcPr>
          <w:p>
            <w:pPr>
              <w:ind w:left="80"/>
              <w:spacing w:after="0"/>
              <w:rPr>
                <w:sz w:val="20"/>
                <w:szCs w:val="20"/>
                <w:color w:val="auto"/>
              </w:rPr>
            </w:pPr>
            <w:r>
              <w:rPr>
                <w:rFonts w:ascii="Arial" w:cs="Arial" w:eastAsia="Arial" w:hAnsi="Arial"/>
                <w:sz w:val="18"/>
                <w:szCs w:val="18"/>
                <w:color w:val="auto"/>
                <w:w w:val="89"/>
              </w:rPr>
              <w:t>Square Hospitality Group, an exclusive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Term Expires</w:t>
            </w:r>
          </w:p>
        </w:tc>
        <w:tc>
          <w:tcPr>
            <w:tcW w:w="2880" w:type="dxa"/>
            <w:vAlign w:val="bottom"/>
          </w:tcPr>
          <w:p>
            <w:pPr>
              <w:ind w:left="80"/>
              <w:spacing w:after="0"/>
              <w:rPr>
                <w:sz w:val="20"/>
                <w:szCs w:val="20"/>
                <w:color w:val="auto"/>
              </w:rPr>
            </w:pPr>
            <w:r>
              <w:rPr>
                <w:rFonts w:ascii="Arial" w:cs="Arial" w:eastAsia="Arial" w:hAnsi="Arial"/>
                <w:sz w:val="18"/>
                <w:szCs w:val="18"/>
                <w:color w:val="auto"/>
                <w:w w:val="97"/>
              </w:rPr>
              <w:t>chain of restaurants, from 2009. Mr.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2015</w:t>
            </w:r>
          </w:p>
        </w:tc>
        <w:tc>
          <w:tcPr>
            <w:tcW w:w="2880" w:type="dxa"/>
            <w:vAlign w:val="bottom"/>
          </w:tcPr>
          <w:p>
            <w:pPr>
              <w:ind w:left="80"/>
              <w:spacing w:after="0"/>
              <w:rPr>
                <w:sz w:val="20"/>
                <w:szCs w:val="20"/>
                <w:color w:val="auto"/>
              </w:rPr>
            </w:pPr>
            <w:r>
              <w:rPr>
                <w:rFonts w:ascii="Arial" w:cs="Arial" w:eastAsia="Arial" w:hAnsi="Arial"/>
                <w:sz w:val="18"/>
                <w:szCs w:val="18"/>
                <w:color w:val="auto"/>
                <w:w w:val="90"/>
              </w:rPr>
              <w:t>Flug served as Chief Executive Officer</w:t>
            </w:r>
          </w:p>
        </w:tc>
        <w:tc>
          <w:tcPr>
            <w:tcW w:w="0" w:type="dxa"/>
            <w:vAlign w:val="bottom"/>
          </w:tcPr>
          <w:p>
            <w:pPr>
              <w:spacing w:after="0"/>
              <w:rPr>
                <w:sz w:val="1"/>
                <w:szCs w:val="1"/>
                <w:color w:val="auto"/>
              </w:rPr>
            </w:pPr>
          </w:p>
        </w:tc>
      </w:tr>
      <w:tr>
        <w:trPr>
          <w:trHeight w:val="216"/>
        </w:trPr>
        <w:tc>
          <w:tcPr>
            <w:tcW w:w="1860" w:type="dxa"/>
            <w:vAlign w:val="bottom"/>
            <w:vMerge w:val="restart"/>
          </w:tcPr>
          <w:p>
            <w:pPr>
              <w:spacing w:after="0"/>
              <w:rPr>
                <w:sz w:val="20"/>
                <w:szCs w:val="20"/>
                <w:color w:val="auto"/>
              </w:rPr>
            </w:pPr>
            <w:r>
              <w:rPr>
                <w:rFonts w:ascii="Arial" w:cs="Arial" w:eastAsia="Arial" w:hAnsi="Arial"/>
                <w:sz w:val="18"/>
                <w:szCs w:val="18"/>
                <w:color w:val="auto"/>
              </w:rPr>
              <w:t>PFLT—Class II</w:t>
            </w:r>
          </w:p>
        </w:tc>
        <w:tc>
          <w:tcPr>
            <w:tcW w:w="2880" w:type="dxa"/>
            <w:vAlign w:val="bottom"/>
          </w:tcPr>
          <w:p>
            <w:pPr>
              <w:ind w:left="80"/>
              <w:spacing w:after="0"/>
              <w:rPr>
                <w:sz w:val="20"/>
                <w:szCs w:val="20"/>
                <w:color w:val="auto"/>
              </w:rPr>
            </w:pPr>
            <w:r>
              <w:rPr>
                <w:rFonts w:ascii="Arial" w:cs="Arial" w:eastAsia="Arial" w:hAnsi="Arial"/>
                <w:sz w:val="18"/>
                <w:szCs w:val="18"/>
                <w:color w:val="auto"/>
                <w:w w:val="95"/>
              </w:rPr>
              <w:t>and Executive Director of Millennium</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2880" w:type="dxa"/>
            <w:vAlign w:val="bottom"/>
          </w:tcPr>
          <w:p>
            <w:pPr>
              <w:ind w:left="80"/>
              <w:spacing w:after="0" w:line="202" w:lineRule="exact"/>
              <w:rPr>
                <w:sz w:val="20"/>
                <w:szCs w:val="20"/>
                <w:color w:val="auto"/>
              </w:rPr>
            </w:pPr>
            <w:r>
              <w:rPr>
                <w:rFonts w:ascii="Arial" w:cs="Arial" w:eastAsia="Arial" w:hAnsi="Arial"/>
                <w:sz w:val="18"/>
                <w:szCs w:val="18"/>
                <w:color w:val="auto"/>
              </w:rPr>
              <w:t>Promise Alliance, Inc., a non-profit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Director since</w:t>
            </w:r>
          </w:p>
        </w:tc>
        <w:tc>
          <w:tcPr>
            <w:tcW w:w="2880" w:type="dxa"/>
            <w:vAlign w:val="bottom"/>
          </w:tcPr>
          <w:p>
            <w:pPr>
              <w:ind w:left="80"/>
              <w:spacing w:after="0"/>
              <w:rPr>
                <w:sz w:val="20"/>
                <w:szCs w:val="20"/>
                <w:color w:val="auto"/>
              </w:rPr>
            </w:pPr>
            <w:r>
              <w:rPr>
                <w:rFonts w:ascii="Arial" w:cs="Arial" w:eastAsia="Arial" w:hAnsi="Arial"/>
                <w:sz w:val="18"/>
                <w:szCs w:val="18"/>
                <w:color w:val="auto"/>
              </w:rPr>
              <w:t>organization whose mission is to</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October 2010;</w:t>
            </w:r>
          </w:p>
        </w:tc>
        <w:tc>
          <w:tcPr>
            <w:tcW w:w="2880" w:type="dxa"/>
            <w:vAlign w:val="bottom"/>
          </w:tcPr>
          <w:p>
            <w:pPr>
              <w:ind w:left="80"/>
              <w:spacing w:after="0"/>
              <w:rPr>
                <w:sz w:val="20"/>
                <w:szCs w:val="20"/>
                <w:color w:val="auto"/>
              </w:rPr>
            </w:pPr>
            <w:r>
              <w:rPr>
                <w:rFonts w:ascii="Arial" w:cs="Arial" w:eastAsia="Arial" w:hAnsi="Arial"/>
                <w:sz w:val="18"/>
                <w:szCs w:val="18"/>
                <w:color w:val="auto"/>
                <w:w w:val="90"/>
              </w:rPr>
              <w:t>eradicate extreme global poverty, from</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Term Expires 2016</w:t>
            </w:r>
          </w:p>
        </w:tc>
        <w:tc>
          <w:tcPr>
            <w:tcW w:w="2880" w:type="dxa"/>
            <w:vAlign w:val="bottom"/>
          </w:tcPr>
          <w:p>
            <w:pPr>
              <w:ind w:left="80"/>
              <w:spacing w:after="0"/>
              <w:rPr>
                <w:sz w:val="20"/>
                <w:szCs w:val="20"/>
                <w:color w:val="auto"/>
              </w:rPr>
            </w:pPr>
            <w:r>
              <w:rPr>
                <w:rFonts w:ascii="Arial" w:cs="Arial" w:eastAsia="Arial" w:hAnsi="Arial"/>
                <w:sz w:val="18"/>
                <w:szCs w:val="18"/>
                <w:color w:val="auto"/>
                <w:w w:val="91"/>
              </w:rPr>
              <w:t>2006 to 2008. From 2000 to 2006, Mr.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rPr>
              <w:t>Flug was a Managing Director and</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w w:val="96"/>
              </w:rPr>
              <w:t>Head of North American Institutional</w:t>
            </w:r>
          </w:p>
        </w:tc>
        <w:tc>
          <w:tcPr>
            <w:tcW w:w="0" w:type="dxa"/>
            <w:vAlign w:val="bottom"/>
          </w:tcPr>
          <w:p>
            <w:pPr>
              <w:spacing w:after="0"/>
              <w:rPr>
                <w:sz w:val="1"/>
                <w:szCs w:val="1"/>
                <w:color w:val="auto"/>
              </w:rPr>
            </w:pPr>
          </w:p>
        </w:tc>
      </w:tr>
      <w:tr>
        <w:trPr>
          <w:trHeight w:val="222"/>
        </w:trPr>
        <w:tc>
          <w:tcPr>
            <w:tcW w:w="1860" w:type="dxa"/>
            <w:vAlign w:val="bottom"/>
          </w:tcPr>
          <w:p>
            <w:pPr>
              <w:spacing w:after="0"/>
              <w:rPr>
                <w:sz w:val="19"/>
                <w:szCs w:val="19"/>
                <w:color w:val="auto"/>
              </w:rPr>
            </w:pPr>
          </w:p>
        </w:tc>
        <w:tc>
          <w:tcPr>
            <w:tcW w:w="2880" w:type="dxa"/>
            <w:vAlign w:val="bottom"/>
          </w:tcPr>
          <w:p>
            <w:pPr>
              <w:ind w:left="80"/>
              <w:spacing w:after="0"/>
              <w:rPr>
                <w:sz w:val="20"/>
                <w:szCs w:val="20"/>
                <w:color w:val="auto"/>
              </w:rPr>
            </w:pPr>
            <w:r>
              <w:rPr>
                <w:rFonts w:ascii="Arial" w:cs="Arial" w:eastAsia="Arial" w:hAnsi="Arial"/>
                <w:sz w:val="18"/>
                <w:szCs w:val="18"/>
                <w:color w:val="auto"/>
                <w:w w:val="88"/>
              </w:rPr>
              <w:t>Sales at JP Morgan’s Investment Bank.</w:t>
            </w:r>
          </w:p>
        </w:tc>
        <w:tc>
          <w:tcPr>
            <w:tcW w:w="0" w:type="dxa"/>
            <w:vAlign w:val="bottom"/>
          </w:tcPr>
          <w:p>
            <w:pPr>
              <w:spacing w:after="0"/>
              <w:rPr>
                <w:sz w:val="1"/>
                <w:szCs w:val="1"/>
                <w:color w:val="auto"/>
              </w:rPr>
            </w:pPr>
          </w:p>
        </w:tc>
      </w:tr>
      <w:tr>
        <w:trPr>
          <w:trHeight w:val="365"/>
        </w:trPr>
        <w:tc>
          <w:tcPr>
            <w:tcW w:w="1860" w:type="dxa"/>
            <w:vAlign w:val="bottom"/>
          </w:tcPr>
          <w:p>
            <w:pPr>
              <w:ind w:left="520"/>
              <w:spacing w:after="0"/>
              <w:rPr>
                <w:sz w:val="20"/>
                <w:szCs w:val="20"/>
                <w:color w:val="auto"/>
              </w:rPr>
            </w:pPr>
            <w:r>
              <w:rPr>
                <w:rFonts w:ascii="Arial" w:cs="Arial" w:eastAsia="Arial" w:hAnsi="Arial"/>
                <w:sz w:val="18"/>
                <w:szCs w:val="18"/>
                <w:color w:val="auto"/>
              </w:rPr>
              <w:t>7</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Sears Hometown and Outlet Stores, Inc., from October 2012.</w:t>
      </w:r>
    </w:p>
    <w:p>
      <w:pPr>
        <w:sectPr>
          <w:pgSz w:w="11900" w:h="16838" w:orient="portrait"/>
          <w:cols w:equalWidth="0" w:num="3">
            <w:col w:w="4440" w:space="720"/>
            <w:col w:w="4740" w:space="160"/>
            <w:col w:w="1300"/>
          </w:cols>
          <w:pgMar w:left="240" w:top="275" w:right="29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44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4"/>
                <w:szCs w:val="14"/>
                <w:b w:val="1"/>
                <w:bCs w:val="1"/>
                <w:color w:val="auto"/>
              </w:rPr>
              <w:t>Position(s) held</w:t>
            </w:r>
          </w:p>
        </w:tc>
        <w:tc>
          <w:tcPr>
            <w:tcW w:w="0" w:type="dxa"/>
            <w:vAlign w:val="bottom"/>
          </w:tcPr>
          <w:p>
            <w:pPr>
              <w:spacing w:after="0"/>
              <w:rPr>
                <w:sz w:val="1"/>
                <w:szCs w:val="1"/>
                <w:color w:val="auto"/>
              </w:rPr>
            </w:pPr>
          </w:p>
        </w:tc>
      </w:tr>
      <w:tr>
        <w:trPr>
          <w:trHeight w:val="181"/>
        </w:trPr>
        <w:tc>
          <w:tcPr>
            <w:tcW w:w="30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ind w:left="360"/>
              <w:spacing w:after="0"/>
              <w:rPr>
                <w:sz w:val="20"/>
                <w:szCs w:val="20"/>
                <w:color w:val="auto"/>
              </w:rPr>
            </w:pPr>
            <w:r>
              <w:rPr>
                <w:rFonts w:ascii="Arial" w:cs="Arial" w:eastAsia="Arial" w:hAnsi="Arial"/>
                <w:sz w:val="14"/>
                <w:szCs w:val="14"/>
                <w:b w:val="1"/>
                <w:bCs w:val="1"/>
                <w:color w:val="auto"/>
              </w:rPr>
              <w:t>with Company</w:t>
            </w:r>
          </w:p>
        </w:tc>
        <w:tc>
          <w:tcPr>
            <w:tcW w:w="0" w:type="dxa"/>
            <w:vAlign w:val="bottom"/>
          </w:tcPr>
          <w:p>
            <w:pPr>
              <w:spacing w:after="0"/>
              <w:rPr>
                <w:sz w:val="1"/>
                <w:szCs w:val="1"/>
                <w:color w:val="auto"/>
              </w:rPr>
            </w:pPr>
          </w:p>
        </w:tc>
      </w:tr>
      <w:tr>
        <w:trPr>
          <w:trHeight w:val="181"/>
        </w:trPr>
        <w:tc>
          <w:tcPr>
            <w:tcW w:w="16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3"/>
              </w:rPr>
              <w:t>Independent Directors</w:t>
            </w:r>
          </w:p>
        </w:tc>
        <w:tc>
          <w:tcPr>
            <w:tcW w:w="1400" w:type="dxa"/>
            <w:vAlign w:val="bottom"/>
          </w:tcPr>
          <w:p>
            <w:pPr>
              <w:ind w:left="120"/>
              <w:spacing w:after="0" w:line="182" w:lineRule="exact"/>
              <w:rPr>
                <w:sz w:val="20"/>
                <w:szCs w:val="20"/>
                <w:color w:val="auto"/>
              </w:rPr>
            </w:pPr>
            <w:r>
              <w:rPr>
                <w:rFonts w:ascii="Arial" w:cs="Arial" w:eastAsia="Arial" w:hAnsi="Arial"/>
                <w:sz w:val="18"/>
                <w:szCs w:val="18"/>
                <w:b w:val="1"/>
                <w:bCs w:val="1"/>
                <w:color w:val="auto"/>
              </w:rPr>
              <w:t>(continued)</w:t>
            </w:r>
          </w:p>
        </w:tc>
        <w:tc>
          <w:tcPr>
            <w:tcW w:w="44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Samuel L. Katz (48)</w:t>
            </w:r>
          </w:p>
        </w:tc>
        <w:tc>
          <w:tcPr>
            <w:tcW w:w="20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gridSpan w:val="2"/>
          </w:tcPr>
          <w:p>
            <w:pPr>
              <w:ind w:left="440"/>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w:t>
      </w:r>
    </w:p>
    <w:p>
      <w:pPr>
        <w:spacing w:after="0" w:line="21"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Arthur H. Penn (50)</w:t>
      </w:r>
      <w:r>
        <w:rPr>
          <w:rFonts w:ascii="Arial" w:cs="Arial" w:eastAsia="Arial" w:hAnsi="Arial"/>
          <w:sz w:val="11"/>
          <w:szCs w:val="11"/>
          <w:color w:val="auto"/>
        </w:rPr>
        <w:t>(3)</w:t>
      </w:r>
      <w:r>
        <w:rPr>
          <w:sz w:val="20"/>
          <w:szCs w:val="20"/>
          <w:color w:val="auto"/>
        </w:rPr>
        <w:tab/>
      </w:r>
      <w:r>
        <w:rPr>
          <w:rFonts w:ascii="Arial" w:cs="Arial" w:eastAsia="Arial" w:hAnsi="Arial"/>
          <w:sz w:val="16"/>
          <w:szCs w:val="16"/>
          <w:color w:val="auto"/>
        </w:rPr>
        <w:t>Chief Executive</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Chairman of the</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Board of</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Directors</w:t>
      </w:r>
    </w:p>
    <w:p>
      <w:pPr>
        <w:spacing w:after="0" w:line="20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Director Nominee</w:t>
      </w:r>
    </w:p>
    <w:p>
      <w:pPr>
        <w:spacing w:after="0" w:line="2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Executive</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Chairman of the</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Board of</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Held by Director</w:t>
            </w:r>
          </w:p>
        </w:tc>
        <w:tc>
          <w:tcPr>
            <w:tcW w:w="0" w:type="dxa"/>
            <w:vAlign w:val="bottom"/>
          </w:tcPr>
          <w:p>
            <w:pPr>
              <w:spacing w:after="0"/>
              <w:rPr>
                <w:sz w:val="1"/>
                <w:szCs w:val="1"/>
                <w:color w:val="auto"/>
              </w:rPr>
            </w:pPr>
          </w:p>
        </w:tc>
      </w:tr>
      <w:tr>
        <w:trPr>
          <w:trHeight w:val="149"/>
        </w:trPr>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Company,</w:t>
            </w:r>
          </w:p>
        </w:tc>
        <w:tc>
          <w:tcPr>
            <w:tcW w:w="100" w:type="dxa"/>
            <w:vAlign w:val="bottom"/>
          </w:tcPr>
          <w:p>
            <w:pPr>
              <w:spacing w:after="0"/>
              <w:rPr>
                <w:sz w:val="12"/>
                <w:szCs w:val="12"/>
                <w:color w:val="auto"/>
              </w:rPr>
            </w:pPr>
          </w:p>
        </w:tc>
        <w:tc>
          <w:tcPr>
            <w:tcW w:w="2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Principal</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Nominee for</w:t>
            </w:r>
          </w:p>
        </w:tc>
        <w:tc>
          <w:tcPr>
            <w:tcW w:w="0" w:type="dxa"/>
            <w:vAlign w:val="bottom"/>
          </w:tcPr>
          <w:p>
            <w:pPr>
              <w:spacing w:after="0"/>
              <w:rPr>
                <w:sz w:val="1"/>
                <w:szCs w:val="1"/>
                <w:color w:val="auto"/>
              </w:rPr>
            </w:pPr>
          </w:p>
        </w:tc>
      </w:tr>
      <w:tr>
        <w:trPr>
          <w:trHeight w:val="149"/>
        </w:trPr>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100" w:type="dxa"/>
            <w:vAlign w:val="bottom"/>
          </w:tcPr>
          <w:p>
            <w:pPr>
              <w:spacing w:after="0"/>
              <w:rPr>
                <w:sz w:val="12"/>
                <w:szCs w:val="12"/>
                <w:color w:val="auto"/>
              </w:rPr>
            </w:pPr>
          </w:p>
        </w:tc>
        <w:tc>
          <w:tcPr>
            <w:tcW w:w="2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Occupation(s)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34"/>
        </w:trPr>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and Length of</w:t>
            </w:r>
          </w:p>
        </w:tc>
        <w:tc>
          <w:tcPr>
            <w:tcW w:w="10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During the Past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During the</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0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87"/>
              </w:rPr>
              <w:t xml:space="preserve">Past 5 Years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404"/>
        </w:trPr>
        <w:tc>
          <w:tcPr>
            <w:tcW w:w="1840" w:type="dxa"/>
            <w:vAlign w:val="bottom"/>
          </w:tcPr>
          <w:p>
            <w:pPr>
              <w:spacing w:after="0"/>
              <w:rPr>
                <w:sz w:val="20"/>
                <w:szCs w:val="20"/>
                <w:color w:val="auto"/>
              </w:rPr>
            </w:pPr>
            <w:r>
              <w:rPr>
                <w:rFonts w:ascii="Arial" w:cs="Arial" w:eastAsia="Arial" w:hAnsi="Arial"/>
                <w:sz w:val="18"/>
                <w:szCs w:val="18"/>
                <w:color w:val="auto"/>
              </w:rPr>
              <w:t>PNNT—Class I</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3"/>
              </w:rPr>
              <w:t>Managing Partner of TZP Group LLC, a</w:t>
            </w:r>
          </w:p>
        </w:tc>
        <w:tc>
          <w:tcPr>
            <w:tcW w:w="13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Director since</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5"/>
              </w:rPr>
              <w:t>private equity fund, since 2007. Before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February 2007;</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5"/>
              </w:rPr>
              <w:t>joining TZP Group, Mr. Katz was Chief</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Term Expires, if</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Executive Officer of MacAndrews &amp;</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elected, 2017</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6"/>
              </w:rPr>
              <w:t>Forbes Acquisition Holdings, Inc. from</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vMerge w:val="restart"/>
          </w:tcPr>
          <w:p>
            <w:pPr>
              <w:spacing w:after="0"/>
              <w:rPr>
                <w:sz w:val="20"/>
                <w:szCs w:val="20"/>
                <w:color w:val="auto"/>
              </w:rPr>
            </w:pPr>
            <w:r>
              <w:rPr>
                <w:rFonts w:ascii="Arial" w:cs="Arial" w:eastAsia="Arial" w:hAnsi="Arial"/>
                <w:sz w:val="18"/>
                <w:szCs w:val="18"/>
                <w:color w:val="auto"/>
              </w:rPr>
              <w:t>PFLT—Class I</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2006 to 2007. Prior to that position,</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30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Mr. Katz was Chairman and Chief</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Director since</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3"/>
              </w:rPr>
              <w:t>Executive Officer of the Cendant Travel</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October 2010;</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Distribution Services Division from</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r>
              <w:rPr>
                <w:rFonts w:ascii="Arial" w:cs="Arial" w:eastAsia="Arial" w:hAnsi="Arial"/>
                <w:sz w:val="18"/>
                <w:szCs w:val="18"/>
                <w:color w:val="auto"/>
              </w:rPr>
              <w:t>Term Expires 2015</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2001 to 2005.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1840" w:type="dxa"/>
            <w:vAlign w:val="bottom"/>
          </w:tcPr>
          <w:p>
            <w:pPr>
              <w:spacing w:after="0"/>
              <w:rPr>
                <w:sz w:val="20"/>
                <w:szCs w:val="20"/>
                <w:color w:val="auto"/>
              </w:rPr>
            </w:pPr>
            <w:r>
              <w:rPr>
                <w:rFonts w:ascii="Arial" w:cs="Arial" w:eastAsia="Arial" w:hAnsi="Arial"/>
                <w:sz w:val="18"/>
                <w:szCs w:val="18"/>
                <w:color w:val="auto"/>
              </w:rPr>
              <w:t>PNNT—Class III</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1"/>
              </w:rPr>
              <w:t>Founder, Chairman and Chief Executive</w:t>
            </w:r>
          </w:p>
        </w:tc>
        <w:tc>
          <w:tcPr>
            <w:tcW w:w="13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Director since</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Officer of PNNT and of PFLT from</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February 2007;</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their inception in 2007 and 2010,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Term Expires 2016</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respectively. Mr. Penn also is the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5"/>
              </w:rPr>
              <w:t>Founder and Managing Member of the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Adviser. Before founding PNNT, Mr.</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PFLT—Class III</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Penn was the Co-Founder of Apollo</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Director since</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2"/>
              </w:rPr>
              <w:t>Investment Management, where he was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October 2010;</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3"/>
              </w:rPr>
              <w:t>a Managing Partner from 2004 to 2007.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3"/>
              </w:rPr>
              <w:t>Term Expires, if elected,</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He also served as Chief Operating</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2017</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Officer of Apollo Investment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9"/>
              </w:rPr>
              <w:t>Corporation from inception in 2004 to</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1"/>
              </w:rPr>
              <w:t>2006 and served as President and Chief</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6"/>
              </w:rPr>
              <w:t>Operating Officer in 2006. He formerly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was a Managing Partner of Apollo</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Value Fund L.P. (formerly Apollo</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w w:val="93"/>
              </w:rPr>
              <w:t>Distressed Investment Fund, L.P.) from</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2003 to 2006.</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-4946015</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060" w:space="100"/>
            <w:col w:w="6260"/>
          </w:cols>
          <w:pgMar w:left="240" w:top="263" w:right="239" w:bottom="1440" w:gutter="0" w:footer="0" w:header="0"/>
        </w:sect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address for each officer and director is c/o PennantPark, 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10022.</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each Company and of the Adviser.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3"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Each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of each Company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Companies’ Boards in determining whether the director is independent under NASDAQ corporate governance rules, the 1940 Act and applicable corporate governance guidelines. The Boards have determined that each of their directors, other than Mr. Penn, is independent under the applicable listing standards of the NASDAQ Global Select Market and the New York Stock Exchange and under the Exchange Act and the 1940 Act. Each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Each Board limits membership on its Audit Committee, its Nominating and Corporate Governance Committee and its Compensation Committee to Independent Directors.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Each Board performs its risk oversight function primarily through (1) its three standing committees, which report to the entire Board and are comprised solely of Independent Directors and (2) monitoring by the Company’s Chief Compliance Officer (the “CCO”) in accordance with the Company’s compliance policies and procedures.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below in more detail under “Audit Committees”, “Nominating and Corporate Governance Committees” and “Compensation Committees”, each Board’s Audit Committee, Nominating and Corporate Governance Committee and Compensation Committee assist the Board in fulfilling its risk oversight responsibilities. Each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Each Nominating and Corporate Governance Committee’s risk oversight responsibilities include selecting, researching and nominating directors for election by the Company’s Stockholders, developing and recommending to its Board a set of corporate governance principles and overseeing the evaluation of the Board and the Company’s management. Each Compensation Committee’s risk oversight responsibilities include determining, or recommending to its Board for determining, the compensation of the Company’s chief executive officer and all other executive officers, paid directly by the Company, if any, and assisting its Board with matters related to compensation, as directed by each Board. The Audit Committee, the Nominating and Corporate Governance Committee and the Compensation Committee of each Board consist solely of Independent Directors.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Board also performs its risk oversight responsibilities with the assistance of a CCO, who is the same individual for both Companies. The Companies’ CCO prepares a written report annually discussing the adequacy and effectiveness of the compliance policies and procedures of the Companies and certain of their service providers. The CCO’s report, which is reviewed by the Boards, addresses, at a minimum: (1) the operation of the compliance policies and procedures of the Companies and certain of their service providers since the last report; (2) any material changes to such policies and procedures since the last report; (3) any recommendations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changes to such policies and procedures as a result of the CCO’s annual review; and (4) any compliance matter that has occurred since the date of the last report about which the Boards would reasonably need to know to oversee the Companies’ compliance activities and risks. In addition, the CCO meets separately in executive session with the Independent Directors at least once each year.</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Each Company believes that its Board’s role in risk oversight is effective and appropriate given the extensive regulation to which it is already subject as a business development company. Specifically, as a business development company, each Company must comply with certain regulatory requirements that control the levels of risk in its business and operations. For example, the ability of each Company to incur indebtedness is limited by the asset coverage requirements set forth in the 1940 Act and each Company generally must invest at least 70% of its total assets in “qualifying assets.” Each Company also has elected to be treated as a regulated investment company (a “RIC”) under Subchapter M of the Internal Revenue Code of 1986, as amended. As a RIC, each Company must, among other things, meet certain income source and asset diversification requirements.</w:t>
      </w:r>
    </w:p>
    <w:p>
      <w:pPr>
        <w:spacing w:after="0" w:line="120"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Each Company believes that the extent of its Board’s and its committees’ roles in risk oversight complements the Board’s leadership structure. Because they are comprised solely of Independent Directors, the Audit Committees, the Nominating and Corporate Governance Committees and Compensation Committees are able to exercise their oversight responsibilities without any conflict of interest that might discourage critical questioning and review. Through regular executive session meetings with the Companies’ independent registered public accounting firms, their CCO and their Chief Executive Officer, the Independent Directors have similarly established direct communication and oversight channels that the Boards believe foster open communication and early detection of issues of concern.</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Company believes that its Board’s role in risk oversight must be evaluated on a case by case basis and that the current configuration and allocation of responsibilities among the Board and its committees with respect to the oversight of risk is appropriate. However, each Board and its committees continually re-examine the manner in which they administer their respective risk oversight functions, including through formal annual assessments of performance, to ensure that they meet their Company’s needs.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requires that at least a majority of each Company’s directors not be “interested persons” (as defined in the 1940 Act) of the Company. Currently, four of the five directors on each Board are Independent Directors; however, the Chairman of the Boards is an interested person of each Company. The Independent Directors believe that the combined position of Chief Executive Officer of the Companies and Chairman of the Boards of the Companies results in greater efficiencies in managing the Companies, by eliminating the need to transfer substantial information quickly and repeatedly between the Chief Executive Officer and the Chairman, and the ability to capitalize on the specialized knowledge acquired from the duties of the roles. The Boards have not identified a lead Independent Director; however, each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each Board believes has prepared each director to be an effective director. Each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each Board believes that directors need to have the ability to review,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evaluate, question and discuss critical information provided to them, and to interact effectively with management, service providers and counsel, in order to exercise effective business judgment in the performance of their duties. Each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5"/>
          <w:szCs w:val="15"/>
          <w:i w:val="1"/>
          <w:iCs w:val="1"/>
          <w:color w:val="auto"/>
        </w:rPr>
        <w:t>e.g</w:t>
      </w:r>
      <w:r>
        <w:rPr>
          <w:rFonts w:ascii="Arial" w:cs="Arial" w:eastAsia="Arial" w:hAnsi="Arial"/>
          <w:sz w:val="15"/>
          <w:szCs w:val="15"/>
          <w:color w:val="auto"/>
        </w:rPr>
        <w:t>., finance, accounting or law), public service or academic positions, experience from service as a board member (including the Boards of the Companies)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Companies’ counsel. Both the Independent Directors’ and the Companies’ counsels have significant experience advising funds and fund board members. Each Board and its committees have the ability to engage other experts as appropriate. Each Board evaluates its performance on an annual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As Chairman of each Board and Chief Executive Officer of each Company, Mr. Penn assumes a leading role in strategic planning and supports major transaction initiatives of the Companies. Mr. Penn also manages the day-to-day operations of the Companies, with the support of the other investment professionals and officers. As Chief Executive Officer, Mr. Penn has general responsibility for the implementation of the policies of the Companies, as determined by the Boards, and for the management of the business and affairs of the Companies.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Companies</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Each Board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Board benefits from Mr. Penn’s business leadership and experience and knowledge of senior loan, mezzanine lending, leveraged finance, distressed debt and private equity businesses, as well as diverse management practices. Mr. Penn is the Founder, Chairman and Chief Executive Officer of the Companies and Managing Member of the Adviser and the Administrator.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Companies and Managing Member of the Adviser and the Administrator provide him with a specific and valuable understanding of the Companies, their operations and the business and regulatory issues facing them.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Bernstein brings to the Boards 27 years of experience in leading a real estate development, investment and management business in the Mid-Atlantic region of the United States. Mr. Bernstein affords the Boards 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vast experience in the area of strategic and financial planning and capital and risk management. Mr. Bernstein is President of The Bernstein Companies, a Washington D.C.-based real estate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Brozost brings to the Boards 19 years of experience in the areas of finance, private equity, mergers and acquisitions and restructurings. Since May 2012, Mr. Brozost has been a Partner at Schulte Roth &amp; Zabel LLP, where he practices in the real estate and private equity groups. Prior to Schulte Roth &amp; Zabel, Mr. Brozost practiced law at Dewey &amp; LeBoeuf LLP from 2005 to 2012, at Solomon &amp; Weinberg LLP from 2004 to 2005 and at O’Melveny &amp; Myers LLP from 2001 to 2004. Mr. Brozost also served as a Vice President of Nomura Asset Capital Corporation from 1997 through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Mr. Flug brings to the Boards expertise in fixed income, investment banking, accounting and business operations. Since October 2012, Mr. Flug has been a director of Sears Hometown and Outlet Stores, Inc. Since 2009, Mr. Flug has held a variety of senior positions, including, currently, President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Mr. Katz brings to the Boards a diverse knowledge of business and finance as a result of his career over the past 27 years. Mr. Katz is the Managing Partner of TZP Group, LLP,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Board has established an Audit Committee, a Nominating and Corporate Governance Committee and a Compensation Committee. For the fiscal year ended September 30, 2013, the Board of PNNT held four board meetings, four Audit Committee meetings and one Nominating and Corporate Governance Committee meeting and the Board of PFLT held five board meetings, four Audit Committee meetings and one Nominating and Corporate Governance Committee meeting. Each Board’s Compensation Committee was established in November 2013. All directors attended at least 75% of the aggregate number of meetings of the respective Board and of the respective committees on which they served. The Companies require each director to make a diligent effort to attend all Board and committee meetings, and encourage directors to attend the Companies’ joint annual stockholders’ meetings. Last year, all of the members of the Boards attended the joint annual stockholders’ meeting.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of each Company are Messrs. Bernstein, Brozost, Flug and Katz, each of whom is independent for purposes of the 1940 Act and the NASDAQ corporate governance rules. Messrs. Flug and Katz serve as Co-Chairmen of the Audit Committees. Each Audit Committee operates pursuant to a separate Audit Committee Charter approved by its Board. Each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their quarterly reports on Form 10-Q; pre-approving the auditors’ engagement to render audit and/or permissible non-audit services; and evaluating the qualifications, performance and independence of the auditors. The Audit Committees are also responsible for aiding the Boards in fair value pricing of debt and equity securities for their respective funds. The Boards and Audit Committees use the services of nationally recognized independent valuation firms to help them determine the fair value of certain securities held by the Companies. The Boards have determined that each of Messrs. Flug and Katz is an “audit committee financial expert” as that term is defined under Item 407 of Regulation S-K under the Exchange Act. Each Audit Committee Charter is available on the Companies’ website (http://www.pennantpark.com).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members of the Nominating and Corporate Governance Committee of each Company are Messrs. Bernstein, Brozost, Flug and Katz, each of whom is independent for purposes of the 1940 Act and the NASDAQ corporate governance rules. Messrs. Bernstein and Brozost serve as Co-Chairmen of the Nominating and Corporate Governance Committees. Each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each Company has adopted a written Nominating and Corporate Governance Committee Charter that is available on the Companies’ website (http://www.pennantpark.com).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a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Criteria considered by the Nominating and Corporate Governance Committees in evaluating the qualifications of individuals for election as director of the Boards include: compliance with the independence and other applicable requirements of the NASDAQ corporate governance rules and the 1940 Act, and all other applicable laws, rules, regulations and listing standards; the criteria, policies and principles set forth in the Companies’ Nominating and Corporate Governance Committee Charters; and the ability to contribute to the effective management of the Companies, taking into account the needs of the Companies and such factors as the individual’s experience, perspective, skills and knowledge of the industry in which the Companies operate.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Nominating and Corporate Governance Committee has adopted a formal policy with regard to the consideration of diversity in identifying individuals for election as members of the Board, but the Nominating and Corporate Governance Committees will consider such factors as they may deem are in the best interests of the Companies and their Stockholders. Those factors may include a person’s differences of viewpoint, professional experience, education and skills, as well as his or her race, gender and national origin. In addition, as part of each Board’s annual-self assessment, the members of the Nominating and Corporate Governance Committee evaluates the membership of the Board and whether the Board maintains satisfactory policies regarding membership selection.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each Board with all matters related to compensation, as directed by each Board. The current members of the Compensation Committee are Messrs. Bernstein, Brozost, Flug and Katz, each of whom is not an interested person of us for purposes of the 1940 Act and the NASDAQ corporate governance rules. As discussed below, none of our executive officers is directly compensated by either Company and, as a result, the Compensation Committees do not produce and/or review and report on executive compensation practices. Each Compensation Committee Charter is available on the Companies’ website (http://www.pennantpark.com).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the Boards of Directors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Stockholders with questions about a Company are encouraged to contact the Companies’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relevant Board.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the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Position(s) held</w:t>
            </w:r>
          </w:p>
        </w:tc>
        <w:tc>
          <w:tcPr>
            <w:tcW w:w="6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b w:val="1"/>
                <w:bCs w:val="1"/>
                <w:color w:val="auto"/>
              </w:rPr>
              <w:t xml:space="preserve">and Age </w:t>
            </w:r>
            <w:r>
              <w:rPr>
                <w:rFonts w:ascii="Arial" w:cs="Arial" w:eastAsia="Arial" w:hAnsi="Arial"/>
                <w:sz w:val="18"/>
                <w:szCs w:val="18"/>
                <w:b w:val="1"/>
                <w:bCs w:val="1"/>
                <w:color w:val="auto"/>
                <w:vertAlign w:val="superscript"/>
              </w:rPr>
              <w:t>(1)</w:t>
            </w:r>
          </w:p>
        </w:tc>
        <w:tc>
          <w:tcPr>
            <w:tcW w:w="1360" w:type="dxa"/>
            <w:vAlign w:val="bottom"/>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with the Companies</w:t>
            </w:r>
          </w:p>
        </w:tc>
        <w:tc>
          <w:tcPr>
            <w:tcW w:w="6620" w:type="dxa"/>
            <w:vAlign w:val="bottom"/>
          </w:tcPr>
          <w:p>
            <w:pPr>
              <w:ind w:left="192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Aviv Efrat (49)</w:t>
            </w: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00" w:type="dxa"/>
            <w:vAlign w:val="bottom"/>
            <w:gridSpan w:val="2"/>
            <w:vMerge w:val="continue"/>
          </w:tcPr>
          <w:p>
            <w:pPr>
              <w:spacing w:after="0"/>
              <w:rPr>
                <w:sz w:val="16"/>
                <w:szCs w:val="16"/>
                <w:color w:val="auto"/>
              </w:rPr>
            </w:pPr>
          </w:p>
        </w:tc>
        <w:tc>
          <w:tcPr>
            <w:tcW w:w="2280" w:type="dxa"/>
            <w:vAlign w:val="bottom"/>
          </w:tcPr>
          <w:p>
            <w:pPr>
              <w:jc w:val="center"/>
              <w:spacing w:after="0" w:line="189" w:lineRule="exact"/>
              <w:rPr>
                <w:sz w:val="20"/>
                <w:szCs w:val="20"/>
                <w:color w:val="auto"/>
              </w:rPr>
            </w:pPr>
            <w:r>
              <w:rPr>
                <w:rFonts w:ascii="Arial" w:cs="Arial" w:eastAsia="Arial" w:hAnsi="Arial"/>
                <w:sz w:val="18"/>
                <w:szCs w:val="18"/>
                <w:color w:val="auto"/>
                <w:w w:val="90"/>
              </w:rPr>
              <w:t>PNNT and PFLT—</w:t>
            </w:r>
          </w:p>
        </w:tc>
        <w:tc>
          <w:tcPr>
            <w:tcW w:w="220" w:type="dxa"/>
            <w:vAlign w:val="bottom"/>
          </w:tcPr>
          <w:p>
            <w:pPr>
              <w:spacing w:after="0"/>
              <w:rPr>
                <w:sz w:val="16"/>
                <w:szCs w:val="16"/>
                <w:color w:val="auto"/>
              </w:rPr>
            </w:pPr>
          </w:p>
        </w:tc>
        <w:tc>
          <w:tcPr>
            <w:tcW w:w="6620" w:type="dxa"/>
            <w:vAlign w:val="bottom"/>
          </w:tcPr>
          <w:p>
            <w:pPr>
              <w:spacing w:after="0" w:line="189" w:lineRule="exact"/>
              <w:rPr>
                <w:sz w:val="20"/>
                <w:szCs w:val="20"/>
                <w:color w:val="auto"/>
              </w:rPr>
            </w:pPr>
            <w:r>
              <w:rPr>
                <w:rFonts w:ascii="Arial" w:cs="Arial" w:eastAsia="Arial" w:hAnsi="Arial"/>
                <w:sz w:val="18"/>
                <w:szCs w:val="18"/>
                <w:color w:val="auto"/>
                <w:w w:val="92"/>
              </w:rPr>
              <w:t>Chief Financial Officer and Treasurer of PNNT and PFLT from their inception in 2007 and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Financial Officer</w:t>
            </w:r>
          </w:p>
        </w:tc>
        <w:tc>
          <w:tcPr>
            <w:tcW w:w="6620" w:type="dxa"/>
            <w:vAlign w:val="bottom"/>
          </w:tcPr>
          <w:p>
            <w:pPr>
              <w:spacing w:after="0"/>
              <w:rPr>
                <w:sz w:val="20"/>
                <w:szCs w:val="20"/>
                <w:color w:val="auto"/>
              </w:rPr>
            </w:pPr>
            <w:r>
              <w:rPr>
                <w:rFonts w:ascii="Arial" w:cs="Arial" w:eastAsia="Arial" w:hAnsi="Arial"/>
                <w:sz w:val="18"/>
                <w:szCs w:val="18"/>
                <w:color w:val="auto"/>
                <w:w w:val="91"/>
              </w:rPr>
              <w:t>2010, respectively. Managing Director of the Administrator from inception in 2007. Mr. Efrat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and Treasurer</w:t>
            </w:r>
          </w:p>
        </w:tc>
        <w:tc>
          <w:tcPr>
            <w:tcW w:w="6620" w:type="dxa"/>
            <w:vAlign w:val="bottom"/>
          </w:tcPr>
          <w:p>
            <w:pPr>
              <w:spacing w:after="0"/>
              <w:rPr>
                <w:sz w:val="20"/>
                <w:szCs w:val="20"/>
                <w:color w:val="auto"/>
              </w:rPr>
            </w:pPr>
            <w:r>
              <w:rPr>
                <w:rFonts w:ascii="Arial" w:cs="Arial" w:eastAsia="Arial" w:hAnsi="Arial"/>
                <w:sz w:val="18"/>
                <w:szCs w:val="18"/>
                <w:color w:val="auto"/>
                <w:w w:val="90"/>
              </w:rPr>
              <w:t>was a Director at BlackRock, Inc. from 1997 to 2007 where he was responsible for a variety</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1"/>
              </w:rPr>
              <w:t>of administrative, operational and financial aspects of closed-end and open-end registered</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1920" w:hanging="5612"/>
        <w:spacing w:after="0" w:line="440" w:lineRule="auto"/>
        <w:tabs>
          <w:tab w:leader="none" w:pos="4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 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Chief Compliance Officer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CCO who is not a director of the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Position held</w:t>
            </w:r>
          </w:p>
        </w:tc>
        <w:tc>
          <w:tcPr>
            <w:tcW w:w="6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b w:val="1"/>
                <w:bCs w:val="1"/>
                <w:color w:val="auto"/>
              </w:rPr>
              <w:t xml:space="preserve">and Age </w:t>
            </w:r>
            <w:r>
              <w:rPr>
                <w:rFonts w:ascii="Arial" w:cs="Arial" w:eastAsia="Arial" w:hAnsi="Arial"/>
                <w:sz w:val="18"/>
                <w:szCs w:val="18"/>
                <w:b w:val="1"/>
                <w:bCs w:val="1"/>
                <w:color w:val="auto"/>
                <w:vertAlign w:val="superscript"/>
              </w:rPr>
              <w:t>(1)</w:t>
            </w:r>
          </w:p>
        </w:tc>
        <w:tc>
          <w:tcPr>
            <w:tcW w:w="1360" w:type="dxa"/>
            <w:vAlign w:val="bottom"/>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with the Companies</w:t>
            </w:r>
          </w:p>
        </w:tc>
        <w:tc>
          <w:tcPr>
            <w:tcW w:w="6620" w:type="dxa"/>
            <w:vAlign w:val="bottom"/>
          </w:tcPr>
          <w:p>
            <w:pPr>
              <w:ind w:left="192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Guy F. Talarico (58)</w:t>
            </w: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300" w:type="dxa"/>
            <w:vAlign w:val="bottom"/>
            <w:gridSpan w:val="2"/>
            <w:vMerge w:val="continue"/>
          </w:tcPr>
          <w:p>
            <w:pPr>
              <w:spacing w:after="0"/>
              <w:rPr>
                <w:sz w:val="16"/>
                <w:szCs w:val="16"/>
                <w:color w:val="auto"/>
              </w:rPr>
            </w:pPr>
          </w:p>
        </w:tc>
        <w:tc>
          <w:tcPr>
            <w:tcW w:w="2280" w:type="dxa"/>
            <w:vAlign w:val="bottom"/>
          </w:tcPr>
          <w:p>
            <w:pPr>
              <w:jc w:val="center"/>
              <w:spacing w:after="0" w:line="189" w:lineRule="exact"/>
              <w:rPr>
                <w:sz w:val="20"/>
                <w:szCs w:val="20"/>
                <w:color w:val="auto"/>
              </w:rPr>
            </w:pPr>
            <w:r>
              <w:rPr>
                <w:rFonts w:ascii="Arial" w:cs="Arial" w:eastAsia="Arial" w:hAnsi="Arial"/>
                <w:sz w:val="18"/>
                <w:szCs w:val="18"/>
                <w:color w:val="auto"/>
                <w:w w:val="90"/>
              </w:rPr>
              <w:t>PNNT and PFLT—</w:t>
            </w:r>
          </w:p>
        </w:tc>
        <w:tc>
          <w:tcPr>
            <w:tcW w:w="220" w:type="dxa"/>
            <w:vAlign w:val="bottom"/>
          </w:tcPr>
          <w:p>
            <w:pPr>
              <w:spacing w:after="0"/>
              <w:rPr>
                <w:sz w:val="16"/>
                <w:szCs w:val="16"/>
                <w:color w:val="auto"/>
              </w:rPr>
            </w:pPr>
          </w:p>
        </w:tc>
        <w:tc>
          <w:tcPr>
            <w:tcW w:w="6620" w:type="dxa"/>
            <w:vAlign w:val="bottom"/>
          </w:tcPr>
          <w:p>
            <w:pPr>
              <w:spacing w:after="0" w:line="189" w:lineRule="exact"/>
              <w:rPr>
                <w:sz w:val="20"/>
                <w:szCs w:val="20"/>
                <w:color w:val="auto"/>
              </w:rPr>
            </w:pPr>
            <w:r>
              <w:rPr>
                <w:rFonts w:ascii="Arial" w:cs="Arial" w:eastAsia="Arial" w:hAnsi="Arial"/>
                <w:sz w:val="18"/>
                <w:szCs w:val="18"/>
                <w:color w:val="auto"/>
                <w:w w:val="90"/>
              </w:rPr>
              <w:t>Chief Compliance Officer of PNNT and PFLT from May 2008 and March 2011, respectively.</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Chief Compliance</w:t>
            </w:r>
          </w:p>
        </w:tc>
        <w:tc>
          <w:tcPr>
            <w:tcW w:w="6620" w:type="dxa"/>
            <w:vAlign w:val="bottom"/>
          </w:tcPr>
          <w:p>
            <w:pPr>
              <w:spacing w:after="0"/>
              <w:rPr>
                <w:sz w:val="20"/>
                <w:szCs w:val="20"/>
                <w:color w:val="auto"/>
              </w:rPr>
            </w:pPr>
            <w:r>
              <w:rPr>
                <w:rFonts w:ascii="Arial" w:cs="Arial" w:eastAsia="Arial" w:hAnsi="Arial"/>
                <w:sz w:val="18"/>
                <w:szCs w:val="18"/>
                <w:color w:val="auto"/>
                <w:w w:val="93"/>
              </w:rPr>
              <w:t>Mr. Talarico has held the position of Chief Compliance Officer for a number of investment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Officer</w:t>
            </w:r>
          </w:p>
        </w:tc>
        <w:tc>
          <w:tcPr>
            <w:tcW w:w="6620" w:type="dxa"/>
            <w:vAlign w:val="bottom"/>
          </w:tcPr>
          <w:p>
            <w:pPr>
              <w:spacing w:after="0"/>
              <w:rPr>
                <w:sz w:val="20"/>
                <w:szCs w:val="20"/>
                <w:color w:val="auto"/>
              </w:rPr>
            </w:pPr>
            <w:r>
              <w:rPr>
                <w:rFonts w:ascii="Arial" w:cs="Arial" w:eastAsia="Arial" w:hAnsi="Arial"/>
                <w:sz w:val="18"/>
                <w:szCs w:val="18"/>
                <w:color w:val="auto"/>
                <w:w w:val="97"/>
              </w:rPr>
              <w:t>advisers, private funds and investment companies from 2004 when he founded Alaric</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Compliance Services,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Companies’ policies and procedures and all laws, rules and regulations of any applicable international, federal, provincial, state or local government. To this effect, each Company has adopted a Joint Code of Conduct, which is posted on the Companies’ website (http://www.pennantpark.com). The Joint Code of Conduct applies to the directors, officers and their respective staffs.</w:t>
      </w:r>
    </w:p>
    <w:p>
      <w:pPr>
        <w:spacing w:after="0" w:line="11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As required by the 1940 Act, each Company maintains a Joint Code of Ethics with the Adviser that establishes procedures that apply to the Companies’ directors, officers, their respective staffs and the employees of the Adviser with respect to their personal investments and investment transactions. The Joint Code of Ethics generally does not permit investments by a Company’s directors, officers or any other covered person in securities that may be purchased or held by the Company. PNNT and PFLT filed its Joint Code of Ethics as Exhibit 14.1 to its Annual Report on Form 10-K, filed with the SEC on each of November 13 and 14, 2013. You may access the Joint Codes of Ethics via the Internet site of the SEC (http://www.sec.gov) or our website (http://www.pennantpark.com). Each Company intends to disclose any material amendments to or waivers of required provisions of its Joint Code of Conduct or its Joint Code of Ethics on Form 8-K.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PNNT, each Independent Director receives an annual payment of $90,000 for services performed on behalf of PNNT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PNNT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11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For PFLT, each Independent Director receives an annual payment of $50,000 for services performed on behalf of PFLT as a director. The 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his additional services in these capacities. Also, PFLT has purchased directors’ and officers’ liability insurance on behalf of its directors and officers.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paid by the Companies to our directors for the fiscal year ended September 30,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is paid directly by either Company to any interested director or executive officer of the Companies.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PNNT</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PFLT</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6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Pension or</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Aggregate</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Aggregate</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260" w:type="dxa"/>
            <w:vAlign w:val="bottom"/>
          </w:tcPr>
          <w:p>
            <w:pPr>
              <w:spacing w:after="0"/>
              <w:rPr>
                <w:sz w:val="11"/>
                <w:szCs w:val="11"/>
                <w:color w:val="auto"/>
              </w:rPr>
            </w:pPr>
          </w:p>
        </w:tc>
        <w:tc>
          <w:tcPr>
            <w:tcW w:w="1420" w:type="dxa"/>
            <w:vAlign w:val="bottom"/>
            <w:gridSpan w:val="3"/>
          </w:tcPr>
          <w:p>
            <w:pPr>
              <w:jc w:val="right"/>
              <w:ind w:right="600"/>
              <w:spacing w:after="0" w:line="135" w:lineRule="exact"/>
              <w:rPr>
                <w:sz w:val="20"/>
                <w:szCs w:val="20"/>
                <w:color w:val="auto"/>
              </w:rPr>
            </w:pPr>
            <w:r>
              <w:rPr>
                <w:rFonts w:ascii="Arial" w:cs="Arial" w:eastAsia="Arial" w:hAnsi="Arial"/>
                <w:sz w:val="14"/>
                <w:szCs w:val="14"/>
                <w:b w:val="1"/>
                <w:bCs w:val="1"/>
                <w:color w:val="auto"/>
                <w:w w:val="96"/>
              </w:rPr>
              <w:t>Total paid to</w:t>
            </w:r>
          </w:p>
        </w:tc>
        <w:tc>
          <w:tcPr>
            <w:tcW w:w="80" w:type="dxa"/>
            <w:vAlign w:val="bottom"/>
          </w:tcPr>
          <w:p>
            <w:pPr>
              <w:spacing w:after="0"/>
              <w:rPr>
                <w:sz w:val="11"/>
                <w:szCs w:val="11"/>
                <w:color w:val="auto"/>
              </w:rPr>
            </w:pPr>
          </w:p>
        </w:tc>
        <w:tc>
          <w:tcPr>
            <w:tcW w:w="12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4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62"/>
        </w:trPr>
        <w:tc>
          <w:tcPr>
            <w:tcW w:w="256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Company</w:t>
            </w: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2"/>
                <w:szCs w:val="12"/>
                <w:b w:val="1"/>
                <w:bCs w:val="1"/>
                <w:color w:val="auto"/>
                <w:w w:val="93"/>
              </w:rPr>
              <w:t xml:space="preserve">expense </w:t>
            </w:r>
            <w:r>
              <w:rPr>
                <w:rFonts w:ascii="Arial" w:cs="Arial" w:eastAsia="Arial" w:hAnsi="Arial"/>
                <w:sz w:val="18"/>
                <w:szCs w:val="18"/>
                <w:b w:val="1"/>
                <w:bCs w:val="1"/>
                <w:color w:val="auto"/>
                <w:w w:val="93"/>
                <w:vertAlign w:val="superscript"/>
              </w:rPr>
              <w:t>(1)</w:t>
            </w:r>
          </w:p>
        </w:tc>
        <w:tc>
          <w:tcPr>
            <w:tcW w:w="2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8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Company</w:t>
            </w:r>
          </w:p>
        </w:tc>
        <w:tc>
          <w:tcPr>
            <w:tcW w:w="1460" w:type="dxa"/>
            <w:vAlign w:val="bottom"/>
            <w:gridSpan w:val="2"/>
          </w:tcPr>
          <w:p>
            <w:pPr>
              <w:jc w:val="center"/>
              <w:ind w:right="520"/>
              <w:spacing w:after="0" w:line="162" w:lineRule="exact"/>
              <w:rPr>
                <w:sz w:val="20"/>
                <w:szCs w:val="20"/>
                <w:color w:val="auto"/>
              </w:rPr>
            </w:pPr>
            <w:r>
              <w:rPr>
                <w:rFonts w:ascii="Arial" w:cs="Arial" w:eastAsia="Arial" w:hAnsi="Arial"/>
                <w:sz w:val="12"/>
                <w:szCs w:val="12"/>
                <w:b w:val="1"/>
                <w:bCs w:val="1"/>
                <w:color w:val="auto"/>
                <w:w w:val="93"/>
              </w:rPr>
              <w:t xml:space="preserve">expense </w:t>
            </w:r>
            <w:r>
              <w:rPr>
                <w:rFonts w:ascii="Arial" w:cs="Arial" w:eastAsia="Arial" w:hAnsi="Arial"/>
                <w:sz w:val="18"/>
                <w:szCs w:val="18"/>
                <w:b w:val="1"/>
                <w:bCs w:val="1"/>
                <w:color w:val="auto"/>
                <w:w w:val="93"/>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9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ind w:left="90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2"/>
              </w:rPr>
              <w:t>102,500</w:t>
            </w:r>
          </w:p>
        </w:tc>
        <w:tc>
          <w:tcPr>
            <w:tcW w:w="5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None</w:t>
            </w:r>
          </w:p>
        </w:tc>
        <w:tc>
          <w:tcPr>
            <w:tcW w:w="46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102,500</w:t>
            </w: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57,500</w:t>
            </w:r>
          </w:p>
        </w:tc>
        <w:tc>
          <w:tcPr>
            <w:tcW w:w="5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None</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2"/>
              </w:rPr>
              <w:t>102,500</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112,500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112,500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w:t>
            </w:r>
          </w:p>
        </w:tc>
        <w:tc>
          <w:tcPr>
            <w:tcW w:w="54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112,500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112,500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560" w:type="dxa"/>
            <w:vAlign w:val="bottom"/>
            <w:gridSpan w:val="6"/>
          </w:tcPr>
          <w:p>
            <w:pPr>
              <w:spacing w:after="0"/>
              <w:rPr>
                <w:sz w:val="20"/>
                <w:szCs w:val="20"/>
                <w:color w:val="auto"/>
              </w:rPr>
            </w:pPr>
            <w:r>
              <w:rPr>
                <w:rFonts w:ascii="Arial" w:cs="Arial" w:eastAsia="Arial" w:hAnsi="Arial"/>
                <w:sz w:val="18"/>
                <w:szCs w:val="18"/>
                <w:b w:val="1"/>
                <w:bCs w:val="1"/>
                <w:color w:val="auto"/>
              </w:rPr>
              <w:t>Interested director</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84"/>
        </w:trPr>
        <w:tc>
          <w:tcPr>
            <w:tcW w:w="256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9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Each Company’s investment activities are managed by the Adviser and supervised by its Board, 80% of who are Independent Directors. Each Company’s Investment Management Agreement with the Adviser was re-approved by its Board, including a majority of the Independent Directors, in February 2013. Under each Company’s Investment Management Agreement, the Adviser, subject to the overall supervision of the Board, manages the day-to-day operations of and provides investment advisory services to the Company. For providing these services, the Adviser receives a fee from each Company, consisting of two components: a base management fee and an incentive fee. For the fiscal year ended September 30, 2013, the Adviser earned a base management fee of $21.3 million and an incentive fee of $16.8 million from PNNT, and a base management fee of $2.2 million and an incentive fee of $1.9 million from PFLT.</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connection with PFLT’s initial public offering, the Adviser paid to the underwriters 2% of the sales load, or approximately $2.1 million in the aggregate, with respect to the offering of shares of PFLT’s Common Stock. PFLT (and indirectly its Stockholders) agreed to repay this amount (a) if during any four consecutive calendar quarter-periods ending on or after April 13, 2012 its Pre-Incentive Fee Net Investment Income equaled or exceeded 1.75% (7.0% annualized) of its net assets at the beginning of such period (as adjusted for any issuances or repurchases of shares of its Common Stock) or (b) upon its liquidation. Based on actual returns, PFLT met the conditions for repayment to the Adviser at the end of the quarter ended December 31, 2012 and repaid approximately $2.1 million to the Adviser, which then used such amounts to purchase shares of PFLT’s Common Stock in the secondary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Company’s Administration Agreement with the Administrator was re-approved by its Board, including a majority of the Independent Directors, in February 2013. Under each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Aviv Efrat, each Company’s Chief Financial Officer, is the Managing Director of the Administrator. For the fiscal year ended September 30, 2013, the Adviser and the Administrator, collectively, were reimbursed $2.9 million from PNNT and $0.3 million from PFLT, for the services described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 has granted a non-exclusive, royalty-free license to each Company to use the name “PennantPark.”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pursuant to the terms of each Administration Agreement, the Administrator provides the Companies with the office facilities and administrative services necessary to conduct their day-to-day operations. The Adviser is the sole member of, and controls, the Administrator.</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each Company, in consultation with the Companies’ Chief Executive Officer, CCO and legal counsel, has established a written policy to govern the review of potential related party transactions. The Audit Committee of each Company conducts quarterly reviews of any potential related party transactions and, during these reviews, it also considers any conflicts of interest brought to its attention pursuant to the Company’s Joint Code of Conduct or Joint Code of Ethics.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SELECTION OF INDEPENDENT REGISTERED PUBLIC ACCOUNTING FIRM</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respective Audit Committees and the non-interested directors have selected McGladrey LLP (“McGladrey”) to serve as the independent registered public accounting firm for the Companies for the fiscal year ending September 30, 2014. This selection is subject to ratification or rejection by the stockholders of the Companies.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21, 2013, the Board of each Company dismissed KPMG LLP (“KPMG”) as the Companies’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Boards’ decision to dismiss KPMG was recommended by each Audit Committee.</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KPMG served as the Companies’ independent registered public accounting firm for the Company’s fiscal years ended September 30, 2012 and 2013. The reports of KPMG on the financial statements of each Company for the years ended September 30, 2012 and 2013 did not contain an adverse opinion or disclaimer of opinion and were not qualified or modified as to uncertainty, audit scope or accounting principles.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its dismissal, there were no disagreements with KPMG on any matter of accounting principles or practices, financial statement disclosure, or auditing scope or procedure, which disagreements if not resolved to the satisfaction of KPMG would have caused it to make reference to the subject matter of the disagreements in connection with its report, nor were there any “reportable events” as such term as described in Item 304(a)(1)(v) of Regulation S-K, promulgated under the Exchange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21, 2013, upon the recommendation of its Audit Committee, each Board, including a majority of the Independent Directors, engaged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McGladrey to serve as the independent registered accounting firm to audit the applicable Company’s consolidated financial statements for the fiscal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directed that the selection of McGladrey should be submitted to the Companies’ Stockholders for ratification.</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two most recent fiscal years and through November 21, 2013, the date of the engagement of McGladrey, neither the Companies nor any person on their behalf has consulted with McGladrey with respect to either (i) the application of accounting principles to a specified transaction, either completed or proposed, or the type of audit opinion that might be rendered on the Companies’ consolidated financial statements or (ii) any matter that was either the subject of a “disagreement” or a “reportable event” as such terms are described in Items 304(a)(1)(iv) or 304(a)(1)(v), respectively, of Regulation S-K promulgated under the Exchange Act.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McGladrey has advised the Companies that neither the firm nor any present member or associate of it has any material financial interest, direct or indirect, in the Companies or their respective its affiliates. It is expected that a representative of McGladrey will be present at the Annual Meeting and will have an opportunity to make a statement if he or she chooses and will be available to answer questions.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aggregate fees by KPMG LLP, the Company’s former independent registered public accounting firm, were billed to the Companies for work attributed to audit, tax and other services provided to the Companies for the fiscal years ended September 30, 2012 and 2013.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PNNT</w:t>
            </w:r>
          </w:p>
        </w:tc>
        <w:tc>
          <w:tcPr>
            <w:tcW w:w="8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549"/>
              <w:spacing w:after="0"/>
              <w:rPr>
                <w:sz w:val="20"/>
                <w:szCs w:val="20"/>
                <w:color w:val="auto"/>
              </w:rPr>
            </w:pPr>
            <w:r>
              <w:rPr>
                <w:rFonts w:ascii="Arial" w:cs="Arial" w:eastAsia="Arial" w:hAnsi="Arial"/>
                <w:sz w:val="14"/>
                <w:szCs w:val="14"/>
                <w:b w:val="1"/>
                <w:bCs w:val="1"/>
                <w:color w:val="auto"/>
              </w:rPr>
              <w:t>PFLT</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99"/>
              </w:rPr>
              <w:t>Fiscal Year Ended</w:t>
            </w:r>
          </w:p>
        </w:tc>
        <w:tc>
          <w:tcPr>
            <w:tcW w:w="76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87"/>
              </w:rPr>
              <w:t>Fiscal Year Ended</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87"/>
              </w:rPr>
              <w:t>Fiscal Year Ended</w:t>
            </w:r>
          </w:p>
        </w:tc>
        <w:tc>
          <w:tcPr>
            <w:tcW w:w="780" w:type="dxa"/>
            <w:vAlign w:val="bottom"/>
          </w:tcPr>
          <w:p>
            <w:pPr>
              <w:spacing w:after="0"/>
              <w:rPr>
                <w:sz w:val="11"/>
                <w:szCs w:val="11"/>
                <w:color w:val="auto"/>
              </w:rPr>
            </w:pP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Fiscal Year Ended</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4"/>
              </w:rPr>
              <w:t>September 30, 2012</w:t>
            </w:r>
          </w:p>
        </w:tc>
        <w:tc>
          <w:tcPr>
            <w:tcW w:w="7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460" w:type="dxa"/>
            <w:vAlign w:val="bottom"/>
          </w:tcPr>
          <w:p>
            <w:pPr>
              <w:spacing w:after="0"/>
              <w:rPr>
                <w:sz w:val="14"/>
                <w:szCs w:val="1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4"/>
              </w:rPr>
              <w:t>September 30, 2012</w:t>
            </w:r>
          </w:p>
        </w:tc>
        <w:tc>
          <w:tcPr>
            <w:tcW w:w="7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September 30, 2013</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304,149</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349,500</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Audit Related Fees</w:t>
            </w:r>
          </w:p>
        </w:tc>
        <w:tc>
          <w:tcPr>
            <w:tcW w:w="32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37,525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27,750</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341,674</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349,500</w:t>
            </w:r>
          </w:p>
        </w:tc>
        <w:tc>
          <w:tcPr>
            <w:tcW w:w="78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169,100</w:t>
            </w:r>
          </w:p>
        </w:tc>
        <w:tc>
          <w:tcPr>
            <w:tcW w:w="110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10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39"/>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1" w:name="page22"/>
    <w:bookmarkEnd w:id="21"/>
    <w:p>
      <w:pPr>
        <w:ind w:right="40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KPMG in connection with statutory and regulatory filings.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 local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Audit Committee has established a pre-approval policy that describes the permitted audit, audit-related, tax and other services to be provided by McGladrey,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KPMG to the Companies during the fiscal year ended September 30, 2013 were approved by the Audit Committees in accordance with such policy.</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relevant Company for specific pre-approval and cannot commence until such approval has been granted. Normally, pre-approval is provided at regularly scheduled meetings of the Audit Committees. However, each Audit Committee may delegate pre-approval authority to one or more of its members. The member or members to whom such authority is delegated shall report any pre-approval decisions to the Audit Committee at its next scheduled meeting. The Audit Committees do not delegate their responsibilities to pre-approve services performed by the independent registered public accounting firm to Company management.</w:t>
      </w:r>
    </w:p>
    <w:p>
      <w:pPr>
        <w:spacing w:after="0" w:line="13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RATIFICATION OF MCGLADREY AS INDEPENDENT REGISTERED PUBLIC ACCOUNTING FIRM TO YOUR COMPANY FOR THE FISCAL YEAR ENDING SEPTEMBER 30, 2014.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Report</w:t>
      </w:r>
      <w:r>
        <w:rPr>
          <w:rFonts w:ascii="Arial" w:cs="Arial" w:eastAsia="Arial" w:hAnsi="Arial"/>
          <w:sz w:val="11"/>
          <w:szCs w:val="11"/>
          <w:b w:val="1"/>
          <w:bCs w:val="1"/>
          <w:i w:val="1"/>
          <w:iCs w:val="1"/>
          <w:color w:val="auto"/>
        </w:rPr>
        <w:t>(1)</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following is the joint report of the Audit Committees with respect to each Company’s audited financial statements for the fiscal year ended September 30, 2013.</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Audit Committee has reviewed and discussed the Company’s audited financial statements with management and KPMG, the Companies’ independent registered public accounting firm, with and without management present. Each Audit Committee included in its review results of KPMG’s audits, the Company’s internal controls and the quality of the Company’s financial reporting. Each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Committees are satisfied that the Companies’ internal control systems are adequate and that the Companies employ appropriate accounting procedures.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Each Audit Committee also has discussed with KPMG matters relating to KPMG’s assessment about the quality, as well as the acceptability, of the Company’s accounting principles as applied in its financial reporting as required by PCAOB Auditing Standard 16 (Communications with Audit Committees). In addition, each Audit Committee has discussed with KPMG its independence from management and the Company, as well as the matters in the written disclosures received from KPMG and required by Public Company Accounting Oversight Board Rule 3520 (Auditor Independence). Each Audit Committee received a report from KPMG confirming its independence and discussed the report with KPMG. Each Audit Committee discussed and reviewed with KPMG the Company’s critical accounting policies and practices, internal controls, other material written communications to management and the scope of KPMG’s audits and all fees paid to KPMG during the fiscal year. Each Audit Committee adopted guidelines requiring review and pre-approval by the Audit Committee of audit and non-audit services performed by KPMG for the Company. Each Audit Committee has reviewed and considered the compatibility of KPMG’s performance of non-audit services with the maintenance of KPMG’s independence as the Company’s independent registered public accounting firm.</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each Audit Committee’s review and discussions referred to above, each Audit Committee recommended to its Board (and the Board has approved) that the Company’s audited financial statements be included in the Company’s Annual Report on Form 10-K for the fiscal year ended September 30, 2013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Jeffrey Flug, 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L. Katz, 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20" w:hanging="452"/>
        <w:spacing w:after="0" w:line="235" w:lineRule="auto"/>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Companies under the Securities Act of 1933, as amended, or under the Exchange Act, whether made before or after the date hereof and irrespective of any general incorporation language in any such filing.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there appears not to be enough votes for a quorum of a Company or to approve the proposals of a Company at the Meeting, the chairman of the Meeting or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2015 Joint Annual Meeting of Stockholders in February 2015,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2015 Joint Annual Meeting of Stockholders must be received by the relevant Company between July 21, 2014 and August 20, 2014.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are cordially invited to attend our Joint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97560"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2013</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280" w:right="3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543560</wp:posOffset>
            </wp:positionV>
            <wp:extent cx="5831840" cy="3644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99" w:lineRule="auto"/>
        <w:rPr>
          <w:sz w:val="20"/>
          <w:szCs w:val="20"/>
          <w:color w:val="auto"/>
        </w:rPr>
      </w:pPr>
      <w:r>
        <w:rPr>
          <w:rFonts w:ascii="Arial" w:cs="Arial" w:eastAsia="Arial" w:hAnsi="Arial"/>
          <w:sz w:val="7"/>
          <w:szCs w:val="7"/>
          <w:color w:val="FFFFFF"/>
        </w:rPr>
        <w:t>0000188796_1 R1.0.0.51160 *** Exercise Your Right to Vote *** Important Notice Regarding the Availability of Proxy Materials for the Shareholder Meeting to Be Held on February 04, 2014 PENNANTPARK FLOATING RATE CAPITAL LTD. Meeting Information Meeting Type: Annual Meeting For holders as of: December 09, 2013 Date: February 04, 2014Thisime: 9:30 AM EST Location:OfficesofDechertLLP1095AvenueoftheAmericasNewYork,NY10036Youarereceivingthiscommunicationbecauseyouholdsharesintheabovenamedcompany.isnotballot.Youcannot materials use thisnoticetotheseshares.ThispresentsonlyanofthemorecompleteproxymaterialsthatareavailabletoyoutheInternet.Youmayviewtheproxyonlineat</w:t>
      </w:r>
    </w:p>
    <w:p>
      <w:pPr>
        <w:spacing w:after="0" w:line="209" w:lineRule="auto"/>
        <w:rPr>
          <w:sz w:val="20"/>
          <w:szCs w:val="20"/>
          <w:color w:val="auto"/>
        </w:rPr>
      </w:pPr>
      <w:r>
        <w:rPr>
          <w:rFonts w:ascii="Arial" w:cs="Arial" w:eastAsia="Arial" w:hAnsi="Arial"/>
          <w:sz w:val="12"/>
          <w:szCs w:val="12"/>
          <w:color w:val="FFFFFF"/>
        </w:rPr>
        <w:t>www.proxyvote.com or easily requestcommunicationpapercopy (see reverse side)overview.Wencourage you to access and review all of the important information contained in the proxy materials before voting. See the reverse side of this notice to obtain proxy materials and voting instructions.</w:t>
      </w:r>
    </w:p>
    <w:p>
      <w:pPr>
        <w:sectPr>
          <w:pgSz w:w="11900" w:h="16838" w:orient="portrait"/>
          <w:cols w:equalWidth="0" w:num="1">
            <w:col w:w="11380"/>
          </w:cols>
          <w:pgMar w:left="240" w:top="1440" w:right="2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543560</wp:posOffset>
            </wp:positionV>
            <wp:extent cx="5831840" cy="4107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7"/>
          </w:tcPr>
          <w:p>
            <w:pPr>
              <w:spacing w:after="0"/>
              <w:rPr>
                <w:sz w:val="20"/>
                <w:szCs w:val="20"/>
                <w:color w:val="auto"/>
              </w:rPr>
            </w:pPr>
            <w:r>
              <w:rPr>
                <w:rFonts w:ascii="Arial" w:cs="Arial" w:eastAsia="Arial" w:hAnsi="Arial"/>
                <w:sz w:val="14"/>
                <w:szCs w:val="14"/>
                <w:color w:val="FFFFFF"/>
                <w:w w:val="89"/>
              </w:rPr>
              <w:t>0000188796_2 R1.0.0.51160 Before You Vote How to Access the Proxy Materials Proxy Materials Available to VIEW or RECEIVE: 1. Notice &amp; Proxy Statement 2. Form 10-K How to View Online: Have the</w:t>
            </w:r>
          </w:p>
        </w:tc>
      </w:tr>
      <w:tr>
        <w:trPr>
          <w:trHeight w:val="41"/>
        </w:trPr>
        <w:tc>
          <w:tcPr>
            <w:tcW w:w="1680" w:type="dxa"/>
            <w:vAlign w:val="bottom"/>
          </w:tcPr>
          <w:p>
            <w:pPr>
              <w:spacing w:after="0"/>
              <w:rPr>
                <w:sz w:val="20"/>
                <w:szCs w:val="20"/>
                <w:color w:val="auto"/>
              </w:rPr>
            </w:pPr>
            <w:r>
              <w:rPr>
                <w:rFonts w:ascii="Arial" w:cs="Arial" w:eastAsia="Arial" w:hAnsi="Arial"/>
                <w:sz w:val="3"/>
                <w:szCs w:val="3"/>
                <w:color w:val="FFFFFF"/>
              </w:rPr>
              <w:t>information that is printed in</w:t>
            </w:r>
          </w:p>
        </w:tc>
        <w:tc>
          <w:tcPr>
            <w:tcW w:w="8000" w:type="dxa"/>
            <w:vAlign w:val="bottom"/>
            <w:gridSpan w:val="5"/>
          </w:tcPr>
          <w:p>
            <w:pPr>
              <w:ind w:left="120"/>
              <w:spacing w:after="0"/>
              <w:rPr>
                <w:sz w:val="20"/>
                <w:szCs w:val="20"/>
                <w:color w:val="auto"/>
              </w:rPr>
            </w:pPr>
            <w:r>
              <w:rPr>
                <w:rFonts w:ascii="Arial" w:cs="Arial" w:eastAsia="Arial" w:hAnsi="Arial"/>
                <w:sz w:val="3"/>
                <w:szCs w:val="3"/>
                <w:color w:val="FFFFFF"/>
              </w:rPr>
              <w:t>box marked by the arrow  XXXX XXXX XXXX (located on the following page) and visit: www.proxyvote.com. How to Request and Receive</w:t>
            </w:r>
          </w:p>
        </w:tc>
        <w:tc>
          <w:tcPr>
            <w:tcW w:w="1720" w:type="dxa"/>
            <w:vAlign w:val="bottom"/>
          </w:tcPr>
          <w:p>
            <w:pPr>
              <w:ind w:left="40"/>
              <w:spacing w:after="0"/>
              <w:rPr>
                <w:sz w:val="20"/>
                <w:szCs w:val="20"/>
                <w:color w:val="auto"/>
              </w:rPr>
            </w:pPr>
            <w:r>
              <w:rPr>
                <w:rFonts w:ascii="Arial" w:cs="Arial" w:eastAsia="Arial" w:hAnsi="Arial"/>
                <w:sz w:val="3"/>
                <w:szCs w:val="3"/>
                <w:color w:val="FFFFFF"/>
              </w:rPr>
              <w:t>PAPER or E-MAIL Copy: If</w:t>
            </w:r>
          </w:p>
        </w:tc>
      </w:tr>
      <w:tr>
        <w:trPr>
          <w:trHeight w:val="41"/>
        </w:trPr>
        <w:tc>
          <w:tcPr>
            <w:tcW w:w="8220" w:type="dxa"/>
            <w:vAlign w:val="bottom"/>
            <w:gridSpan w:val="5"/>
          </w:tcPr>
          <w:p>
            <w:pPr>
              <w:spacing w:after="0"/>
              <w:rPr>
                <w:sz w:val="20"/>
                <w:szCs w:val="20"/>
                <w:color w:val="auto"/>
              </w:rPr>
            </w:pPr>
            <w:r>
              <w:rPr>
                <w:rFonts w:ascii="Arial" w:cs="Arial" w:eastAsia="Arial" w:hAnsi="Arial"/>
                <w:sz w:val="3"/>
                <w:szCs w:val="3"/>
                <w:color w:val="FFFFFF"/>
              </w:rPr>
              <w:t>you want to receive a paper orthe-mail copy of these documents, you must request one. There is NO charge for requesting a copy. Please choose one of</w:t>
            </w:r>
          </w:p>
        </w:tc>
        <w:tc>
          <w:tcPr>
            <w:tcW w:w="1460" w:type="dxa"/>
            <w:vAlign w:val="bottom"/>
          </w:tcPr>
          <w:p>
            <w:pPr>
              <w:ind w:left="120"/>
              <w:spacing w:after="0"/>
              <w:rPr>
                <w:sz w:val="20"/>
                <w:szCs w:val="20"/>
                <w:color w:val="auto"/>
              </w:rPr>
            </w:pPr>
            <w:r>
              <w:rPr>
                <w:rFonts w:ascii="Arial" w:cs="Arial" w:eastAsia="Arial" w:hAnsi="Arial"/>
                <w:sz w:val="3"/>
                <w:szCs w:val="3"/>
                <w:color w:val="FFFFFF"/>
              </w:rPr>
              <w:t>following methods to</w:t>
            </w:r>
          </w:p>
        </w:tc>
        <w:tc>
          <w:tcPr>
            <w:tcW w:w="1720" w:type="dxa"/>
            <w:vAlign w:val="bottom"/>
          </w:tcPr>
          <w:p>
            <w:pPr>
              <w:ind w:left="180"/>
              <w:spacing w:after="0"/>
              <w:rPr>
                <w:sz w:val="20"/>
                <w:szCs w:val="20"/>
                <w:color w:val="auto"/>
              </w:rPr>
            </w:pPr>
            <w:r>
              <w:rPr>
                <w:rFonts w:ascii="Arial" w:cs="Arial" w:eastAsia="Arial" w:hAnsi="Arial"/>
                <w:sz w:val="3"/>
                <w:szCs w:val="3"/>
                <w:color w:val="FFFFFF"/>
              </w:rPr>
              <w:t>your request: 1) BY</w:t>
            </w: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INTERNET: www.proxyvote.com 2) BY TELEPHONE: 1-800-579-1639 3) BY E-MAIL*: sendmaterial@proxyvote.com * If requesting materials bythe-mail, please send a blankmake-mail with the information that</w:t>
            </w:r>
          </w:p>
        </w:tc>
      </w:tr>
      <w:tr>
        <w:trPr>
          <w:trHeight w:val="41"/>
        </w:trPr>
        <w:tc>
          <w:tcPr>
            <w:tcW w:w="7520" w:type="dxa"/>
            <w:vAlign w:val="bottom"/>
            <w:gridSpan w:val="4"/>
          </w:tcPr>
          <w:p>
            <w:pPr>
              <w:spacing w:after="0"/>
              <w:rPr>
                <w:sz w:val="20"/>
                <w:szCs w:val="20"/>
                <w:color w:val="auto"/>
              </w:rPr>
            </w:pPr>
            <w:r>
              <w:rPr>
                <w:rFonts w:ascii="Arial" w:cs="Arial" w:eastAsia="Arial" w:hAnsi="Arial"/>
                <w:sz w:val="3"/>
                <w:szCs w:val="3"/>
                <w:color w:val="FFFFFF"/>
              </w:rPr>
              <w:t>is printed   the box marked by the arrow XXXX XXXX XXXX (located on the following page) in the subject line. Requests, instructions</w:t>
            </w:r>
          </w:p>
        </w:tc>
        <w:tc>
          <w:tcPr>
            <w:tcW w:w="3880" w:type="dxa"/>
            <w:vAlign w:val="bottom"/>
            <w:gridSpan w:val="3"/>
          </w:tcPr>
          <w:p>
            <w:pPr>
              <w:ind w:left="120"/>
              <w:spacing w:after="0"/>
              <w:rPr>
                <w:sz w:val="20"/>
                <w:szCs w:val="20"/>
                <w:color w:val="auto"/>
              </w:rPr>
            </w:pPr>
            <w:r>
              <w:rPr>
                <w:rFonts w:ascii="Arial" w:cs="Arial" w:eastAsia="Arial" w:hAnsi="Arial"/>
                <w:sz w:val="3"/>
                <w:szCs w:val="3"/>
                <w:color w:val="FFFFFF"/>
              </w:rPr>
              <w:t>and other inquiries sent to this e-mail address will NOT be forwarded</w:t>
            </w:r>
          </w:p>
        </w:tc>
      </w:tr>
      <w:tr>
        <w:trPr>
          <w:trHeight w:val="41"/>
        </w:trPr>
        <w:tc>
          <w:tcPr>
            <w:tcW w:w="4820" w:type="dxa"/>
            <w:vAlign w:val="bottom"/>
            <w:gridSpan w:val="3"/>
          </w:tcPr>
          <w:p>
            <w:pPr>
              <w:spacing w:after="0"/>
              <w:rPr>
                <w:sz w:val="20"/>
                <w:szCs w:val="20"/>
                <w:color w:val="auto"/>
              </w:rPr>
            </w:pPr>
            <w:r>
              <w:rPr>
                <w:rFonts w:ascii="Arial" w:cs="Arial" w:eastAsia="Arial" w:hAnsi="Arial"/>
                <w:sz w:val="3"/>
                <w:szCs w:val="3"/>
                <w:color w:val="FFFFFF"/>
              </w:rPr>
              <w:t>to your investment advisor. Please make the request as instructed above on or before</w:t>
            </w:r>
          </w:p>
        </w:tc>
        <w:tc>
          <w:tcPr>
            <w:tcW w:w="2700" w:type="dxa"/>
            <w:vAlign w:val="bottom"/>
          </w:tcPr>
          <w:p>
            <w:pPr>
              <w:ind w:left="240"/>
              <w:spacing w:after="0"/>
              <w:rPr>
                <w:sz w:val="20"/>
                <w:szCs w:val="20"/>
                <w:color w:val="auto"/>
              </w:rPr>
            </w:pPr>
            <w:r>
              <w:rPr>
                <w:rFonts w:ascii="Arial" w:cs="Arial" w:eastAsia="Arial" w:hAnsi="Arial"/>
                <w:sz w:val="3"/>
                <w:szCs w:val="3"/>
                <w:color w:val="FFFFFF"/>
              </w:rPr>
              <w:t>21, 2014   facilitate timely delivery. How T</w:t>
            </w:r>
          </w:p>
        </w:tc>
        <w:tc>
          <w:tcPr>
            <w:tcW w:w="3880" w:type="dxa"/>
            <w:vAlign w:val="bottom"/>
            <w:gridSpan w:val="3"/>
          </w:tcPr>
          <w:p>
            <w:pPr>
              <w:ind w:left="40"/>
              <w:spacing w:after="0"/>
              <w:rPr>
                <w:sz w:val="20"/>
                <w:szCs w:val="20"/>
                <w:color w:val="auto"/>
              </w:rPr>
            </w:pPr>
            <w:r>
              <w:rPr>
                <w:rFonts w:ascii="Arial" w:cs="Arial" w:eastAsia="Arial" w:hAnsi="Arial"/>
                <w:sz w:val="3"/>
                <w:szCs w:val="3"/>
                <w:color w:val="FFFFFF"/>
              </w:rPr>
              <w:t>Vote Please Choose One of the Following Voting Methods Vote In</w:t>
            </w: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Person: If you choose to vote these shares   person at the meeting, you must request January“legal proxy.” Tto do so, please follow the instructions at www.proxyvote.com or request a paper copy of the materials,</w:t>
            </w:r>
          </w:p>
        </w:tc>
      </w:tr>
      <w:tr>
        <w:trPr>
          <w:trHeight w:val="41"/>
        </w:trPr>
        <w:tc>
          <w:tcPr>
            <w:tcW w:w="2760" w:type="dxa"/>
            <w:vAlign w:val="bottom"/>
            <w:gridSpan w:val="2"/>
          </w:tcPr>
          <w:p>
            <w:pPr>
              <w:spacing w:after="0"/>
              <w:rPr>
                <w:sz w:val="20"/>
                <w:szCs w:val="20"/>
                <w:color w:val="auto"/>
              </w:rPr>
            </w:pPr>
            <w:r>
              <w:rPr>
                <w:rFonts w:ascii="Arial" w:cs="Arial" w:eastAsia="Arial" w:hAnsi="Arial"/>
                <w:sz w:val="3"/>
                <w:szCs w:val="3"/>
                <w:color w:val="FFFFFF"/>
              </w:rPr>
              <w:t>which will contain the appropriate instructions.</w:t>
            </w:r>
          </w:p>
        </w:tc>
        <w:tc>
          <w:tcPr>
            <w:tcW w:w="8640" w:type="dxa"/>
            <w:vAlign w:val="bottom"/>
            <w:gridSpan w:val="5"/>
          </w:tcPr>
          <w:p>
            <w:pPr>
              <w:ind w:left="180"/>
              <w:spacing w:after="0"/>
              <w:rPr>
                <w:sz w:val="20"/>
                <w:szCs w:val="20"/>
                <w:color w:val="auto"/>
              </w:rPr>
            </w:pPr>
            <w:r>
              <w:rPr>
                <w:rFonts w:ascii="Arial" w:cs="Arial" w:eastAsia="Arial" w:hAnsi="Arial"/>
                <w:sz w:val="3"/>
                <w:szCs w:val="3"/>
                <w:color w:val="FFFFFF"/>
              </w:rPr>
              <w:t>shareholder meetings have attendance requirements including, but not limited to, the possession of an attendance ticket issued by the entity holding the</w:t>
            </w:r>
          </w:p>
        </w:tc>
      </w:tr>
      <w:tr>
        <w:trPr>
          <w:trHeight w:val="0"/>
        </w:trPr>
        <w:tc>
          <w:tcPr>
            <w:tcW w:w="9680" w:type="dxa"/>
            <w:vAlign w:val="bottom"/>
            <w:gridSpan w:val="6"/>
          </w:tcPr>
          <w:p>
            <w:pPr>
              <w:spacing w:after="0" w:line="80" w:lineRule="exact"/>
              <w:rPr>
                <w:sz w:val="20"/>
                <w:szCs w:val="20"/>
                <w:color w:val="auto"/>
              </w:rPr>
            </w:pPr>
            <w:r>
              <w:rPr>
                <w:rFonts w:ascii="Arial" w:cs="Arial" w:eastAsia="Arial" w:hAnsi="Arial"/>
                <w:sz w:val="9"/>
                <w:szCs w:val="9"/>
                <w:color w:val="FFFFFF"/>
              </w:rPr>
              <w:t>meeting. Please check the meeting materials forManyspecial requirements for meeting attendance. Vote By Internet: To vote now by Internet, go to www.proxyvote.com. Have the</w:t>
            </w:r>
          </w:p>
        </w:tc>
        <w:tc>
          <w:tcPr>
            <w:tcW w:w="1720" w:type="dxa"/>
            <w:vAlign w:val="bottom"/>
          </w:tcPr>
          <w:p>
            <w:pPr>
              <w:ind w:left="640"/>
              <w:spacing w:after="0" w:line="80" w:lineRule="exact"/>
              <w:rPr>
                <w:sz w:val="20"/>
                <w:szCs w:val="20"/>
                <w:color w:val="auto"/>
              </w:rPr>
            </w:pPr>
            <w:r>
              <w:rPr>
                <w:rFonts w:ascii="Arial" w:cs="Arial" w:eastAsia="Arial" w:hAnsi="Arial"/>
                <w:sz w:val="9"/>
                <w:szCs w:val="9"/>
                <w:color w:val="FFFFFF"/>
              </w:rPr>
              <w:t>that is printed   the</w:t>
            </w:r>
          </w:p>
        </w:tc>
      </w:tr>
    </w:tbl>
    <w:p>
      <w:pPr>
        <w:ind w:right="140"/>
        <w:spacing w:after="0"/>
        <w:rPr>
          <w:sz w:val="20"/>
          <w:szCs w:val="20"/>
          <w:color w:val="auto"/>
        </w:rPr>
      </w:pPr>
      <w:r>
        <w:rPr>
          <w:rFonts w:ascii="Arial" w:cs="Arial" w:eastAsia="Arial" w:hAnsi="Arial"/>
          <w:sz w:val="11"/>
          <w:szCs w:val="11"/>
          <w:color w:val="FFFFFF"/>
        </w:rPr>
        <w:t>box marked by the arrow XXXX XXXX XXXX available and follow the instructions. Vote By Mail: You can vote by mail by requesting a paper copy of the materials, which willinformationinclude voting instruction form.</w:t>
      </w:r>
    </w:p>
    <w:p>
      <w:pPr>
        <w:sectPr>
          <w:pgSz w:w="11900" w:h="16838" w:orient="portrait"/>
          <w:cols w:equalWidth="0" w:num="1">
            <w:col w:w="11400"/>
          </w:cols>
          <w:pgMar w:left="240" w:top="1440"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512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2"/>
          </w:tcPr>
          <w:p>
            <w:pPr>
              <w:spacing w:after="0"/>
              <w:rPr>
                <w:sz w:val="20"/>
                <w:szCs w:val="20"/>
                <w:color w:val="auto"/>
              </w:rPr>
            </w:pPr>
            <w:r>
              <w:rPr>
                <w:rFonts w:ascii="Arial" w:cs="Arial" w:eastAsia="Arial" w:hAnsi="Arial"/>
                <w:sz w:val="14"/>
                <w:szCs w:val="14"/>
                <w:color w:val="FFFFFF"/>
                <w:w w:val="90"/>
              </w:rPr>
              <w:t>0000188796_2 R1.0.0.51160 Before You Vote How to Access the Proxy Materials Proxy Materials Available to VIEW or RECEIVE: 1. Notice &amp; Proxy Statement 2. Form 10-K How to View Online: Have the</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information that is printed in the box marked by the arrow XXXX XXXX XXXX (located on the following page) and visit: www.proxyvote.com. How to Request and Receive  PAPER or E-MAIL Copy: If you</w:t>
            </w:r>
          </w:p>
        </w:tc>
      </w:tr>
      <w:tr>
        <w:trPr>
          <w:trHeight w:val="41"/>
        </w:trPr>
        <w:tc>
          <w:tcPr>
            <w:tcW w:w="8940" w:type="dxa"/>
            <w:vAlign w:val="bottom"/>
          </w:tcPr>
          <w:p>
            <w:pPr>
              <w:ind w:left="100"/>
              <w:spacing w:after="0"/>
              <w:rPr>
                <w:sz w:val="20"/>
                <w:szCs w:val="20"/>
                <w:color w:val="auto"/>
              </w:rPr>
            </w:pPr>
            <w:r>
              <w:rPr>
                <w:rFonts w:ascii="Arial" w:cs="Arial" w:eastAsia="Arial" w:hAnsi="Arial"/>
                <w:sz w:val="3"/>
                <w:szCs w:val="3"/>
                <w:color w:val="FFFFFF"/>
              </w:rPr>
              <w:t>ant to receive a paper or e-mail copy of these documents, you must request one. There is NO charge for requesting a copy. Please choose one of the following</w:t>
            </w:r>
          </w:p>
        </w:tc>
        <w:tc>
          <w:tcPr>
            <w:tcW w:w="2480" w:type="dxa"/>
            <w:vAlign w:val="bottom"/>
          </w:tcPr>
          <w:p>
            <w:pPr>
              <w:jc w:val="right"/>
              <w:spacing w:after="0"/>
              <w:rPr>
                <w:sz w:val="20"/>
                <w:szCs w:val="20"/>
                <w:color w:val="auto"/>
              </w:rPr>
            </w:pPr>
            <w:r>
              <w:rPr>
                <w:rFonts w:ascii="Arial" w:cs="Arial" w:eastAsia="Arial" w:hAnsi="Arial"/>
                <w:sz w:val="3"/>
                <w:szCs w:val="3"/>
                <w:color w:val="FFFFFF"/>
              </w:rPr>
              <w:t>to make your request: 1) BY INTERNET:</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www.proxyvote.com 2) BY TELEPHONE: 1-800-579-1639 3) BY E-MAIL*: sendmaterial@proxyvote.com * If requesting materials by  -mail, please send a blankmethods-mail with the information that is printed in</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box marked by the arrow XXXX XXXX XXXX (located on the following page) in the subject line. Requests, instructions and other inquiries sent to this e-mail address will NOT be forwarded to your</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investment advisor. Please make the request as instructed above on or before January 21, 2014 to facilitate timely delivery. How To Vote Please Choose One of the Following Voting M thods Vote In Person: If</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you choose to vote these shares   person at the meeting, you must request  “legal proxy.” To do so, please follow the instructions at www.proxyvote.com or request a paper copy of the materials, which will</w:t>
            </w:r>
          </w:p>
        </w:tc>
      </w:tr>
      <w:tr>
        <w:trPr>
          <w:trHeight w:val="41"/>
        </w:trPr>
        <w:tc>
          <w:tcPr>
            <w:tcW w:w="11420" w:type="dxa"/>
            <w:vAlign w:val="bottom"/>
            <w:gridSpan w:val="2"/>
          </w:tcPr>
          <w:p>
            <w:pPr>
              <w:jc w:val="right"/>
              <w:ind w:right="9"/>
              <w:spacing w:after="0"/>
              <w:rPr>
                <w:sz w:val="20"/>
                <w:szCs w:val="20"/>
                <w:color w:val="auto"/>
              </w:rPr>
            </w:pPr>
            <w:r>
              <w:rPr>
                <w:rFonts w:ascii="Arial" w:cs="Arial" w:eastAsia="Arial" w:hAnsi="Arial"/>
                <w:sz w:val="3"/>
                <w:szCs w:val="3"/>
                <w:color w:val="FFFFFF"/>
              </w:rPr>
              <w:t>ontain the appropriate instructions. Many shareholder meetings have attendance requirements including, but not limited to, the possession of an attendance ticket issued by the entity holding the meeting. Please</w:t>
            </w:r>
          </w:p>
        </w:tc>
      </w:tr>
      <w:tr>
        <w:trPr>
          <w:trHeight w:val="0"/>
        </w:trPr>
        <w:tc>
          <w:tcPr>
            <w:tcW w:w="8940" w:type="dxa"/>
            <w:vAlign w:val="bottom"/>
          </w:tcPr>
          <w:p>
            <w:pPr>
              <w:spacing w:after="0" w:line="80" w:lineRule="exact"/>
              <w:rPr>
                <w:sz w:val="20"/>
                <w:szCs w:val="20"/>
                <w:color w:val="auto"/>
              </w:rPr>
            </w:pPr>
            <w:r>
              <w:rPr>
                <w:rFonts w:ascii="Arial" w:cs="Arial" w:eastAsia="Arial" w:hAnsi="Arial"/>
                <w:sz w:val="9"/>
                <w:szCs w:val="9"/>
                <w:color w:val="FFFFFF"/>
              </w:rPr>
              <w:t>check the meeting materials for any special requirements for meeting attendance. Vote By Internet: To vote now by Internet, go to www.proxyvote.com. Have the</w:t>
            </w:r>
          </w:p>
        </w:tc>
        <w:tc>
          <w:tcPr>
            <w:tcW w:w="2480" w:type="dxa"/>
            <w:vAlign w:val="bottom"/>
          </w:tcPr>
          <w:p>
            <w:pPr>
              <w:jc w:val="right"/>
              <w:ind w:right="9"/>
              <w:spacing w:after="0" w:line="80" w:lineRule="exact"/>
              <w:rPr>
                <w:sz w:val="20"/>
                <w:szCs w:val="20"/>
                <w:color w:val="auto"/>
              </w:rPr>
            </w:pPr>
            <w:r>
              <w:rPr>
                <w:rFonts w:ascii="Arial" w:cs="Arial" w:eastAsia="Arial" w:hAnsi="Arial"/>
                <w:sz w:val="9"/>
                <w:szCs w:val="9"/>
                <w:color w:val="FFFFFF"/>
              </w:rPr>
              <w:t>that is printed in the box marked by</w:t>
            </w:r>
          </w:p>
        </w:tc>
      </w:tr>
    </w:tbl>
    <w:p>
      <w:pPr>
        <w:spacing w:after="0" w:line="210" w:lineRule="auto"/>
        <w:rPr>
          <w:sz w:val="20"/>
          <w:szCs w:val="20"/>
          <w:color w:val="auto"/>
        </w:rPr>
      </w:pPr>
      <w:r>
        <w:rPr>
          <w:rFonts w:ascii="Arial" w:cs="Arial" w:eastAsia="Arial" w:hAnsi="Arial"/>
          <w:sz w:val="12"/>
          <w:szCs w:val="12"/>
          <w:color w:val="FFFFFF"/>
        </w:rPr>
        <w:t>the arrow XXXX XXXX XXXX available and follow the instructions. Vote By Mail: You can vote by mail by requesting a paper copy of the materials, which willinformationincludevoting instruction form.</w:t>
      </w:r>
    </w:p>
    <w:p>
      <w:pPr>
        <w:sectPr>
          <w:pgSz w:w="11900" w:h="16838" w:orient="portrait"/>
          <w:cols w:equalWidth="0" w:num="1">
            <w:col w:w="11420"/>
          </w:cols>
          <w:pgMar w:left="240" w:top="1440"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543560</wp:posOffset>
            </wp:positionV>
            <wp:extent cx="5831840" cy="37731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FFFFFF"/>
        </w:rPr>
        <w:t xml:space="preserve">0000188796_3 R1.0.0.51160 Voting items The Board of </w:t>
      </w:r>
      <w:r>
        <w:rPr>
          <w:rFonts w:ascii="Arial" w:cs="Arial" w:eastAsia="Arial" w:hAnsi="Arial"/>
          <w:sz w:val="24"/>
          <w:szCs w:val="24"/>
          <w:color w:val="FFFFFF"/>
          <w:vertAlign w:val="subscript"/>
        </w:rPr>
        <w:t>Directors</w:t>
      </w:r>
      <w:r>
        <w:rPr>
          <w:rFonts w:ascii="Arial" w:cs="Arial" w:eastAsia="Arial" w:hAnsi="Arial"/>
          <w:sz w:val="12"/>
          <w:szCs w:val="12"/>
          <w:color w:val="FFFFFF"/>
        </w:rPr>
        <w:t xml:space="preserve"> recommends you vote FOR the following proposal(s): 1. Election of Directors Nominees 01 Arthur H. Penn 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FFFFFF"/>
        </w:rPr>
        <w:t>recommends you vote FOR the following proposal(s): 2 T ratify the selection of McGladrey LLP to serve as the Company’s independent registered public accounting firm for the fiscal year ending September 30, 2014.</w:t>
      </w:r>
    </w:p>
    <w:p>
      <w:pPr>
        <w:sectPr>
          <w:pgSz w:w="11900" w:h="16838" w:orient="portrait"/>
          <w:cols w:equalWidth="0" w:num="1">
            <w:col w:w="11280"/>
          </w:cols>
          <w:pgMar w:left="240" w:top="1440" w:right="37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65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Arial" w:cs="Arial" w:eastAsia="Arial" w:hAnsi="Arial"/>
                <w:sz w:val="14"/>
                <w:szCs w:val="14"/>
                <w:color w:val="FFFFFF"/>
                <w:w w:val="93"/>
              </w:rPr>
              <w:t>590 MADISON AVENUE</w:t>
            </w:r>
          </w:p>
        </w:tc>
        <w:tc>
          <w:tcPr>
            <w:tcW w:w="9960" w:type="dxa"/>
            <w:vAlign w:val="bottom"/>
            <w:gridSpan w:val="4"/>
          </w:tcPr>
          <w:p>
            <w:pPr>
              <w:ind w:left="360"/>
              <w:spacing w:after="0"/>
              <w:rPr>
                <w:sz w:val="20"/>
                <w:szCs w:val="20"/>
                <w:color w:val="auto"/>
              </w:rPr>
            </w:pPr>
            <w:r>
              <w:rPr>
                <w:rFonts w:ascii="Arial" w:cs="Arial" w:eastAsia="Arial" w:hAnsi="Arial"/>
                <w:sz w:val="14"/>
                <w:szCs w:val="14"/>
                <w:color w:val="FFFFFF"/>
                <w:w w:val="91"/>
              </w:rPr>
              <w:t>FLOOR NEW YORK, NY 10022 VOTE BY INTERNET - www.proxyvote.com Use the Internet to transmit your voting instructions and for electronic delivery of information</w:t>
            </w:r>
          </w:p>
        </w:tc>
      </w:tr>
      <w:tr>
        <w:trPr>
          <w:trHeight w:val="41"/>
        </w:trPr>
        <w:tc>
          <w:tcPr>
            <w:tcW w:w="8800" w:type="dxa"/>
            <w:vAlign w:val="bottom"/>
            <w:gridSpan w:val="4"/>
          </w:tcPr>
          <w:p>
            <w:pPr>
              <w:spacing w:after="0"/>
              <w:rPr>
                <w:sz w:val="20"/>
                <w:szCs w:val="20"/>
                <w:color w:val="auto"/>
              </w:rPr>
            </w:pPr>
            <w:r>
              <w:rPr>
                <w:rFonts w:ascii="Arial" w:cs="Arial" w:eastAsia="Arial" w:hAnsi="Arial"/>
                <w:sz w:val="3"/>
                <w:szCs w:val="3"/>
                <w:color w:val="FFFFFF"/>
              </w:rPr>
              <w:t>up until 11:59 P.M. Eastern15THime the day before the cut-off date or meeting date. Have your proxy card in hand when you access the web site and follow the</w:t>
            </w:r>
          </w:p>
        </w:tc>
        <w:tc>
          <w:tcPr>
            <w:tcW w:w="2620" w:type="dxa"/>
            <w:vAlign w:val="bottom"/>
          </w:tcPr>
          <w:p>
            <w:pPr>
              <w:ind w:left="340"/>
              <w:spacing w:after="0"/>
              <w:rPr>
                <w:sz w:val="20"/>
                <w:szCs w:val="20"/>
                <w:color w:val="auto"/>
              </w:rPr>
            </w:pPr>
            <w:r>
              <w:rPr>
                <w:rFonts w:ascii="Arial" w:cs="Arial" w:eastAsia="Arial" w:hAnsi="Arial"/>
                <w:sz w:val="3"/>
                <w:szCs w:val="3"/>
                <w:color w:val="FFFFFF"/>
              </w:rPr>
              <w:t>to obtain your records and to create an</w:t>
            </w:r>
          </w:p>
        </w:tc>
      </w:tr>
      <w:tr>
        <w:trPr>
          <w:trHeight w:val="41"/>
        </w:trPr>
        <w:tc>
          <w:tcPr>
            <w:tcW w:w="6040" w:type="dxa"/>
            <w:vAlign w:val="bottom"/>
            <w:gridSpan w:val="2"/>
          </w:tcPr>
          <w:p>
            <w:pPr>
              <w:spacing w:after="0"/>
              <w:rPr>
                <w:sz w:val="20"/>
                <w:szCs w:val="20"/>
                <w:color w:val="auto"/>
              </w:rPr>
            </w:pPr>
            <w:r>
              <w:rPr>
                <w:rFonts w:ascii="Arial" w:cs="Arial" w:eastAsia="Arial" w:hAnsi="Arial"/>
                <w:sz w:val="3"/>
                <w:szCs w:val="3"/>
                <w:color w:val="FFFFFF"/>
              </w:rPr>
              <w:t>electronic voting instruction form. ELECTRONIC DELIVERY OF FUTURE PROXY MATERIALS If you</w:t>
            </w:r>
          </w:p>
        </w:tc>
        <w:tc>
          <w:tcPr>
            <w:tcW w:w="5380" w:type="dxa"/>
            <w:vAlign w:val="bottom"/>
            <w:gridSpan w:val="3"/>
          </w:tcPr>
          <w:p>
            <w:pPr>
              <w:ind w:left="220"/>
              <w:spacing w:after="0"/>
              <w:rPr>
                <w:sz w:val="20"/>
                <w:szCs w:val="20"/>
                <w:color w:val="auto"/>
              </w:rPr>
            </w:pPr>
            <w:r>
              <w:rPr>
                <w:rFonts w:ascii="Arial" w:cs="Arial" w:eastAsia="Arial" w:hAnsi="Arial"/>
                <w:sz w:val="3"/>
                <w:szCs w:val="3"/>
                <w:color w:val="FFFFFF"/>
              </w:rPr>
              <w:t>like to reduce the costs incurred by our companyinstructionsmailing proxy materials, you can consent</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to receiving all future proxy statements, proxy cards and annual reports electronically via  -mail or the Internet.would sign up for electronic delivery, please follow the instructions above to vote using the Internet</w:t>
            </w:r>
          </w:p>
        </w:tc>
      </w:tr>
      <w:tr>
        <w:trPr>
          <w:trHeight w:val="41"/>
        </w:trPr>
        <w:tc>
          <w:tcPr>
            <w:tcW w:w="6420" w:type="dxa"/>
            <w:vAlign w:val="bottom"/>
            <w:gridSpan w:val="3"/>
          </w:tcPr>
          <w:p>
            <w:pPr>
              <w:spacing w:after="0"/>
              <w:rPr>
                <w:sz w:val="20"/>
                <w:szCs w:val="20"/>
                <w:color w:val="auto"/>
              </w:rPr>
            </w:pPr>
            <w:r>
              <w:rPr>
                <w:rFonts w:ascii="Arial" w:cs="Arial" w:eastAsia="Arial" w:hAnsi="Arial"/>
                <w:sz w:val="3"/>
                <w:szCs w:val="3"/>
                <w:color w:val="FFFFFF"/>
              </w:rPr>
              <w:t>and, when prompted, indicate that you agree to receive   access proxy materials electronically in future years. VOTE</w:t>
            </w:r>
          </w:p>
        </w:tc>
        <w:tc>
          <w:tcPr>
            <w:tcW w:w="5000" w:type="dxa"/>
            <w:vAlign w:val="bottom"/>
            <w:gridSpan w:val="2"/>
          </w:tcPr>
          <w:p>
            <w:pPr>
              <w:spacing w:after="0"/>
              <w:rPr>
                <w:sz w:val="20"/>
                <w:szCs w:val="20"/>
                <w:color w:val="auto"/>
              </w:rPr>
            </w:pPr>
            <w:r>
              <w:rPr>
                <w:rFonts w:ascii="Arial" w:cs="Arial" w:eastAsia="Arial" w:hAnsi="Arial"/>
                <w:sz w:val="3"/>
                <w:szCs w:val="3"/>
                <w:color w:val="FFFFFF"/>
              </w:rPr>
              <w:t>BY PHONE - 1-800-690-6903 Use any touch-tone telephone to transmit your voting</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instructions up until 11:59 P.M. Eastern Time the day before the cut-off date or meeting date. Have your proxy card in hand when you call and then follow the instructions. VOTE BY MAIL Mark, sign and date</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your proxy card and return it in the postage-paid envelope we have provided or return it to Vote Processing, c/o Broadridge, 51 Mercedes Way, Edgewood, NY 11717. TO VOTE, MARK BLOCKS BELOW IN</w:t>
            </w:r>
          </w:p>
        </w:tc>
      </w:tr>
      <w:tr>
        <w:trPr>
          <w:trHeight w:val="41"/>
        </w:trPr>
        <w:tc>
          <w:tcPr>
            <w:tcW w:w="6420" w:type="dxa"/>
            <w:vAlign w:val="bottom"/>
            <w:gridSpan w:val="3"/>
          </w:tcPr>
          <w:p>
            <w:pPr>
              <w:spacing w:after="0"/>
              <w:rPr>
                <w:sz w:val="20"/>
                <w:szCs w:val="20"/>
                <w:color w:val="auto"/>
              </w:rPr>
            </w:pPr>
            <w:r>
              <w:rPr>
                <w:rFonts w:ascii="Arial" w:cs="Arial" w:eastAsia="Arial" w:hAnsi="Arial"/>
                <w:sz w:val="3"/>
                <w:szCs w:val="3"/>
                <w:color w:val="FFFFFF"/>
              </w:rPr>
              <w:t>BLUE OR BLACK INK AS FOLLOWS: KEEP THIS PORTION FOR YOUR RECORDS DETACH AND RETURN</w:t>
            </w:r>
          </w:p>
        </w:tc>
        <w:tc>
          <w:tcPr>
            <w:tcW w:w="5000" w:type="dxa"/>
            <w:vAlign w:val="bottom"/>
            <w:gridSpan w:val="2"/>
          </w:tcPr>
          <w:p>
            <w:pPr>
              <w:ind w:left="360"/>
              <w:spacing w:after="0"/>
              <w:rPr>
                <w:sz w:val="20"/>
                <w:szCs w:val="20"/>
                <w:color w:val="auto"/>
              </w:rPr>
            </w:pPr>
            <w:r>
              <w:rPr>
                <w:rFonts w:ascii="Arial" w:cs="Arial" w:eastAsia="Arial" w:hAnsi="Arial"/>
                <w:sz w:val="3"/>
                <w:szCs w:val="3"/>
                <w:color w:val="FFFFFF"/>
              </w:rPr>
              <w:t>PORTION ONLY THIS PROXY CARD IS VALID ONLY WHEN SIGNED AND</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DATED. The Board of Directors recommends you vote FOR the following: 1. Election of Directors Nominees 01 ArthurTHIS.Penn The Board of Directors recommends you vote FOR the following proposal: 2 To</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ratify the selection of McGladrey LLP to serve as the Company’ independent registered public accounting firm for the fiscal year ending September 30, 2014. For Against Abstain For Against Abstain For</w:t>
            </w:r>
          </w:p>
        </w:tc>
      </w:tr>
      <w:tr>
        <w:trPr>
          <w:trHeight w:val="0"/>
        </w:trPr>
        <w:tc>
          <w:tcPr>
            <w:tcW w:w="1460" w:type="dxa"/>
            <w:vAlign w:val="bottom"/>
          </w:tcPr>
          <w:p>
            <w:pPr>
              <w:ind w:left="60"/>
              <w:spacing w:after="0" w:line="80" w:lineRule="exact"/>
              <w:rPr>
                <w:sz w:val="20"/>
                <w:szCs w:val="20"/>
                <w:color w:val="auto"/>
              </w:rPr>
            </w:pPr>
            <w:r>
              <w:rPr>
                <w:rFonts w:ascii="Arial" w:cs="Arial" w:eastAsia="Arial" w:hAnsi="Arial"/>
                <w:sz w:val="9"/>
                <w:szCs w:val="9"/>
                <w:color w:val="FFFFFF"/>
              </w:rPr>
              <w:t>ddress</w:t>
            </w:r>
          </w:p>
        </w:tc>
        <w:tc>
          <w:tcPr>
            <w:tcW w:w="9960" w:type="dxa"/>
            <w:vAlign w:val="bottom"/>
            <w:gridSpan w:val="4"/>
          </w:tcPr>
          <w:p>
            <w:pPr>
              <w:ind w:left="20"/>
              <w:spacing w:after="0" w:line="80" w:lineRule="exact"/>
              <w:rPr>
                <w:sz w:val="20"/>
                <w:szCs w:val="20"/>
                <w:color w:val="auto"/>
              </w:rPr>
            </w:pPr>
            <w:r>
              <w:rPr>
                <w:rFonts w:ascii="Arial" w:cs="Arial" w:eastAsia="Arial" w:hAnsi="Arial"/>
                <w:sz w:val="9"/>
                <w:szCs w:val="9"/>
                <w:color w:val="FFFFFF"/>
              </w:rPr>
              <w:t>mark here. (see reverse for instructions) Yes No R1.0.0.51160 Please indicate if you plan to attend this meeting 1 _ Please sign exactly as your name(s) appear(s) hereon. When signing</w:t>
            </w:r>
          </w:p>
        </w:tc>
      </w:tr>
    </w:tbl>
    <w:p>
      <w:pPr>
        <w:spacing w:after="0" w:line="25" w:lineRule="auto"/>
        <w:rPr>
          <w:sz w:val="20"/>
          <w:szCs w:val="20"/>
          <w:color w:val="auto"/>
        </w:rPr>
      </w:pPr>
      <w:r>
        <w:rPr>
          <w:rFonts w:ascii="Arial" w:cs="Arial" w:eastAsia="Arial" w:hAnsi="Arial"/>
          <w:sz w:val="1"/>
          <w:szCs w:val="1"/>
          <w:color w:val="FFFFFF"/>
        </w:rPr>
        <w:t>as attorneychange/comments,executoradministrator,</w:t>
      </w:r>
      <w:r>
        <w:rPr>
          <w:rFonts w:ascii="Arial" w:cs="Arial" w:eastAsia="Arial" w:hAnsi="Arial"/>
          <w:sz w:val="1"/>
          <w:szCs w:val="1"/>
          <w:color w:val="FFFFFF"/>
          <w:vertAlign w:val="subscript"/>
        </w:rPr>
        <w:t>authorized</w:t>
      </w:r>
      <w:r>
        <w:rPr>
          <w:rFonts w:ascii="Arial" w:cs="Arial" w:eastAsia="Arial" w:hAnsi="Arial"/>
          <w:sz w:val="1"/>
          <w:szCs w:val="1"/>
          <w:color w:val="FFFFFF"/>
        </w:rPr>
        <w:t>otherfiduciary, please give full title as such. Joint owners should each sign personally. All holders must sign. If a corporation or partnership, please sign in full corporate or</w:t>
      </w:r>
    </w:p>
    <w:p>
      <w:pPr>
        <w:spacing w:after="0"/>
        <w:tabs>
          <w:tab w:leader="none" w:pos="2440" w:val="left"/>
        </w:tabs>
        <w:rPr>
          <w:sz w:val="20"/>
          <w:szCs w:val="20"/>
          <w:color w:val="auto"/>
        </w:rPr>
      </w:pPr>
      <w:r>
        <w:rPr>
          <w:rFonts w:ascii="Arial" w:cs="Arial" w:eastAsia="Arial" w:hAnsi="Arial"/>
          <w:sz w:val="14"/>
          <w:szCs w:val="14"/>
          <w:color w:val="FFFFFF"/>
        </w:rPr>
        <w:t>0000188798 partnership name by</w:t>
      </w:r>
      <w:r>
        <w:rPr>
          <w:sz w:val="20"/>
          <w:szCs w:val="20"/>
          <w:color w:val="auto"/>
        </w:rPr>
        <w:tab/>
      </w:r>
      <w:r>
        <w:rPr>
          <w:rFonts w:ascii="Arial" w:cs="Arial" w:eastAsia="Arial" w:hAnsi="Arial"/>
          <w:sz w:val="12"/>
          <w:szCs w:val="12"/>
          <w:color w:val="FFFFFF"/>
        </w:rPr>
        <w:t>officer. Signature [PLEASE SIGN WITHIN BOX] Date Signature (Joint Owners) Date</w:t>
      </w:r>
    </w:p>
    <w:p>
      <w:pPr>
        <w:sectPr>
          <w:pgSz w:w="11900" w:h="16838" w:orient="portrait"/>
          <w:cols w:equalWidth="0" w:num="1">
            <w:col w:w="11420"/>
          </w:cols>
          <w:pgMar w:left="240" w:top="144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3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2"/>
          </w:tcPr>
          <w:p>
            <w:pPr>
              <w:spacing w:after="0"/>
              <w:rPr>
                <w:sz w:val="20"/>
                <w:szCs w:val="20"/>
                <w:color w:val="auto"/>
              </w:rPr>
            </w:pPr>
            <w:r>
              <w:rPr>
                <w:rFonts w:ascii="Arial" w:cs="Arial" w:eastAsia="Arial" w:hAnsi="Arial"/>
                <w:sz w:val="14"/>
                <w:szCs w:val="14"/>
                <w:color w:val="FFFFFF"/>
                <w:w w:val="92"/>
              </w:rPr>
              <w:t>Important Notice Regarding the Availability of Proxy Materials for the Annual Meeting: The Notice &amp; Proxy Statement, Form 10-K is/are available at www.proxyvote.com . PENNANTPARK FLOATING</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RATE CAPITAL LTD. Annual Meeting of Shareholders February 4, 2014 9:30 AM This proxy is solicited by the Board of Directors The undersigned hereby appoints Adam Bernstein and Jeffrey Flug, or either</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one of them, and each with full power of substitution, to act as attorneys and proxies for the undersigned to vote all of the shares of Common Stock of PennantPark Floating Rate Capital Ltd. (the “Company”)</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which the undersigned is entitled to vote at the Annual Meeting of Stockholders of the Company to be held at the offices of Dechert LLP located at 1095 Avenue of the Americas, New York, New York,</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February 4, 2014 at 9:30 a.m., Eastern Time, and at all adjournments thereof, as indicated on this proxy. This proxy, when properly executed, will be voted in the manner directed herein. If no such direction is</w:t>
            </w:r>
          </w:p>
        </w:tc>
      </w:tr>
      <w:tr>
        <w:trPr>
          <w:trHeight w:val="0"/>
        </w:trPr>
        <w:tc>
          <w:tcPr>
            <w:tcW w:w="3680" w:type="dxa"/>
            <w:vAlign w:val="bottom"/>
          </w:tcPr>
          <w:p>
            <w:pPr>
              <w:spacing w:after="0" w:line="80" w:lineRule="exact"/>
              <w:rPr>
                <w:sz w:val="20"/>
                <w:szCs w:val="20"/>
                <w:color w:val="auto"/>
              </w:rPr>
            </w:pPr>
            <w:r>
              <w:rPr>
                <w:rFonts w:ascii="Arial" w:cs="Arial" w:eastAsia="Arial" w:hAnsi="Arial"/>
                <w:sz w:val="9"/>
                <w:szCs w:val="9"/>
                <w:color w:val="FFFFFF"/>
              </w:rPr>
              <w:t>made, this proxy will be voted in accordance with the Board of</w:t>
            </w:r>
          </w:p>
        </w:tc>
        <w:tc>
          <w:tcPr>
            <w:tcW w:w="7700" w:type="dxa"/>
            <w:vAlign w:val="bottom"/>
          </w:tcPr>
          <w:p>
            <w:pPr>
              <w:ind w:left="260"/>
              <w:spacing w:after="0" w:line="80" w:lineRule="exact"/>
              <w:rPr>
                <w:sz w:val="20"/>
                <w:szCs w:val="20"/>
                <w:color w:val="auto"/>
              </w:rPr>
            </w:pPr>
            <w:r>
              <w:rPr>
                <w:rFonts w:ascii="Arial" w:cs="Arial" w:eastAsia="Arial" w:hAnsi="Arial"/>
                <w:sz w:val="9"/>
                <w:szCs w:val="9"/>
                <w:color w:val="FFFFFF"/>
              </w:rPr>
              <w:t>recomme dations. 0000188798_2 R1.0.0.51160 Address change/comments: (If you noted any Address Changes and/or Comments above,</w:t>
            </w:r>
          </w:p>
        </w:tc>
      </w:tr>
    </w:tbl>
    <w:p>
      <w:pPr>
        <w:spacing w:after="0" w:line="180" w:lineRule="auto"/>
        <w:rPr>
          <w:sz w:val="20"/>
          <w:szCs w:val="20"/>
          <w:color w:val="auto"/>
        </w:rPr>
      </w:pPr>
      <w:r>
        <w:rPr>
          <w:rFonts w:ascii="Arial" w:cs="Arial" w:eastAsia="Arial" w:hAnsi="Arial"/>
          <w:sz w:val="14"/>
          <w:szCs w:val="14"/>
          <w:color w:val="FFFFFF"/>
        </w:rPr>
        <w:t>please mark corresponding box on the reverse side.) Continued Directorandbe signed on reverse side</w:t>
      </w:r>
    </w:p>
    <w:p>
      <w:pPr>
        <w:sectPr>
          <w:pgSz w:w="11900" w:h="16838" w:orient="portrait"/>
          <w:cols w:equalWidth="0" w:num="1">
            <w:col w:w="11380"/>
          </w:cols>
          <w:pgMar w:left="240" w:top="1440" w:right="2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543560</wp:posOffset>
            </wp:positionV>
            <wp:extent cx="5831840" cy="3644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40" w:type="dxa"/>
            <w:vAlign w:val="bottom"/>
            <w:gridSpan w:val="2"/>
          </w:tcPr>
          <w:p>
            <w:pPr>
              <w:spacing w:after="0"/>
              <w:rPr>
                <w:sz w:val="20"/>
                <w:szCs w:val="20"/>
                <w:color w:val="auto"/>
              </w:rPr>
            </w:pPr>
            <w:r>
              <w:rPr>
                <w:rFonts w:ascii="Arial" w:cs="Arial" w:eastAsia="Arial" w:hAnsi="Arial"/>
                <w:sz w:val="14"/>
                <w:szCs w:val="14"/>
                <w:color w:val="FFFFFF"/>
                <w:w w:val="91"/>
              </w:rPr>
              <w:t>0000188793_1 R1.0.0.51160 *** Exercise Your Right to Vote *** Important Notice Regarding the Availability of Proxy Materials for the Shareholder Meeting to Be Held on &lt;mtgdate&gt;. February 04, 2014</w:t>
            </w: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PENNANTPARK INVESTMENT CORPORATION Meeting Information Meeting Type: Annual &lt;mtgtype&gt; Meeting For holders as of: December &lt;recdate&gt; 09, 2013 Date: February 04, 2014 Time: 9:30</w:t>
            </w: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&lt;mtgtime&gt; AM EST Location: Offices of Dechert LLP 1095 Avenue of the Americas New York, NY 10036 You are receiving this communication because you hold shares in the above named company. This is</w:t>
            </w:r>
          </w:p>
        </w:tc>
      </w:tr>
      <w:tr>
        <w:trPr>
          <w:trHeight w:val="0"/>
        </w:trPr>
        <w:tc>
          <w:tcPr>
            <w:tcW w:w="5560" w:type="dxa"/>
            <w:vAlign w:val="bottom"/>
          </w:tcPr>
          <w:p>
            <w:pPr>
              <w:spacing w:after="0" w:line="80" w:lineRule="exact"/>
              <w:rPr>
                <w:sz w:val="20"/>
                <w:szCs w:val="20"/>
                <w:color w:val="auto"/>
              </w:rPr>
            </w:pPr>
            <w:r>
              <w:rPr>
                <w:rFonts w:ascii="Arial" w:cs="Arial" w:eastAsia="Arial" w:hAnsi="Arial"/>
                <w:sz w:val="9"/>
                <w:szCs w:val="9"/>
                <w:color w:val="FFFFFF"/>
              </w:rPr>
              <w:t>not a ballot. You cannot use this notice to vote these shares. This communication presents only an</w:t>
            </w:r>
          </w:p>
        </w:tc>
        <w:tc>
          <w:tcPr>
            <w:tcW w:w="5780" w:type="dxa"/>
            <w:vAlign w:val="bottom"/>
          </w:tcPr>
          <w:p>
            <w:pPr>
              <w:ind w:left="300"/>
              <w:spacing w:after="0" w:line="80" w:lineRule="exact"/>
              <w:rPr>
                <w:sz w:val="20"/>
                <w:szCs w:val="20"/>
                <w:color w:val="auto"/>
              </w:rPr>
            </w:pPr>
            <w:r>
              <w:rPr>
                <w:rFonts w:ascii="Arial" w:cs="Arial" w:eastAsia="Arial" w:hAnsi="Arial"/>
                <w:sz w:val="9"/>
                <w:szCs w:val="9"/>
                <w:color w:val="FFFFFF"/>
              </w:rPr>
              <w:t>of the more complete proxy materials that are available to you   the Internet. You may view the</w:t>
            </w:r>
          </w:p>
        </w:tc>
      </w:tr>
    </w:tbl>
    <w:p>
      <w:pPr>
        <w:spacing w:after="0" w:line="25" w:lineRule="auto"/>
        <w:rPr>
          <w:sz w:val="20"/>
          <w:szCs w:val="20"/>
          <w:color w:val="auto"/>
        </w:rPr>
      </w:pPr>
      <w:r>
        <w:rPr>
          <w:rFonts w:ascii="Arial" w:cs="Arial" w:eastAsia="Arial" w:hAnsi="Arial"/>
          <w:sz w:val="1"/>
          <w:szCs w:val="1"/>
          <w:color w:val="FFFFFF"/>
        </w:rPr>
        <w:t>proxy materials online at www.proxyvote.com or easily request</w:t>
      </w:r>
      <w:r>
        <w:rPr>
          <w:rFonts w:ascii="Arial" w:cs="Arial" w:eastAsia="Arial" w:hAnsi="Arial"/>
          <w:sz w:val="1"/>
          <w:szCs w:val="1"/>
          <w:color w:val="FFFFFF"/>
          <w:vertAlign w:val="subscript"/>
        </w:rPr>
        <w:t>materials</w:t>
      </w:r>
      <w:r>
        <w:rPr>
          <w:rFonts w:ascii="Arial" w:cs="Arial" w:eastAsia="Arial" w:hAnsi="Arial"/>
          <w:sz w:val="1"/>
          <w:szCs w:val="1"/>
          <w:color w:val="FFFFFF"/>
        </w:rPr>
        <w:t>paper copy (see reverse side). Woverviewencourage you to access and review all of the important information contained in the proxy materials before</w:t>
      </w:r>
    </w:p>
    <w:p>
      <w:pPr>
        <w:spacing w:after="0"/>
        <w:tabs>
          <w:tab w:leader="none" w:pos="3640" w:val="left"/>
        </w:tabs>
        <w:rPr>
          <w:sz w:val="20"/>
          <w:szCs w:val="20"/>
          <w:color w:val="auto"/>
        </w:rPr>
      </w:pPr>
      <w:r>
        <w:rPr>
          <w:rFonts w:ascii="Arial" w:cs="Arial" w:eastAsia="Arial" w:hAnsi="Arial"/>
          <w:sz w:val="14"/>
          <w:szCs w:val="14"/>
          <w:color w:val="FFFFFF"/>
        </w:rPr>
        <w:t>voting. See the reverse side of this notice to obtain proxy</w:t>
      </w:r>
      <w:r>
        <w:rPr>
          <w:sz w:val="20"/>
          <w:szCs w:val="20"/>
          <w:color w:val="auto"/>
        </w:rPr>
        <w:tab/>
      </w:r>
      <w:r>
        <w:rPr>
          <w:rFonts w:ascii="Arial" w:cs="Arial" w:eastAsia="Arial" w:hAnsi="Arial"/>
          <w:sz w:val="12"/>
          <w:szCs w:val="12"/>
          <w:color w:val="FFFFFF"/>
        </w:rPr>
        <w:t>and voting instructions.</w:t>
      </w:r>
    </w:p>
    <w:p>
      <w:pPr>
        <w:sectPr>
          <w:pgSz w:w="11900" w:h="16838" w:orient="portrait"/>
          <w:cols w:equalWidth="0" w:num="1">
            <w:col w:w="11340"/>
          </w:cols>
          <w:pgMar w:left="240" w:top="1440" w:right="3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543560</wp:posOffset>
            </wp:positionV>
            <wp:extent cx="5831840" cy="4107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2"/>
          </w:tcPr>
          <w:p>
            <w:pPr>
              <w:spacing w:after="0"/>
              <w:rPr>
                <w:sz w:val="20"/>
                <w:szCs w:val="20"/>
                <w:color w:val="auto"/>
              </w:rPr>
            </w:pPr>
            <w:r>
              <w:rPr>
                <w:rFonts w:ascii="Arial" w:cs="Arial" w:eastAsia="Arial" w:hAnsi="Arial"/>
                <w:sz w:val="14"/>
                <w:szCs w:val="14"/>
                <w:color w:val="FFFFFF"/>
                <w:w w:val="90"/>
              </w:rPr>
              <w:t>0000188793_2 R1.0.0.51160 Before You Vote How to Access the Proxy Materials Proxy Materials Available to VIEW or RECEIVE: 1. Notice &amp; Proxy Statement 2. Form 10-K How to View Online: Have the</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information that is printed in the box marked by the arrow XXXX XXXX XXXX (located on the following page) and visit: www.proxyvote.com. How to Request and Receive  PAPER or E-MAIL Copy: If you</w:t>
            </w:r>
          </w:p>
        </w:tc>
      </w:tr>
      <w:tr>
        <w:trPr>
          <w:trHeight w:val="41"/>
        </w:trPr>
        <w:tc>
          <w:tcPr>
            <w:tcW w:w="8940" w:type="dxa"/>
            <w:vAlign w:val="bottom"/>
          </w:tcPr>
          <w:p>
            <w:pPr>
              <w:ind w:left="100"/>
              <w:spacing w:after="0"/>
              <w:rPr>
                <w:sz w:val="20"/>
                <w:szCs w:val="20"/>
                <w:color w:val="auto"/>
              </w:rPr>
            </w:pPr>
            <w:r>
              <w:rPr>
                <w:rFonts w:ascii="Arial" w:cs="Arial" w:eastAsia="Arial" w:hAnsi="Arial"/>
                <w:sz w:val="3"/>
                <w:szCs w:val="3"/>
                <w:color w:val="FFFFFF"/>
              </w:rPr>
              <w:t>ant to receive a paper or e-mail copy of these documents, you must request one. There is NO charge for requesting a copy. Please choose one of the following</w:t>
            </w:r>
          </w:p>
        </w:tc>
        <w:tc>
          <w:tcPr>
            <w:tcW w:w="2480" w:type="dxa"/>
            <w:vAlign w:val="bottom"/>
          </w:tcPr>
          <w:p>
            <w:pPr>
              <w:jc w:val="right"/>
              <w:spacing w:after="0"/>
              <w:rPr>
                <w:sz w:val="20"/>
                <w:szCs w:val="20"/>
                <w:color w:val="auto"/>
              </w:rPr>
            </w:pPr>
            <w:r>
              <w:rPr>
                <w:rFonts w:ascii="Arial" w:cs="Arial" w:eastAsia="Arial" w:hAnsi="Arial"/>
                <w:sz w:val="3"/>
                <w:szCs w:val="3"/>
                <w:color w:val="FFFFFF"/>
              </w:rPr>
              <w:t>to make your request: 1) BY INTERNET:</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www.proxyvote.com 2) BY TELEPHONE: 1-800-579-1639 3) BY E-MAIL*: sendmaterial@proxyvote.com * If requesting materials by  -mail, please send a blankmethods-mail with the information that is printed in</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box marked by the arrow XXXX XXXX XXXX (located on the following page) in the subject line. Requests, instructions and other inquiries sent to this e-mail address will NOT be forwarded to your</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investment advisor. Please make the request as instructed above on or before January 21, 2014 to facilitate timely delivery. How To Vote Please Choose One of the Following Voting M thods Vote In Person: If</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you choose to vote these shares   person at the meeting, you must request  “legal proxy.” To do so, please follow the instructions at www.proxyvote.com or request a paper copy of the materials, which will</w:t>
            </w:r>
          </w:p>
        </w:tc>
      </w:tr>
      <w:tr>
        <w:trPr>
          <w:trHeight w:val="41"/>
        </w:trPr>
        <w:tc>
          <w:tcPr>
            <w:tcW w:w="11420" w:type="dxa"/>
            <w:vAlign w:val="bottom"/>
            <w:gridSpan w:val="2"/>
          </w:tcPr>
          <w:p>
            <w:pPr>
              <w:jc w:val="right"/>
              <w:ind w:right="9"/>
              <w:spacing w:after="0"/>
              <w:rPr>
                <w:sz w:val="20"/>
                <w:szCs w:val="20"/>
                <w:color w:val="auto"/>
              </w:rPr>
            </w:pPr>
            <w:r>
              <w:rPr>
                <w:rFonts w:ascii="Arial" w:cs="Arial" w:eastAsia="Arial" w:hAnsi="Arial"/>
                <w:sz w:val="3"/>
                <w:szCs w:val="3"/>
                <w:color w:val="FFFFFF"/>
              </w:rPr>
              <w:t>ontain the appropriate instructions. Many shareholder meetings have attendance requirements including, but not limited to, the possession of an attendance ticket issued by the entity holding the meeting. Please</w:t>
            </w:r>
          </w:p>
        </w:tc>
      </w:tr>
      <w:tr>
        <w:trPr>
          <w:trHeight w:val="0"/>
        </w:trPr>
        <w:tc>
          <w:tcPr>
            <w:tcW w:w="8940" w:type="dxa"/>
            <w:vAlign w:val="bottom"/>
          </w:tcPr>
          <w:p>
            <w:pPr>
              <w:spacing w:after="0" w:line="80" w:lineRule="exact"/>
              <w:rPr>
                <w:sz w:val="20"/>
                <w:szCs w:val="20"/>
                <w:color w:val="auto"/>
              </w:rPr>
            </w:pPr>
            <w:r>
              <w:rPr>
                <w:rFonts w:ascii="Arial" w:cs="Arial" w:eastAsia="Arial" w:hAnsi="Arial"/>
                <w:sz w:val="9"/>
                <w:szCs w:val="9"/>
                <w:color w:val="FFFFFF"/>
              </w:rPr>
              <w:t>check the meeting materials for any special requirements for meeting attendance. Vote By Internet: To vote now by Internet, go to www.proxyvote.com. Have the</w:t>
            </w:r>
          </w:p>
        </w:tc>
        <w:tc>
          <w:tcPr>
            <w:tcW w:w="2480" w:type="dxa"/>
            <w:vAlign w:val="bottom"/>
          </w:tcPr>
          <w:p>
            <w:pPr>
              <w:jc w:val="right"/>
              <w:ind w:right="9"/>
              <w:spacing w:after="0" w:line="80" w:lineRule="exact"/>
              <w:rPr>
                <w:sz w:val="20"/>
                <w:szCs w:val="20"/>
                <w:color w:val="auto"/>
              </w:rPr>
            </w:pPr>
            <w:r>
              <w:rPr>
                <w:rFonts w:ascii="Arial" w:cs="Arial" w:eastAsia="Arial" w:hAnsi="Arial"/>
                <w:sz w:val="9"/>
                <w:szCs w:val="9"/>
                <w:color w:val="FFFFFF"/>
              </w:rPr>
              <w:t>that is printed in the box marked by</w:t>
            </w:r>
          </w:p>
        </w:tc>
      </w:tr>
    </w:tbl>
    <w:p>
      <w:pPr>
        <w:spacing w:after="0" w:line="210" w:lineRule="auto"/>
        <w:rPr>
          <w:sz w:val="20"/>
          <w:szCs w:val="20"/>
          <w:color w:val="auto"/>
        </w:rPr>
      </w:pPr>
      <w:r>
        <w:rPr>
          <w:rFonts w:ascii="Arial" w:cs="Arial" w:eastAsia="Arial" w:hAnsi="Arial"/>
          <w:sz w:val="12"/>
          <w:szCs w:val="12"/>
          <w:color w:val="FFFFFF"/>
        </w:rPr>
        <w:t>the arrow XXXX XXXX XXXX available and follow the instructions. Vote By Mail: You can vote by mail by requesting a paper copy of the materials, which willinformationincludevoting instruction form.</w:t>
      </w:r>
    </w:p>
    <w:p>
      <w:pPr>
        <w:sectPr>
          <w:pgSz w:w="11900" w:h="16838" w:orient="portrait"/>
          <w:cols w:equalWidth="0" w:num="1">
            <w:col w:w="11420"/>
          </w:cols>
          <w:pgMar w:left="240" w:top="1440" w:right="2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512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FFFFFF"/>
        </w:rPr>
        <w:t xml:space="preserve">0000188793_3 R1.0.0.51160 Voting items The Board of Directors </w:t>
      </w:r>
      <w:r>
        <w:rPr>
          <w:rFonts w:ascii="Arial" w:cs="Arial" w:eastAsia="Arial" w:hAnsi="Arial"/>
          <w:sz w:val="24"/>
          <w:szCs w:val="24"/>
          <w:color w:val="FFFFFF"/>
          <w:vertAlign w:val="subscript"/>
        </w:rPr>
        <w:t>recommends</w:t>
      </w:r>
      <w:r>
        <w:rPr>
          <w:rFonts w:ascii="Arial" w:cs="Arial" w:eastAsia="Arial" w:hAnsi="Arial"/>
          <w:sz w:val="12"/>
          <w:szCs w:val="12"/>
          <w:color w:val="FFFFFF"/>
        </w:rPr>
        <w:t xml:space="preserve"> that you vote FOR the following: 1. Election of </w:t>
      </w:r>
      <w:r>
        <w:rPr>
          <w:rFonts w:ascii="Arial" w:cs="Arial" w:eastAsia="Arial" w:hAnsi="Arial"/>
          <w:sz w:val="24"/>
          <w:szCs w:val="24"/>
          <w:color w:val="FFFFFF"/>
          <w:vertAlign w:val="subscript"/>
        </w:rPr>
        <w:t>Directors</w:t>
      </w:r>
      <w:r>
        <w:rPr>
          <w:rFonts w:ascii="Arial" w:cs="Arial" w:eastAsia="Arial" w:hAnsi="Arial"/>
          <w:sz w:val="12"/>
          <w:szCs w:val="12"/>
          <w:color w:val="FFFFFF"/>
        </w:rPr>
        <w:t xml:space="preserve"> Nominees 01 Marshall Brozost 02 Samuel L. Katz The Board of</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FFFFFF"/>
        </w:rPr>
        <w:t>Directors recommends you vote FOR the following proposal(s): 2 T ratify the selection of McGladrey LLP to serve as the Company’ independent registered public accounting firm for the fiscal year ending September 30, 2014.</w:t>
      </w:r>
    </w:p>
    <w:p>
      <w:pPr>
        <w:sectPr>
          <w:pgSz w:w="11900" w:h="16838" w:orient="portrait"/>
          <w:cols w:equalWidth="0" w:num="1">
            <w:col w:w="11220"/>
          </w:cols>
          <w:pgMar w:left="240" w:top="1440" w:right="4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543560</wp:posOffset>
            </wp:positionV>
            <wp:extent cx="5831840" cy="37731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FFFFFF"/>
        </w:rPr>
        <w:t>0000188793_4 R1.0.0.51160 Voting Instructions</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65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Arial" w:cs="Arial" w:eastAsia="Arial" w:hAnsi="Arial"/>
                <w:sz w:val="14"/>
                <w:szCs w:val="14"/>
                <w:color w:val="FFFFFF"/>
                <w:w w:val="93"/>
              </w:rPr>
              <w:t>590 MADISON AVENUE</w:t>
            </w:r>
          </w:p>
        </w:tc>
        <w:tc>
          <w:tcPr>
            <w:tcW w:w="9920" w:type="dxa"/>
            <w:vAlign w:val="bottom"/>
            <w:gridSpan w:val="4"/>
          </w:tcPr>
          <w:p>
            <w:pPr>
              <w:ind w:left="360"/>
              <w:spacing w:after="0"/>
              <w:rPr>
                <w:sz w:val="20"/>
                <w:szCs w:val="20"/>
                <w:color w:val="auto"/>
              </w:rPr>
            </w:pPr>
            <w:r>
              <w:rPr>
                <w:rFonts w:ascii="Arial" w:cs="Arial" w:eastAsia="Arial" w:hAnsi="Arial"/>
                <w:sz w:val="14"/>
                <w:szCs w:val="14"/>
                <w:color w:val="FFFFFF"/>
                <w:w w:val="91"/>
              </w:rPr>
              <w:t>FLOOR NEW YORK, NY 10022 VOTE BY INTERNET - www.proxyvote.com Use the Internet to transmit your voting instructions and for electronic delivery of information</w:t>
            </w:r>
          </w:p>
        </w:tc>
      </w:tr>
      <w:tr>
        <w:trPr>
          <w:trHeight w:val="41"/>
        </w:trPr>
        <w:tc>
          <w:tcPr>
            <w:tcW w:w="8800" w:type="dxa"/>
            <w:vAlign w:val="bottom"/>
            <w:gridSpan w:val="4"/>
          </w:tcPr>
          <w:p>
            <w:pPr>
              <w:spacing w:after="0"/>
              <w:rPr>
                <w:sz w:val="20"/>
                <w:szCs w:val="20"/>
                <w:color w:val="auto"/>
              </w:rPr>
            </w:pPr>
            <w:r>
              <w:rPr>
                <w:rFonts w:ascii="Arial" w:cs="Arial" w:eastAsia="Arial" w:hAnsi="Arial"/>
                <w:sz w:val="3"/>
                <w:szCs w:val="3"/>
                <w:color w:val="FFFFFF"/>
              </w:rPr>
              <w:t>up until 11:59 P.M. Eastern15THime the day before the cut-off date or meeting date. Have your proxy card in hand when you access the web site and follow the</w:t>
            </w:r>
          </w:p>
        </w:tc>
        <w:tc>
          <w:tcPr>
            <w:tcW w:w="2580" w:type="dxa"/>
            <w:vAlign w:val="bottom"/>
          </w:tcPr>
          <w:p>
            <w:pPr>
              <w:ind w:left="340"/>
              <w:spacing w:after="0"/>
              <w:rPr>
                <w:sz w:val="20"/>
                <w:szCs w:val="20"/>
                <w:color w:val="auto"/>
              </w:rPr>
            </w:pPr>
            <w:r>
              <w:rPr>
                <w:rFonts w:ascii="Arial" w:cs="Arial" w:eastAsia="Arial" w:hAnsi="Arial"/>
                <w:sz w:val="3"/>
                <w:szCs w:val="3"/>
                <w:color w:val="FFFFFF"/>
              </w:rPr>
              <w:t>to obtain your records and to create an</w:t>
            </w:r>
          </w:p>
        </w:tc>
      </w:tr>
      <w:tr>
        <w:trPr>
          <w:trHeight w:val="41"/>
        </w:trPr>
        <w:tc>
          <w:tcPr>
            <w:tcW w:w="6040" w:type="dxa"/>
            <w:vAlign w:val="bottom"/>
            <w:gridSpan w:val="2"/>
          </w:tcPr>
          <w:p>
            <w:pPr>
              <w:spacing w:after="0"/>
              <w:rPr>
                <w:sz w:val="20"/>
                <w:szCs w:val="20"/>
                <w:color w:val="auto"/>
              </w:rPr>
            </w:pPr>
            <w:r>
              <w:rPr>
                <w:rFonts w:ascii="Arial" w:cs="Arial" w:eastAsia="Arial" w:hAnsi="Arial"/>
                <w:sz w:val="3"/>
                <w:szCs w:val="3"/>
                <w:color w:val="FFFFFF"/>
              </w:rPr>
              <w:t>electronic voting instruction form. ELECTRONIC DELIVERY OF FUTURE PROXY MATERIALS If you</w:t>
            </w:r>
          </w:p>
        </w:tc>
        <w:tc>
          <w:tcPr>
            <w:tcW w:w="5340" w:type="dxa"/>
            <w:vAlign w:val="bottom"/>
            <w:gridSpan w:val="3"/>
          </w:tcPr>
          <w:p>
            <w:pPr>
              <w:ind w:left="220"/>
              <w:spacing w:after="0"/>
              <w:rPr>
                <w:sz w:val="20"/>
                <w:szCs w:val="20"/>
                <w:color w:val="auto"/>
              </w:rPr>
            </w:pPr>
            <w:r>
              <w:rPr>
                <w:rFonts w:ascii="Arial" w:cs="Arial" w:eastAsia="Arial" w:hAnsi="Arial"/>
                <w:sz w:val="3"/>
                <w:szCs w:val="3"/>
                <w:color w:val="FFFFFF"/>
              </w:rPr>
              <w:t>like to reduce the costs incurred by our companyinstructionsmailing proxy materials, you can consent</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to receiving all future proxy statements, proxy cards and annual reports electronically via  -mail or the Internet.would sign up for electronic delivery, please follow the instructions above to vote using the Internet</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and, when prompted, indicate that you agree to receive   access proxy materials electronically in future years. VOTE BY PHONE - 1-800-690-6903 Use any touch-tone telephone to transmit your voting</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instructions up until 11:59 P.M. Eastern Time the day before the cut-off date or meeting date. Have your proxy card in hand when you call and then follow the instructions. VOTE BY MAIL Mark, sign and date</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your proxy card and return it in the postage-paid envelope we have provided or return it to Vote Processing, c/o Broadridge, 51 Mercedes Way, Edgewood, NY 11717. TO VOTE, MARK BLOCKS BELOW IN</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BLUE OR BLACK INK AS FOLLOWS: KEEP THIS PORTION FOR YOUR RECORDS DETACH AND RETURN THIS PORTION ONLY THIS PROXY CARD IS VALID ONLY WHEN SIGNED AND</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DATED. The Board of Directors recommends you vote FOR the following: 1. Election of Directors Nominees 01 Marshall Brozost 02 Samuel L. Katz For Withh ld For All All All Except T  withhold</w:t>
            </w:r>
          </w:p>
        </w:tc>
      </w:tr>
      <w:tr>
        <w:trPr>
          <w:trHeight w:val="41"/>
        </w:trPr>
        <w:tc>
          <w:tcPr>
            <w:tcW w:w="11380" w:type="dxa"/>
            <w:vAlign w:val="bottom"/>
            <w:gridSpan w:val="5"/>
          </w:tcPr>
          <w:p>
            <w:pPr>
              <w:ind w:left="40"/>
              <w:spacing w:after="0"/>
              <w:rPr>
                <w:sz w:val="20"/>
                <w:szCs w:val="20"/>
                <w:color w:val="auto"/>
              </w:rPr>
            </w:pPr>
            <w:r>
              <w:rPr>
                <w:rFonts w:ascii="Arial" w:cs="Arial" w:eastAsia="Arial" w:hAnsi="Arial"/>
                <w:sz w:val="3"/>
                <w:szCs w:val="3"/>
                <w:color w:val="FFFFFF"/>
              </w:rPr>
              <w:t>o vote for any individual nominee(s), mark “For All Except” and write the number(s) of the nominee(s) on the line below. The Board of Directors recommends you vote FOR the following proposal: 2 Tauthorityratify</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selection of McGladrey LLP to serve as the Company’ independent registered public accounting firm for the fiscal year ending September 30, 2014. For Against Abstain 0000188795_1 R1.0.0.51160 For</w:t>
            </w:r>
          </w:p>
        </w:tc>
      </w:tr>
      <w:tr>
        <w:trPr>
          <w:trHeight w:val="0"/>
        </w:trPr>
        <w:tc>
          <w:tcPr>
            <w:tcW w:w="1460" w:type="dxa"/>
            <w:vAlign w:val="bottom"/>
          </w:tcPr>
          <w:p>
            <w:pPr>
              <w:spacing w:after="0" w:line="80" w:lineRule="exact"/>
              <w:rPr>
                <w:sz w:val="20"/>
                <w:szCs w:val="20"/>
                <w:color w:val="auto"/>
              </w:rPr>
            </w:pPr>
            <w:r>
              <w:rPr>
                <w:rFonts w:ascii="Arial" w:cs="Arial" w:eastAsia="Arial" w:hAnsi="Arial"/>
                <w:sz w:val="9"/>
                <w:szCs w:val="9"/>
                <w:color w:val="FFFFFF"/>
              </w:rPr>
              <w:t>address</w:t>
            </w:r>
          </w:p>
        </w:tc>
        <w:tc>
          <w:tcPr>
            <w:tcW w:w="6140" w:type="dxa"/>
            <w:vAlign w:val="bottom"/>
            <w:gridSpan w:val="2"/>
          </w:tcPr>
          <w:p>
            <w:pPr>
              <w:ind w:left="20"/>
              <w:spacing w:after="0" w:line="80" w:lineRule="exact"/>
              <w:rPr>
                <w:sz w:val="20"/>
                <w:szCs w:val="20"/>
                <w:color w:val="auto"/>
              </w:rPr>
            </w:pPr>
            <w:r>
              <w:rPr>
                <w:rFonts w:ascii="Arial" w:cs="Arial" w:eastAsia="Arial" w:hAnsi="Arial"/>
                <w:sz w:val="9"/>
                <w:szCs w:val="9"/>
                <w:color w:val="FFFFFF"/>
              </w:rPr>
              <w:t>mark here. (see reverse for instructions) Please indicate if you plan to attend this meeting Yes No Please sign</w:t>
            </w:r>
          </w:p>
        </w:tc>
        <w:tc>
          <w:tcPr>
            <w:tcW w:w="378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as your name(s) appear(s) hereon. When signing as attorney,</w:t>
            </w:r>
          </w:p>
        </w:tc>
      </w:tr>
    </w:tbl>
    <w:p>
      <w:pPr>
        <w:jc w:val="both"/>
        <w:spacing w:after="0" w:line="187" w:lineRule="auto"/>
        <w:rPr>
          <w:sz w:val="20"/>
          <w:szCs w:val="20"/>
          <w:color w:val="auto"/>
        </w:rPr>
      </w:pPr>
      <w:r>
        <w:rPr>
          <w:rFonts w:ascii="Arial" w:cs="Arial" w:eastAsia="Arial" w:hAnsi="Arial"/>
          <w:sz w:val="9"/>
          <w:szCs w:val="9"/>
          <w:color w:val="FFFFFF"/>
        </w:rPr>
        <w:t>executorchange/comments,administratoror other fiduciary, please give full title as such. Joint owners should each sign personally. All holders must sign. Ifexactlycorporation or partnership, please sign in full corporate or partnership name, by authorized officer. Signature [PLEASE SIGN WITHIN BOX] Date Signature (Joint Owners) Date</w:t>
      </w:r>
    </w:p>
    <w:p>
      <w:pPr>
        <w:sectPr>
          <w:pgSz w:w="11900" w:h="16838" w:orient="portrait"/>
          <w:cols w:equalWidth="0" w:num="1">
            <w:col w:w="11380"/>
          </w:cols>
          <w:pgMar w:left="240" w:top="1440" w:right="27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23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6"/>
          <w:szCs w:val="6"/>
          <w:color w:val="FFFFFF"/>
        </w:rPr>
        <w:t>side0000188795Important_2 NoticeR1.0.0.51160RegardingAddressthe</w:t>
      </w:r>
      <w:r>
        <w:rPr>
          <w:rFonts w:ascii="Arial" w:cs="Arial" w:eastAsia="Arial" w:hAnsi="Arial"/>
          <w:sz w:val="7"/>
          <w:szCs w:val="7"/>
          <w:color w:val="FFFFFF"/>
          <w:vertAlign w:val="superscript"/>
        </w:rPr>
        <w:t>Annual</w:t>
      </w:r>
      <w:r>
        <w:rPr>
          <w:rFonts w:ascii="Arial" w:cs="Arial" w:eastAsia="Arial" w:hAnsi="Arial"/>
          <w:sz w:val="6"/>
          <w:szCs w:val="6"/>
          <w:color w:val="FFFFFF"/>
        </w:rPr>
        <w:t>change/comments:vailabilityofProxy(IfMaterialsyounotedforanythe AddressAnnual Meeting:Changes Theand/orNoticeComments&amp;Proxyabove,Statement,please Formmark 10corresponding-Kis/areavailableboxonatthewww.proxyvote.comreverseside.)Continued.PENNANTPARKandtobesigned on reverse</w:t>
      </w:r>
    </w:p>
    <w:p>
      <w:pPr>
        <w:spacing w:after="0" w:line="211" w:lineRule="auto"/>
        <w:tabs>
          <w:tab w:leader="none" w:pos="2300" w:val="left"/>
        </w:tabs>
        <w:rPr>
          <w:sz w:val="20"/>
          <w:szCs w:val="20"/>
          <w:color w:val="auto"/>
        </w:rPr>
      </w:pPr>
      <w:r>
        <w:rPr>
          <w:rFonts w:ascii="Arial" w:cs="Arial" w:eastAsia="Arial" w:hAnsi="Arial"/>
          <w:sz w:val="3"/>
          <w:szCs w:val="3"/>
          <w:color w:val="FFFFFF"/>
        </w:rPr>
        <w:t>INVESTMENT CORPORATION</w:t>
      </w:r>
      <w:r>
        <w:rPr>
          <w:sz w:val="20"/>
          <w:szCs w:val="20"/>
          <w:color w:val="auto"/>
        </w:rPr>
        <w:tab/>
      </w:r>
      <w:r>
        <w:rPr>
          <w:rFonts w:ascii="Arial" w:cs="Arial" w:eastAsia="Arial" w:hAnsi="Arial"/>
          <w:sz w:val="2"/>
          <w:szCs w:val="2"/>
          <w:color w:val="FFFFFF"/>
        </w:rPr>
        <w:t>Meeting of Shareholders February 4, 2014 9:30 AM This proxy is solicited by the Board of Directors The undersigned hereby appoints Adam</w:t>
      </w:r>
      <w:r>
        <w:rPr>
          <w:rFonts w:ascii="Arial" w:cs="Arial" w:eastAsia="Arial" w:hAnsi="Arial"/>
          <w:sz w:val="4"/>
          <w:szCs w:val="4"/>
          <w:color w:val="FFFFFF"/>
          <w:vertAlign w:val="subscript"/>
        </w:rPr>
        <w:t>Investment</w:t>
      </w:r>
      <w:r>
        <w:rPr>
          <w:rFonts w:ascii="Arial" w:cs="Arial" w:eastAsia="Arial" w:hAnsi="Arial"/>
          <w:sz w:val="2"/>
          <w:szCs w:val="2"/>
          <w:color w:val="FFFFFF"/>
        </w:rPr>
        <w:t>Brnstein and Jeffrey</w:t>
      </w:r>
    </w:p>
    <w:p>
      <w:pPr>
        <w:ind w:right="80"/>
        <w:spacing w:after="0" w:line="181" w:lineRule="auto"/>
        <w:rPr>
          <w:sz w:val="20"/>
          <w:szCs w:val="20"/>
          <w:color w:val="auto"/>
        </w:rPr>
      </w:pPr>
      <w:r>
        <w:rPr>
          <w:rFonts w:ascii="Arial" w:cs="Arial" w:eastAsia="Arial" w:hAnsi="Arial"/>
          <w:sz w:val="6"/>
          <w:szCs w:val="6"/>
          <w:color w:val="FFFFFF"/>
        </w:rPr>
        <w:t xml:space="preserve">Flug, or either one of them, and each with full power of substitution, to act as attorneys and proxies for the undersigned to vote all of the shares of Common Stock of PennantPark Corporation (the “Company”) which the undersigned is entitled to vote at the Annual Meeting of Stockholders of the Company to be held at the offices of Dechert LLP, located at 1095 Avenue of the Americas, New York, New </w:t>
      </w:r>
      <w:r>
        <w:rPr>
          <w:rFonts w:ascii="Arial" w:cs="Arial" w:eastAsia="Arial" w:hAnsi="Arial"/>
          <w:sz w:val="7"/>
          <w:szCs w:val="7"/>
          <w:color w:val="FFFFFF"/>
          <w:vertAlign w:val="subscript"/>
        </w:rPr>
        <w:t>direction</w:t>
      </w:r>
      <w:r>
        <w:rPr>
          <w:rFonts w:ascii="Arial" w:cs="Arial" w:eastAsia="Arial" w:hAnsi="Arial"/>
          <w:sz w:val="6"/>
          <w:szCs w:val="6"/>
          <w:color w:val="FFFFFF"/>
        </w:rPr>
        <w:t>York, February 4, 2014 at 9:30 a.m., Eastern Time, and at all adjournments thereof,</w:t>
      </w:r>
      <w:r>
        <w:rPr>
          <w:rFonts w:ascii="Arial" w:cs="Arial" w:eastAsia="Arial" w:hAnsi="Arial"/>
          <w:sz w:val="7"/>
          <w:szCs w:val="7"/>
          <w:color w:val="FFFFFF"/>
          <w:vertAlign w:val="subscript"/>
        </w:rPr>
        <w:t>recommendations</w:t>
      </w:r>
      <w:r>
        <w:rPr>
          <w:rFonts w:ascii="Arial" w:cs="Arial" w:eastAsia="Arial" w:hAnsi="Arial"/>
          <w:sz w:val="6"/>
          <w:szCs w:val="6"/>
          <w:color w:val="FFFFFF"/>
        </w:rPr>
        <w:t>asindicated this proxy. This proxy, when properly executed, will be voted in the manner directed herein. If no such</w:t>
      </w:r>
    </w:p>
    <w:p>
      <w:pPr>
        <w:ind w:left="520"/>
        <w:spacing w:after="0"/>
        <w:tabs>
          <w:tab w:leader="none" w:pos="5500" w:val="left"/>
        </w:tabs>
        <w:rPr>
          <w:sz w:val="20"/>
          <w:szCs w:val="20"/>
          <w:color w:val="auto"/>
        </w:rPr>
      </w:pPr>
      <w:r>
        <w:rPr>
          <w:rFonts w:ascii="Arial" w:cs="Arial" w:eastAsia="Arial" w:hAnsi="Arial"/>
          <w:sz w:val="14"/>
          <w:szCs w:val="14"/>
          <w:color w:val="FFFFFF"/>
        </w:rPr>
        <w:t>is made, this proxy will be voted in accordance with the Board of Director</w:t>
      </w:r>
      <w:r>
        <w:rPr>
          <w:sz w:val="20"/>
          <w:szCs w:val="20"/>
          <w:color w:val="auto"/>
        </w:rPr>
        <w:tab/>
      </w:r>
      <w:r>
        <w:rPr>
          <w:rFonts w:ascii="Arial" w:cs="Arial" w:eastAsia="Arial" w:hAnsi="Arial"/>
          <w:sz w:val="14"/>
          <w:szCs w:val="14"/>
          <w:color w:val="FFFFFF"/>
        </w:rPr>
        <w:t>.</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lvl w:ilvl="1">
      <w:lvlJc w:val="left"/>
      <w:lvlText w:val="(%2)"/>
      <w:numFmt w:val="lowerLetter"/>
      <w:start w:val="2"/>
    </w:lvl>
  </w:abstractNum>
  <w:abstractNum w:abstractNumId="5">
    <w:nsid w:val="216231B"/>
    <w:multiLevelType w:val="hybridMultilevel"/>
    <w:lvl w:ilvl="0">
      <w:lvlJc w:val="left"/>
      <w:lvlText w:val="(%1)"/>
      <w:numFmt w:val="decimal"/>
      <w:start w:val="212"/>
    </w:lvl>
  </w:abstractNum>
  <w:abstractNum w:abstractNumId="6">
    <w:nsid w:val="1F16E9E8"/>
    <w:multiLevelType w:val="hybridMultilevel"/>
    <w:lvl w:ilvl="0">
      <w:lvlJc w:val="left"/>
      <w:lvlText w:val="%1."/>
      <w:numFmt w:val="decimal"/>
      <w:start w:val="1"/>
    </w:lvl>
    <w:lvl w:ilvl="1">
      <w:lvlJc w:val="left"/>
      <w:lvlText w:val="(%2)"/>
      <w:numFmt w:val="lowerLetter"/>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2019-12-07T14:59:50Z</dcterms:created>
  <dcterms:modified xsi:type="dcterms:W3CDTF">2019-12-07T14:59:50Z</dcterms:modified>
</cp:coreProperties>
</file>