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4, 2020</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ind w:left="1580"/>
              <w:spacing w:after="0"/>
              <w:rPr>
                <w:sz w:val="20"/>
                <w:szCs w:val="20"/>
                <w:color w:val="auto"/>
              </w:rPr>
            </w:pPr>
            <w:r>
              <w:rPr>
                <w:rFonts w:ascii="Arial" w:cs="Arial" w:eastAsia="Arial" w:hAnsi="Arial"/>
                <w:sz w:val="14"/>
                <w:szCs w:val="14"/>
                <w:b w:val="1"/>
                <w:bCs w:val="1"/>
                <w:color w:val="auto"/>
              </w:rPr>
              <w:t>Maryland</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814-00891</w:t>
            </w:r>
          </w:p>
        </w:tc>
        <w:tc>
          <w:tcPr>
            <w:tcW w:w="3580" w:type="dxa"/>
            <w:vAlign w:val="bottom"/>
          </w:tcPr>
          <w:p>
            <w:pPr>
              <w:jc w:val="right"/>
              <w:ind w:right="1082"/>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6"/>
        </w:trPr>
        <w:tc>
          <w:tcPr>
            <w:tcW w:w="3900" w:type="dxa"/>
            <w:vAlign w:val="bottom"/>
          </w:tcPr>
          <w:p>
            <w:pPr>
              <w:ind w:left="5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358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583"/>
        </w:trPr>
        <w:tc>
          <w:tcPr>
            <w:tcW w:w="3900" w:type="dxa"/>
            <w:vAlign w:val="bottom"/>
          </w:tcPr>
          <w:p>
            <w:pPr>
              <w:jc w:val="center"/>
              <w:ind w:left="166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380" w:type="dxa"/>
            <w:vAlign w:val="bottom"/>
          </w:tcPr>
          <w:p>
            <w:pPr>
              <w:spacing w:after="0"/>
              <w:rPr>
                <w:sz w:val="24"/>
                <w:szCs w:val="24"/>
                <w:color w:val="auto"/>
              </w:rPr>
            </w:pPr>
          </w:p>
        </w:tc>
        <w:tc>
          <w:tcPr>
            <w:tcW w:w="3580" w:type="dxa"/>
            <w:vAlign w:val="bottom"/>
            <w:vMerge w:val="restart"/>
          </w:tcPr>
          <w:p>
            <w:pPr>
              <w:jc w:val="right"/>
              <w:ind w:right="218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48"/>
        </w:trPr>
        <w:tc>
          <w:tcPr>
            <w:tcW w:w="3900" w:type="dxa"/>
            <w:vAlign w:val="bottom"/>
          </w:tcPr>
          <w:p>
            <w:pPr>
              <w:jc w:val="center"/>
              <w:ind w:left="1664"/>
              <w:spacing w:after="0" w:line="149" w:lineRule="exact"/>
              <w:rPr>
                <w:sz w:val="20"/>
                <w:szCs w:val="20"/>
                <w:color w:val="auto"/>
              </w:rPr>
            </w:pPr>
            <w:r>
              <w:rPr>
                <w:rFonts w:ascii="Arial" w:cs="Arial" w:eastAsia="Arial" w:hAnsi="Arial"/>
                <w:sz w:val="14"/>
                <w:szCs w:val="14"/>
                <w:b w:val="1"/>
                <w:bCs w:val="1"/>
                <w:color w:val="auto"/>
                <w:w w:val="96"/>
              </w:rPr>
              <w:t>New York, NY</w:t>
            </w:r>
          </w:p>
        </w:tc>
        <w:tc>
          <w:tcPr>
            <w:tcW w:w="338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280" w:type="dxa"/>
            <w:vAlign w:val="bottom"/>
            <w:gridSpan w:val="2"/>
          </w:tcPr>
          <w:p>
            <w:pPr>
              <w:jc w:val="center"/>
              <w:ind w:right="15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202"/>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3900" w:type="dxa"/>
            <w:vAlign w:val="bottom"/>
          </w:tcPr>
          <w:p>
            <w:pPr>
              <w:spacing w:after="0"/>
              <w:rPr>
                <w:sz w:val="23"/>
                <w:szCs w:val="23"/>
                <w:color w:val="auto"/>
              </w:rPr>
            </w:pPr>
          </w:p>
        </w:tc>
        <w:tc>
          <w:tcPr>
            <w:tcW w:w="3380" w:type="dxa"/>
            <w:vAlign w:val="bottom"/>
          </w:tcPr>
          <w:p>
            <w:pPr>
              <w:jc w:val="center"/>
              <w:ind w:left="2"/>
              <w:spacing w:after="0"/>
              <w:rPr>
                <w:sz w:val="20"/>
                <w:szCs w:val="20"/>
                <w:color w:val="auto"/>
              </w:rPr>
            </w:pPr>
            <w:r>
              <w:rPr>
                <w:rFonts w:ascii="Arial" w:cs="Arial" w:eastAsia="Arial" w:hAnsi="Arial"/>
                <w:sz w:val="14"/>
                <w:szCs w:val="14"/>
                <w:b w:val="1"/>
                <w:bCs w:val="1"/>
                <w:color w:val="auto"/>
                <w:w w:val="94"/>
              </w:rPr>
              <w:t>212-905-1000</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9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3900" w:type="dxa"/>
            <w:vAlign w:val="bottom"/>
          </w:tcPr>
          <w:p>
            <w:pPr>
              <w:ind w:left="1360"/>
              <w:spacing w:after="0"/>
              <w:rPr>
                <w:sz w:val="20"/>
                <w:szCs w:val="20"/>
                <w:color w:val="auto"/>
              </w:rPr>
            </w:pPr>
            <w:r>
              <w:rPr>
                <w:rFonts w:ascii="Arial" w:cs="Arial" w:eastAsia="Arial" w:hAnsi="Arial"/>
                <w:sz w:val="18"/>
                <w:szCs w:val="18"/>
                <w:b w:val="1"/>
                <w:bCs w:val="1"/>
                <w:color w:val="auto"/>
              </w:rPr>
              <w:t>Title of Each Class</w:t>
            </w:r>
          </w:p>
        </w:tc>
        <w:tc>
          <w:tcPr>
            <w:tcW w:w="338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3900" w:type="dxa"/>
            <w:vAlign w:val="bottom"/>
          </w:tcPr>
          <w:p>
            <w:pPr>
              <w:ind w:left="520"/>
              <w:spacing w:after="0"/>
              <w:rPr>
                <w:sz w:val="20"/>
                <w:szCs w:val="20"/>
                <w:color w:val="auto"/>
              </w:rPr>
            </w:pPr>
            <w:r>
              <w:rPr>
                <w:rFonts w:ascii="Arial" w:cs="Arial" w:eastAsia="Arial" w:hAnsi="Arial"/>
                <w:sz w:val="18"/>
                <w:szCs w:val="18"/>
                <w:color w:val="auto"/>
                <w:w w:val="96"/>
              </w:rPr>
              <w:t>Common Stock, par value $0.001 per share</w:t>
            </w:r>
          </w:p>
        </w:tc>
        <w:tc>
          <w:tcPr>
            <w:tcW w:w="3380" w:type="dxa"/>
            <w:vAlign w:val="bottom"/>
          </w:tcPr>
          <w:p>
            <w:pPr>
              <w:jc w:val="center"/>
              <w:ind w:right="22"/>
              <w:spacing w:after="0"/>
              <w:rPr>
                <w:sz w:val="20"/>
                <w:szCs w:val="20"/>
                <w:color w:val="auto"/>
              </w:rPr>
            </w:pPr>
            <w:r>
              <w:rPr>
                <w:rFonts w:ascii="Arial" w:cs="Arial" w:eastAsia="Arial" w:hAnsi="Arial"/>
                <w:sz w:val="18"/>
                <w:szCs w:val="18"/>
                <w:color w:val="auto"/>
                <w:w w:val="90"/>
              </w:rPr>
              <w:t>PFLT</w:t>
            </w: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7"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751" w:right="6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jc w:val="both"/>
        <w:ind w:right="120" w:firstLine="510"/>
        <w:spacing w:after="0" w:line="264" w:lineRule="auto"/>
        <w:rPr>
          <w:sz w:val="20"/>
          <w:szCs w:val="20"/>
          <w:color w:val="auto"/>
        </w:rPr>
      </w:pPr>
      <w:r>
        <w:rPr>
          <w:rFonts w:ascii="Arial" w:cs="Arial" w:eastAsia="Arial" w:hAnsi="Arial"/>
          <w:sz w:val="13"/>
          <w:szCs w:val="13"/>
          <w:color w:val="auto"/>
        </w:rPr>
        <w:t>On February 4, 2020,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17, 2019. As of November 20, 2019, the record date, 38,772,074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a Class III director of the Company, who will serve until the 2023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4, 2020,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Name</w:t>
            </w:r>
          </w:p>
        </w:tc>
        <w:tc>
          <w:tcPr>
            <w:tcW w:w="2900" w:type="dxa"/>
            <w:vAlign w:val="bottom"/>
            <w:gridSpan w:val="2"/>
          </w:tcPr>
          <w:p>
            <w:pPr>
              <w:jc w:val="right"/>
              <w:ind w:right="1700"/>
              <w:spacing w:after="0"/>
              <w:rPr>
                <w:sz w:val="20"/>
                <w:szCs w:val="20"/>
                <w:color w:val="auto"/>
              </w:rPr>
            </w:pPr>
            <w:r>
              <w:rPr>
                <w:rFonts w:ascii="Arial" w:cs="Arial" w:eastAsia="Arial" w:hAnsi="Arial"/>
                <w:sz w:val="14"/>
                <w:szCs w:val="14"/>
                <w:color w:val="auto"/>
              </w:rPr>
              <w:t>For</w:t>
            </w:r>
          </w:p>
        </w:tc>
        <w:tc>
          <w:tcPr>
            <w:tcW w:w="2860" w:type="dxa"/>
            <w:vAlign w:val="bottom"/>
            <w:gridSpan w:val="2"/>
          </w:tcPr>
          <w:p>
            <w:pPr>
              <w:jc w:val="right"/>
              <w:ind w:right="1500"/>
              <w:spacing w:after="0"/>
              <w:rPr>
                <w:sz w:val="20"/>
                <w:szCs w:val="20"/>
                <w:color w:val="auto"/>
              </w:rPr>
            </w:pPr>
            <w:r>
              <w:rPr>
                <w:rFonts w:ascii="Arial" w:cs="Arial" w:eastAsia="Arial" w:hAnsi="Arial"/>
                <w:sz w:val="14"/>
                <w:szCs w:val="14"/>
                <w:color w:val="auto"/>
              </w:rPr>
              <w:t>Withheld</w:t>
            </w:r>
          </w:p>
        </w:tc>
        <w:tc>
          <w:tcPr>
            <w:tcW w:w="2280" w:type="dxa"/>
            <w:vAlign w:val="bottom"/>
            <w:gridSpan w:val="2"/>
          </w:tcPr>
          <w:p>
            <w:pPr>
              <w:ind w:left="560"/>
              <w:spacing w:after="0"/>
              <w:rPr>
                <w:sz w:val="20"/>
                <w:szCs w:val="20"/>
                <w:color w:val="auto"/>
              </w:rPr>
            </w:pPr>
            <w:r>
              <w:rPr>
                <w:rFonts w:ascii="Arial" w:cs="Arial" w:eastAsia="Arial" w:hAnsi="Arial"/>
                <w:sz w:val="14"/>
                <w:szCs w:val="14"/>
                <w:color w:val="auto"/>
              </w:rPr>
              <w:t>Broker Non Votes</w:t>
            </w:r>
          </w:p>
        </w:tc>
      </w:tr>
      <w:tr>
        <w:trPr>
          <w:trHeight w:val="156"/>
        </w:trPr>
        <w:tc>
          <w:tcPr>
            <w:tcW w:w="270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color w:val="auto"/>
              </w:rPr>
              <w:t>Arthur H. Penn</w:t>
            </w:r>
          </w:p>
        </w:tc>
        <w:tc>
          <w:tcPr>
            <w:tcW w:w="50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9,009,384</w:t>
            </w:r>
          </w:p>
        </w:tc>
        <w:tc>
          <w:tcPr>
            <w:tcW w:w="68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5,651,982</w:t>
            </w:r>
          </w:p>
        </w:tc>
        <w:tc>
          <w:tcPr>
            <w:tcW w:w="640" w:type="dxa"/>
            <w:vAlign w:val="bottom"/>
            <w:tcBorders>
              <w:top w:val="single" w:sz="8" w:color="BDD7EE"/>
            </w:tcBorders>
            <w:shd w:val="clear" w:color="auto" w:fill="BDD7EE"/>
          </w:tcPr>
          <w:p>
            <w:pPr>
              <w:spacing w:after="0"/>
              <w:rPr>
                <w:sz w:val="13"/>
                <w:szCs w:val="13"/>
                <w:color w:val="auto"/>
              </w:rPr>
            </w:pPr>
          </w:p>
        </w:tc>
        <w:tc>
          <w:tcPr>
            <w:tcW w:w="21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18,218,312</w:t>
            </w:r>
          </w:p>
        </w:tc>
        <w:tc>
          <w:tcPr>
            <w:tcW w:w="100" w:type="dxa"/>
            <w:vAlign w:val="bottom"/>
            <w:tcBorders>
              <w:top w:val="single" w:sz="8" w:color="BDD7EE"/>
            </w:tcBorders>
            <w:shd w:val="clear" w:color="auto" w:fill="BDD7EE"/>
          </w:tcPr>
          <w:p>
            <w:pPr>
              <w:spacing w:after="0"/>
              <w:rPr>
                <w:sz w:val="13"/>
                <w:szCs w:val="13"/>
                <w:color w:val="auto"/>
              </w:rPr>
            </w:pPr>
          </w:p>
        </w:tc>
      </w:tr>
      <w:tr>
        <w:trPr>
          <w:trHeight w:val="182"/>
        </w:trPr>
        <w:tc>
          <w:tcPr>
            <w:tcW w:w="320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900" w:type="dxa"/>
            <w:vAlign w:val="bottom"/>
            <w:gridSpan w:val="2"/>
          </w:tcPr>
          <w:p>
            <w:pPr>
              <w:jc w:val="right"/>
              <w:ind w:right="560"/>
              <w:spacing w:after="0"/>
              <w:rPr>
                <w:sz w:val="20"/>
                <w:szCs w:val="20"/>
                <w:color w:val="auto"/>
              </w:rPr>
            </w:pPr>
            <w:r>
              <w:rPr>
                <w:rFonts w:ascii="Arial" w:cs="Arial" w:eastAsia="Arial" w:hAnsi="Arial"/>
                <w:sz w:val="14"/>
                <w:szCs w:val="14"/>
                <w:color w:val="auto"/>
              </w:rPr>
              <w:t>61.45%</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38.55%</w:t>
            </w:r>
          </w:p>
        </w:tc>
        <w:tc>
          <w:tcPr>
            <w:tcW w:w="22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2020.</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4, 2020,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ind w:left="880"/>
              <w:spacing w:after="0"/>
              <w:rPr>
                <w:sz w:val="20"/>
                <w:szCs w:val="20"/>
                <w:color w:val="auto"/>
              </w:rPr>
            </w:pPr>
            <w:r>
              <w:rPr>
                <w:rFonts w:ascii="Arial" w:cs="Arial" w:eastAsia="Arial" w:hAnsi="Arial"/>
                <w:sz w:val="14"/>
                <w:szCs w:val="14"/>
                <w:color w:val="auto"/>
              </w:rPr>
              <w:t>Against</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gridSpan w:val="2"/>
          </w:tcPr>
          <w:p>
            <w:pPr>
              <w:jc w:val="right"/>
              <w:ind w:right="102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6"/>
        </w:trPr>
        <w:tc>
          <w:tcPr>
            <w:tcW w:w="320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380" w:type="dxa"/>
            <w:vAlign w:val="bottom"/>
            <w:tcBorders>
              <w:top w:val="single" w:sz="8" w:color="auto"/>
            </w:tcBorders>
            <w:shd w:val="clear" w:color="auto" w:fill="BDD7EE"/>
          </w:tcPr>
          <w:p>
            <w:pPr>
              <w:spacing w:after="0"/>
              <w:rPr>
                <w:sz w:val="13"/>
                <w:szCs w:val="13"/>
                <w:color w:val="auto"/>
              </w:rPr>
            </w:pPr>
          </w:p>
        </w:tc>
        <w:tc>
          <w:tcPr>
            <w:tcW w:w="8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32,332,103</w:t>
            </w:r>
          </w:p>
        </w:tc>
        <w:tc>
          <w:tcPr>
            <w:tcW w:w="640" w:type="dxa"/>
            <w:vAlign w:val="bottom"/>
            <w:tcBorders>
              <w:top w:val="single" w:sz="8" w:color="BDD7EE"/>
            </w:tcBorders>
            <w:shd w:val="clear" w:color="auto" w:fill="BDD7EE"/>
          </w:tcPr>
          <w:p>
            <w:pPr>
              <w:spacing w:after="0"/>
              <w:rPr>
                <w:sz w:val="13"/>
                <w:szCs w:val="13"/>
                <w:color w:val="auto"/>
              </w:rPr>
            </w:pPr>
          </w:p>
        </w:tc>
        <w:tc>
          <w:tcPr>
            <w:tcW w:w="1540" w:type="dxa"/>
            <w:vAlign w:val="bottom"/>
            <w:tcBorders>
              <w:top w:val="single" w:sz="8" w:color="auto"/>
            </w:tcBorders>
            <w:shd w:val="clear" w:color="auto" w:fill="BDD7EE"/>
          </w:tcPr>
          <w:p>
            <w:pPr>
              <w:spacing w:after="0"/>
              <w:rPr>
                <w:sz w:val="13"/>
                <w:szCs w:val="13"/>
                <w:color w:val="auto"/>
              </w:rPr>
            </w:pPr>
          </w:p>
        </w:tc>
        <w:tc>
          <w:tcPr>
            <w:tcW w:w="6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301,355</w:t>
            </w:r>
          </w:p>
        </w:tc>
        <w:tc>
          <w:tcPr>
            <w:tcW w:w="64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246,220</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5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98.33%</w:t>
            </w:r>
          </w:p>
        </w:tc>
        <w:tc>
          <w:tcPr>
            <w:tcW w:w="15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rPr>
              <w:t>0.92%</w:t>
            </w:r>
          </w:p>
        </w:tc>
        <w:tc>
          <w:tcPr>
            <w:tcW w:w="2340" w:type="dxa"/>
            <w:vAlign w:val="bottom"/>
            <w:gridSpan w:val="2"/>
          </w:tcPr>
          <w:p>
            <w:pPr>
              <w:jc w:val="right"/>
              <w:ind w:right="20"/>
              <w:spacing w:after="0"/>
              <w:rPr>
                <w:sz w:val="20"/>
                <w:szCs w:val="20"/>
                <w:color w:val="auto"/>
              </w:rPr>
            </w:pPr>
            <w:r>
              <w:rPr>
                <w:rFonts w:ascii="Arial" w:cs="Arial" w:eastAsia="Arial" w:hAnsi="Arial"/>
                <w:sz w:val="14"/>
                <w:szCs w:val="14"/>
                <w:color w:val="auto"/>
              </w:rPr>
              <w:t>0.75%</w:t>
            </w:r>
          </w:p>
        </w:tc>
        <w:tc>
          <w:tcPr>
            <w:tcW w:w="20" w:type="dxa"/>
            <w:vAlign w:val="bottom"/>
          </w:tcPr>
          <w:p>
            <w:pPr>
              <w:spacing w:after="0"/>
              <w:rPr>
                <w:sz w:val="15"/>
                <w:szCs w:val="15"/>
                <w:color w:val="auto"/>
              </w:rPr>
            </w:pPr>
          </w:p>
        </w:tc>
      </w:tr>
      <w:tr>
        <w:trPr>
          <w:trHeight w:val="648"/>
        </w:trPr>
        <w:tc>
          <w:tcPr>
            <w:tcW w:w="3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0" w:type="dxa"/>
            <w:vAlign w:val="bottom"/>
          </w:tcPr>
          <w:p>
            <w:pPr>
              <w:spacing w:after="0"/>
              <w:rPr>
                <w:sz w:val="1"/>
                <w:szCs w:val="1"/>
                <w:color w:val="auto"/>
              </w:rPr>
            </w:pPr>
          </w:p>
        </w:tc>
      </w:tr>
      <w:tr>
        <w:trPr>
          <w:trHeight w:val="297"/>
        </w:trPr>
        <w:tc>
          <w:tcPr>
            <w:tcW w:w="4960" w:type="dxa"/>
            <w:vAlign w:val="bottom"/>
          </w:tcPr>
          <w:p>
            <w:pPr>
              <w:spacing w:after="0"/>
              <w:rPr>
                <w:sz w:val="20"/>
                <w:szCs w:val="20"/>
                <w:color w:val="auto"/>
              </w:rPr>
            </w:pPr>
            <w:r>
              <w:rPr>
                <w:rFonts w:ascii="Arial" w:cs="Arial" w:eastAsia="Arial" w:hAnsi="Arial"/>
                <w:sz w:val="14"/>
                <w:szCs w:val="14"/>
                <w:color w:val="auto"/>
              </w:rPr>
              <w:t>Dated: February 7, 2020</w:t>
            </w:r>
          </w:p>
        </w:tc>
        <w:tc>
          <w:tcPr>
            <w:tcW w:w="47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4"/>
                <w:szCs w:val="4"/>
                <w:color w:val="auto"/>
              </w:rPr>
            </w:pPr>
          </w:p>
        </w:tc>
        <w:tc>
          <w:tcPr>
            <w:tcW w:w="4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2020-05-05T12:07:40Z</dcterms:created>
  <dcterms:modified xsi:type="dcterms:W3CDTF">2020-05-05T12:07:40Z</dcterms:modified>
</cp:coreProperties>
</file>