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4"/>
        <w:spacing w:after="0"/>
        <w:rPr>
          <w:sz w:val="20"/>
          <w:szCs w:val="20"/>
          <w:color w:val="auto"/>
        </w:rPr>
      </w:pPr>
      <w:r>
        <w:rPr>
          <w:rFonts w:ascii="Arial" w:cs="Arial" w:eastAsia="Arial" w:hAnsi="Arial"/>
          <w:sz w:val="25"/>
          <w:szCs w:val="25"/>
          <w:b w:val="1"/>
          <w:bCs w:val="1"/>
          <w:color w:val="auto"/>
        </w:rPr>
        <w:t>SCHEDULE 14A</w:t>
      </w:r>
    </w:p>
    <w:p>
      <w:pPr>
        <w:spacing w:after="0" w:line="31" w:lineRule="exact"/>
        <w:rPr>
          <w:sz w:val="24"/>
          <w:szCs w:val="24"/>
          <w:color w:val="auto"/>
        </w:rPr>
      </w:pPr>
    </w:p>
    <w:p>
      <w:pPr>
        <w:jc w:val="center"/>
        <w:ind w:right="-254"/>
        <w:spacing w:after="0"/>
        <w:rPr>
          <w:sz w:val="20"/>
          <w:szCs w:val="20"/>
          <w:color w:val="auto"/>
        </w:rPr>
      </w:pPr>
      <w:r>
        <w:rPr>
          <w:rFonts w:ascii="Arial" w:cs="Arial" w:eastAsia="Arial" w:hAnsi="Arial"/>
          <w:sz w:val="11"/>
          <w:szCs w:val="11"/>
          <w:b w:val="1"/>
          <w:bCs w:val="1"/>
          <w:color w:val="auto"/>
        </w:rPr>
        <w:t>(RULE 14a-101)</w:t>
      </w:r>
    </w:p>
    <w:p>
      <w:pPr>
        <w:spacing w:after="0" w:line="150" w:lineRule="exact"/>
        <w:rPr>
          <w:sz w:val="24"/>
          <w:szCs w:val="24"/>
          <w:color w:val="auto"/>
        </w:rPr>
      </w:pPr>
    </w:p>
    <w:p>
      <w:pPr>
        <w:jc w:val="center"/>
        <w:ind w:right="-254"/>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7" w:lineRule="exact"/>
        <w:rPr>
          <w:sz w:val="24"/>
          <w:szCs w:val="24"/>
          <w:color w:val="auto"/>
        </w:rPr>
      </w:pPr>
    </w:p>
    <w:p>
      <w:pPr>
        <w:jc w:val="center"/>
        <w:ind w:right="-254"/>
        <w:spacing w:after="0"/>
        <w:rPr>
          <w:sz w:val="20"/>
          <w:szCs w:val="20"/>
          <w:color w:val="auto"/>
        </w:rPr>
      </w:pPr>
      <w:r>
        <w:rPr>
          <w:rFonts w:ascii="Arial" w:cs="Arial" w:eastAsia="Arial" w:hAnsi="Arial"/>
          <w:sz w:val="14"/>
          <w:szCs w:val="14"/>
          <w:b w:val="1"/>
          <w:bCs w:val="1"/>
          <w:color w:val="auto"/>
        </w:rPr>
        <w:t>Schedule 14A Information</w:t>
      </w:r>
    </w:p>
    <w:p>
      <w:pPr>
        <w:spacing w:after="0" w:line="1" w:lineRule="exact"/>
        <w:rPr>
          <w:sz w:val="24"/>
          <w:szCs w:val="24"/>
          <w:color w:val="auto"/>
        </w:rPr>
      </w:pPr>
    </w:p>
    <w:p>
      <w:pPr>
        <w:jc w:val="center"/>
        <w:ind w:right="-254"/>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 w:lineRule="exact"/>
        <w:rPr>
          <w:sz w:val="24"/>
          <w:szCs w:val="24"/>
          <w:color w:val="auto"/>
        </w:rPr>
      </w:pPr>
    </w:p>
    <w:p>
      <w:pPr>
        <w:jc w:val="center"/>
        <w:ind w:right="-254"/>
        <w:spacing w:after="0"/>
        <w:rPr>
          <w:sz w:val="20"/>
          <w:szCs w:val="20"/>
          <w:color w:val="auto"/>
        </w:rPr>
      </w:pPr>
      <w:r>
        <w:rPr>
          <w:rFonts w:ascii="Arial" w:cs="Arial" w:eastAsia="Arial" w:hAnsi="Arial"/>
          <w:sz w:val="14"/>
          <w:szCs w:val="14"/>
          <w:b w:val="1"/>
          <w:bCs w:val="1"/>
          <w:color w:val="auto"/>
        </w:rPr>
        <w:t>Exchange Act of 1934</w:t>
      </w:r>
    </w:p>
    <w:p>
      <w:pPr>
        <w:spacing w:after="0" w:line="169" w:lineRule="exact"/>
        <w:rPr>
          <w:sz w:val="24"/>
          <w:szCs w:val="24"/>
          <w:color w:val="auto"/>
        </w:rPr>
      </w:pPr>
    </w:p>
    <w:p>
      <w:pPr>
        <w:ind w:left="235"/>
        <w:spacing w:after="0"/>
        <w:rPr>
          <w:sz w:val="20"/>
          <w:szCs w:val="20"/>
          <w:color w:val="auto"/>
        </w:rPr>
      </w:pPr>
      <w:r>
        <w:rPr>
          <w:rFonts w:ascii="Arial" w:cs="Arial" w:eastAsia="Arial" w:hAnsi="Arial"/>
          <w:sz w:val="18"/>
          <w:szCs w:val="18"/>
          <w:color w:val="auto"/>
        </w:rPr>
        <w:t>Filed by the Registrant x</w:t>
      </w:r>
    </w:p>
    <w:p>
      <w:pPr>
        <w:spacing w:after="0" w:line="44" w:lineRule="exact"/>
        <w:rPr>
          <w:sz w:val="24"/>
          <w:szCs w:val="24"/>
          <w:color w:val="auto"/>
        </w:rPr>
      </w:pPr>
    </w:p>
    <w:p>
      <w:pPr>
        <w:ind w:left="235"/>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93" w:lineRule="exact"/>
        <w:rPr>
          <w:sz w:val="24"/>
          <w:szCs w:val="24"/>
          <w:color w:val="auto"/>
        </w:rPr>
      </w:pPr>
    </w:p>
    <w:p>
      <w:pPr>
        <w:ind w:left="235"/>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775" w:hanging="316"/>
        <w:spacing w:after="0"/>
        <w:tabs>
          <w:tab w:leader="none" w:pos="77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775" w:hanging="316"/>
        <w:spacing w:after="0"/>
        <w:tabs>
          <w:tab w:leader="none" w:pos="775"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Confidential,</w:t>
      </w:r>
      <w:r>
        <w:rPr>
          <w:rFonts w:ascii="Arial" w:cs="Arial" w:eastAsia="Arial" w:hAnsi="Arial"/>
          <w:sz w:val="36"/>
          <w:szCs w:val="36"/>
          <w:color w:val="auto"/>
          <w:vertAlign w:val="subscript"/>
        </w:rPr>
        <w:t>(2))</w:t>
      </w:r>
      <w:r>
        <w:rPr>
          <w:rFonts w:ascii="Arial" w:cs="Arial" w:eastAsia="Arial" w:hAnsi="Arial"/>
          <w:sz w:val="18"/>
          <w:szCs w:val="18"/>
          <w:color w:val="auto"/>
        </w:rPr>
        <w:t xml:space="preserve"> for Use of the Commission Only (as permitted by Rule 14a-6(e)</w:t>
      </w:r>
    </w:p>
    <w:p>
      <w:pPr>
        <w:spacing w:after="0" w:line="92" w:lineRule="exact"/>
        <w:rPr>
          <w:sz w:val="24"/>
          <w:szCs w:val="24"/>
          <w:color w:val="auto"/>
        </w:rPr>
      </w:pPr>
    </w:p>
    <w:p>
      <w:pPr>
        <w:ind w:left="455" w:right="8140" w:firstLine="4"/>
        <w:spacing w:after="0" w:line="260" w:lineRule="exact"/>
        <w:tabs>
          <w:tab w:leader="none" w:pos="76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w:t>
      </w:r>
    </w:p>
    <w:p>
      <w:pPr>
        <w:spacing w:after="0" w:line="1" w:lineRule="exact"/>
        <w:rPr>
          <w:rFonts w:ascii="Arial" w:cs="Arial" w:eastAsia="Arial" w:hAnsi="Arial"/>
          <w:sz w:val="18"/>
          <w:szCs w:val="18"/>
          <w:color w:val="auto"/>
        </w:rPr>
      </w:pPr>
    </w:p>
    <w:p>
      <w:pPr>
        <w:ind w:left="455"/>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Rule 14a-12</w:t>
      </w:r>
    </w:p>
    <w:p>
      <w:pPr>
        <w:spacing w:after="0" w:line="115" w:lineRule="exact"/>
        <w:rPr>
          <w:sz w:val="24"/>
          <w:szCs w:val="24"/>
          <w:color w:val="auto"/>
        </w:rPr>
      </w:pPr>
    </w:p>
    <w:p>
      <w:pPr>
        <w:jc w:val="center"/>
        <w:ind w:right="-254"/>
        <w:spacing w:after="0"/>
        <w:rPr>
          <w:sz w:val="20"/>
          <w:szCs w:val="20"/>
          <w:color w:val="auto"/>
        </w:rPr>
      </w:pPr>
      <w:r>
        <w:rPr>
          <w:rFonts w:ascii="Arial" w:cs="Arial" w:eastAsia="Arial" w:hAnsi="Arial"/>
          <w:sz w:val="31"/>
          <w:szCs w:val="31"/>
          <w:b w:val="1"/>
          <w:bCs w:val="1"/>
          <w:color w:val="auto"/>
        </w:rPr>
        <w:t>PennantPark Investment Corporation</w:t>
      </w:r>
    </w:p>
    <w:p>
      <w:pPr>
        <w:spacing w:after="0" w:line="76" w:lineRule="exact"/>
        <w:rPr>
          <w:sz w:val="24"/>
          <w:szCs w:val="24"/>
          <w:color w:val="auto"/>
        </w:rPr>
      </w:pPr>
    </w:p>
    <w:p>
      <w:pPr>
        <w:jc w:val="center"/>
        <w:ind w:right="-254"/>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9" w:lineRule="exact"/>
        <w:rPr>
          <w:sz w:val="24"/>
          <w:szCs w:val="24"/>
          <w:color w:val="auto"/>
        </w:rPr>
      </w:pPr>
    </w:p>
    <w:p>
      <w:pPr>
        <w:jc w:val="center"/>
        <w:ind w:right="-254"/>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91" w:lineRule="exact"/>
        <w:rPr>
          <w:sz w:val="24"/>
          <w:szCs w:val="24"/>
          <w:color w:val="auto"/>
        </w:rPr>
      </w:pPr>
    </w:p>
    <w:p>
      <w:pPr>
        <w:jc w:val="center"/>
        <w:ind w:right="-254"/>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62" w:lineRule="exact"/>
        <w:rPr>
          <w:sz w:val="24"/>
          <w:szCs w:val="24"/>
          <w:color w:val="auto"/>
        </w:rPr>
      </w:pPr>
    </w:p>
    <w:p>
      <w:pPr>
        <w:ind w:left="235"/>
        <w:spacing w:after="0"/>
        <w:rPr>
          <w:sz w:val="20"/>
          <w:szCs w:val="20"/>
          <w:color w:val="auto"/>
        </w:rPr>
      </w:pPr>
      <w:r>
        <w:rPr>
          <w:rFonts w:ascii="Arial" w:cs="Arial" w:eastAsia="Arial" w:hAnsi="Arial"/>
          <w:sz w:val="18"/>
          <w:szCs w:val="18"/>
          <w:color w:val="auto"/>
        </w:rPr>
        <w:t>Payment of Filing Fee (Check the appropriate box):</w:t>
      </w:r>
    </w:p>
    <w:p>
      <w:pPr>
        <w:spacing w:after="0" w:line="167" w:lineRule="exact"/>
        <w:rPr>
          <w:sz w:val="24"/>
          <w:szCs w:val="24"/>
          <w:color w:val="auto"/>
        </w:rPr>
      </w:pPr>
    </w:p>
    <w:p>
      <w:pPr>
        <w:ind w:left="695" w:hanging="695"/>
        <w:spacing w:after="0"/>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No fee required.</w:t>
      </w:r>
    </w:p>
    <w:p>
      <w:pPr>
        <w:spacing w:after="0" w:line="67" w:lineRule="exact"/>
        <w:rPr>
          <w:sz w:val="24"/>
          <w:szCs w:val="24"/>
          <w:color w:val="auto"/>
        </w:rPr>
      </w:pPr>
    </w:p>
    <w:p>
      <w:pPr>
        <w:ind w:left="695" w:hanging="695"/>
        <w:spacing w:after="0"/>
        <w:tabs>
          <w:tab w:leader="none" w:pos="69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right="160" w:hanging="291"/>
        <w:spacing w:after="0" w:line="277" w:lineRule="auto"/>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695"/>
        <w:spacing w:after="0"/>
        <w:tabs>
          <w:tab w:leader="none" w:pos="69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95" w:hanging="695"/>
        <w:spacing w:after="0" w:line="298" w:lineRule="auto"/>
        <w:tabs>
          <w:tab w:leader="none" w:pos="695"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pacing w:after="0" w:line="74" w:lineRule="exact"/>
        <w:rPr>
          <w:rFonts w:ascii="Arial" w:cs="Arial" w:eastAsia="Arial" w:hAnsi="Arial"/>
          <w:sz w:val="18"/>
          <w:szCs w:val="18"/>
          <w:color w:val="auto"/>
        </w:rPr>
      </w:pPr>
    </w:p>
    <w:p>
      <w:pPr>
        <w:ind w:left="695" w:hanging="291"/>
        <w:spacing w:after="0"/>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63" w:lineRule="exact"/>
        <w:rPr>
          <w:rFonts w:ascii="Arial" w:cs="Arial" w:eastAsia="Arial" w:hAnsi="Arial"/>
          <w:sz w:val="18"/>
          <w:szCs w:val="18"/>
          <w:color w:val="auto"/>
        </w:rPr>
      </w:pPr>
    </w:p>
    <w:p>
      <w:pPr>
        <w:ind w:left="695"/>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___________________________________________________________________________________________________________</w:t>
      </w:r>
    </w:p>
    <w:p>
      <w:pPr>
        <w:sectPr>
          <w:pgSz w:w="11900" w:h="16838" w:orient="portrait"/>
          <w:cols w:equalWidth="0" w:num="1">
            <w:col w:w="11115"/>
          </w:cols>
          <w:pgMar w:left="505" w:top="684"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937895</wp:posOffset>
            </wp:positionV>
            <wp:extent cx="161226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8608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1032510</wp:posOffset>
            </wp:positionV>
            <wp:extent cx="14408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2012 Joint Annual Meeting of Stockholders of PennantPark Investment Corporation (“PNNT”) and PennantPark Floating Rate Capital Ltd. (“PFLT” and PNNT each, a "Company" and together, “the Companies”) to be held on February 7, 2012 at 9:30 a.m., Eastern Time, at the offices of Dechert LLP, located at 1095 Avenue of the Americas, New York, New York.</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Notice of Joint Annual Meeting of Stockholders and the Joint Proxy Statement of the Boards of Directors of the Companies, which is accessible on the Internet or by request, provides an outline of the business to be conducted at the Joint Annual Meeting of Stockholders. At the meeting, you will be asked to: (1) elect two directors for your Company, and (2) ratify the selection of KPMG LLP as your Company's independent registered public accounting firm for the fiscal year ending September 30, 2012. I will also report on the progress of the Companies during the past year and respond to stockholders' questions.</w:t>
      </w:r>
    </w:p>
    <w:p>
      <w:pPr>
        <w:spacing w:after="0" w:line="1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229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1440" w:right="2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5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TO BE HELD ON FEBRUARY 7, 2012</w:t>
      </w:r>
    </w:p>
    <w:p>
      <w:pPr>
        <w:spacing w:after="0" w:line="170"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December 21, 2011</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is hereby given to the owners of shares of common stock (the “Stockholders”) of PennantPark Investment Corporation (“PNNT”)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(“PFLT” and PNNT each, a "Company" and together, the “Companies”) that: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2012 Joint Annual Meeting of Stockholders of the Companies (the "Annual Meeting") will be held at the offices of Dechert LLP, located at 1095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Avenue of the Americas, New York, New York, on February 7, 2012 at 9:30 a.m., Eastern Time, for the following purposes, as to each Company:</w:t>
      </w:r>
    </w:p>
    <w:p>
      <w:pPr>
        <w:spacing w:after="0" w:line="236" w:lineRule="exact"/>
        <w:rPr>
          <w:sz w:val="20"/>
          <w:szCs w:val="20"/>
          <w:color w:val="auto"/>
        </w:rPr>
      </w:pPr>
    </w:p>
    <w:p>
      <w:pPr>
        <w:ind w:left="1340" w:right="1040" w:hanging="197"/>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each serve for a term of three years or until his successor is duly elected and qualifies; and</w:t>
      </w:r>
    </w:p>
    <w:p>
      <w:pPr>
        <w:spacing w:after="0" w:line="8" w:lineRule="exact"/>
        <w:rPr>
          <w:rFonts w:ascii="Arial" w:cs="Arial" w:eastAsia="Arial" w:hAnsi="Arial"/>
          <w:sz w:val="18"/>
          <w:szCs w:val="18"/>
          <w:color w:val="auto"/>
        </w:rPr>
      </w:pPr>
    </w:p>
    <w:p>
      <w:pPr>
        <w:ind w:left="1340" w:right="800" w:hanging="197"/>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2012.</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have the right to receive notice of, and to vote at, the Annual Meeting if you were a stockholder of record of PNNT at the close of business on December 13, 2011, and/or a stockholder of record of PFLT at the close of business on December 14, 2011.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Availability of Proxy Materials. As to each Company, in the event there are not sufficient votes for a quorum or to approve that Company's proposals at the time of the Annual Meeting, the Annual Meeting may be adjourned in order to permit further solicitation of proxies by the Company.</w:t>
      </w:r>
    </w:p>
    <w:p>
      <w:pPr>
        <w:spacing w:after="0" w:line="14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365760</wp:posOffset>
            </wp:positionV>
            <wp:extent cx="726376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48006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80" w:right="60"/>
        <w:spacing w:after="0" w:line="289" w:lineRule="auto"/>
        <w:rPr>
          <w:sz w:val="20"/>
          <w:szCs w:val="20"/>
          <w:color w:val="auto"/>
        </w:rPr>
      </w:pPr>
      <w:r>
        <w:rPr>
          <w:rFonts w:ascii="Arial" w:cs="Arial" w:eastAsia="Arial" w:hAnsi="Arial"/>
          <w:sz w:val="17"/>
          <w:szCs w:val="17"/>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58"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JOINT PROXY STATEMENT</w:t>
      </w:r>
    </w:p>
    <w:p>
      <w:pPr>
        <w:spacing w:after="0" w:line="76"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2012 Joint Annual Meeting of Stockholders</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To Be Held on February 7, 2012</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(“SEC”), and some of it is technical in nature. If there is anything you do not understand, please contact us at 212-905-1000.</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2012 Joint Annual Meeting of Stockholders (the “Meeting”) to be held on Tuesday, February 7, 2012 at 9:30 a.m., Eastern Time, at the offices of Dechert LLP, located at 1095 Avenue of the Americas, New York, New York, and at any postponements or adjournments thereof. This Joint Proxy Statement and the Companies' Annual Reports for the fiscal year (or, for PFLT, partial fiscal year) ended September 30, 2011 are being provided to stockholders of the relevant Companies (the “Stockholders”) via the Internet on or about December 21, 2011. In addition, a Notice of Annual Meeting and a Notice of Internet Availability of Proxy Materials are being sent to Stockholders of record of PNNT as of December 13, 2011, and Stockholders of record of PFLT as of December 14, 2011.</w:t>
      </w:r>
    </w:p>
    <w:p>
      <w:pPr>
        <w:spacing w:after="0" w:line="13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to the Companies of soliciting proxies for the Meeting.</w:t>
      </w:r>
    </w:p>
    <w:p>
      <w:pPr>
        <w:spacing w:after="0" w:line="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Board's discretion unless you specifically state otherwise on your proxy.</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revoke a proxy at any time before it is exercised by notifying your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Meeting, you will be asked to vote on the following proposals for your Company:</w:t>
      </w:r>
    </w:p>
    <w:p>
      <w:pPr>
        <w:spacing w:after="0" w:line="387" w:lineRule="exact"/>
        <w:rPr>
          <w:sz w:val="20"/>
          <w:szCs w:val="20"/>
          <w:color w:val="auto"/>
        </w:rPr>
      </w:pPr>
    </w:p>
    <w:p>
      <w:pPr>
        <w:ind w:left="2100" w:right="800" w:hanging="194"/>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each serve for a term of three years or until his successor is duly elected and qualifies; and</w:t>
      </w:r>
    </w:p>
    <w:p>
      <w:pPr>
        <w:spacing w:after="0" w:line="8" w:lineRule="exact"/>
        <w:rPr>
          <w:rFonts w:ascii="Arial" w:cs="Arial" w:eastAsia="Arial" w:hAnsi="Arial"/>
          <w:sz w:val="18"/>
          <w:szCs w:val="18"/>
          <w:color w:val="auto"/>
        </w:rPr>
      </w:pPr>
    </w:p>
    <w:p>
      <w:pPr>
        <w:ind w:left="2100" w:right="820" w:hanging="194"/>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2012.</w:t>
      </w:r>
    </w:p>
    <w:p>
      <w:pPr>
        <w:sectPr>
          <w:pgSz w:w="11900" w:h="16838" w:orient="portrait"/>
          <w:cols w:equalWidth="0" w:num="1">
            <w:col w:w="11420"/>
          </w:cols>
          <w:pgMar w:left="240" w:top="1337"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your shares at the Meeting only if you were a Stockholder of record of PNNT at the close of business on December 13, 2011, and/or a Stockholder of record of PFLT at the close of business on December 14, 2011 (each, a “Record Date”). There were 45,689,781 shares of PNNT common stock and 6,850,667 shares of PFLT common stock (the “Common Stock”) outstanding on the Record Dates. Stockholders are entitled to one vote for each share held of Common Stock of their Company. Stockholders can vote only on matters affecting the Company (or Companies)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Quorum Required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 Company to conduct business at the Meeting, a quorum of that Company must be present at the Meeting. The presence at the Meeting, in person or by proxy, of the holders of a majority of the shares of Common Stock of a Company outstanding on the Record Date will constitute a quorum of such Company.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of a Company, the chairman of the Meeting will adjourn the Meeting with respect to that Company to permit the further solicitation of proxies.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Votes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Company, the election of a director to the Board of the Company requires the vote of a majority of the Company's outstanding shares of Common Stock. Stockholders of a Company may not cumulate their votes. If you vote “Withhold Authority” with respect to a nominee, your shares will not be voted with respect to the person indicated. Because a director is elected by a majority of the votes of the outstanding Common Stock of the associated Company, votes to withhold authority, or no votes, will have the effect of a vote against the nominee.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KPMG LLP to serve as such Company's independent registered public accounting firm. Abstentions will not be included in determining the number of votes cast and, as a result, will have no effect on this proposal.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Broker non-votes are described as votes cast by a broker or other nominee on behalf of a beneficial holder who does not provide explicit voting instructions to such broker or nominee and who does not attend the Meeting. Proposal 1 is a non-routine matter for both Companies. As a result, if you hold shares of a Company's Common Stock in “street name” through a broker, bank or other nominee, your broker, bank or nominee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 for that Company.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Proposal 1 for your Company.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provide your broker or nominee with proxy instructions, either by voting in accordance with the instructions on the Notice of Internet Availability of Proxy Materials or by requesting hard copy proxy materials from us and returning a proxy card or by other arrangement with your broker or nominee, your broker or nominee will be able to vote your shares for you on this routine matter.</w:t>
      </w:r>
    </w:p>
    <w:p>
      <w:pPr>
        <w:spacing w:after="0" w:line="14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a proposal at the Meeting,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such Company who are represented in person or by proxy may vote to adjourn the Meeting with respect to that Company to permit further solicitation of proxies. Messrs. Marshall Brozost and Samuel L. Katz are the persons named as proxies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PNNT and will vote proxies held by them for such adjournment, unless marked to be voted against any proposal for which an adjournment is sought, to permit the further solicitation of proxies. Messrs. Adam Bernstein and Jeffrey Flug are the persons named as proxies for PFLT and will vote proxies held by them for such adjournment, unless marked to be voted against any proposal for which an adjournment is sought, to permit the further solicitation of proxies.</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Company will bear the expense of its solicitation of proxies for the Meeting, including the cost of preparing and posting this Joint Proxy Statement and the Annual Reports to the Internet and the cost of mailing the Notice of Annual Meeting, the Notice of Internet Availability of Proxy Materials and any requested proxy materials to their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approximately $30,000 for such services. If the Companies engage a solicitor, you could be contacted by telephone on behalf of your Company and be urged to vote. The solicitor will not attempt to influence how you vote your shares, but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 York, New York 10022.</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also will receive an e-mail confirming their instructions upon request.</w:t>
      </w:r>
    </w:p>
    <w:p>
      <w:pPr>
        <w:spacing w:after="0" w:line="1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other directors (the “Independent Directors”).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as of December 2, 2011,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320" w:type="dxa"/>
            <w:vAlign w:val="bottom"/>
            <w:vMerge w:val="restart"/>
          </w:tcPr>
          <w:p>
            <w:pPr>
              <w:spacing w:after="0" w:line="190" w:lineRule="exact"/>
              <w:rPr>
                <w:sz w:val="20"/>
                <w:szCs w:val="20"/>
                <w:color w:val="auto"/>
              </w:rPr>
            </w:pPr>
            <w:r>
              <w:rPr>
                <w:rFonts w:ascii="Arial" w:cs="Arial" w:eastAsia="Arial" w:hAnsi="Arial"/>
                <w:sz w:val="18"/>
                <w:szCs w:val="18"/>
                <w:color w:val="auto"/>
                <w:w w:val="85"/>
              </w:rPr>
              <w:t>Name and address</w:t>
            </w:r>
          </w:p>
        </w:tc>
        <w:tc>
          <w:tcPr>
            <w:tcW w:w="1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87"/>
              </w:rPr>
              <w:t>(1)</w:t>
            </w:r>
          </w:p>
        </w:tc>
        <w:tc>
          <w:tcPr>
            <w:tcW w:w="3560" w:type="dxa"/>
            <w:vAlign w:val="bottom"/>
            <w:vMerge w:val="restart"/>
          </w:tcPr>
          <w:p>
            <w:pPr>
              <w:spacing w:after="0"/>
              <w:rPr>
                <w:sz w:val="11"/>
                <w:szCs w:val="11"/>
                <w:color w:val="auto"/>
              </w:rPr>
            </w:pPr>
          </w:p>
        </w:tc>
        <w:tc>
          <w:tcPr>
            <w:tcW w:w="1360" w:type="dxa"/>
            <w:vAlign w:val="bottom"/>
            <w:vMerge w:val="restart"/>
          </w:tcPr>
          <w:p>
            <w:pPr>
              <w:spacing w:after="0" w:line="190" w:lineRule="exact"/>
              <w:rPr>
                <w:sz w:val="20"/>
                <w:szCs w:val="20"/>
                <w:color w:val="auto"/>
              </w:rPr>
            </w:pPr>
            <w:r>
              <w:rPr>
                <w:rFonts w:ascii="Arial" w:cs="Arial" w:eastAsia="Arial" w:hAnsi="Arial"/>
                <w:sz w:val="18"/>
                <w:szCs w:val="18"/>
                <w:color w:val="auto"/>
                <w:w w:val="91"/>
              </w:rPr>
              <w:t>Type of ownership</w:t>
            </w:r>
          </w:p>
        </w:tc>
        <w:tc>
          <w:tcPr>
            <w:tcW w:w="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75"/>
              </w:rPr>
              <w:t>(5)</w:t>
            </w:r>
          </w:p>
        </w:tc>
        <w:tc>
          <w:tcPr>
            <w:tcW w:w="28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600" w:type="dxa"/>
            <w:vAlign w:val="bottom"/>
            <w:gridSpan w:val="6"/>
            <w:vMerge w:val="restart"/>
          </w:tcPr>
          <w:p>
            <w:pPr>
              <w:jc w:val="right"/>
              <w:ind w:right="560"/>
              <w:spacing w:after="0" w:line="190" w:lineRule="exact"/>
              <w:rPr>
                <w:sz w:val="20"/>
                <w:szCs w:val="20"/>
                <w:color w:val="auto"/>
              </w:rPr>
            </w:pPr>
            <w:r>
              <w:rPr>
                <w:rFonts w:ascii="Arial" w:cs="Arial" w:eastAsia="Arial" w:hAnsi="Arial"/>
                <w:sz w:val="18"/>
                <w:szCs w:val="18"/>
                <w:color w:val="auto"/>
                <w:w w:val="85"/>
              </w:rPr>
              <w:t>Shares Owned</w:t>
            </w:r>
          </w:p>
        </w:tc>
        <w:tc>
          <w:tcPr>
            <w:tcW w:w="1140" w:type="dxa"/>
            <w:vAlign w:val="bottom"/>
            <w:gridSpan w:val="5"/>
            <w:vMerge w:val="restart"/>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600" w:type="dxa"/>
            <w:vAlign w:val="bottom"/>
            <w:gridSpan w:val="6"/>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rPr>
              <w:t>PNNT</w:t>
            </w:r>
          </w:p>
        </w:tc>
        <w:tc>
          <w:tcPr>
            <w:tcW w:w="980" w:type="dxa"/>
            <w:vAlign w:val="bottom"/>
            <w:gridSpan w:val="4"/>
          </w:tcPr>
          <w:p>
            <w:pPr>
              <w:jc w:val="right"/>
              <w:ind w:right="380"/>
              <w:spacing w:after="0"/>
              <w:rPr>
                <w:sz w:val="20"/>
                <w:szCs w:val="20"/>
                <w:color w:val="auto"/>
              </w:rPr>
            </w:pPr>
            <w:r>
              <w:rPr>
                <w:rFonts w:ascii="Arial" w:cs="Arial" w:eastAsia="Arial" w:hAnsi="Arial"/>
                <w:sz w:val="18"/>
                <w:szCs w:val="18"/>
                <w:color w:val="auto"/>
              </w:rPr>
              <w:t>PFLT</w:t>
            </w:r>
          </w:p>
        </w:tc>
        <w:tc>
          <w:tcPr>
            <w:tcW w:w="740" w:type="dxa"/>
            <w:vAlign w:val="bottom"/>
            <w:gridSpan w:val="3"/>
          </w:tcPr>
          <w:p>
            <w:pPr>
              <w:spacing w:after="0"/>
              <w:rPr>
                <w:sz w:val="20"/>
                <w:szCs w:val="20"/>
                <w:color w:val="auto"/>
              </w:rPr>
            </w:pPr>
            <w:r>
              <w:rPr>
                <w:rFonts w:ascii="Arial" w:cs="Arial" w:eastAsia="Arial" w:hAnsi="Arial"/>
                <w:sz w:val="18"/>
                <w:szCs w:val="18"/>
                <w:color w:val="auto"/>
              </w:rPr>
              <w:t>PNNT</w:t>
            </w:r>
          </w:p>
        </w:tc>
        <w:tc>
          <w:tcPr>
            <w:tcW w:w="400" w:type="dxa"/>
            <w:vAlign w:val="bottom"/>
            <w:gridSpan w:val="2"/>
          </w:tcPr>
          <w:p>
            <w:pPr>
              <w:spacing w:after="0"/>
              <w:rPr>
                <w:sz w:val="20"/>
                <w:szCs w:val="20"/>
                <w:color w:val="auto"/>
              </w:rPr>
            </w:pPr>
            <w:r>
              <w:rPr>
                <w:rFonts w:ascii="Arial" w:cs="Arial" w:eastAsia="Arial" w:hAnsi="Arial"/>
                <w:sz w:val="18"/>
                <w:szCs w:val="18"/>
                <w:color w:val="auto"/>
                <w:w w:val="86"/>
              </w:rPr>
              <w:t>PFLT</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Morgan Stanley and Co. Inc.</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rPr>
              <w:t>1585 Broadway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rPr>
              <w:t>New York, NY 10036-8293</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280" w:type="dxa"/>
            <w:vAlign w:val="bottom"/>
          </w:tcPr>
          <w:p>
            <w:pPr>
              <w:spacing w:after="0"/>
              <w:rPr>
                <w:sz w:val="20"/>
                <w:szCs w:val="20"/>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390,422</w:t>
            </w:r>
          </w:p>
        </w:tc>
        <w:tc>
          <w:tcPr>
            <w:tcW w:w="74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5.7%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25"/>
                <w:szCs w:val="25"/>
                <w:color w:val="auto"/>
                <w:vertAlign w:val="superscript"/>
              </w:rPr>
              <w:t>(2)</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88,971</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5,000</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Marshall Brozost</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11,043</w:t>
            </w:r>
          </w:p>
        </w:tc>
        <w:tc>
          <w:tcPr>
            <w:tcW w:w="200" w:type="dxa"/>
            <w:vAlign w:val="bottom"/>
          </w:tcPr>
          <w:p>
            <w:pPr>
              <w:spacing w:after="0"/>
              <w:rPr>
                <w:sz w:val="20"/>
                <w:szCs w:val="20"/>
                <w:color w:val="auto"/>
              </w:rPr>
            </w:pPr>
          </w:p>
        </w:tc>
        <w:tc>
          <w:tcPr>
            <w:tcW w:w="7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Jeffrey Flug</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102,358</w:t>
            </w:r>
          </w:p>
        </w:tc>
        <w:tc>
          <w:tcPr>
            <w:tcW w:w="200" w:type="dxa"/>
            <w:vAlign w:val="bottom"/>
          </w:tcPr>
          <w:p>
            <w:pPr>
              <w:spacing w:after="0"/>
              <w:rPr>
                <w:sz w:val="23"/>
                <w:szCs w:val="23"/>
                <w:color w:val="auto"/>
              </w:rPr>
            </w:pPr>
          </w:p>
        </w:tc>
        <w:tc>
          <w:tcPr>
            <w:tcW w:w="7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Samuel L. Katz</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113,482</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29,500</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25"/>
                <w:szCs w:val="25"/>
                <w:color w:val="auto"/>
                <w:vertAlign w:val="superscript"/>
              </w:rPr>
              <w:t>(3)(4)</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499,475</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667</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2"/>
              </w:rPr>
              <w:t>1.1%</w:t>
            </w:r>
          </w:p>
        </w:tc>
        <w:tc>
          <w:tcPr>
            <w:tcW w:w="280" w:type="dxa"/>
            <w:vAlign w:val="bottom"/>
          </w:tcPr>
          <w:p>
            <w:pPr>
              <w:spacing w:after="0"/>
              <w:rPr>
                <w:sz w:val="24"/>
                <w:szCs w:val="24"/>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Aviv Efrat</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Record/Beneficial</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40,294</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5,750</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855,623</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40,917</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2"/>
              </w:rPr>
              <w:t>1.9%</w:t>
            </w:r>
          </w:p>
        </w:tc>
        <w:tc>
          <w:tcPr>
            <w:tcW w:w="280" w:type="dxa"/>
            <w:vAlign w:val="bottom"/>
          </w:tcPr>
          <w:p>
            <w:pPr>
              <w:spacing w:after="0"/>
              <w:rPr>
                <w:sz w:val="23"/>
                <w:szCs w:val="23"/>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hanging="26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10022.</w:t>
      </w:r>
    </w:p>
    <w:p>
      <w:pPr>
        <w:ind w:left="1160" w:right="760" w:hanging="262"/>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spacing w:after="0" w:line="23" w:lineRule="exact"/>
        <w:rPr>
          <w:rFonts w:ascii="Arial" w:cs="Arial" w:eastAsia="Arial" w:hAnsi="Arial"/>
          <w:sz w:val="18"/>
          <w:szCs w:val="18"/>
          <w:color w:val="auto"/>
        </w:rPr>
      </w:pPr>
    </w:p>
    <w:p>
      <w:pPr>
        <w:ind w:left="1160" w:right="760" w:hanging="26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309,791 shares of PNNT and 667 shares of PFLT held by the Adviser.</w:t>
      </w:r>
    </w:p>
    <w:p>
      <w:pPr>
        <w:spacing w:after="0" w:line="8" w:lineRule="exact"/>
        <w:rPr>
          <w:rFonts w:ascii="Arial" w:cs="Arial" w:eastAsia="Arial" w:hAnsi="Arial"/>
          <w:sz w:val="18"/>
          <w:szCs w:val="18"/>
          <w:color w:val="auto"/>
        </w:rPr>
      </w:pPr>
    </w:p>
    <w:p>
      <w:pPr>
        <w:jc w:val="both"/>
        <w:ind w:left="1160" w:right="760" w:hanging="262"/>
        <w:spacing w:after="0" w:line="295"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are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3" w:lineRule="exact"/>
        <w:rPr>
          <w:rFonts w:ascii="Arial" w:cs="Arial" w:eastAsia="Arial" w:hAnsi="Arial"/>
          <w:sz w:val="16"/>
          <w:szCs w:val="16"/>
          <w:color w:val="auto"/>
        </w:rPr>
      </w:pPr>
    </w:p>
    <w:p>
      <w:pPr>
        <w:ind w:left="1160" w:hanging="26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Less than 1 percent.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believes that during the fiscal year (or, for PFLT, partial fiscal year) ended September 30, 2011, all Section 16(a) filing requirements applicable to such persons were met in a timely manner, except that the Form 3s for the directors and officers of PFLT were filed late due to an administrative oversight.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0" w:right="239" w:bottom="1440" w:gutter="0" w:footer="0" w:header="0"/>
        </w:sectPr>
      </w:pPr>
    </w:p>
    <w:bookmarkStart w:id="7" w:name="page8"/>
    <w:bookmarkEnd w:id="7"/>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dollar range of each Company's Common Stock beneficially owned by each of our directors as of December 2, 2011.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Directors of the Companies</w:t>
            </w:r>
          </w:p>
        </w:tc>
        <w:tc>
          <w:tcPr>
            <w:tcW w:w="1280" w:type="dxa"/>
            <w:vAlign w:val="bottom"/>
            <w:vMerge w:val="restart"/>
          </w:tcPr>
          <w:p>
            <w:pPr>
              <w:spacing w:after="0"/>
              <w:rPr>
                <w:sz w:val="15"/>
                <w:szCs w:val="15"/>
                <w:color w:val="auto"/>
              </w:rPr>
            </w:pPr>
          </w:p>
        </w:tc>
        <w:tc>
          <w:tcPr>
            <w:tcW w:w="500" w:type="dxa"/>
            <w:vAlign w:val="bottom"/>
            <w:vMerge w:val="restart"/>
          </w:tcPr>
          <w:p>
            <w:pPr>
              <w:spacing w:after="0"/>
              <w:rPr>
                <w:sz w:val="15"/>
                <w:szCs w:val="15"/>
                <w:color w:val="auto"/>
              </w:rPr>
            </w:pPr>
          </w:p>
        </w:tc>
        <w:tc>
          <w:tcPr>
            <w:tcW w:w="42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w w:val="89"/>
              </w:rPr>
              <w:t>Dollar Range of the Common Stock of the Companies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(1)</w:t>
            </w:r>
          </w:p>
        </w:tc>
        <w:tc>
          <w:tcPr>
            <w:tcW w:w="100" w:type="dxa"/>
            <w:vAlign w:val="bottom"/>
            <w:vMerge w:val="restart"/>
          </w:tcPr>
          <w:p>
            <w:pPr>
              <w:spacing w:after="0"/>
              <w:rPr>
                <w:sz w:val="15"/>
                <w:szCs w:val="15"/>
                <w:color w:val="auto"/>
              </w:rPr>
            </w:pPr>
          </w:p>
        </w:tc>
        <w:tc>
          <w:tcPr>
            <w:tcW w:w="380" w:type="dxa"/>
            <w:vAlign w:val="bottom"/>
            <w:vMerge w:val="restart"/>
          </w:tcPr>
          <w:p>
            <w:pPr>
              <w:spacing w:after="0"/>
              <w:rPr>
                <w:sz w:val="15"/>
                <w:szCs w:val="15"/>
                <w:color w:val="auto"/>
              </w:rPr>
            </w:pPr>
          </w:p>
        </w:tc>
        <w:tc>
          <w:tcPr>
            <w:tcW w:w="6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84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4200" w:type="dxa"/>
            <w:vAlign w:val="bottom"/>
            <w:gridSpan w:val="6"/>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Independent directors</w:t>
            </w: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rPr>
              <w:t>PNNT</w:t>
            </w:r>
          </w:p>
        </w:tc>
        <w:tc>
          <w:tcPr>
            <w:tcW w:w="8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jc w:val="center"/>
              <w:ind w:right="920"/>
              <w:spacing w:after="0"/>
              <w:rPr>
                <w:sz w:val="20"/>
                <w:szCs w:val="20"/>
                <w:color w:val="auto"/>
              </w:rPr>
            </w:pPr>
            <w:r>
              <w:rPr>
                <w:rFonts w:ascii="Arial" w:cs="Arial" w:eastAsia="Arial" w:hAnsi="Arial"/>
                <w:sz w:val="18"/>
                <w:szCs w:val="18"/>
                <w:b w:val="1"/>
                <w:bCs w:val="1"/>
                <w:color w:val="auto"/>
              </w:rPr>
              <w:t>PFLT</w:t>
            </w:r>
          </w:p>
        </w:tc>
        <w:tc>
          <w:tcPr>
            <w:tcW w:w="7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25"/>
                <w:szCs w:val="25"/>
                <w:color w:val="auto"/>
                <w:vertAlign w:val="superscript"/>
              </w:rPr>
              <w:t>(2)</w:t>
            </w:r>
          </w:p>
        </w:tc>
        <w:tc>
          <w:tcPr>
            <w:tcW w:w="2840" w:type="dxa"/>
            <w:vAlign w:val="bottom"/>
            <w:gridSpan w:val="4"/>
          </w:tcPr>
          <w:p>
            <w:pPr>
              <w:jc w:val="right"/>
              <w:ind w:right="500"/>
              <w:spacing w:after="0"/>
              <w:rPr>
                <w:sz w:val="20"/>
                <w:szCs w:val="20"/>
                <w:color w:val="auto"/>
              </w:rPr>
            </w:pPr>
            <w:r>
              <w:rPr>
                <w:rFonts w:ascii="Arial" w:cs="Arial" w:eastAsia="Arial" w:hAnsi="Arial"/>
                <w:sz w:val="18"/>
                <w:szCs w:val="18"/>
                <w:color w:val="auto"/>
              </w:rPr>
              <w:t>$500,001 - $1,000,000</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0"/>
              </w:rPr>
              <w:t>$50,001 - $100,000</w:t>
            </w:r>
          </w:p>
        </w:tc>
        <w:tc>
          <w:tcPr>
            <w:tcW w:w="2020" w:type="dxa"/>
            <w:vAlign w:val="bottom"/>
            <w:gridSpan w:val="5"/>
          </w:tcPr>
          <w:p>
            <w:pPr>
              <w:jc w:val="center"/>
              <w:ind w:left="310"/>
              <w:spacing w:after="0"/>
              <w:rPr>
                <w:sz w:val="20"/>
                <w:szCs w:val="20"/>
                <w:color w:val="auto"/>
              </w:rPr>
            </w:pPr>
            <w:r>
              <w:rPr>
                <w:rFonts w:ascii="Arial" w:cs="Arial" w:eastAsia="Arial" w:hAnsi="Arial"/>
                <w:sz w:val="18"/>
                <w:szCs w:val="18"/>
                <w:color w:val="auto"/>
                <w:w w:val="89"/>
              </w:rPr>
              <w:t>$500,001 - $1,000,000</w:t>
            </w: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Marshall Brozost</w:t>
            </w:r>
          </w:p>
        </w:tc>
        <w:tc>
          <w:tcPr>
            <w:tcW w:w="2840" w:type="dxa"/>
            <w:vAlign w:val="bottom"/>
            <w:gridSpan w:val="4"/>
          </w:tcPr>
          <w:p>
            <w:pPr>
              <w:jc w:val="right"/>
              <w:ind w:right="560"/>
              <w:spacing w:after="0"/>
              <w:rPr>
                <w:sz w:val="20"/>
                <w:szCs w:val="20"/>
                <w:color w:val="auto"/>
              </w:rPr>
            </w:pPr>
            <w:r>
              <w:rPr>
                <w:rFonts w:ascii="Arial" w:cs="Arial" w:eastAsia="Arial" w:hAnsi="Arial"/>
                <w:sz w:val="18"/>
                <w:szCs w:val="18"/>
                <w:color w:val="auto"/>
              </w:rPr>
              <w:t>$100,001 - $500,000</w:t>
            </w:r>
          </w:p>
        </w:tc>
        <w:tc>
          <w:tcPr>
            <w:tcW w:w="1000" w:type="dxa"/>
            <w:vAlign w:val="bottom"/>
          </w:tcPr>
          <w:p>
            <w:pPr>
              <w:spacing w:after="0"/>
              <w:rPr>
                <w:sz w:val="20"/>
                <w:szCs w:val="20"/>
                <w:color w:val="auto"/>
              </w:rPr>
            </w:pPr>
          </w:p>
        </w:tc>
        <w:tc>
          <w:tcPr>
            <w:tcW w:w="138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None</w:t>
            </w:r>
          </w:p>
        </w:tc>
        <w:tc>
          <w:tcPr>
            <w:tcW w:w="2020" w:type="dxa"/>
            <w:vAlign w:val="bottom"/>
            <w:gridSpan w:val="5"/>
          </w:tcPr>
          <w:p>
            <w:pPr>
              <w:jc w:val="center"/>
              <w:ind w:left="310"/>
              <w:spacing w:after="0"/>
              <w:rPr>
                <w:sz w:val="20"/>
                <w:szCs w:val="20"/>
                <w:color w:val="auto"/>
              </w:rPr>
            </w:pPr>
            <w:r>
              <w:rPr>
                <w:rFonts w:ascii="Arial" w:cs="Arial" w:eastAsia="Arial" w:hAnsi="Arial"/>
                <w:sz w:val="18"/>
                <w:szCs w:val="18"/>
                <w:color w:val="auto"/>
                <w:w w:val="90"/>
              </w:rPr>
              <w:t>$50,001 - $100,000</w:t>
            </w:r>
          </w:p>
        </w:tc>
        <w:tc>
          <w:tcPr>
            <w:tcW w:w="0" w:type="dxa"/>
            <w:vAlign w:val="bottom"/>
          </w:tcPr>
          <w:p>
            <w:pPr>
              <w:spacing w:after="0"/>
              <w:rPr>
                <w:sz w:val="1"/>
                <w:szCs w:val="1"/>
                <w:color w:val="auto"/>
              </w:rPr>
            </w:pPr>
          </w:p>
        </w:tc>
      </w:tr>
      <w:tr>
        <w:trPr>
          <w:trHeight w:val="27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Jeffrey Flug</w:t>
            </w:r>
          </w:p>
        </w:tc>
        <w:tc>
          <w:tcPr>
            <w:tcW w:w="284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Over $1,000,000</w:t>
            </w:r>
          </w:p>
        </w:tc>
        <w:tc>
          <w:tcPr>
            <w:tcW w:w="1000" w:type="dxa"/>
            <w:vAlign w:val="bottom"/>
          </w:tcPr>
          <w:p>
            <w:pPr>
              <w:spacing w:after="0"/>
              <w:rPr>
                <w:sz w:val="23"/>
                <w:szCs w:val="23"/>
                <w:color w:val="auto"/>
              </w:rPr>
            </w:pPr>
          </w:p>
        </w:tc>
        <w:tc>
          <w:tcPr>
            <w:tcW w:w="138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None</w:t>
            </w:r>
          </w:p>
        </w:tc>
        <w:tc>
          <w:tcPr>
            <w:tcW w:w="2020" w:type="dxa"/>
            <w:vAlign w:val="bottom"/>
            <w:gridSpan w:val="5"/>
          </w:tcPr>
          <w:p>
            <w:pPr>
              <w:jc w:val="center"/>
              <w:ind w:left="310"/>
              <w:spacing w:after="0"/>
              <w:rPr>
                <w:sz w:val="20"/>
                <w:szCs w:val="20"/>
                <w:color w:val="auto"/>
              </w:rPr>
            </w:pPr>
            <w:r>
              <w:rPr>
                <w:rFonts w:ascii="Arial" w:cs="Arial" w:eastAsia="Arial" w:hAnsi="Arial"/>
                <w:sz w:val="18"/>
                <w:szCs w:val="18"/>
                <w:color w:val="auto"/>
                <w:w w:val="89"/>
              </w:rPr>
              <w:t>$500,001 - $1,000,000</w:t>
            </w:r>
          </w:p>
        </w:tc>
        <w:tc>
          <w:tcPr>
            <w:tcW w:w="0" w:type="dxa"/>
            <w:vAlign w:val="bottom"/>
          </w:tcPr>
          <w:p>
            <w:pPr>
              <w:spacing w:after="0"/>
              <w:rPr>
                <w:sz w:val="1"/>
                <w:szCs w:val="1"/>
                <w:color w:val="auto"/>
              </w:rPr>
            </w:pPr>
          </w:p>
        </w:tc>
      </w:tr>
      <w:tr>
        <w:trPr>
          <w:trHeight w:val="27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Samuel L. Katz</w:t>
            </w:r>
          </w:p>
        </w:tc>
        <w:tc>
          <w:tcPr>
            <w:tcW w:w="284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Over $1,000,000</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0"/>
              </w:rPr>
              <w:t>$100,001 - $500,000</w:t>
            </w:r>
          </w:p>
        </w:tc>
        <w:tc>
          <w:tcPr>
            <w:tcW w:w="2020" w:type="dxa"/>
            <w:vAlign w:val="bottom"/>
            <w:gridSpan w:val="5"/>
          </w:tcPr>
          <w:p>
            <w:pPr>
              <w:jc w:val="center"/>
              <w:ind w:left="31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59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25"/>
                <w:szCs w:val="25"/>
                <w:color w:val="auto"/>
                <w:vertAlign w:val="superscript"/>
              </w:rPr>
              <w:t>(3)(4)</w:t>
            </w:r>
          </w:p>
        </w:tc>
        <w:tc>
          <w:tcPr>
            <w:tcW w:w="284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Over $1,000,000</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8"/>
              </w:rPr>
              <w:t>$1 - $10,000</w:t>
            </w:r>
          </w:p>
        </w:tc>
        <w:tc>
          <w:tcPr>
            <w:tcW w:w="2020" w:type="dxa"/>
            <w:vAlign w:val="bottom"/>
            <w:gridSpan w:val="5"/>
          </w:tcPr>
          <w:p>
            <w:pPr>
              <w:jc w:val="center"/>
              <w:ind w:left="31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5" w:lineRule="exact"/>
        <w:rPr>
          <w:sz w:val="20"/>
          <w:szCs w:val="20"/>
          <w:color w:val="auto"/>
        </w:rPr>
      </w:pPr>
    </w:p>
    <w:p>
      <w:pPr>
        <w:ind w:left="480" w:right="1080" w:hanging="284"/>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8" w:lineRule="exact"/>
        <w:rPr>
          <w:rFonts w:ascii="Arial" w:cs="Arial" w:eastAsia="Arial" w:hAnsi="Arial"/>
          <w:sz w:val="18"/>
          <w:szCs w:val="18"/>
          <w:color w:val="auto"/>
        </w:rPr>
      </w:pPr>
    </w:p>
    <w:p>
      <w:pPr>
        <w:ind w:left="480" w:hanging="28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63" w:lineRule="exact"/>
        <w:rPr>
          <w:rFonts w:ascii="Arial" w:cs="Arial" w:eastAsia="Arial" w:hAnsi="Arial"/>
          <w:sz w:val="18"/>
          <w:szCs w:val="18"/>
          <w:color w:val="auto"/>
        </w:rPr>
      </w:pPr>
    </w:p>
    <w:p>
      <w:pPr>
        <w:ind w:left="480" w:hanging="28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63" w:lineRule="exact"/>
        <w:rPr>
          <w:rFonts w:ascii="Arial" w:cs="Arial" w:eastAsia="Arial" w:hAnsi="Arial"/>
          <w:sz w:val="18"/>
          <w:szCs w:val="18"/>
          <w:color w:val="auto"/>
        </w:rPr>
      </w:pPr>
    </w:p>
    <w:p>
      <w:pPr>
        <w:ind w:left="480" w:right="500" w:hanging="284"/>
        <w:spacing w:after="0" w:line="25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are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its bylaws, each of the Companies currently has five members on its Board of Directors. Directors are divided into three classes and are elected for staggered terms of three years each, with a term of office of one of the three classes of directors expiring each year. Each director will hold office for the term to which he is elected or until his successor is duly elected and qualifies. After this election, the terms of Class I, II and III will expire as follows: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Companies</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Class I</w:t>
            </w: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Class II</w:t>
            </w:r>
          </w:p>
        </w:tc>
        <w:tc>
          <w:tcPr>
            <w:tcW w:w="11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9"/>
              </w:rPr>
              <w:t>Class III</w:t>
            </w:r>
          </w:p>
        </w:tc>
      </w:tr>
      <w:tr>
        <w:trPr>
          <w:trHeight w:val="20"/>
        </w:trPr>
        <w:tc>
          <w:tcPr>
            <w:tcW w:w="8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91"/>
        </w:trPr>
        <w:tc>
          <w:tcPr>
            <w:tcW w:w="5500" w:type="dxa"/>
            <w:vAlign w:val="bottom"/>
            <w:gridSpan w:val="2"/>
          </w:tcPr>
          <w:p>
            <w:pPr>
              <w:spacing w:after="0"/>
              <w:rPr>
                <w:sz w:val="20"/>
                <w:szCs w:val="20"/>
                <w:color w:val="auto"/>
              </w:rPr>
            </w:pPr>
            <w:r>
              <w:rPr>
                <w:rFonts w:ascii="Arial" w:cs="Arial" w:eastAsia="Arial" w:hAnsi="Arial"/>
                <w:sz w:val="18"/>
                <w:szCs w:val="18"/>
                <w:color w:val="auto"/>
              </w:rPr>
              <w:t>PennantPark Investment Corporation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500" w:type="dxa"/>
            <w:vAlign w:val="bottom"/>
          </w:tcPr>
          <w:p>
            <w:pPr>
              <w:spacing w:after="0"/>
              <w:rPr>
                <w:sz w:val="24"/>
                <w:szCs w:val="24"/>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2015</w:t>
            </w:r>
          </w:p>
        </w:tc>
        <w:tc>
          <w:tcPr>
            <w:tcW w:w="460" w:type="dxa"/>
            <w:vAlign w:val="bottom"/>
          </w:tcPr>
          <w:p>
            <w:pPr>
              <w:spacing w:after="0"/>
              <w:rPr>
                <w:sz w:val="24"/>
                <w:szCs w:val="24"/>
                <w:color w:val="auto"/>
              </w:rPr>
            </w:pPr>
          </w:p>
        </w:tc>
        <w:tc>
          <w:tcPr>
            <w:tcW w:w="1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2013</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500" w:type="dxa"/>
            <w:vAlign w:val="bottom"/>
          </w:tcPr>
          <w:p>
            <w:pPr>
              <w:spacing w:after="0"/>
              <w:rPr>
                <w:sz w:val="23"/>
                <w:szCs w:val="23"/>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2013</w:t>
            </w:r>
          </w:p>
        </w:tc>
        <w:tc>
          <w:tcPr>
            <w:tcW w:w="460" w:type="dxa"/>
            <w:vAlign w:val="bottom"/>
          </w:tcPr>
          <w:p>
            <w:pPr>
              <w:spacing w:after="0"/>
              <w:rPr>
                <w:sz w:val="23"/>
                <w:szCs w:val="23"/>
                <w:color w:val="auto"/>
              </w:rPr>
            </w:pPr>
          </w:p>
        </w:tc>
        <w:tc>
          <w:tcPr>
            <w:tcW w:w="1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2014</w:t>
            </w:r>
          </w:p>
        </w:tc>
      </w:tr>
    </w:tbl>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The Boards have no reason to believe that either of their nominees will be unable or unwilling to serve.</w:t>
      </w:r>
    </w:p>
    <w:p>
      <w:pPr>
        <w:spacing w:after="0" w:line="1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EACH BOARD OF DIRECTORS, INCLUDING ITS INDEPENENT DIRECTORS, UNANIMOUSLY RECOMMENDS THAT YOU VOTE FOR THE ELECTION OF THE NOMINEES NAMED IN THIS JOINT PROXY STATEMENT.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of Mr. Adam K. Bernstein and Mr. Jeffrey Flug has been nominated for election as a Class II director of PNNT for a three year term expiring in 2015. Neither Mr. Bernstein nor Mr. Flug is being proposed for election pursuant to any agreement or understanding between either Mr. Bernstein or Mr. Flug and PNNT.</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of Mr. Marshall Brozost and Mr. Samuel L. Katz has been nominated for election as a Class I director of PFLT for a three year term expiring in 2015. Neither Mr. Brozost nor Mr. Katz is being proposed for election pursuant to any agreement or understanding between either Mr. Brozost or Mr. Katz and PFLT.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Company,</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Term of Office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Position(s) held</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and Length of</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During the Past 5</w:t>
            </w:r>
          </w:p>
        </w:tc>
      </w:tr>
      <w:tr>
        <w:trPr>
          <w:trHeight w:val="261"/>
        </w:trPr>
        <w:tc>
          <w:tcPr>
            <w:tcW w:w="2500" w:type="dxa"/>
            <w:vAlign w:val="bottom"/>
          </w:tcPr>
          <w:p>
            <w:pPr>
              <w:ind w:left="160"/>
              <w:spacing w:after="0" w:line="262" w:lineRule="exact"/>
              <w:rPr>
                <w:sz w:val="20"/>
                <w:szCs w:val="20"/>
                <w:color w:val="auto"/>
              </w:rPr>
            </w:pPr>
            <w:r>
              <w:rPr>
                <w:rFonts w:ascii="Arial" w:cs="Arial" w:eastAsia="Arial" w:hAnsi="Arial"/>
                <w:sz w:val="18"/>
                <w:szCs w:val="18"/>
                <w:b w:val="1"/>
                <w:bCs w:val="1"/>
                <w:color w:val="auto"/>
              </w:rPr>
              <w:t>Name, Address and Age</w:t>
            </w:r>
            <w:r>
              <w:rPr>
                <w:rFonts w:ascii="Arial" w:cs="Arial" w:eastAsia="Arial" w:hAnsi="Arial"/>
                <w:sz w:val="25"/>
                <w:szCs w:val="25"/>
                <w:b w:val="1"/>
                <w:bCs w:val="1"/>
                <w:color w:val="auto"/>
                <w:vertAlign w:val="superscript"/>
              </w:rPr>
              <w:t>(1)</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with Company</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Time Served</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37"/>
        </w:trPr>
        <w:tc>
          <w:tcPr>
            <w:tcW w:w="2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Independent Directors</w:t>
            </w:r>
          </w:p>
        </w:tc>
        <w:tc>
          <w:tcPr>
            <w:tcW w:w="1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r>
      <w:tr>
        <w:trPr>
          <w:trHeight w:val="526"/>
        </w:trPr>
        <w:tc>
          <w:tcPr>
            <w:tcW w:w="2500" w:type="dxa"/>
            <w:vAlign w:val="bottom"/>
          </w:tcPr>
          <w:p>
            <w:pPr>
              <w:ind w:left="40"/>
              <w:spacing w:after="0"/>
              <w:rPr>
                <w:sz w:val="20"/>
                <w:szCs w:val="20"/>
                <w:color w:val="auto"/>
              </w:rPr>
            </w:pPr>
            <w:r>
              <w:rPr>
                <w:rFonts w:ascii="Arial" w:cs="Arial" w:eastAsia="Arial" w:hAnsi="Arial"/>
                <w:sz w:val="18"/>
                <w:szCs w:val="18"/>
                <w:color w:val="auto"/>
              </w:rPr>
              <w:t>Adam K. Bernstein (48)</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PNNT - Class II</w:t>
            </w:r>
          </w:p>
        </w:tc>
        <w:tc>
          <w:tcPr>
            <w:tcW w:w="2620" w:type="dxa"/>
            <w:vAlign w:val="bottom"/>
          </w:tcPr>
          <w:p>
            <w:pPr>
              <w:ind w:left="20"/>
              <w:spacing w:after="0"/>
              <w:rPr>
                <w:sz w:val="20"/>
                <w:szCs w:val="20"/>
                <w:color w:val="auto"/>
              </w:rPr>
            </w:pPr>
            <w:r>
              <w:rPr>
                <w:rFonts w:ascii="Arial" w:cs="Arial" w:eastAsia="Arial" w:hAnsi="Arial"/>
                <w:sz w:val="18"/>
                <w:szCs w:val="18"/>
                <w:color w:val="auto"/>
              </w:rPr>
              <w:t>President of The Bernstein</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Nominee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w w:val="98"/>
              </w:rPr>
              <w:t>Companies, a Washington, D.C.-</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February 2007;</w:t>
            </w:r>
          </w:p>
        </w:tc>
        <w:tc>
          <w:tcPr>
            <w:tcW w:w="2620" w:type="dxa"/>
            <w:vAlign w:val="bottom"/>
          </w:tcPr>
          <w:p>
            <w:pPr>
              <w:ind w:left="20"/>
              <w:spacing w:after="0"/>
              <w:rPr>
                <w:sz w:val="20"/>
                <w:szCs w:val="20"/>
                <w:color w:val="auto"/>
              </w:rPr>
            </w:pPr>
            <w:r>
              <w:rPr>
                <w:rFonts w:ascii="Arial" w:cs="Arial" w:eastAsia="Arial" w:hAnsi="Arial"/>
                <w:sz w:val="18"/>
                <w:szCs w:val="18"/>
                <w:color w:val="auto"/>
                <w:w w:val="90"/>
              </w:rPr>
              <w:t>based real estate firm that he joined</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w:t>
            </w:r>
          </w:p>
        </w:tc>
        <w:tc>
          <w:tcPr>
            <w:tcW w:w="2620" w:type="dxa"/>
            <w:vAlign w:val="bottom"/>
          </w:tcPr>
          <w:p>
            <w:pPr>
              <w:ind w:left="20"/>
              <w:spacing w:after="0"/>
              <w:rPr>
                <w:sz w:val="20"/>
                <w:szCs w:val="20"/>
                <w:color w:val="auto"/>
              </w:rPr>
            </w:pPr>
            <w:r>
              <w:rPr>
                <w:rFonts w:ascii="Arial" w:cs="Arial" w:eastAsia="Arial" w:hAnsi="Arial"/>
                <w:sz w:val="18"/>
                <w:szCs w:val="18"/>
                <w:color w:val="auto"/>
                <w:w w:val="94"/>
              </w:rPr>
              <w:t>in 1986. Mr. Bernstein also serves</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as the President and Chief</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Executive Officer of Consortium</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PFLT - Class II</w:t>
            </w:r>
          </w:p>
        </w:tc>
        <w:tc>
          <w:tcPr>
            <w:tcW w:w="2620" w:type="dxa"/>
            <w:vAlign w:val="bottom"/>
          </w:tcPr>
          <w:p>
            <w:pPr>
              <w:ind w:left="20"/>
              <w:spacing w:after="0"/>
              <w:rPr>
                <w:sz w:val="20"/>
                <w:szCs w:val="20"/>
                <w:color w:val="auto"/>
              </w:rPr>
            </w:pPr>
            <w:r>
              <w:rPr>
                <w:rFonts w:ascii="Arial" w:cs="Arial" w:eastAsia="Arial" w:hAnsi="Arial"/>
                <w:sz w:val="18"/>
                <w:szCs w:val="18"/>
                <w:color w:val="auto"/>
              </w:rPr>
              <w:t>Atlantic Realty Trust, Inc., a</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w w:val="93"/>
              </w:rPr>
              <w:t>private real estate investment trust</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October 2010;</w:t>
            </w:r>
          </w:p>
        </w:tc>
        <w:tc>
          <w:tcPr>
            <w:tcW w:w="2620" w:type="dxa"/>
            <w:vAlign w:val="bottom"/>
          </w:tcPr>
          <w:p>
            <w:pPr>
              <w:ind w:left="20"/>
              <w:spacing w:after="0"/>
              <w:rPr>
                <w:sz w:val="20"/>
                <w:szCs w:val="20"/>
                <w:color w:val="auto"/>
              </w:rPr>
            </w:pPr>
            <w:r>
              <w:rPr>
                <w:rFonts w:ascii="Arial" w:cs="Arial" w:eastAsia="Arial" w:hAnsi="Arial"/>
                <w:sz w:val="18"/>
                <w:szCs w:val="18"/>
                <w:color w:val="auto"/>
              </w:rPr>
              <w:t>operating in the Mid-Atlantic</w:t>
            </w:r>
          </w:p>
        </w:tc>
      </w:tr>
      <w:tr>
        <w:trPr>
          <w:trHeight w:val="230"/>
        </w:trPr>
        <w:tc>
          <w:tcPr>
            <w:tcW w:w="2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2013</w:t>
            </w:r>
          </w:p>
        </w:tc>
        <w:tc>
          <w:tcPr>
            <w:tcW w:w="2620" w:type="dxa"/>
            <w:vAlign w:val="bottom"/>
          </w:tcPr>
          <w:p>
            <w:pPr>
              <w:ind w:left="20"/>
              <w:spacing w:after="0"/>
              <w:rPr>
                <w:sz w:val="20"/>
                <w:szCs w:val="20"/>
                <w:color w:val="auto"/>
              </w:rPr>
            </w:pPr>
            <w:r>
              <w:rPr>
                <w:rFonts w:ascii="Arial" w:cs="Arial" w:eastAsia="Arial" w:hAnsi="Arial"/>
                <w:sz w:val="18"/>
                <w:szCs w:val="18"/>
                <w:color w:val="auto"/>
                <w:w w:val="95"/>
              </w:rPr>
              <w:t>region since its formation in 2000.</w:t>
            </w:r>
          </w:p>
        </w:tc>
      </w:tr>
      <w:tr>
        <w:trPr>
          <w:trHeight w:val="526"/>
        </w:trPr>
        <w:tc>
          <w:tcPr>
            <w:tcW w:w="2500" w:type="dxa"/>
            <w:vAlign w:val="bottom"/>
          </w:tcPr>
          <w:p>
            <w:pPr>
              <w:ind w:left="40"/>
              <w:spacing w:after="0"/>
              <w:rPr>
                <w:sz w:val="20"/>
                <w:szCs w:val="20"/>
                <w:color w:val="auto"/>
              </w:rPr>
            </w:pPr>
            <w:r>
              <w:rPr>
                <w:rFonts w:ascii="Arial" w:cs="Arial" w:eastAsia="Arial" w:hAnsi="Arial"/>
                <w:sz w:val="18"/>
                <w:szCs w:val="18"/>
                <w:color w:val="auto"/>
              </w:rPr>
              <w:t>Marshall Brozost (44)</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PNNT - Class I</w:t>
            </w:r>
          </w:p>
        </w:tc>
        <w:tc>
          <w:tcPr>
            <w:tcW w:w="2620" w:type="dxa"/>
            <w:vAlign w:val="bottom"/>
          </w:tcPr>
          <w:p>
            <w:pPr>
              <w:ind w:left="20"/>
              <w:spacing w:after="0"/>
              <w:rPr>
                <w:sz w:val="20"/>
                <w:szCs w:val="20"/>
                <w:color w:val="auto"/>
              </w:rPr>
            </w:pPr>
            <w:r>
              <w:rPr>
                <w:rFonts w:ascii="Arial" w:cs="Arial" w:eastAsia="Arial" w:hAnsi="Arial"/>
                <w:sz w:val="18"/>
                <w:szCs w:val="18"/>
                <w:color w:val="auto"/>
                <w:w w:val="98"/>
              </w:rPr>
              <w:t>A Partner at the international law</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rPr>
              <w:t>firm of Dewey &amp; LeBoeuf LLP</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February 2007;</w:t>
            </w:r>
          </w:p>
        </w:tc>
        <w:tc>
          <w:tcPr>
            <w:tcW w:w="2620" w:type="dxa"/>
            <w:vAlign w:val="bottom"/>
          </w:tcPr>
          <w:p>
            <w:pPr>
              <w:ind w:left="20"/>
              <w:spacing w:after="0"/>
              <w:rPr>
                <w:sz w:val="20"/>
                <w:szCs w:val="20"/>
                <w:color w:val="auto"/>
              </w:rPr>
            </w:pPr>
            <w:r>
              <w:rPr>
                <w:rFonts w:ascii="Arial" w:cs="Arial" w:eastAsia="Arial" w:hAnsi="Arial"/>
                <w:sz w:val="18"/>
                <w:szCs w:val="18"/>
                <w:color w:val="auto"/>
                <w:w w:val="96"/>
              </w:rPr>
              <w:t>since 2007, where he practices in</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2014</w:t>
            </w:r>
          </w:p>
        </w:tc>
        <w:tc>
          <w:tcPr>
            <w:tcW w:w="2620" w:type="dxa"/>
            <w:vAlign w:val="bottom"/>
          </w:tcPr>
          <w:p>
            <w:pPr>
              <w:ind w:left="20"/>
              <w:spacing w:after="0"/>
              <w:rPr>
                <w:sz w:val="20"/>
                <w:szCs w:val="20"/>
                <w:color w:val="auto"/>
              </w:rPr>
            </w:pPr>
            <w:r>
              <w:rPr>
                <w:rFonts w:ascii="Arial" w:cs="Arial" w:eastAsia="Arial" w:hAnsi="Arial"/>
                <w:sz w:val="18"/>
                <w:szCs w:val="18"/>
                <w:color w:val="auto"/>
                <w:w w:val="98"/>
              </w:rPr>
              <w:t>the real estate and private equity</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groups. Prior to his tenure at</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PFLT - Class I</w:t>
            </w:r>
          </w:p>
        </w:tc>
        <w:tc>
          <w:tcPr>
            <w:tcW w:w="2620" w:type="dxa"/>
            <w:vAlign w:val="bottom"/>
          </w:tcPr>
          <w:p>
            <w:pPr>
              <w:ind w:left="20"/>
              <w:spacing w:after="0"/>
              <w:rPr>
                <w:sz w:val="20"/>
                <w:szCs w:val="20"/>
                <w:color w:val="auto"/>
              </w:rPr>
            </w:pPr>
            <w:r>
              <w:rPr>
                <w:rFonts w:ascii="Arial" w:cs="Arial" w:eastAsia="Arial" w:hAnsi="Arial"/>
                <w:sz w:val="18"/>
                <w:szCs w:val="18"/>
                <w:color w:val="auto"/>
              </w:rPr>
              <w:t>Dewey &amp; LeBoeuf LLP, which</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Nominee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rPr>
              <w:t>began in 2005, Mr. Brozost</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October 2010;</w:t>
            </w:r>
          </w:p>
        </w:tc>
        <w:tc>
          <w:tcPr>
            <w:tcW w:w="2620" w:type="dxa"/>
            <w:vAlign w:val="bottom"/>
          </w:tcPr>
          <w:p>
            <w:pPr>
              <w:ind w:left="20"/>
              <w:spacing w:after="0"/>
              <w:rPr>
                <w:sz w:val="20"/>
                <w:szCs w:val="20"/>
                <w:color w:val="auto"/>
              </w:rPr>
            </w:pPr>
            <w:r>
              <w:rPr>
                <w:rFonts w:ascii="Arial" w:cs="Arial" w:eastAsia="Arial" w:hAnsi="Arial"/>
                <w:sz w:val="18"/>
                <w:szCs w:val="18"/>
                <w:color w:val="auto"/>
              </w:rPr>
              <w:t>practiced law at O'Melveny &amp;</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2015</w:t>
            </w:r>
          </w:p>
        </w:tc>
        <w:tc>
          <w:tcPr>
            <w:tcW w:w="2620" w:type="dxa"/>
            <w:vAlign w:val="bottom"/>
          </w:tcPr>
          <w:p>
            <w:pPr>
              <w:ind w:left="20"/>
              <w:spacing w:after="0"/>
              <w:rPr>
                <w:sz w:val="20"/>
                <w:szCs w:val="20"/>
                <w:color w:val="auto"/>
              </w:rPr>
            </w:pPr>
            <w:r>
              <w:rPr>
                <w:rFonts w:ascii="Arial" w:cs="Arial" w:eastAsia="Arial" w:hAnsi="Arial"/>
                <w:sz w:val="18"/>
                <w:szCs w:val="18"/>
                <w:color w:val="auto"/>
              </w:rPr>
              <w:t>Myers LLP and at Solomon &amp;</w:t>
            </w:r>
          </w:p>
        </w:tc>
      </w:tr>
      <w:tr>
        <w:trPr>
          <w:trHeight w:val="230"/>
        </w:trPr>
        <w:tc>
          <w:tcPr>
            <w:tcW w:w="2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5"/>
              </w:rPr>
              <w:t>Weinberg LLP from 2001 to 2005.</w:t>
            </w:r>
          </w:p>
        </w:tc>
      </w:tr>
      <w:tr>
        <w:trPr>
          <w:trHeight w:val="499"/>
        </w:trPr>
        <w:tc>
          <w:tcPr>
            <w:tcW w:w="2500" w:type="dxa"/>
            <w:vAlign w:val="bottom"/>
          </w:tcPr>
          <w:p>
            <w:pPr>
              <w:ind w:left="40"/>
              <w:spacing w:after="0"/>
              <w:rPr>
                <w:sz w:val="20"/>
                <w:szCs w:val="20"/>
                <w:color w:val="auto"/>
              </w:rPr>
            </w:pPr>
            <w:r>
              <w:rPr>
                <w:rFonts w:ascii="Arial" w:cs="Arial" w:eastAsia="Arial" w:hAnsi="Arial"/>
                <w:sz w:val="18"/>
                <w:szCs w:val="18"/>
                <w:color w:val="auto"/>
              </w:rPr>
              <w:t>Jeffrey Flug (49)</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PNNT - Class II</w:t>
            </w:r>
          </w:p>
        </w:tc>
        <w:tc>
          <w:tcPr>
            <w:tcW w:w="2620" w:type="dxa"/>
            <w:vAlign w:val="bottom"/>
          </w:tcPr>
          <w:p>
            <w:pPr>
              <w:ind w:left="20"/>
              <w:spacing w:after="0"/>
              <w:rPr>
                <w:sz w:val="20"/>
                <w:szCs w:val="20"/>
                <w:color w:val="auto"/>
              </w:rPr>
            </w:pPr>
            <w:r>
              <w:rPr>
                <w:rFonts w:ascii="Arial" w:cs="Arial" w:eastAsia="Arial" w:hAnsi="Arial"/>
                <w:sz w:val="18"/>
                <w:szCs w:val="18"/>
                <w:color w:val="auto"/>
              </w:rPr>
              <w:t>Mr. Flug has held a variety of</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Nominee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rPr>
              <w:t>senior positions, including,</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February 2007;</w:t>
            </w:r>
          </w:p>
        </w:tc>
        <w:tc>
          <w:tcPr>
            <w:tcW w:w="2620" w:type="dxa"/>
            <w:vAlign w:val="bottom"/>
          </w:tcPr>
          <w:p>
            <w:pPr>
              <w:ind w:left="20"/>
              <w:spacing w:after="0"/>
              <w:rPr>
                <w:sz w:val="20"/>
                <w:szCs w:val="20"/>
                <w:color w:val="auto"/>
              </w:rPr>
            </w:pPr>
            <w:r>
              <w:rPr>
                <w:rFonts w:ascii="Arial" w:cs="Arial" w:eastAsia="Arial" w:hAnsi="Arial"/>
                <w:sz w:val="18"/>
                <w:szCs w:val="18"/>
                <w:color w:val="auto"/>
              </w:rPr>
              <w:t>currently, President of Union</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w:t>
            </w:r>
          </w:p>
        </w:tc>
        <w:tc>
          <w:tcPr>
            <w:tcW w:w="2620" w:type="dxa"/>
            <w:vAlign w:val="bottom"/>
          </w:tcPr>
          <w:p>
            <w:pPr>
              <w:ind w:left="20"/>
              <w:spacing w:after="0"/>
              <w:rPr>
                <w:sz w:val="20"/>
                <w:szCs w:val="20"/>
                <w:color w:val="auto"/>
              </w:rPr>
            </w:pPr>
            <w:r>
              <w:rPr>
                <w:rFonts w:ascii="Arial" w:cs="Arial" w:eastAsia="Arial" w:hAnsi="Arial"/>
                <w:sz w:val="18"/>
                <w:szCs w:val="18"/>
                <w:color w:val="auto"/>
              </w:rPr>
              <w:t>Square Hospitality Group, an</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4"/>
              </w:rPr>
              <w:t>exclusive chain of restaurants. Mr.</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Flug also has served as Chief</w:t>
            </w:r>
          </w:p>
        </w:tc>
      </w:tr>
      <w:tr>
        <w:trPr>
          <w:trHeight w:val="216"/>
        </w:trPr>
        <w:tc>
          <w:tcPr>
            <w:tcW w:w="250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PFLT - Class II</w:t>
            </w:r>
          </w:p>
        </w:tc>
        <w:tc>
          <w:tcPr>
            <w:tcW w:w="2620" w:type="dxa"/>
            <w:vAlign w:val="bottom"/>
          </w:tcPr>
          <w:p>
            <w:pPr>
              <w:ind w:left="20"/>
              <w:spacing w:after="0"/>
              <w:rPr>
                <w:sz w:val="20"/>
                <w:szCs w:val="20"/>
                <w:color w:val="auto"/>
              </w:rPr>
            </w:pPr>
            <w:r>
              <w:rPr>
                <w:rFonts w:ascii="Arial" w:cs="Arial" w:eastAsia="Arial" w:hAnsi="Arial"/>
                <w:sz w:val="18"/>
                <w:szCs w:val="18"/>
                <w:color w:val="auto"/>
              </w:rPr>
              <w:t>Executive Officer and Executive</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620" w:type="dxa"/>
            <w:vAlign w:val="bottom"/>
          </w:tcPr>
          <w:p>
            <w:pPr>
              <w:ind w:left="20"/>
              <w:spacing w:after="0"/>
              <w:rPr>
                <w:sz w:val="20"/>
                <w:szCs w:val="20"/>
                <w:color w:val="auto"/>
              </w:rPr>
            </w:pPr>
            <w:r>
              <w:rPr>
                <w:rFonts w:ascii="Arial" w:cs="Arial" w:eastAsia="Arial" w:hAnsi="Arial"/>
                <w:sz w:val="18"/>
                <w:szCs w:val="18"/>
                <w:color w:val="auto"/>
              </w:rPr>
              <w:t>Director from 2006 to 2008 of</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October 2010;</w:t>
            </w:r>
          </w:p>
        </w:tc>
        <w:tc>
          <w:tcPr>
            <w:tcW w:w="2620" w:type="dxa"/>
            <w:vAlign w:val="bottom"/>
          </w:tcPr>
          <w:p>
            <w:pPr>
              <w:ind w:left="20"/>
              <w:spacing w:after="0"/>
              <w:rPr>
                <w:sz w:val="20"/>
                <w:szCs w:val="20"/>
                <w:color w:val="auto"/>
              </w:rPr>
            </w:pPr>
            <w:r>
              <w:rPr>
                <w:rFonts w:ascii="Arial" w:cs="Arial" w:eastAsia="Arial" w:hAnsi="Arial"/>
                <w:sz w:val="18"/>
                <w:szCs w:val="18"/>
                <w:color w:val="auto"/>
                <w:w w:val="95"/>
              </w:rPr>
              <w:t>Millennium Promise Alliance, Inc.,</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2013</w:t>
            </w:r>
          </w:p>
        </w:tc>
        <w:tc>
          <w:tcPr>
            <w:tcW w:w="2620" w:type="dxa"/>
            <w:vAlign w:val="bottom"/>
          </w:tcPr>
          <w:p>
            <w:pPr>
              <w:ind w:left="20"/>
              <w:spacing w:after="0"/>
              <w:rPr>
                <w:sz w:val="20"/>
                <w:szCs w:val="20"/>
                <w:color w:val="auto"/>
              </w:rPr>
            </w:pPr>
            <w:r>
              <w:rPr>
                <w:rFonts w:ascii="Arial" w:cs="Arial" w:eastAsia="Arial" w:hAnsi="Arial"/>
                <w:sz w:val="18"/>
                <w:szCs w:val="18"/>
                <w:color w:val="auto"/>
              </w:rPr>
              <w:t>a non-profit organization whose</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mission is to eradicate extreme</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2"/>
              </w:rPr>
              <w:t>global poverty. From 2000 to 2006,</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5"/>
              </w:rPr>
              <w:t>Mr. Flug was a Managing Director</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and Head of North American</w:t>
            </w:r>
          </w:p>
        </w:tc>
      </w:tr>
      <w:tr>
        <w:trPr>
          <w:trHeight w:val="216"/>
        </w:trPr>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7"/>
              </w:rPr>
              <w:t>Institutional Sales at JP Morgan's</w:t>
            </w:r>
          </w:p>
        </w:tc>
      </w:tr>
      <w:tr>
        <w:trPr>
          <w:trHeight w:val="230"/>
        </w:trPr>
        <w:tc>
          <w:tcPr>
            <w:tcW w:w="2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Investment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Directorships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Held by Director</w:t>
      </w:r>
    </w:p>
    <w:p>
      <w:pPr>
        <w:spacing w:after="0" w:line="32" w:lineRule="exact"/>
        <w:rPr>
          <w:sz w:val="20"/>
          <w:szCs w:val="20"/>
          <w:color w:val="auto"/>
        </w:rPr>
      </w:pPr>
    </w:p>
    <w:p>
      <w:pPr>
        <w:jc w:val="center"/>
        <w:ind w:left="60"/>
        <w:spacing w:after="0" w:line="300" w:lineRule="auto"/>
        <w:rPr>
          <w:sz w:val="20"/>
          <w:szCs w:val="20"/>
          <w:color w:val="auto"/>
        </w:rPr>
      </w:pPr>
      <w:r>
        <w:rPr>
          <w:rFonts w:ascii="Arial" w:cs="Arial" w:eastAsia="Arial" w:hAnsi="Arial"/>
          <w:sz w:val="16"/>
          <w:szCs w:val="16"/>
          <w:b w:val="1"/>
          <w:bCs w:val="1"/>
          <w:color w:val="auto"/>
        </w:rPr>
        <w:t xml:space="preserve">or Nominee for Director During the Past 5 Years </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-72390</wp:posOffset>
            </wp:positionV>
            <wp:extent cx="1115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2">
            <w:col w:w="9020" w:space="460"/>
            <w:col w:w="1300"/>
          </w:cols>
          <w:pgMar w:left="240" w:top="584" w:right="8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Directorships</w:t>
            </w: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Held by Director</w:t>
            </w: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Company,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Principal</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or Nominee for</w:t>
            </w: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Term of Office</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Occupation(s)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16"/>
        </w:trPr>
        <w:tc>
          <w:tcPr>
            <w:tcW w:w="272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Position(s) held</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and Length of</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During the Past 5</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During the</w:t>
            </w:r>
          </w:p>
        </w:tc>
      </w:tr>
      <w:tr>
        <w:trPr>
          <w:trHeight w:val="261"/>
        </w:trPr>
        <w:tc>
          <w:tcPr>
            <w:tcW w:w="2720" w:type="dxa"/>
            <w:vAlign w:val="bottom"/>
          </w:tcPr>
          <w:p>
            <w:pPr>
              <w:ind w:left="160"/>
              <w:spacing w:after="0" w:line="262" w:lineRule="exact"/>
              <w:rPr>
                <w:sz w:val="20"/>
                <w:szCs w:val="20"/>
                <w:color w:val="auto"/>
              </w:rPr>
            </w:pPr>
            <w:r>
              <w:rPr>
                <w:rFonts w:ascii="Arial" w:cs="Arial" w:eastAsia="Arial" w:hAnsi="Arial"/>
                <w:sz w:val="18"/>
                <w:szCs w:val="18"/>
                <w:b w:val="1"/>
                <w:bCs w:val="1"/>
                <w:color w:val="auto"/>
              </w:rPr>
              <w:t>Name, Address and Age</w:t>
            </w:r>
            <w:r>
              <w:rPr>
                <w:rFonts w:ascii="Arial" w:cs="Arial" w:eastAsia="Arial" w:hAnsi="Arial"/>
                <w:sz w:val="25"/>
                <w:szCs w:val="25"/>
                <w:b w:val="1"/>
                <w:bCs w:val="1"/>
                <w:color w:val="auto"/>
                <w:vertAlign w:val="superscript"/>
              </w:rPr>
              <w:t>(1)</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with Company</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Time Served</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76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7"/>
              </w:rPr>
              <w:t xml:space="preserve">Past 5 Years </w:t>
            </w:r>
            <w:r>
              <w:rPr>
                <w:rFonts w:ascii="Arial" w:cs="Arial" w:eastAsia="Arial" w:hAnsi="Arial"/>
                <w:sz w:val="25"/>
                <w:szCs w:val="25"/>
                <w:b w:val="1"/>
                <w:bCs w:val="1"/>
                <w:color w:val="auto"/>
                <w:w w:val="87"/>
                <w:vertAlign w:val="superscript"/>
              </w:rPr>
              <w:t>(2)</w:t>
            </w:r>
          </w:p>
        </w:tc>
      </w:tr>
      <w:tr>
        <w:trPr>
          <w:trHeight w:val="237"/>
        </w:trPr>
        <w:tc>
          <w:tcPr>
            <w:tcW w:w="2720" w:type="dxa"/>
            <w:vAlign w:val="bottom"/>
            <w:tcBorders>
              <w:top w:val="single" w:sz="8" w:color="auto"/>
            </w:tcBorders>
          </w:tcPr>
          <w:p>
            <w:pPr>
              <w:ind w:left="40"/>
              <w:spacing w:after="0"/>
              <w:rPr>
                <w:sz w:val="20"/>
                <w:szCs w:val="20"/>
                <w:color w:val="auto"/>
              </w:rPr>
            </w:pPr>
            <w:r>
              <w:rPr>
                <w:rFonts w:ascii="Arial" w:cs="Arial" w:eastAsia="Arial" w:hAnsi="Arial"/>
                <w:sz w:val="18"/>
                <w:szCs w:val="18"/>
                <w:i w:val="1"/>
                <w:iCs w:val="1"/>
                <w:color w:val="auto"/>
                <w:w w:val="95"/>
              </w:rPr>
              <w:t>Nominees for Directors (continued)</w:t>
            </w:r>
          </w:p>
        </w:tc>
        <w:tc>
          <w:tcPr>
            <w:tcW w:w="1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rPr>
              <w:t>Samuel L. Katz (46)</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PNNT - Class I</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The Managing Partner since 2007</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None.</w:t>
            </w: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of TZP Group LLC, a private</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February 2007;</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equity fund. Before joining TZP</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2014</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Group, Mr. Katz was Chief</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Executive Officer of</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PFLT - Class I</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MacAndrews &amp; Forbes Acquisition</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Nominee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Holdings, Inc. from 2006 to 2007.</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October 2010;</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Prior to that position, Mr. Katz was</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2015</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Officer of the Cendant Travel</w:t>
            </w:r>
          </w:p>
        </w:tc>
        <w:tc>
          <w:tcPr>
            <w:tcW w:w="17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Distribution Services Division</w:t>
            </w:r>
          </w:p>
        </w:tc>
        <w:tc>
          <w:tcPr>
            <w:tcW w:w="176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from 2001 to 2005.</w:t>
            </w:r>
          </w:p>
        </w:tc>
        <w:tc>
          <w:tcPr>
            <w:tcW w:w="17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Class III Director </w:t>
      </w:r>
      <w:r>
        <w:rPr>
          <w:rFonts w:ascii="Arial" w:cs="Arial" w:eastAsia="Arial" w:hAnsi="Arial"/>
          <w:sz w:val="18"/>
          <w:szCs w:val="18"/>
          <w:i w:val="1"/>
          <w:iCs w:val="1"/>
          <w:color w:val="auto"/>
        </w:rPr>
        <w:t>(continuing director not up for election or re-election at the Meeting)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Directorships</w:t>
            </w: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Held by Director</w:t>
            </w: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Company,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Principal</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or Nominee for</w:t>
            </w: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Term of Office</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Occupation(s)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16"/>
        </w:trPr>
        <w:tc>
          <w:tcPr>
            <w:tcW w:w="2320" w:type="dxa"/>
            <w:vAlign w:val="bottom"/>
          </w:tcPr>
          <w:p>
            <w:pPr>
              <w:spacing w:after="0"/>
              <w:rPr>
                <w:sz w:val="18"/>
                <w:szCs w:val="18"/>
                <w:color w:val="auto"/>
              </w:rPr>
            </w:pPr>
          </w:p>
        </w:tc>
        <w:tc>
          <w:tcPr>
            <w:tcW w:w="2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Position(s) held</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and Length of</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During the Past 5</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During the</w:t>
            </w:r>
          </w:p>
        </w:tc>
      </w:tr>
      <w:tr>
        <w:trPr>
          <w:trHeight w:val="261"/>
        </w:trPr>
        <w:tc>
          <w:tcPr>
            <w:tcW w:w="2320" w:type="dxa"/>
            <w:vAlign w:val="bottom"/>
          </w:tcPr>
          <w:p>
            <w:pPr>
              <w:ind w:left="60"/>
              <w:spacing w:after="0" w:line="262" w:lineRule="exact"/>
              <w:rPr>
                <w:sz w:val="20"/>
                <w:szCs w:val="20"/>
                <w:color w:val="auto"/>
              </w:rPr>
            </w:pPr>
            <w:r>
              <w:rPr>
                <w:rFonts w:ascii="Arial" w:cs="Arial" w:eastAsia="Arial" w:hAnsi="Arial"/>
                <w:sz w:val="18"/>
                <w:szCs w:val="18"/>
                <w:b w:val="1"/>
                <w:bCs w:val="1"/>
                <w:color w:val="auto"/>
                <w:w w:val="98"/>
              </w:rPr>
              <w:t>Name, Address and Age</w:t>
            </w:r>
            <w:r>
              <w:rPr>
                <w:rFonts w:ascii="Arial" w:cs="Arial" w:eastAsia="Arial" w:hAnsi="Arial"/>
                <w:sz w:val="25"/>
                <w:szCs w:val="25"/>
                <w:b w:val="1"/>
                <w:bCs w:val="1"/>
                <w:color w:val="auto"/>
                <w:w w:val="98"/>
                <w:vertAlign w:val="superscript"/>
              </w:rPr>
              <w:t>(1)</w:t>
            </w:r>
          </w:p>
        </w:tc>
        <w:tc>
          <w:tcPr>
            <w:tcW w:w="2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with Company</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Time Served</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76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4"/>
              </w:rPr>
              <w:t>Past 5 years</w:t>
            </w:r>
            <w:r>
              <w:rPr>
                <w:rFonts w:ascii="Arial" w:cs="Arial" w:eastAsia="Arial" w:hAnsi="Arial"/>
                <w:sz w:val="25"/>
                <w:szCs w:val="25"/>
                <w:b w:val="1"/>
                <w:bCs w:val="1"/>
                <w:color w:val="auto"/>
                <w:w w:val="84"/>
                <w:vertAlign w:val="superscript"/>
              </w:rPr>
              <w:t>(2)</w:t>
            </w:r>
          </w:p>
        </w:tc>
      </w:tr>
      <w:tr>
        <w:trPr>
          <w:trHeight w:val="237"/>
        </w:trPr>
        <w:tc>
          <w:tcPr>
            <w:tcW w:w="2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Interested Director</w:t>
            </w:r>
          </w:p>
        </w:tc>
        <w:tc>
          <w:tcPr>
            <w:tcW w:w="17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526"/>
        </w:trPr>
        <w:tc>
          <w:tcPr>
            <w:tcW w:w="2320" w:type="dxa"/>
            <w:vAlign w:val="bottom"/>
          </w:tcPr>
          <w:p>
            <w:pPr>
              <w:ind w:left="40"/>
              <w:spacing w:after="0"/>
              <w:rPr>
                <w:sz w:val="20"/>
                <w:szCs w:val="20"/>
                <w:color w:val="auto"/>
              </w:rPr>
            </w:pPr>
            <w:r>
              <w:rPr>
                <w:rFonts w:ascii="Arial" w:cs="Arial" w:eastAsia="Arial" w:hAnsi="Arial"/>
                <w:sz w:val="18"/>
                <w:szCs w:val="18"/>
                <w:color w:val="auto"/>
              </w:rPr>
              <w:t>Arthur H. Penn (48)</w:t>
            </w:r>
            <w:r>
              <w:rPr>
                <w:rFonts w:ascii="Arial" w:cs="Arial" w:eastAsia="Arial" w:hAnsi="Arial"/>
                <w:sz w:val="25"/>
                <w:szCs w:val="25"/>
                <w:color w:val="auto"/>
                <w:vertAlign w:val="superscript"/>
              </w:rPr>
              <w:t>(3)</w:t>
            </w: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Chief Executive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PNNT - Class III</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Founder, Chairman and Chief</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None.</w:t>
            </w: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Officer and</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Executive Officer of PNNT and of</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Chairman of the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February 2007;</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PFLT since their inception in 2007</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Board of</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and 2010, respectively. Mr. Penn</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Directors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also is the Founder and Managing</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Member of PennantPark</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Investment Advisers, LLC. Before</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founding PNNT, Mr. Penn was the</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Chief Executive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PFLT - Class III</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Co-Founder of Apollo Investment</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Officer and</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Director since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Management, where he was a</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Chairman of the</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October 2010;</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Managing Partner from 2004 to</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Board of</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Term Expires 2014</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2007. He also served as Chief</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color w:val="auto"/>
              </w:rPr>
              <w:t>Directors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Operating Officer of Apollo</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Investment Corporation from</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inception in 2004 to 2006 and</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served as President and Chief</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Operating Officer in 2006. He</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formerly was a Managing Partner</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of Apollo Value Fund L.P.</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(formerly Apollo Distressed</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Investment Fund, L.P.) from 2003</w:t>
            </w:r>
          </w:p>
        </w:tc>
        <w:tc>
          <w:tcPr>
            <w:tcW w:w="17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to 2006.</w:t>
            </w:r>
          </w:p>
        </w:tc>
        <w:tc>
          <w:tcPr>
            <w:tcW w:w="1760" w:type="dxa"/>
            <w:vAlign w:val="bottom"/>
          </w:tcPr>
          <w:p>
            <w:pPr>
              <w:spacing w:after="0"/>
              <w:rPr>
                <w:sz w:val="20"/>
                <w:szCs w:val="20"/>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4" w:lineRule="exact"/>
        <w:rPr>
          <w:sz w:val="20"/>
          <w:szCs w:val="20"/>
          <w:color w:val="auto"/>
        </w:rPr>
      </w:pPr>
    </w:p>
    <w:p>
      <w:pPr>
        <w:ind w:left="460" w:hanging="29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10022.</w:t>
      </w:r>
    </w:p>
    <w:p>
      <w:pPr>
        <w:ind w:left="460" w:hanging="29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47" w:lineRule="exact"/>
        <w:rPr>
          <w:rFonts w:ascii="Arial" w:cs="Arial" w:eastAsia="Arial" w:hAnsi="Arial"/>
          <w:sz w:val="18"/>
          <w:szCs w:val="18"/>
          <w:color w:val="auto"/>
        </w:rPr>
      </w:pPr>
    </w:p>
    <w:p>
      <w:pPr>
        <w:ind w:left="460" w:right="820" w:hanging="291"/>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PennantPark Investment Advisers, LLC, the Companies' investment adviser.</w:t>
      </w:r>
    </w:p>
    <w:p>
      <w:pPr>
        <w:sectPr>
          <w:pgSz w:w="11900" w:h="16838" w:orient="portrait"/>
          <w:cols w:equalWidth="0" w:num="1">
            <w:col w:w="11000"/>
          </w:cols>
          <w:pgMar w:left="240" w:top="742" w:right="659" w:bottom="1440" w:gutter="0" w:footer="0" w:header="0"/>
        </w:sectPr>
      </w:pP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00"/>
          </w:cols>
          <w:pgMar w:left="240" w:top="742" w:right="65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Company believes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NASDAQ corporate governance rules require listed companies to have a board of directors with at least a majority of independent directors. Under NASDAQ corporate governance rules, in order for a director to be deemed independent, the Board of Directors of each Company must determine that the individual does not have a relationship that would interfere with the director's exercise of independent judgment in carrying out his or her responsibilities. On an annual basis, each director is required to complete an independence questionnaire designed to provide information to assist the Companies' Boards of Directors in determining whether the director is independent under NASDAQ corporate governance rules, the 1940 Act and their corporate governance guidelines. The Boards of Directors have determined that each of their directors, other than Mr. Penn, is independent under the listing standards of the NASDAQ Global Select Market and the 1940 Act. The Companies' governance guidelines require any director who has previously been determined to be independent to inform the Chairman of the Boards, the Chairman of the Nominating and Corporate Governance Committee and the Companies' Corporate Secretary of any change in circumstance that may cause his status as an Independent Director to change. Each Board limits membership on the its Audit Committee and its Nominating and Corporate Governance Committee to Independent Directors.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Board of Directors performs its risk oversight function primarily through (1) its two standing committees, which report to the entire Board and are comprised solely of Independent Directors and (2) monitoring by the Company's Chief Compliance Officer (the “CCO”) in accordance with the Company's compliance policies and procedures.</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described below in more detail under “Audit Committees” and “Nominating and Corporate Governance Committees,” each Board's Audit Committee and Nominating and Corporate Governance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and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Both the Audit Committee and the Nominating and Corporate Governance Committee of each Board consist solely of Independent Directors.</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their business and operations. For example, the ability of each Company to incur indebtedness is limited such that its asset coverage must equal at least 200% immediately after each time it incurs issuance, and each Company generally must invest at least 70% of its total assets in “qualifying assets.” Each Company also has elected (or, for PFLT, intends to elect) to be treated as regulated investment company (“RIC”) under Subchapter M of the Internal Revenue Code. As a RIC, each Company must, among other things, meet certain income source and asset diversification requirements.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and the Nominating and Corporate Governance Committees are able to exercise their oversight responsibilities without any conflict of interest that might discourage critical questioning and review. Through regular executive session meetings with the Companies' independent registered public accounting firms, their CCO and their Chief Executive Officer, the Independent Directors have similarly established direct communication and oversight channels that the Boards believe foster open communication and early detection of issues of concern.</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 of Directors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Administrator, is appropriate in light of the services that the Adviser and the Administrator provides to the Company and the potential conflicts of interest that could arise from these relationships.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each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the Boards of Directors of the Companies) or as an executive of investment companies, public companies or significant private or not-for-profit entities or other organizations, and/or other life experiences. To assist them in evaluating matters under federal and state law, the Independent Directors are counseled by their own independent legal counsel, who participates in Board meetings and interacts with the Adviser, and also may benefit from information provided by the Companies' counsel. Both Independent Directors' and Companies' counsels have significant experience advising funds and fund board members. Each Board and its committees have the ability to engage other experts as appropriate. Each Board evaluates its performance on an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Chairman of each Board of Directors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Companies</w:t>
      </w:r>
    </w:p>
    <w:p>
      <w:pPr>
        <w:spacing w:after="0" w:line="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Stockholders. Below is a description of the various experiences, qualifications, attributes and/or skills with respect to each director considered by the Boards.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Board benefits from Mr. Penn's business leadership and experience and knowledge of senior loan, mezzanine lending, leveraged finance, distressed debt and private equity businesses, as well as a diverse knowledge of management practices. Mr. Penn is the Founder, Chairman and Chief Executive Officer of the Companies and Managing Member of the Adviser and the Administrator.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 Companies.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Bernstein brings to the Boards 26 years of experience in leading a real estate development, investment and management business in the Mid-Atlantic region of the United States. Mr. Bernstein affords the Boards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Mr. Brozost brings to the Boards 18 years of experience in the areas of finance, private equity, mergers and acquisitions and restructurings.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Mr. Flug brings to the Boards expertise in fixed income, investment banking, accounting and business operations. Since 2009, Mr. Flug has held a variety of senior positions, including, currently President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Katz brings to the Boards a diverse knowledge of business and finance as a result of his career over the past 26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1"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Committees of the Boards of Directors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Board has established an Audit Committee and a Nominating and Corporate Governance Committee. For the fiscal year ended September 30, 2011, the Board of PNNT held four board meetings, four Audit Committee meetings and one Nominating and Corporate Governance Committee meeting. For the partial fiscal year ended September 30, 2011, the Board of PFLT held four board meetings and two Audit Committee meetings. All directors attended at least 75% of the aggregate number of meetings of the respective Board and of the respective committees on which they served. The Companies require each director to make a diligent effort to attend all Board and Committee meetings, and encourages directors to attend the Companies' annual stockholder meetings. Last year all of the members of PNNT's Board attended the annual stockholder meeting. The Meeting will be the first annual stockholder meeting for PFLT.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w:t>
      </w:r>
    </w:p>
    <w:p>
      <w:pPr>
        <w:spacing w:after="0" w:line="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of Directors.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and evaluating the qualifications, performance and independence of the auditors. Each Audit Committee is also responsible for aiding the Board in fair value pricing of debt and equity securities. The Boards and Audit Committees use the services of nationally recognized independent valuation firms to help them determine the fair value of certain securities held by the Companies. The Boards have determined that each of Messrs. Flug and Katz is an “audit committee financial expert” as that term is defined under Item 407 of Regulation S-K under the Exchange Act. Each Audit Committee Charter is available on the Companies' website (</w:t>
      </w:r>
      <w:r>
        <w:rPr>
          <w:rFonts w:ascii="Arial" w:cs="Arial" w:eastAsia="Arial" w:hAnsi="Arial"/>
          <w:sz w:val="16"/>
          <w:szCs w:val="16"/>
          <w:u w:val="single" w:color="auto"/>
          <w:color w:val="auto"/>
        </w:rPr>
        <w:t>http://www.pennantpark.com</w:t>
      </w:r>
      <w:r>
        <w:rPr>
          <w:rFonts w:ascii="Arial" w:cs="Arial" w:eastAsia="Arial" w:hAnsi="Arial"/>
          <w:sz w:val="16"/>
          <w:szCs w:val="16"/>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w:t>
      </w:r>
      <w:r>
        <w:rPr>
          <w:rFonts w:ascii="Arial" w:cs="Arial" w:eastAsia="Arial" w:hAnsi="Arial"/>
          <w:sz w:val="17"/>
          <w:szCs w:val="17"/>
          <w:u w:val="single" w:color="auto"/>
          <w:color w:val="auto"/>
        </w:rPr>
        <w:t>http://www.pennantpark.com</w:t>
      </w:r>
      <w:r>
        <w:rPr>
          <w:rFonts w:ascii="Arial" w:cs="Arial" w:eastAsia="Arial" w:hAnsi="Arial"/>
          <w:sz w:val="17"/>
          <w:szCs w:val="17"/>
          <w:color w:val="auto"/>
        </w:rPr>
        <w:t>).</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Criteria considered by the Nominating and Corporate Governance Committees in evaluating the qualifications of individuals for election as director of the Boards include compliance with the independence and other applicable requirements of the NASDAQ corporate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52" w:right="2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Neither Nominating and Corporate Governance Committee has adopted a formal policy with regard to the consideration of diversity in identifying individuals for election as members of the Board, but the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Neither of the Companies has a compensation committee because the Companies' executive officer does not receive compensation from them. Each Board, as a whole, participates in the consideration of director compensation and decisions on director compensation are based on a review of data of comparable business development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Stockholders with questions about a Company are encouraged to contact the Companies' Investor Relations Department at 590 Madison Avenue, 15th Floor, New York, New York 10022 or by visiting the investor relations web page on our website at (</w:t>
      </w:r>
      <w:r>
        <w:rPr>
          <w:rFonts w:ascii="Arial" w:cs="Arial" w:eastAsia="Arial" w:hAnsi="Arial"/>
          <w:sz w:val="17"/>
          <w:szCs w:val="17"/>
          <w:u w:val="single" w:color="auto"/>
          <w:color w:val="auto"/>
        </w:rPr>
        <w:t>http://www.pennantpark.com</w:t>
      </w:r>
      <w:r>
        <w:rPr>
          <w:rFonts w:ascii="Arial" w:cs="Arial" w:eastAsia="Arial" w:hAnsi="Arial"/>
          <w:sz w:val="17"/>
          <w:szCs w:val="17"/>
          <w:color w:val="auto"/>
        </w:rPr>
        <w:t>). However, if Stockholders believe that their questions have not been addressed, they may communicate with the relevant Board by sending their communications to Thomas Friedmann, Secretary, c/o PennantPark, 590 Madison Avenue, 15th Floor, New York, New York 10022. All Stockholder communications received in this manner will be delivered to one or more members of the relevant Board.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executive officer who is not a director of the Companies.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Position(s) held</w:t>
            </w:r>
          </w:p>
        </w:tc>
        <w:tc>
          <w:tcPr>
            <w:tcW w:w="6640" w:type="dxa"/>
            <w:vAlign w:val="bottom"/>
          </w:tcPr>
          <w:p>
            <w:pPr>
              <w:spacing w:after="0"/>
              <w:rPr>
                <w:sz w:val="18"/>
                <w:szCs w:val="18"/>
                <w:color w:val="auto"/>
              </w:rPr>
            </w:pPr>
          </w:p>
        </w:tc>
      </w:tr>
      <w:tr>
        <w:trPr>
          <w:trHeight w:val="261"/>
        </w:trPr>
        <w:tc>
          <w:tcPr>
            <w:tcW w:w="2040" w:type="dxa"/>
            <w:vAlign w:val="bottom"/>
            <w:tcBorders>
              <w:bottom w:val="single" w:sz="8" w:color="auto"/>
            </w:tcBorders>
          </w:tcPr>
          <w:p>
            <w:pPr>
              <w:ind w:left="60"/>
              <w:spacing w:after="0" w:line="262" w:lineRule="exact"/>
              <w:rPr>
                <w:sz w:val="20"/>
                <w:szCs w:val="20"/>
                <w:color w:val="auto"/>
              </w:rPr>
            </w:pPr>
            <w:r>
              <w:rPr>
                <w:rFonts w:ascii="Arial" w:cs="Arial" w:eastAsia="Arial" w:hAnsi="Arial"/>
                <w:sz w:val="18"/>
                <w:szCs w:val="18"/>
                <w:b w:val="1"/>
                <w:bCs w:val="1"/>
                <w:color w:val="auto"/>
                <w:w w:val="88"/>
              </w:rPr>
              <w:t>Name Address and Age</w:t>
            </w:r>
            <w:r>
              <w:rPr>
                <w:rFonts w:ascii="Arial" w:cs="Arial" w:eastAsia="Arial" w:hAnsi="Arial"/>
                <w:sz w:val="25"/>
                <w:szCs w:val="25"/>
                <w:b w:val="1"/>
                <w:bCs w:val="1"/>
                <w:color w:val="auto"/>
                <w:w w:val="88"/>
                <w:vertAlign w:val="superscript"/>
              </w:rPr>
              <w:t>(1)</w:t>
            </w:r>
          </w:p>
        </w:tc>
        <w:tc>
          <w:tcPr>
            <w:tcW w:w="24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 Companies</w:t>
            </w:r>
          </w:p>
        </w:tc>
        <w:tc>
          <w:tcPr>
            <w:tcW w:w="220" w:type="dxa"/>
            <w:vAlign w:val="bottom"/>
          </w:tcPr>
          <w:p>
            <w:pPr>
              <w:spacing w:after="0"/>
              <w:rPr>
                <w:sz w:val="22"/>
                <w:szCs w:val="22"/>
                <w:color w:val="auto"/>
              </w:rPr>
            </w:pPr>
          </w:p>
        </w:tc>
        <w:tc>
          <w:tcPr>
            <w:tcW w:w="6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Principal Occupation(s) During the Past 5 Years</w:t>
            </w:r>
          </w:p>
        </w:tc>
      </w:tr>
      <w:tr>
        <w:trPr>
          <w:trHeight w:val="222"/>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Aviv Efrat (47)</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PNNT and PFLT - Chief</w:t>
            </w:r>
          </w:p>
        </w:tc>
        <w:tc>
          <w:tcPr>
            <w:tcW w:w="6640" w:type="dxa"/>
            <w:vAlign w:val="bottom"/>
          </w:tcPr>
          <w:p>
            <w:pPr>
              <w:ind w:left="20"/>
              <w:spacing w:after="0"/>
              <w:rPr>
                <w:sz w:val="20"/>
                <w:szCs w:val="20"/>
                <w:color w:val="auto"/>
              </w:rPr>
            </w:pPr>
            <w:r>
              <w:rPr>
                <w:rFonts w:ascii="Arial" w:cs="Arial" w:eastAsia="Arial" w:hAnsi="Arial"/>
                <w:sz w:val="18"/>
                <w:szCs w:val="18"/>
                <w:color w:val="auto"/>
                <w:w w:val="92"/>
              </w:rPr>
              <w:t>Chief Financial Officer and Treasurer of PNNT and PFLT since their inception in 2007 and</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Financial Officer and</w:t>
            </w:r>
          </w:p>
        </w:tc>
        <w:tc>
          <w:tcPr>
            <w:tcW w:w="6640" w:type="dxa"/>
            <w:vAlign w:val="bottom"/>
          </w:tcPr>
          <w:p>
            <w:pPr>
              <w:ind w:left="20"/>
              <w:spacing w:after="0"/>
              <w:rPr>
                <w:sz w:val="20"/>
                <w:szCs w:val="20"/>
                <w:color w:val="auto"/>
              </w:rPr>
            </w:pPr>
            <w:r>
              <w:rPr>
                <w:rFonts w:ascii="Arial" w:cs="Arial" w:eastAsia="Arial" w:hAnsi="Arial"/>
                <w:sz w:val="18"/>
                <w:szCs w:val="18"/>
                <w:color w:val="auto"/>
                <w:w w:val="96"/>
              </w:rPr>
              <w:t>2010, respectively. Managing Director of PennantPark Investment Administration, LLC</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Treasurer</w:t>
            </w:r>
          </w:p>
        </w:tc>
        <w:tc>
          <w:tcPr>
            <w:tcW w:w="6640" w:type="dxa"/>
            <w:vAlign w:val="bottom"/>
          </w:tcPr>
          <w:p>
            <w:pPr>
              <w:ind w:left="20"/>
              <w:spacing w:after="0"/>
              <w:rPr>
                <w:sz w:val="20"/>
                <w:szCs w:val="20"/>
                <w:color w:val="auto"/>
              </w:rPr>
            </w:pPr>
            <w:r>
              <w:rPr>
                <w:rFonts w:ascii="Arial" w:cs="Arial" w:eastAsia="Arial" w:hAnsi="Arial"/>
                <w:sz w:val="18"/>
                <w:szCs w:val="18"/>
                <w:color w:val="auto"/>
                <w:w w:val="96"/>
              </w:rPr>
              <w:t>since inception in 2007. Mr. Efrat was a Director at BlackRock, Inc. from 1997 to 2007</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w w:val="92"/>
              </w:rPr>
              <w:t>where he was responsible for a variety of administrative, operational and financial aspects</w:t>
            </w:r>
          </w:p>
        </w:tc>
      </w:tr>
      <w:tr>
        <w:trPr>
          <w:trHeight w:val="230"/>
        </w:trPr>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of closed-end and open-end registered investment companies.</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40" w:type="dxa"/>
            <w:vAlign w:val="bottom"/>
          </w:tcPr>
          <w:p>
            <w:pPr>
              <w:spacing w:after="0"/>
              <w:rPr>
                <w:sz w:val="21"/>
                <w:szCs w:val="21"/>
                <w:color w:val="auto"/>
              </w:rPr>
            </w:pPr>
          </w:p>
        </w:tc>
      </w:tr>
    </w:tbl>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The business address of this executive officer is c/o PennantPark, 590 Madison Avenue, 15th Floor, New York, New York 10022.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Position held</w:t>
            </w:r>
          </w:p>
        </w:tc>
        <w:tc>
          <w:tcPr>
            <w:tcW w:w="6700" w:type="dxa"/>
            <w:vAlign w:val="bottom"/>
          </w:tcPr>
          <w:p>
            <w:pPr>
              <w:spacing w:after="0"/>
              <w:rPr>
                <w:sz w:val="18"/>
                <w:szCs w:val="18"/>
                <w:color w:val="auto"/>
              </w:rPr>
            </w:pPr>
          </w:p>
        </w:tc>
      </w:tr>
      <w:tr>
        <w:trPr>
          <w:trHeight w:val="261"/>
        </w:trPr>
        <w:tc>
          <w:tcPr>
            <w:tcW w:w="2060" w:type="dxa"/>
            <w:vAlign w:val="bottom"/>
            <w:tcBorders>
              <w:bottom w:val="single" w:sz="8" w:color="auto"/>
            </w:tcBorders>
          </w:tcPr>
          <w:p>
            <w:pPr>
              <w:ind w:left="60"/>
              <w:spacing w:after="0" w:line="262" w:lineRule="exact"/>
              <w:rPr>
                <w:sz w:val="20"/>
                <w:szCs w:val="20"/>
                <w:color w:val="auto"/>
              </w:rPr>
            </w:pPr>
            <w:r>
              <w:rPr>
                <w:rFonts w:ascii="Arial" w:cs="Arial" w:eastAsia="Arial" w:hAnsi="Arial"/>
                <w:sz w:val="18"/>
                <w:szCs w:val="18"/>
                <w:b w:val="1"/>
                <w:bCs w:val="1"/>
                <w:color w:val="auto"/>
                <w:w w:val="88"/>
              </w:rPr>
              <w:t>Name Address and Age</w:t>
            </w:r>
            <w:r>
              <w:rPr>
                <w:rFonts w:ascii="Arial" w:cs="Arial" w:eastAsia="Arial" w:hAnsi="Arial"/>
                <w:sz w:val="25"/>
                <w:szCs w:val="25"/>
                <w:b w:val="1"/>
                <w:bCs w:val="1"/>
                <w:color w:val="auto"/>
                <w:w w:val="88"/>
                <w:vertAlign w:val="superscript"/>
              </w:rPr>
              <w:t>(1)</w:t>
            </w:r>
          </w:p>
        </w:tc>
        <w:tc>
          <w:tcPr>
            <w:tcW w:w="24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with Companies</w:t>
            </w:r>
          </w:p>
        </w:tc>
        <w:tc>
          <w:tcPr>
            <w:tcW w:w="200" w:type="dxa"/>
            <w:vAlign w:val="bottom"/>
          </w:tcPr>
          <w:p>
            <w:pPr>
              <w:spacing w:after="0"/>
              <w:rPr>
                <w:sz w:val="22"/>
                <w:szCs w:val="22"/>
                <w:color w:val="auto"/>
              </w:rPr>
            </w:pPr>
          </w:p>
        </w:tc>
        <w:tc>
          <w:tcPr>
            <w:tcW w:w="67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Principal Occupation(s) During the Past 5 Years</w:t>
            </w: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Guy F. Talarico (56)</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PNNT and PFLT -</w:t>
            </w:r>
          </w:p>
        </w:tc>
        <w:tc>
          <w:tcPr>
            <w:tcW w:w="6700" w:type="dxa"/>
            <w:vAlign w:val="bottom"/>
          </w:tcPr>
          <w:p>
            <w:pPr>
              <w:ind w:left="40"/>
              <w:spacing w:after="0"/>
              <w:rPr>
                <w:sz w:val="20"/>
                <w:szCs w:val="20"/>
                <w:color w:val="auto"/>
              </w:rPr>
            </w:pPr>
            <w:r>
              <w:rPr>
                <w:rFonts w:ascii="Arial" w:cs="Arial" w:eastAsia="Arial" w:hAnsi="Arial"/>
                <w:sz w:val="18"/>
                <w:szCs w:val="18"/>
                <w:color w:val="auto"/>
              </w:rPr>
              <w:t>Chief Compliance Officer of PNNT and PFLT since May 2008 and March 2011,</w:t>
            </w:r>
          </w:p>
        </w:tc>
      </w:t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Compliance Officer</w:t>
            </w:r>
          </w:p>
        </w:tc>
        <w:tc>
          <w:tcPr>
            <w:tcW w:w="6700" w:type="dxa"/>
            <w:vAlign w:val="bottom"/>
          </w:tcPr>
          <w:p>
            <w:pPr>
              <w:ind w:left="40"/>
              <w:spacing w:after="0"/>
              <w:rPr>
                <w:sz w:val="20"/>
                <w:szCs w:val="20"/>
                <w:color w:val="auto"/>
              </w:rPr>
            </w:pPr>
            <w:r>
              <w:rPr>
                <w:rFonts w:ascii="Arial" w:cs="Arial" w:eastAsia="Arial" w:hAnsi="Arial"/>
                <w:sz w:val="18"/>
                <w:szCs w:val="18"/>
                <w:color w:val="auto"/>
                <w:w w:val="92"/>
              </w:rPr>
              <w:t>respectively. Mr. Talarico has served as Chief Compliance Officer for investment advisers,</w:t>
            </w:r>
          </w:p>
        </w:tc>
      </w:t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w w:val="93"/>
              </w:rPr>
              <w:t>private funds and investment companies since 2004. From 2001 to 2004 Mr. Talarico was</w:t>
            </w:r>
          </w:p>
        </w:tc>
      </w:t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w w:val="96"/>
              </w:rPr>
              <w:t>senior director at Investors Bank &amp; Trust Company where he was servicing investment</w:t>
            </w:r>
          </w:p>
        </w:tc>
      </w:tr>
      <w:tr>
        <w:trPr>
          <w:trHeight w:val="216"/>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w w:val="97"/>
              </w:rPr>
              <w:t>advisers, mutual funds and institutions. From 1986 to 2001 Mr. Talarico was a division</w:t>
            </w:r>
          </w:p>
        </w:tc>
      </w:tr>
      <w:tr>
        <w:trPr>
          <w:trHeight w:val="230"/>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rPr>
              <w:t>executive with JPMorgan Chase Bank, N.A.</w:t>
            </w: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00" w:type="dxa"/>
            <w:vAlign w:val="bottom"/>
          </w:tcPr>
          <w:p>
            <w:pPr>
              <w:spacing w:after="0"/>
              <w:rPr>
                <w:sz w:val="21"/>
                <w:szCs w:val="21"/>
                <w:color w:val="auto"/>
              </w:rPr>
            </w:pPr>
          </w:p>
        </w:tc>
      </w:tr>
    </w:tbl>
    <w:p>
      <w:pPr>
        <w:spacing w:after="0" w:line="148" w:lineRule="exact"/>
        <w:rPr>
          <w:sz w:val="20"/>
          <w:szCs w:val="20"/>
          <w:color w:val="auto"/>
        </w:rPr>
      </w:pPr>
    </w:p>
    <w:p>
      <w:pPr>
        <w:ind w:left="5620" w:right="2440" w:hanging="5532"/>
        <w:spacing w:after="0" w:line="590" w:lineRule="auto"/>
        <w:tabs>
          <w:tab w:leader="none" w:pos="3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this officer is c/o PennantPark, 590 Madison Avenue, 15th Floor, New York, New York 10022. 13</w:t>
      </w:r>
    </w:p>
    <w:p>
      <w:pPr>
        <w:sectPr>
          <w:pgSz w:w="11900" w:h="16838" w:orient="portrait"/>
          <w:cols w:equalWidth="0" w:num="1">
            <w:col w:w="11420"/>
          </w:cols>
          <w:pgMar w:left="240" w:top="76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at (</w:t>
      </w:r>
      <w:r>
        <w:rPr>
          <w:rFonts w:ascii="Arial" w:cs="Arial" w:eastAsia="Arial" w:hAnsi="Arial"/>
          <w:sz w:val="18"/>
          <w:szCs w:val="18"/>
          <w:u w:val="single" w:color="auto"/>
          <w:color w:val="auto"/>
        </w:rPr>
        <w:t>http://www.pennantpark.com</w:t>
      </w:r>
      <w:r>
        <w:rPr>
          <w:rFonts w:ascii="Arial" w:cs="Arial" w:eastAsia="Arial" w:hAnsi="Arial"/>
          <w:sz w:val="18"/>
          <w:szCs w:val="18"/>
          <w:color w:val="auto"/>
        </w:rPr>
        <w:t>). The Joint Code of Conduct applies to the Companies' directors, executive officer, officers and their respective staffs.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 required by the 1940 Act, each Company maintains a Joint Code of Ethics with the Adviser that establishes procedures that apply to the Companies' directors, executive officer, officers their respective staffs and the employees of the Adviser with respect to their personal investments and investment transactions. The Joint Code of Ethics generally does not permit investments by the Companies' directors, officers or any other covered person in securities that may be purchased or held by a Company. PNNT filed its Joint Code of Ethics as Exhibit 14.1 to its Annual Report on Form 10-K, filed with the SEC on November 16, 2011, and PFLT filed its Joint Code of Ethics as Exhibit 14.1 to its Annual Report on Form 10-K, filed with the SEC on November 17, 2011. You may access the Joint Codes of Ethics via the Internet site of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or our website at (</w:t>
      </w:r>
      <w:r>
        <w:rPr>
          <w:rFonts w:ascii="Arial" w:cs="Arial" w:eastAsia="Arial" w:hAnsi="Arial"/>
          <w:sz w:val="18"/>
          <w:szCs w:val="18"/>
          <w:u w:val="single" w:color="auto"/>
          <w:color w:val="auto"/>
        </w:rPr>
        <w:t>http://www.pennantpark.com</w:t>
      </w:r>
      <w:r>
        <w:rPr>
          <w:rFonts w:ascii="Arial" w:cs="Arial" w:eastAsia="Arial" w:hAnsi="Arial"/>
          <w:sz w:val="18"/>
          <w:szCs w:val="18"/>
          <w:color w:val="auto"/>
        </w:rPr>
        <w:t>). Each Company intends to disclose any material amendments to or waivers of required provisions of its Joint Code of Conduct or its Joint Code of Ethics on Form 8-K.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PNNT each Independent Director receives an annual payment of $90,000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PFLT each Independent Director receives an annual payment of $50,000 for services performed on behalf of PFLT as a director. The 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8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(or, for PFLT, partial fiscal year) ended September 30, 2011. No compensation is paid directly by either Company to any interested director or executive officer of the Companies.</w:t>
      </w:r>
    </w:p>
    <w:p>
      <w:pPr>
        <w:spacing w:after="0" w:line="26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gridSpan w:val="9"/>
          </w:tcPr>
          <w:p>
            <w:pPr>
              <w:ind w:left="520"/>
              <w:spacing w:after="0"/>
              <w:rPr>
                <w:sz w:val="20"/>
                <w:szCs w:val="20"/>
                <w:color w:val="auto"/>
              </w:rPr>
            </w:pPr>
            <w:r>
              <w:rPr>
                <w:rFonts w:ascii="Arial" w:cs="Arial" w:eastAsia="Arial" w:hAnsi="Arial"/>
                <w:sz w:val="18"/>
                <w:szCs w:val="18"/>
                <w:b w:val="1"/>
                <w:bCs w:val="1"/>
                <w:color w:val="auto"/>
              </w:rPr>
              <w:t>PennantPark Investment Corporation</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gridSpan w:val="7"/>
          </w:tcPr>
          <w:p>
            <w:pPr>
              <w:spacing w:after="0"/>
              <w:rPr>
                <w:sz w:val="20"/>
                <w:szCs w:val="20"/>
                <w:color w:val="auto"/>
              </w:rPr>
            </w:pPr>
            <w:r>
              <w:rPr>
                <w:rFonts w:ascii="Arial" w:cs="Arial" w:eastAsia="Arial" w:hAnsi="Arial"/>
                <w:sz w:val="18"/>
                <w:szCs w:val="18"/>
                <w:b w:val="1"/>
                <w:bCs w:val="1"/>
                <w:color w:val="auto"/>
                <w:w w:val="99"/>
              </w:rPr>
              <w:t>PennantPark Floating Rate Capital Ltd.</w:t>
            </w:r>
          </w:p>
        </w:tc>
      </w:tr>
      <w:tr>
        <w:trPr>
          <w:trHeight w:val="272"/>
        </w:trPr>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Pension or</w:t>
            </w:r>
          </w:p>
        </w:tc>
        <w:tc>
          <w:tcPr>
            <w:tcW w:w="90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7"/>
              </w:rPr>
              <w:t>Aggregate</w:t>
            </w:r>
          </w:p>
        </w:tc>
        <w:tc>
          <w:tcPr>
            <w:tcW w:w="1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Pension or</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7"/>
              </w:rPr>
              <w:t>Aggregate</w:t>
            </w: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retirement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6"/>
              </w:rPr>
              <w:t>compensation</w:t>
            </w:r>
          </w:p>
        </w:tc>
        <w:tc>
          <w:tcPr>
            <w:tcW w:w="1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retirement benefits</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7"/>
          </w:tcPr>
          <w:p>
            <w:pPr>
              <w:ind w:left="260"/>
              <w:spacing w:after="0"/>
              <w:rPr>
                <w:sz w:val="20"/>
                <w:szCs w:val="20"/>
                <w:color w:val="auto"/>
              </w:rPr>
            </w:pPr>
            <w:r>
              <w:rPr>
                <w:rFonts w:ascii="Arial" w:cs="Arial" w:eastAsia="Arial" w:hAnsi="Arial"/>
                <w:sz w:val="18"/>
                <w:szCs w:val="18"/>
                <w:b w:val="1"/>
                <w:bCs w:val="1"/>
                <w:color w:val="auto"/>
                <w:w w:val="97"/>
              </w:rPr>
              <w:t>compensation benefits accrued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from the</w:t>
            </w:r>
          </w:p>
        </w:tc>
        <w:tc>
          <w:tcPr>
            <w:tcW w:w="1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accrued as part of</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Total paid to</w:t>
            </w:r>
          </w:p>
        </w:tc>
        <w:tc>
          <w:tcPr>
            <w:tcW w:w="420" w:type="dxa"/>
            <w:vAlign w:val="bottom"/>
          </w:tcPr>
          <w:p>
            <w:pPr>
              <w:spacing w:after="0"/>
              <w:rPr>
                <w:sz w:val="18"/>
                <w:szCs w:val="18"/>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from the</w:t>
            </w: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as part of our</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Total paid to</w:t>
            </w:r>
          </w:p>
        </w:tc>
      </w:tr>
      <w:tr>
        <w:trPr>
          <w:trHeight w:val="194"/>
        </w:trPr>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1560" w:type="dxa"/>
            <w:vAlign w:val="bottom"/>
          </w:tcPr>
          <w:p>
            <w:pPr>
              <w:spacing w:after="0"/>
              <w:rPr>
                <w:sz w:val="16"/>
                <w:szCs w:val="16"/>
                <w:color w:val="auto"/>
              </w:rPr>
            </w:pPr>
          </w:p>
        </w:tc>
        <w:tc>
          <w:tcPr>
            <w:tcW w:w="1480" w:type="dxa"/>
            <w:vAlign w:val="bottom"/>
            <w:gridSpan w:val="4"/>
          </w:tcPr>
          <w:p>
            <w:pPr>
              <w:jc w:val="center"/>
              <w:ind w:left="130"/>
              <w:spacing w:after="0" w:line="194" w:lineRule="exact"/>
              <w:rPr>
                <w:sz w:val="20"/>
                <w:szCs w:val="20"/>
                <w:color w:val="auto"/>
              </w:rPr>
            </w:pPr>
            <w:r>
              <w:rPr>
                <w:rFonts w:ascii="Arial" w:cs="Arial" w:eastAsia="Arial" w:hAnsi="Arial"/>
                <w:sz w:val="18"/>
                <w:szCs w:val="18"/>
                <w:b w:val="1"/>
                <w:bCs w:val="1"/>
                <w:color w:val="auto"/>
                <w:w w:val="90"/>
              </w:rPr>
              <w:t>Company</w:t>
            </w:r>
          </w:p>
        </w:tc>
        <w:tc>
          <w:tcPr>
            <w:tcW w:w="1860" w:type="dxa"/>
            <w:vAlign w:val="bottom"/>
            <w:gridSpan w:val="3"/>
          </w:tcPr>
          <w:p>
            <w:pPr>
              <w:jc w:val="center"/>
              <w:ind w:right="200"/>
              <w:spacing w:after="0" w:line="193" w:lineRule="exact"/>
              <w:rPr>
                <w:sz w:val="20"/>
                <w:szCs w:val="20"/>
                <w:color w:val="auto"/>
              </w:rPr>
            </w:pPr>
            <w:r>
              <w:rPr>
                <w:rFonts w:ascii="Arial" w:cs="Arial" w:eastAsia="Arial" w:hAnsi="Arial"/>
                <w:sz w:val="16"/>
                <w:szCs w:val="16"/>
                <w:b w:val="1"/>
                <w:bCs w:val="1"/>
                <w:color w:val="auto"/>
                <w:w w:val="94"/>
              </w:rPr>
              <w:t>our expense</w:t>
            </w:r>
            <w:r>
              <w:rPr>
                <w:rFonts w:ascii="Arial" w:cs="Arial" w:eastAsia="Arial" w:hAnsi="Arial"/>
                <w:sz w:val="22"/>
                <w:szCs w:val="22"/>
                <w:b w:val="1"/>
                <w:bCs w:val="1"/>
                <w:color w:val="auto"/>
                <w:w w:val="94"/>
                <w:vertAlign w:val="superscript"/>
              </w:rPr>
              <w:t>(1)</w:t>
            </w:r>
          </w:p>
        </w:tc>
        <w:tc>
          <w:tcPr>
            <w:tcW w:w="1400" w:type="dxa"/>
            <w:vAlign w:val="bottom"/>
            <w:gridSpan w:val="3"/>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director/officer</w:t>
            </w:r>
          </w:p>
        </w:tc>
        <w:tc>
          <w:tcPr>
            <w:tcW w:w="1340" w:type="dxa"/>
            <w:vAlign w:val="bottom"/>
            <w:gridSpan w:val="4"/>
          </w:tcPr>
          <w:p>
            <w:pPr>
              <w:jc w:val="center"/>
              <w:ind w:left="150"/>
              <w:spacing w:after="0" w:line="194" w:lineRule="exact"/>
              <w:rPr>
                <w:sz w:val="20"/>
                <w:szCs w:val="20"/>
                <w:color w:val="auto"/>
              </w:rPr>
            </w:pPr>
            <w:r>
              <w:rPr>
                <w:rFonts w:ascii="Arial" w:cs="Arial" w:eastAsia="Arial" w:hAnsi="Arial"/>
                <w:sz w:val="18"/>
                <w:szCs w:val="18"/>
                <w:b w:val="1"/>
                <w:bCs w:val="1"/>
                <w:color w:val="auto"/>
                <w:w w:val="90"/>
              </w:rPr>
              <w:t>Company</w:t>
            </w:r>
          </w:p>
        </w:tc>
        <w:tc>
          <w:tcPr>
            <w:tcW w:w="300" w:type="dxa"/>
            <w:vAlign w:val="bottom"/>
          </w:tcPr>
          <w:p>
            <w:pPr>
              <w:spacing w:after="0"/>
              <w:rPr>
                <w:sz w:val="16"/>
                <w:szCs w:val="16"/>
                <w:color w:val="auto"/>
              </w:rPr>
            </w:pPr>
          </w:p>
        </w:tc>
        <w:tc>
          <w:tcPr>
            <w:tcW w:w="1280" w:type="dxa"/>
            <w:vAlign w:val="bottom"/>
            <w:gridSpan w:val="2"/>
          </w:tcPr>
          <w:p>
            <w:pPr>
              <w:jc w:val="center"/>
              <w:ind w:right="540"/>
              <w:spacing w:after="0" w:line="193" w:lineRule="exact"/>
              <w:rPr>
                <w:sz w:val="20"/>
                <w:szCs w:val="20"/>
                <w:color w:val="auto"/>
              </w:rPr>
            </w:pPr>
            <w:r>
              <w:rPr>
                <w:rFonts w:ascii="Arial" w:cs="Arial" w:eastAsia="Arial" w:hAnsi="Arial"/>
                <w:sz w:val="16"/>
                <w:szCs w:val="16"/>
                <w:b w:val="1"/>
                <w:bCs w:val="1"/>
                <w:color w:val="auto"/>
                <w:w w:val="90"/>
              </w:rPr>
              <w:t>expense</w:t>
            </w:r>
            <w:r>
              <w:rPr>
                <w:rFonts w:ascii="Arial" w:cs="Arial" w:eastAsia="Arial" w:hAnsi="Arial"/>
                <w:sz w:val="22"/>
                <w:szCs w:val="22"/>
                <w:b w:val="1"/>
                <w:bCs w:val="1"/>
                <w:color w:val="auto"/>
                <w:w w:val="90"/>
                <w:vertAlign w:val="superscript"/>
              </w:rPr>
              <w:t>(1)</w:t>
            </w:r>
          </w:p>
        </w:tc>
        <w:tc>
          <w:tcPr>
            <w:tcW w:w="116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91"/>
              </w:rPr>
              <w:t>director/officer</w:t>
            </w:r>
          </w:p>
        </w:tc>
      </w:tr>
      <w:tr>
        <w:trPr>
          <w:trHeight w:val="20"/>
        </w:trPr>
        <w:tc>
          <w:tcPr>
            <w:tcW w:w="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91"/>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22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$105,000</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$105,000</w:t>
            </w:r>
          </w:p>
        </w:tc>
        <w:tc>
          <w:tcPr>
            <w:tcW w:w="240" w:type="dxa"/>
            <w:vAlign w:val="bottom"/>
          </w:tcPr>
          <w:p>
            <w:pPr>
              <w:spacing w:after="0"/>
              <w:rPr>
                <w:sz w:val="23"/>
                <w:szCs w:val="23"/>
                <w:color w:val="auto"/>
              </w:rPr>
            </w:pPr>
          </w:p>
        </w:tc>
        <w:tc>
          <w:tcPr>
            <w:tcW w:w="116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$30,625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2"/>
              </w:rPr>
              <w:t>$30,625</w:t>
            </w:r>
          </w:p>
        </w:tc>
        <w:tc>
          <w:tcPr>
            <w:tcW w:w="260" w:type="dxa"/>
            <w:vAlign w:val="bottom"/>
          </w:tcPr>
          <w:p>
            <w:pPr>
              <w:spacing w:after="0"/>
              <w:rPr>
                <w:sz w:val="23"/>
                <w:szCs w:val="23"/>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122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$105,000</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$105,000</w:t>
            </w:r>
          </w:p>
        </w:tc>
        <w:tc>
          <w:tcPr>
            <w:tcW w:w="240" w:type="dxa"/>
            <w:vAlign w:val="bottom"/>
          </w:tcPr>
          <w:p>
            <w:pPr>
              <w:spacing w:after="0"/>
              <w:rPr>
                <w:sz w:val="23"/>
                <w:szCs w:val="23"/>
                <w:color w:val="auto"/>
              </w:rPr>
            </w:pPr>
          </w:p>
        </w:tc>
        <w:tc>
          <w:tcPr>
            <w:tcW w:w="116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$30,625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2"/>
              </w:rPr>
              <w:t>$30,625</w:t>
            </w:r>
          </w:p>
        </w:tc>
        <w:tc>
          <w:tcPr>
            <w:tcW w:w="260" w:type="dxa"/>
            <w:vAlign w:val="bottom"/>
          </w:tcPr>
          <w:p>
            <w:pPr>
              <w:spacing w:after="0"/>
              <w:rPr>
                <w:sz w:val="23"/>
                <w:szCs w:val="23"/>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220" w:type="dxa"/>
            <w:vAlign w:val="bottom"/>
            <w:gridSpan w:val="3"/>
          </w:tcPr>
          <w:p>
            <w:pPr>
              <w:jc w:val="center"/>
              <w:ind w:left="390"/>
              <w:spacing w:after="0"/>
              <w:rPr>
                <w:sz w:val="20"/>
                <w:szCs w:val="20"/>
                <w:color w:val="auto"/>
              </w:rPr>
            </w:pPr>
            <w:r>
              <w:rPr>
                <w:rFonts w:ascii="Arial" w:cs="Arial" w:eastAsia="Arial" w:hAnsi="Arial"/>
                <w:sz w:val="18"/>
                <w:szCs w:val="18"/>
                <w:color w:val="auto"/>
                <w:w w:val="87"/>
              </w:rPr>
              <w:t>$115,000</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$115,000</w:t>
            </w:r>
          </w:p>
        </w:tc>
        <w:tc>
          <w:tcPr>
            <w:tcW w:w="240" w:type="dxa"/>
            <w:vAlign w:val="bottom"/>
          </w:tcPr>
          <w:p>
            <w:pPr>
              <w:spacing w:after="0"/>
              <w:rPr>
                <w:sz w:val="23"/>
                <w:szCs w:val="23"/>
                <w:color w:val="auto"/>
              </w:rPr>
            </w:pPr>
          </w:p>
        </w:tc>
        <w:tc>
          <w:tcPr>
            <w:tcW w:w="116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$31,875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2"/>
              </w:rPr>
              <w:t>$31,875</w:t>
            </w:r>
          </w:p>
        </w:tc>
        <w:tc>
          <w:tcPr>
            <w:tcW w:w="260" w:type="dxa"/>
            <w:vAlign w:val="bottom"/>
          </w:tcPr>
          <w:p>
            <w:pPr>
              <w:spacing w:after="0"/>
              <w:rPr>
                <w:sz w:val="23"/>
                <w:szCs w:val="23"/>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1220" w:type="dxa"/>
            <w:vAlign w:val="bottom"/>
            <w:gridSpan w:val="3"/>
          </w:tcPr>
          <w:p>
            <w:pPr>
              <w:jc w:val="center"/>
              <w:ind w:left="390"/>
              <w:spacing w:after="0"/>
              <w:rPr>
                <w:sz w:val="20"/>
                <w:szCs w:val="20"/>
                <w:color w:val="auto"/>
              </w:rPr>
            </w:pPr>
            <w:r>
              <w:rPr>
                <w:rFonts w:ascii="Arial" w:cs="Arial" w:eastAsia="Arial" w:hAnsi="Arial"/>
                <w:sz w:val="18"/>
                <w:szCs w:val="18"/>
                <w:color w:val="auto"/>
                <w:w w:val="87"/>
              </w:rPr>
              <w:t>$112,500</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$112,500</w:t>
            </w:r>
          </w:p>
        </w:tc>
        <w:tc>
          <w:tcPr>
            <w:tcW w:w="240" w:type="dxa"/>
            <w:vAlign w:val="bottom"/>
          </w:tcPr>
          <w:p>
            <w:pPr>
              <w:spacing w:after="0"/>
              <w:rPr>
                <w:sz w:val="23"/>
                <w:szCs w:val="23"/>
                <w:color w:val="auto"/>
              </w:rPr>
            </w:pPr>
          </w:p>
        </w:tc>
        <w:tc>
          <w:tcPr>
            <w:tcW w:w="116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$30,625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2"/>
              </w:rPr>
              <w:t>$30,625</w:t>
            </w:r>
          </w:p>
        </w:tc>
        <w:tc>
          <w:tcPr>
            <w:tcW w:w="260" w:type="dxa"/>
            <w:vAlign w:val="bottom"/>
          </w:tcPr>
          <w:p>
            <w:pPr>
              <w:spacing w:after="0"/>
              <w:rPr>
                <w:sz w:val="23"/>
                <w:szCs w:val="23"/>
                <w:color w:val="auto"/>
              </w:rPr>
            </w:pPr>
          </w:p>
        </w:tc>
      </w:tr>
      <w:tr>
        <w:trPr>
          <w:trHeight w:val="513"/>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480" w:type="dxa"/>
            <w:vAlign w:val="bottom"/>
          </w:tcPr>
          <w:p>
            <w:pPr>
              <w:spacing w:after="0"/>
              <w:rPr>
                <w:sz w:val="23"/>
                <w:szCs w:val="23"/>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None</w:t>
            </w:r>
          </w:p>
        </w:tc>
        <w:tc>
          <w:tcPr>
            <w:tcW w:w="600" w:type="dxa"/>
            <w:vAlign w:val="bottom"/>
          </w:tcPr>
          <w:p>
            <w:pPr>
              <w:spacing w:after="0"/>
              <w:rPr>
                <w:sz w:val="23"/>
                <w:szCs w:val="2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None</w:t>
            </w:r>
          </w:p>
        </w:tc>
        <w:tc>
          <w:tcPr>
            <w:tcW w:w="420" w:type="dxa"/>
            <w:vAlign w:val="bottom"/>
          </w:tcPr>
          <w:p>
            <w:pPr>
              <w:spacing w:after="0"/>
              <w:rPr>
                <w:sz w:val="23"/>
                <w:szCs w:val="23"/>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None</w:t>
            </w:r>
          </w:p>
        </w:tc>
      </w:tr>
      <w:tr>
        <w:trPr>
          <w:trHeight w:val="432"/>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9"/>
        </w:trPr>
        <w:tc>
          <w:tcPr>
            <w:tcW w:w="2020" w:type="dxa"/>
            <w:vAlign w:val="bottom"/>
            <w:gridSpan w:val="2"/>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25"/>
                <w:szCs w:val="25"/>
                <w:color w:val="auto"/>
                <w:vertAlign w:val="superscript"/>
              </w:rPr>
              <w:t>(2)</w:t>
            </w:r>
          </w:p>
        </w:tc>
        <w:tc>
          <w:tcPr>
            <w:tcW w:w="48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None</w:t>
            </w:r>
          </w:p>
        </w:tc>
        <w:tc>
          <w:tcPr>
            <w:tcW w:w="600" w:type="dxa"/>
            <w:vAlign w:val="bottom"/>
          </w:tcPr>
          <w:p>
            <w:pPr>
              <w:spacing w:after="0"/>
              <w:rPr>
                <w:sz w:val="24"/>
                <w:szCs w:val="2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None</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None</w:t>
            </w:r>
          </w:p>
        </w:tc>
        <w:tc>
          <w:tcPr>
            <w:tcW w:w="42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None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None</w:t>
            </w:r>
          </w:p>
        </w:tc>
      </w:tr>
    </w:tbl>
    <w:p>
      <w:pPr>
        <w:spacing w:after="0"/>
        <w:rPr>
          <w:sz w:val="20"/>
          <w:szCs w:val="20"/>
          <w:color w:val="auto"/>
        </w:rPr>
      </w:pPr>
      <w:r>
        <w:rPr>
          <w:rFonts w:ascii="Arial" w:cs="Arial" w:eastAsia="Arial" w:hAnsi="Arial"/>
          <w:sz w:val="18"/>
          <w:szCs w:val="18"/>
          <w:color w:val="auto"/>
        </w:rPr>
        <w:t>—————</w:t>
      </w:r>
    </w:p>
    <w:p>
      <w:pPr>
        <w:spacing w:after="0" w:line="155" w:lineRule="exact"/>
        <w:rPr>
          <w:sz w:val="20"/>
          <w:szCs w:val="20"/>
          <w:color w:val="auto"/>
        </w:rPr>
      </w:pPr>
    </w:p>
    <w:p>
      <w:pPr>
        <w:ind w:left="380" w:hanging="29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63" w:lineRule="exact"/>
        <w:rPr>
          <w:rFonts w:ascii="Arial" w:cs="Arial" w:eastAsia="Arial" w:hAnsi="Arial"/>
          <w:sz w:val="18"/>
          <w:szCs w:val="18"/>
          <w:color w:val="auto"/>
        </w:rPr>
      </w:pPr>
    </w:p>
    <w:p>
      <w:pPr>
        <w:ind w:left="380" w:hanging="29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Company's investment activities are managed by the Adviser and supervised by its Board, 80% of who are Independent Directors. PNNT's Investment Management Agreement with the Adviser was re-approved by its Board, including a majority of the Independent Directors, in February 2011. PFLT's Investment Management Agreement with the Adviser was approved by its Board, including a majority of the Independent Directors, in March 2011.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components-a base management fee and an incentive fee. For the fiscal year (or, for PFLT, partial fiscal year) ended September 30, 2011, the Adviser earned a net base management fee of $14.9 million and an incentive fee of $13.2 million from PNNT, and a net base management fee of $0.4 million and no incentive fee from PFLT.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are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Company also has entered into an Administration Agreement with the Administrator.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(or, for PFLT, partial fiscal year) ended September 30, 2011, the Adviser and Administrator, collectively, were reimbursed $2.6 million from PNNT and $0.2 million from PFLT, including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expenses incurred on behalf of the Administrator, for services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of each Company, in consultation with the Company's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Companies' Joint Code of Conduct or Joint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KPMG LLP (“KPMG”) has been selected as the independent registered public accounting firm to audit the consolidated financial statements of each Company and its subsidiaries on and during the Company's fiscal year ending September 30, 2012. KPMG was selected by each Audit Committee, and that selection was ratified by a majority of each Company's Board, including all of the Independent Directors, by a vote cast in person. The Companies do not know of any direct or indirect financial interest of KPMG in the Companies. Representative(s) of KPMG will attend the Meeting and will have the opportunity to make a statement if they desire to do so and will be available to answer questions.</w:t>
      </w:r>
    </w:p>
    <w:p>
      <w:pPr>
        <w:spacing w:after="0" w:line="1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consist of fees billed for professional services rendered for the audit of our year-end financial statements and services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normally provided by KPMG in connection with statutory and regulatory filings. For PNNT, Audit fees billed during the fiscal years ended September 30, 2011 and 2010 were $422,900 and $527,800, respectively. Of the Audit fees billed, $123,000 and $100,950 related to Form N-2 Registration Statement and Prospectus filings during 2011 and 2010, respectively. For PFLT, Audit fees billed during the partial fiscal year ended September 30, 2011 were $155,900. Of the Audit fees billed to PFLT, $71,000 related to Form N-2 Registration Statement and Prospectus filings during 2011.</w:t>
      </w:r>
    </w:p>
    <w:p>
      <w:pPr>
        <w:spacing w:after="0" w:line="1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Audit-related services consist of fees billed for assurance and related services that are reasonably related to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or review of our financial statements and are not reported under “Audit Fees.” These services include attest services that are not required by statute or regulation and consultations concerning financial accounting and reporting standards. There were no audit-related fees billed during the fiscal years ended September 30, 2011 and 2010, for PNNT. Similarly, for PFLT there were no audit-related fees billed during the partial fiscal year ended September 30, 2011.</w:t>
      </w:r>
    </w:p>
    <w:p>
      <w:pPr>
        <w:spacing w:after="0" w:line="1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 Tax fees billed to PNNT during the fiscal years ended September 30, 2011 and 2010 were $47,775 and $94,750, respectively. Similarly, tax fees billed to PFLT during the fiscal year ended September 30, 2011 were $6,750.</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 PNNT was not billed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during the fiscal years ended September 30, 2011 and 2010. Similarly, PFLT was not billed for other fees during the partial fiscal year ended September 30, 2011.</w:t>
      </w:r>
    </w:p>
    <w:p>
      <w:pPr>
        <w:spacing w:after="0" w:line="1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KPMG,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All audit related tax and other services provided by KPMG to the Companies during the fiscal year (or, for PFLT, partial fiscal year) ended September 30, 2011 were approved by the Audit Committees in accordance with such policy.</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 However, each Audit Committee may delegate pre-approval authority to one or more of its 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EACH BOARD OF DIRECTORS, INCLUDING ITS INDEPENDENT DIRECTORS, UNANIMOUSLY RECOMMENDS THAT YOU VOTE FOR RATIFICATION OF KPMG LLP AS INDEPENDENT REGISTERED PUBLIC ACCOUNTING FIRM TO YOUR COMPANY FOR THE FISCAL YEAR ENDING SEPTEMBER 30, 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Audit Committee Report</w:t>
      </w:r>
      <w:r>
        <w:rPr>
          <w:rFonts w:ascii="Arial" w:cs="Arial" w:eastAsia="Arial" w:hAnsi="Arial"/>
          <w:sz w:val="25"/>
          <w:szCs w:val="25"/>
          <w:b w:val="1"/>
          <w:bCs w:val="1"/>
          <w:i w:val="1"/>
          <w:iCs w:val="1"/>
          <w:color w:val="auto"/>
          <w:vertAlign w:val="superscript"/>
        </w:rPr>
        <w:t>(1)</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the joint report of the Audit Committees with respect to the Companies' audited financial statements for the fiscal year (or, for PFLT, partial fiscal year) ended September 30, 2011.</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Audit Committee has reviewed and discussed the Company's audited financial statements with management and KPMG LLP, the Companies' independent registered public accounting firm, with and without management present. Each Audit Committee included in its review results of KPMG's examinations,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and auditing procedures.</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each Audit Committee has discussed with KPMG its independence from management and the Company, as well as the matters in the written disclosures received from KPMG and required by Public Company Accounting Oversight Board Rule 3520 (Auditor Independence). Each Audit Committee received a report from KPMG confirming its independence and discussed the report with KPMG. Each Audit Committee discussed and reviewed with KPMG the Company's critical accounting policies and practices, internal controls, other material written communications to management, and the scope of KPMG's audits and all fees paid to KPMG during the fiscal year (or, for PFLT, partial fiscal year). Each Audit Committee adopted guidelines requiring review and pre-approval by the Audit Committee of audit and non-audit services performed by KPMG for the Company. Each Audit Committee has reviewed and considered the compatibility of KPMG's performance of non-audit services with the maintenance of KPMG's independence as the Company's independent registered public accounting firm.</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of Directors (and the Boards have approved) that the Company's audited financial statements be included in the Company's Annual Report on Form 10-K for the fiscal year (or, for PFLT, partial fiscal year) ended September 30, 2011 for filing with the SEC. In addition, the Audit Committees have engaged KPMG to serve as the Companies' independent registered public accounting firm for the fiscal years ending September 30, 2012, and has directed that the selection of KPMG should be submitted to the Companies' Stockholders for ratification.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1296670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right="180" w:hanging="291"/>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t>OTHER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appears not to be enough votes for a quorum of a Company or to approve the proposals of a Company at the Meeting,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at (</w:t>
      </w:r>
      <w:r>
        <w:rPr>
          <w:rFonts w:ascii="Arial" w:cs="Arial" w:eastAsia="Arial" w:hAnsi="Arial"/>
          <w:sz w:val="16"/>
          <w:szCs w:val="16"/>
          <w:u w:val="single" w:color="auto"/>
          <w:color w:val="auto"/>
        </w:rPr>
        <w:t>http://www.pennantpark.com</w:t>
      </w:r>
      <w:r>
        <w:rPr>
          <w:rFonts w:ascii="Arial" w:cs="Arial" w:eastAsia="Arial" w:hAnsi="Arial"/>
          <w:sz w:val="16"/>
          <w:szCs w:val="16"/>
          <w:color w:val="auto"/>
        </w:rPr>
        <w:t>) or without charge upon request. Please direct your request to PennantPark, Attention: Investor Relations, 590 Madison Avenue,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Companies expect to hold their 2013 Joint Annual Meeting of Stockholders in February 2013, but the exact date, time, and location of such meeting have yet to be determined. A Stockholder of either Company who intends to present a proposal at that joint annual meeting, including nomination of a director, must submit the proposal in writing addressed to Thomas Friedmann, Secretary, c/o PennantPark, 590 Madison Avenue,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Notices of intention to present proposals, including nomination of a director, at the 2013 joint annual meeting must be received by the relevant Company between July 24, 2012 and 5:00 p.m. Eastern Time on August 23, 2012.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2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Guy F. Talarico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159512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Friedmann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16"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x"/>
      <w:numFmt w:val="bullet"/>
      <w:start w:val="1"/>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12"/>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2019-12-11T03:17:22Z</dcterms:created>
  <dcterms:modified xsi:type="dcterms:W3CDTF">2019-12-11T03:17:22Z</dcterms:modified>
</cp:coreProperties>
</file>