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8" w:lineRule="exact"/>
        <w:rPr>
          <w:sz w:val="24"/>
          <w:szCs w:val="24"/>
          <w:color w:val="auto"/>
        </w:rPr>
      </w:pPr>
    </w:p>
    <w:p>
      <w:pPr>
        <w:jc w:val="center"/>
        <w:ind w:right="-159"/>
        <w:spacing w:after="0"/>
        <w:rPr>
          <w:sz w:val="20"/>
          <w:szCs w:val="20"/>
          <w:color w:val="auto"/>
        </w:rPr>
      </w:pPr>
      <w:r>
        <w:rPr>
          <w:rFonts w:ascii="Arial" w:cs="Arial" w:eastAsia="Arial" w:hAnsi="Arial"/>
          <w:sz w:val="25"/>
          <w:szCs w:val="25"/>
          <w:b w:val="1"/>
          <w:bCs w:val="1"/>
          <w:color w:val="auto"/>
        </w:rPr>
        <w:t>SECURITIES AND EXCHANGE COMMISSION</w:t>
      </w:r>
    </w:p>
    <w:p>
      <w:pPr>
        <w:spacing w:after="0" w:line="10" w:lineRule="exact"/>
        <w:rPr>
          <w:sz w:val="24"/>
          <w:szCs w:val="24"/>
          <w:color w:val="auto"/>
        </w:rPr>
      </w:pPr>
    </w:p>
    <w:p>
      <w:pPr>
        <w:jc w:val="center"/>
        <w:ind w:right="-159"/>
        <w:spacing w:after="0"/>
        <w:rPr>
          <w:sz w:val="20"/>
          <w:szCs w:val="20"/>
          <w:color w:val="auto"/>
        </w:rPr>
      </w:pPr>
      <w:r>
        <w:rPr>
          <w:rFonts w:ascii="Arial" w:cs="Arial" w:eastAsia="Arial" w:hAnsi="Arial"/>
          <w:sz w:val="25"/>
          <w:szCs w:val="25"/>
          <w:b w:val="1"/>
          <w:bCs w:val="1"/>
          <w:color w:val="auto"/>
        </w:rPr>
        <w:t>Washington, D.C. 20549</w:t>
      </w:r>
    </w:p>
    <w:p>
      <w:pPr>
        <w:spacing w:after="0" w:line="10" w:lineRule="exact"/>
        <w:rPr>
          <w:sz w:val="24"/>
          <w:szCs w:val="24"/>
          <w:color w:val="auto"/>
        </w:rPr>
      </w:pPr>
    </w:p>
    <w:p>
      <w:pPr>
        <w:ind w:left="4300"/>
        <w:spacing w:after="0"/>
        <w:rPr>
          <w:sz w:val="20"/>
          <w:szCs w:val="20"/>
          <w:color w:val="auto"/>
        </w:rPr>
      </w:pPr>
      <w:r>
        <w:rPr>
          <w:rFonts w:ascii="Arial" w:cs="Arial" w:eastAsia="Arial" w:hAnsi="Arial"/>
          <w:sz w:val="25"/>
          <w:szCs w:val="25"/>
          <w:color w:val="auto"/>
        </w:rPr>
        <w:t>_____________________</w:t>
      </w:r>
    </w:p>
    <w:p>
      <w:pPr>
        <w:spacing w:after="0" w:line="198" w:lineRule="exact"/>
        <w:rPr>
          <w:sz w:val="24"/>
          <w:szCs w:val="24"/>
          <w:color w:val="auto"/>
        </w:rPr>
      </w:pPr>
    </w:p>
    <w:p>
      <w:pPr>
        <w:jc w:val="center"/>
        <w:ind w:right="-159"/>
        <w:spacing w:after="0"/>
        <w:rPr>
          <w:sz w:val="20"/>
          <w:szCs w:val="20"/>
          <w:color w:val="auto"/>
        </w:rPr>
      </w:pPr>
      <w:r>
        <w:rPr>
          <w:rFonts w:ascii="Arial" w:cs="Arial" w:eastAsia="Arial" w:hAnsi="Arial"/>
          <w:sz w:val="25"/>
          <w:szCs w:val="25"/>
          <w:b w:val="1"/>
          <w:bCs w:val="1"/>
          <w:color w:val="auto"/>
        </w:rPr>
        <w:t>FORM 8-K</w:t>
      </w:r>
    </w:p>
    <w:p>
      <w:pPr>
        <w:spacing w:after="0" w:line="38" w:lineRule="exact"/>
        <w:rPr>
          <w:sz w:val="24"/>
          <w:szCs w:val="24"/>
          <w:color w:val="auto"/>
        </w:rPr>
      </w:pPr>
    </w:p>
    <w:p>
      <w:pPr>
        <w:ind w:left="4300"/>
        <w:spacing w:after="0"/>
        <w:rPr>
          <w:sz w:val="20"/>
          <w:szCs w:val="20"/>
          <w:color w:val="auto"/>
        </w:rPr>
      </w:pPr>
      <w:r>
        <w:rPr>
          <w:rFonts w:ascii="Arial" w:cs="Arial" w:eastAsia="Arial" w:hAnsi="Arial"/>
          <w:sz w:val="25"/>
          <w:szCs w:val="25"/>
          <w:color w:val="auto"/>
        </w:rPr>
        <w:t>_____________________</w:t>
      </w:r>
    </w:p>
    <w:p>
      <w:pPr>
        <w:spacing w:after="0" w:line="193"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CURRENT REPORT</w:t>
      </w:r>
    </w:p>
    <w:p>
      <w:pPr>
        <w:spacing w:after="0" w:line="206" w:lineRule="exact"/>
        <w:rPr>
          <w:sz w:val="24"/>
          <w:szCs w:val="24"/>
          <w:color w:val="auto"/>
        </w:rPr>
      </w:pPr>
    </w:p>
    <w:p>
      <w:pPr>
        <w:jc w:val="center"/>
        <w:ind w:right="-159"/>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54"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Date of Report (Date of earliest event Reported): December 3, 2019</w:t>
      </w:r>
    </w:p>
    <w:p>
      <w:pPr>
        <w:spacing w:after="0" w:line="212"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PennantPark Floating Rate Capital Ltd.</w:t>
      </w:r>
    </w:p>
    <w:p>
      <w:pPr>
        <w:spacing w:after="0" w:line="19"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(Exact Name of Registrant as Specified in Charter)</w:t>
      </w:r>
    </w:p>
    <w:p>
      <w:pPr>
        <w:sectPr>
          <w:pgSz w:w="11900" w:h="16838" w:orient="portrait"/>
          <w:cols w:equalWidth="0" w:num="1">
            <w:col w:w="11100"/>
          </w:cols>
          <w:pgMar w:left="320" w:top="724" w:right="479" w:bottom="1440" w:gutter="0" w:footer="0" w:header="0"/>
        </w:sectPr>
      </w:pPr>
    </w:p>
    <w:p>
      <w:pPr>
        <w:spacing w:after="0" w:line="205" w:lineRule="exact"/>
        <w:rPr>
          <w:sz w:val="24"/>
          <w:szCs w:val="24"/>
          <w:color w:val="auto"/>
        </w:rPr>
      </w:pPr>
    </w:p>
    <w:p>
      <w:pPr>
        <w:jc w:val="center"/>
        <w:ind w:right="200"/>
        <w:spacing w:after="0"/>
        <w:rPr>
          <w:sz w:val="20"/>
          <w:szCs w:val="20"/>
          <w:color w:val="auto"/>
        </w:rPr>
      </w:pPr>
      <w:r>
        <w:rPr>
          <w:rFonts w:ascii="Arial" w:cs="Arial" w:eastAsia="Arial" w:hAnsi="Arial"/>
          <w:sz w:val="18"/>
          <w:szCs w:val="18"/>
          <w:b w:val="1"/>
          <w:bCs w:val="1"/>
          <w:color w:val="auto"/>
        </w:rPr>
        <w:t>Maryland</w:t>
      </w:r>
    </w:p>
    <w:p>
      <w:pPr>
        <w:spacing w:after="0" w:line="27" w:lineRule="exact"/>
        <w:rPr>
          <w:sz w:val="24"/>
          <w:szCs w:val="24"/>
          <w:color w:val="auto"/>
        </w:rPr>
      </w:pPr>
    </w:p>
    <w:p>
      <w:pPr>
        <w:jc w:val="center"/>
        <w:ind w:right="200"/>
        <w:spacing w:after="0"/>
        <w:rPr>
          <w:sz w:val="20"/>
          <w:szCs w:val="20"/>
          <w:color w:val="auto"/>
        </w:rPr>
      </w:pPr>
      <w:r>
        <w:rPr>
          <w:rFonts w:ascii="Arial" w:cs="Arial" w:eastAsia="Arial" w:hAnsi="Arial"/>
          <w:sz w:val="16"/>
          <w:szCs w:val="16"/>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580"/>
        <w:spacing w:after="0"/>
        <w:rPr>
          <w:sz w:val="20"/>
          <w:szCs w:val="20"/>
          <w:color w:val="auto"/>
        </w:rPr>
      </w:pPr>
      <w:r>
        <w:rPr>
          <w:rFonts w:ascii="Arial" w:cs="Arial" w:eastAsia="Arial" w:hAnsi="Arial"/>
          <w:sz w:val="18"/>
          <w:szCs w:val="18"/>
          <w:b w:val="1"/>
          <w:bCs w:val="1"/>
          <w:color w:val="auto"/>
        </w:rPr>
        <w:t>814-00891</w:t>
      </w:r>
    </w:p>
    <w:p>
      <w:pPr>
        <w:spacing w:after="0" w:line="27" w:lineRule="exact"/>
        <w:rPr>
          <w:sz w:val="24"/>
          <w:szCs w:val="24"/>
          <w:color w:val="auto"/>
        </w:rPr>
      </w:pPr>
    </w:p>
    <w:p>
      <w:pPr>
        <w:jc w:val="center"/>
        <w:ind w:right="58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240"/>
        <w:spacing w:after="0"/>
        <w:rPr>
          <w:sz w:val="20"/>
          <w:szCs w:val="20"/>
          <w:color w:val="auto"/>
        </w:rPr>
      </w:pPr>
      <w:r>
        <w:rPr>
          <w:rFonts w:ascii="Arial" w:cs="Arial" w:eastAsia="Arial" w:hAnsi="Arial"/>
          <w:sz w:val="18"/>
          <w:szCs w:val="18"/>
          <w:b w:val="1"/>
          <w:bCs w:val="1"/>
          <w:color w:val="auto"/>
        </w:rPr>
        <w:t>27-3794690</w:t>
      </w:r>
    </w:p>
    <w:p>
      <w:pPr>
        <w:spacing w:after="0" w:line="27" w:lineRule="exact"/>
        <w:rPr>
          <w:sz w:val="24"/>
          <w:szCs w:val="24"/>
          <w:color w:val="auto"/>
        </w:rPr>
      </w:pPr>
    </w:p>
    <w:p>
      <w:pPr>
        <w:jc w:val="center"/>
        <w:ind w:right="240"/>
        <w:spacing w:after="0"/>
        <w:rPr>
          <w:sz w:val="20"/>
          <w:szCs w:val="20"/>
          <w:color w:val="auto"/>
        </w:rPr>
      </w:pPr>
      <w:r>
        <w:rPr>
          <w:rFonts w:ascii="Arial" w:cs="Arial" w:eastAsia="Arial" w:hAnsi="Arial"/>
          <w:sz w:val="16"/>
          <w:szCs w:val="16"/>
          <w:color w:val="auto"/>
        </w:rPr>
        <w:t>(I.R.S. Employer Identification Number)</w:t>
      </w:r>
    </w:p>
    <w:p>
      <w:pPr>
        <w:spacing w:after="0" w:line="200" w:lineRule="exact"/>
        <w:rPr>
          <w:sz w:val="24"/>
          <w:szCs w:val="24"/>
          <w:color w:val="auto"/>
        </w:rPr>
      </w:pPr>
    </w:p>
    <w:p>
      <w:pPr>
        <w:sectPr>
          <w:pgSz w:w="11900" w:h="16838" w:orient="portrait"/>
          <w:cols w:equalWidth="0" w:num="3">
            <w:col w:w="3920" w:space="720"/>
            <w:col w:w="2560" w:space="720"/>
            <w:col w:w="3180"/>
          </w:cols>
          <w:pgMar w:left="320" w:top="724" w:right="479" w:bottom="1440" w:gutter="0" w:footer="0" w:header="0"/>
          <w:type w:val="continuous"/>
        </w:sectPr>
      </w:pPr>
    </w:p>
    <w:p>
      <w:pPr>
        <w:spacing w:after="0" w:line="200" w:lineRule="exact"/>
        <w:rPr>
          <w:sz w:val="24"/>
          <w:szCs w:val="24"/>
          <w:color w:val="auto"/>
        </w:rPr>
      </w:pPr>
    </w:p>
    <w:p>
      <w:pPr>
        <w:spacing w:after="0" w:line="262"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590 Madison Avenue, 15th Floor, New York, NY 10022</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(Address of Principal Executive Offices) (Zip Code)</w:t>
      </w:r>
    </w:p>
    <w:p>
      <w:pPr>
        <w:spacing w:after="0" w:line="207"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212-905-1000</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(Registrant's telephone number, including area code)</w:t>
      </w:r>
    </w:p>
    <w:p>
      <w:pPr>
        <w:spacing w:after="0" w:line="207"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1" w:lineRule="exact"/>
        <w:rPr>
          <w:sz w:val="24"/>
          <w:szCs w:val="24"/>
          <w:color w:val="auto"/>
        </w:rPr>
      </w:pPr>
    </w:p>
    <w:p>
      <w:pPr>
        <w:ind w:right="54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tbl>
      <w:tblPr>
        <w:tblLayout w:type="fixed"/>
        <w:tblInd w:w="300" w:type="dxa"/>
        <w:tblCellMar>
          <w:top w:w="0" w:type="dxa"/>
          <w:left w:w="0" w:type="dxa"/>
          <w:bottom w:w="0" w:type="dxa"/>
          <w:right w:w="0" w:type="dxa"/>
        </w:tblCellMar>
      </w:tblPr>
      <w:tr>
        <w:trPr>
          <w:trHeight w:val="216"/>
        </w:trPr>
        <w:tc>
          <w:tcPr>
            <w:tcW w:w="12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260" w:type="dxa"/>
            <w:vAlign w:val="bottom"/>
          </w:tcPr>
          <w:p>
            <w:pPr>
              <w:ind w:left="180"/>
              <w:spacing w:after="0"/>
              <w:rPr>
                <w:sz w:val="20"/>
                <w:szCs w:val="20"/>
                <w:color w:val="auto"/>
              </w:rPr>
            </w:pPr>
            <w:r>
              <w:rPr>
                <w:rFonts w:ascii="Arial" w:cs="Arial" w:eastAsia="Arial" w:hAnsi="Arial"/>
                <w:sz w:val="18"/>
                <w:szCs w:val="18"/>
                <w:color w:val="auto"/>
              </w:rPr>
              <w:t>Written communications pursuant to Rule 425 under the Securities Act (17 CFR 230.425)</w:t>
            </w:r>
          </w:p>
        </w:tc>
      </w:tr>
      <w:tr>
        <w:trPr>
          <w:trHeight w:val="216"/>
        </w:trPr>
        <w:tc>
          <w:tcPr>
            <w:tcW w:w="12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260" w:type="dxa"/>
            <w:vAlign w:val="bottom"/>
          </w:tcPr>
          <w:p>
            <w:pPr>
              <w:ind w:left="180"/>
              <w:spacing w:after="0"/>
              <w:rPr>
                <w:sz w:val="20"/>
                <w:szCs w:val="20"/>
                <w:color w:val="auto"/>
              </w:rPr>
            </w:pPr>
            <w:r>
              <w:rPr>
                <w:rFonts w:ascii="Arial" w:cs="Arial" w:eastAsia="Arial" w:hAnsi="Arial"/>
                <w:sz w:val="18"/>
                <w:szCs w:val="18"/>
                <w:color w:val="auto"/>
              </w:rPr>
              <w:t>Soliciting material pursuant to Rule 14a-12 under the Exchange Act (17 CFR 240.14a-12)</w:t>
            </w:r>
          </w:p>
        </w:tc>
      </w:tr>
      <w:tr>
        <w:trPr>
          <w:trHeight w:val="230"/>
        </w:trPr>
        <w:tc>
          <w:tcPr>
            <w:tcW w:w="12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260" w:type="dxa"/>
            <w:vAlign w:val="bottom"/>
          </w:tcPr>
          <w:p>
            <w:pPr>
              <w:ind w:left="180"/>
              <w:spacing w:after="0"/>
              <w:rPr>
                <w:sz w:val="20"/>
                <w:szCs w:val="20"/>
                <w:color w:val="auto"/>
              </w:rPr>
            </w:pPr>
            <w:r>
              <w:rPr>
                <w:rFonts w:ascii="Arial" w:cs="Arial" w:eastAsia="Arial" w:hAnsi="Arial"/>
                <w:sz w:val="18"/>
                <w:szCs w:val="18"/>
                <w:color w:val="auto"/>
                <w:w w:val="90"/>
              </w:rPr>
              <w:t>Pre-commencement communications pursuant to Rule 14d-2(b) under the Exchange Act (17 CFR 240.14d-2(b))</w:t>
            </w:r>
          </w:p>
        </w:tc>
      </w:tr>
    </w:tbl>
    <w:p>
      <w:pPr>
        <w:ind w:right="2140" w:firstLine="291"/>
        <w:spacing w:after="0" w:line="490" w:lineRule="auto"/>
        <w:tabs>
          <w:tab w:leader="none" w:pos="478"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13e-4(c) under the Exchange Act (17 CFR 240.13e-4(c)) Securities registered pursuant to Section 12(b) of the Act:</w:t>
      </w:r>
    </w:p>
    <w:p>
      <w:pPr>
        <w:sectPr>
          <w:pgSz w:w="11900" w:h="16838" w:orient="portrait"/>
          <w:cols w:equalWidth="0" w:num="1">
            <w:col w:w="11100"/>
          </w:cols>
          <w:pgMar w:left="320" w:top="724" w:right="479" w:bottom="1440" w:gutter="0" w:footer="0" w:header="0"/>
          <w:type w:val="continuous"/>
        </w:sectPr>
      </w:pPr>
    </w:p>
    <w:p>
      <w:pPr>
        <w:jc w:val="center"/>
        <w:ind w:left="320"/>
        <w:spacing w:after="0"/>
        <w:rPr>
          <w:sz w:val="20"/>
          <w:szCs w:val="20"/>
          <w:color w:val="auto"/>
        </w:rPr>
      </w:pPr>
      <w:r>
        <w:rPr>
          <w:rFonts w:ascii="Arial" w:cs="Arial" w:eastAsia="Arial" w:hAnsi="Arial"/>
          <w:sz w:val="18"/>
          <w:szCs w:val="18"/>
          <w:b w:val="1"/>
          <w:bCs w:val="1"/>
          <w:color w:val="auto"/>
        </w:rPr>
        <w:t>Title of Each Class</w:t>
      </w:r>
    </w:p>
    <w:p>
      <w:pPr>
        <w:spacing w:after="0" w:line="27" w:lineRule="exact"/>
        <w:rPr>
          <w:sz w:val="24"/>
          <w:szCs w:val="24"/>
          <w:color w:val="auto"/>
        </w:rPr>
      </w:pPr>
    </w:p>
    <w:p>
      <w:pPr>
        <w:jc w:val="center"/>
        <w:ind w:left="320"/>
        <w:spacing w:after="0"/>
        <w:rPr>
          <w:sz w:val="20"/>
          <w:szCs w:val="20"/>
          <w:color w:val="auto"/>
        </w:rPr>
      </w:pPr>
      <w:r>
        <w:rPr>
          <w:rFonts w:ascii="Arial" w:cs="Arial" w:eastAsia="Arial" w:hAnsi="Arial"/>
          <w:sz w:val="16"/>
          <w:szCs w:val="16"/>
          <w:color w:val="auto"/>
        </w:rPr>
        <w:t>Common Stock, par value $0.001 per share</w:t>
      </w:r>
    </w:p>
    <w:p>
      <w:pPr>
        <w:spacing w:after="0" w:line="20" w:lineRule="exact"/>
        <w:rPr>
          <w:sz w:val="24"/>
          <w:szCs w:val="24"/>
          <w:color w:val="auto"/>
        </w:rPr>
      </w:pPr>
      <w:r>
        <w:rPr>
          <w:sz w:val="24"/>
          <w:szCs w:val="24"/>
          <w:color w:val="auto"/>
        </w:rPr>
        <w:br w:type="column"/>
      </w:r>
    </w:p>
    <w:p>
      <w:pPr>
        <w:jc w:val="center"/>
        <w:ind w:right="180"/>
        <w:spacing w:after="0"/>
        <w:rPr>
          <w:sz w:val="20"/>
          <w:szCs w:val="20"/>
          <w:color w:val="auto"/>
        </w:rPr>
      </w:pPr>
      <w:r>
        <w:rPr>
          <w:rFonts w:ascii="Arial" w:cs="Arial" w:eastAsia="Arial" w:hAnsi="Arial"/>
          <w:sz w:val="16"/>
          <w:szCs w:val="16"/>
          <w:b w:val="1"/>
          <w:bCs w:val="1"/>
          <w:color w:val="auto"/>
        </w:rPr>
        <w:t>Trading Symbol(s)</w:t>
      </w:r>
    </w:p>
    <w:p>
      <w:pPr>
        <w:spacing w:after="0" w:line="50" w:lineRule="exact"/>
        <w:rPr>
          <w:sz w:val="24"/>
          <w:szCs w:val="24"/>
          <w:color w:val="auto"/>
        </w:rPr>
      </w:pPr>
    </w:p>
    <w:p>
      <w:pPr>
        <w:jc w:val="center"/>
        <w:ind w:right="180"/>
        <w:spacing w:after="0"/>
        <w:rPr>
          <w:sz w:val="20"/>
          <w:szCs w:val="20"/>
          <w:color w:val="auto"/>
        </w:rPr>
      </w:pPr>
      <w:r>
        <w:rPr>
          <w:rFonts w:ascii="Arial" w:cs="Arial" w:eastAsia="Arial" w:hAnsi="Arial"/>
          <w:sz w:val="18"/>
          <w:szCs w:val="18"/>
          <w:color w:val="auto"/>
        </w:rPr>
        <w:t>PFLT</w:t>
      </w:r>
    </w:p>
    <w:p>
      <w:pPr>
        <w:spacing w:after="0" w:line="20" w:lineRule="exact"/>
        <w:rPr>
          <w:sz w:val="24"/>
          <w:szCs w:val="24"/>
          <w:color w:val="auto"/>
        </w:rPr>
      </w:pPr>
      <w:r>
        <w:rPr>
          <w:sz w:val="24"/>
          <w:szCs w:val="24"/>
          <w:color w:val="auto"/>
        </w:rPr>
        <w:br w:type="column"/>
      </w:r>
    </w:p>
    <w:p>
      <w:pPr>
        <w:jc w:val="center"/>
        <w:ind w:right="340"/>
        <w:spacing w:after="0"/>
        <w:rPr>
          <w:sz w:val="20"/>
          <w:szCs w:val="20"/>
          <w:color w:val="auto"/>
        </w:rPr>
      </w:pPr>
      <w:r>
        <w:rPr>
          <w:rFonts w:ascii="Arial" w:cs="Arial" w:eastAsia="Arial" w:hAnsi="Arial"/>
          <w:sz w:val="16"/>
          <w:szCs w:val="16"/>
          <w:b w:val="1"/>
          <w:bCs w:val="1"/>
          <w:color w:val="auto"/>
        </w:rPr>
        <w:t>Name of Each Exchange on Which Registered</w:t>
      </w:r>
    </w:p>
    <w:p>
      <w:pPr>
        <w:spacing w:after="0" w:line="50" w:lineRule="exact"/>
        <w:rPr>
          <w:sz w:val="24"/>
          <w:szCs w:val="24"/>
          <w:color w:val="auto"/>
        </w:rPr>
      </w:pPr>
    </w:p>
    <w:p>
      <w:pPr>
        <w:jc w:val="center"/>
        <w:ind w:right="340"/>
        <w:spacing w:after="0"/>
        <w:rPr>
          <w:sz w:val="20"/>
          <w:szCs w:val="20"/>
          <w:color w:val="auto"/>
        </w:rPr>
      </w:pPr>
      <w:r>
        <w:rPr>
          <w:rFonts w:ascii="Arial" w:cs="Arial" w:eastAsia="Arial" w:hAnsi="Arial"/>
          <w:sz w:val="18"/>
          <w:szCs w:val="18"/>
          <w:color w:val="auto"/>
        </w:rPr>
        <w:t>The Nasdaq Stock Market LLC</w:t>
      </w:r>
    </w:p>
    <w:p>
      <w:pPr>
        <w:spacing w:after="0" w:line="200" w:lineRule="exact"/>
        <w:rPr>
          <w:sz w:val="24"/>
          <w:szCs w:val="24"/>
          <w:color w:val="auto"/>
        </w:rPr>
      </w:pPr>
    </w:p>
    <w:p>
      <w:pPr>
        <w:sectPr>
          <w:pgSz w:w="11900" w:h="16838" w:orient="portrait"/>
          <w:cols w:equalWidth="0" w:num="3">
            <w:col w:w="4200" w:space="720"/>
            <w:col w:w="1600" w:space="720"/>
            <w:col w:w="3860"/>
          </w:cols>
          <w:pgMar w:left="320" w:top="724" w:right="479" w:bottom="1440" w:gutter="0" w:footer="0" w:header="0"/>
          <w:type w:val="continuous"/>
        </w:sectPr>
      </w:pPr>
    </w:p>
    <w:p>
      <w:pPr>
        <w:spacing w:after="0" w:line="11"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(17 CFR §230.405) or Rule 12b-2 of the Securities Exchange Act of 1934 (17 CFR §240.12b-2). Emerging growth company [ ]</w:t>
      </w:r>
    </w:p>
    <w:p>
      <w:pPr>
        <w:spacing w:after="0" w:line="170"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183515</wp:posOffset>
            </wp:positionV>
            <wp:extent cx="71361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100"/>
          </w:cols>
          <w:pgMar w:left="320" w:top="724" w:right="47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7.01. Regulation FD Disclosure.</w:t>
      </w:r>
    </w:p>
    <w:p>
      <w:pPr>
        <w:spacing w:after="0" w:line="229"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On December 3, 2019, PennantPark Floating Rate Capital Ltd. issued a press release announcing its monthly distribution. A copy of the press release is furnished as Exhibit 99.1 to this Form 8-K.</w:t>
      </w:r>
    </w:p>
    <w:p>
      <w:pPr>
        <w:spacing w:after="0" w:line="170"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The information in this report on Form 8-K, including Exhibit 99.1 furnished herewith, is being furnished and shall not be deemed “filed” for purposes of Section 18 of the Securities Exchange Act of 1934, as amended, or the Exchange Act, or otherwise subject to the liabilities of such section. The information in this report on Form 8-K shall not be deemed incorporated by reference in any filing under the Securities Act of 1933, as amended, or the Securities Act, or under the Exchange Act, except as shall be expressly set forth by specific reference in such filing.</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02"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This report on Form 8-K, including Exhibit 99.1 furnished herewith, may contain “forward-looking statements” within the meaning of the Private Securities Litigation Reform Act of 1995. You should understand that under Section 27A(b)(2)(B) of the Securities Act and Section 21E(b)(2)(B) of the Exchange Act the “safe harbor” provisions of the Private Securities Litigation Reform Act of 1995 do not apply to forward-looking statements made in periodic reports PennantPark Floating Rate Capital Ltd. files under the Exchange Act.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Floating Rate Capital Ltd. undertakes no duty to update any forward-looking statement made herein. You should not place undue influence on such forward-looking statements as such statements speak only as of the date on which they are made.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5" w:lineRule="exact"/>
        <w:rPr>
          <w:sz w:val="20"/>
          <w:szCs w:val="20"/>
          <w:color w:val="auto"/>
        </w:rPr>
      </w:pPr>
    </w:p>
    <w:p>
      <w:pPr>
        <w:ind w:left="600" w:right="9340" w:hanging="592"/>
        <w:spacing w:after="0" w:line="313" w:lineRule="auto"/>
        <w:tabs>
          <w:tab w:leader="none" w:pos="270" w:val="left"/>
        </w:tabs>
        <w:numPr>
          <w:ilvl w:val="0"/>
          <w:numId w:val="2"/>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Financial statements: </w:t>
      </w:r>
      <w:r>
        <w:rPr>
          <w:rFonts w:ascii="Arial" w:cs="Arial" w:eastAsia="Arial" w:hAnsi="Arial"/>
          <w:sz w:val="15"/>
          <w:szCs w:val="15"/>
          <w:color w:val="auto"/>
        </w:rPr>
        <w:t>None</w:t>
      </w:r>
    </w:p>
    <w:p>
      <w:pPr>
        <w:ind w:left="600" w:right="8400" w:hanging="547"/>
        <w:spacing w:after="0" w:line="250" w:lineRule="auto"/>
        <w:tabs>
          <w:tab w:leader="none" w:pos="325" w:val="left"/>
        </w:tabs>
        <w:numPr>
          <w:ilvl w:val="1"/>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Pro forma financial information: </w:t>
      </w:r>
      <w:r>
        <w:rPr>
          <w:rFonts w:ascii="Arial" w:cs="Arial" w:eastAsia="Arial" w:hAnsi="Arial"/>
          <w:sz w:val="18"/>
          <w:szCs w:val="18"/>
          <w:color w:val="auto"/>
        </w:rPr>
        <w:t>None</w:t>
      </w:r>
    </w:p>
    <w:p>
      <w:pPr>
        <w:ind w:left="600" w:right="8780" w:hanging="547"/>
        <w:spacing w:after="0" w:line="250" w:lineRule="auto"/>
        <w:tabs>
          <w:tab w:leader="none" w:pos="305" w:val="left"/>
        </w:tabs>
        <w:numPr>
          <w:ilvl w:val="1"/>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Shell company transactions: </w:t>
      </w:r>
      <w:r>
        <w:rPr>
          <w:rFonts w:ascii="Arial" w:cs="Arial" w:eastAsia="Arial" w:hAnsi="Arial"/>
          <w:sz w:val="18"/>
          <w:szCs w:val="18"/>
          <w:color w:val="auto"/>
        </w:rPr>
        <w:t>None</w:t>
      </w:r>
    </w:p>
    <w:p>
      <w:pPr>
        <w:ind w:left="320" w:hanging="267"/>
        <w:spacing w:after="0"/>
        <w:tabs>
          <w:tab w:leader="none" w:pos="320" w:val="left"/>
        </w:tabs>
        <w:numPr>
          <w:ilvl w:val="1"/>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Exhibits</w:t>
      </w:r>
    </w:p>
    <w:p>
      <w:pPr>
        <w:spacing w:after="0" w:line="9" w:lineRule="exact"/>
        <w:rPr>
          <w:sz w:val="20"/>
          <w:szCs w:val="20"/>
          <w:color w:val="auto"/>
        </w:rPr>
      </w:pPr>
    </w:p>
    <w:p>
      <w:pPr>
        <w:ind w:left="600"/>
        <w:spacing w:after="0"/>
        <w:tabs>
          <w:tab w:leader="none" w:pos="1160" w:val="left"/>
        </w:tabs>
        <w:rPr>
          <w:rFonts w:ascii="Arial" w:cs="Arial" w:eastAsia="Arial" w:hAnsi="Arial"/>
          <w:sz w:val="16"/>
          <w:szCs w:val="16"/>
          <w:u w:val="single" w:color="auto"/>
          <w:color w:val="0000EE"/>
        </w:rPr>
      </w:pPr>
      <w:r>
        <w:rPr>
          <w:rFonts w:ascii="Arial" w:cs="Arial" w:eastAsia="Arial" w:hAnsi="Arial"/>
          <w:sz w:val="18"/>
          <w:szCs w:val="18"/>
          <w:color w:val="auto"/>
        </w:rPr>
        <w:t>99.1</w:t>
      </w:r>
      <w:r>
        <w:rPr>
          <w:sz w:val="20"/>
          <w:szCs w:val="20"/>
          <w:color w:val="auto"/>
        </w:rPr>
        <w:tab/>
      </w:r>
      <w:hyperlink w:anchor="page4">
        <w:r>
          <w:rPr>
            <w:rFonts w:ascii="Arial" w:cs="Arial" w:eastAsia="Arial" w:hAnsi="Arial"/>
            <w:sz w:val="16"/>
            <w:szCs w:val="16"/>
            <w:u w:val="single" w:color="auto"/>
            <w:color w:val="0000EE"/>
          </w:rPr>
          <w:t>Press Release of PennantPark Floating Rate Capital Ltd. Dated December 3, 2019</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140970</wp:posOffset>
            </wp:positionV>
            <wp:extent cx="7136130" cy="209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20" w:type="dxa"/>
            <w:vAlign w:val="bottom"/>
          </w:tcPr>
          <w:p>
            <w:pPr>
              <w:spacing w:after="0"/>
              <w:rPr>
                <w:sz w:val="20"/>
                <w:szCs w:val="20"/>
                <w:color w:val="auto"/>
              </w:rPr>
            </w:pPr>
          </w:p>
        </w:tc>
        <w:tc>
          <w:tcPr>
            <w:tcW w:w="4940" w:type="dxa"/>
            <w:vAlign w:val="bottom"/>
            <w:gridSpan w:val="3"/>
          </w:tcPr>
          <w:p>
            <w:pPr>
              <w:ind w:left="1840"/>
              <w:spacing w:after="0"/>
              <w:rPr>
                <w:sz w:val="20"/>
                <w:szCs w:val="20"/>
                <w:color w:val="auto"/>
              </w:rPr>
            </w:pPr>
            <w:r>
              <w:rPr>
                <w:rFonts w:ascii="Arial" w:cs="Arial" w:eastAsia="Arial" w:hAnsi="Arial"/>
                <w:sz w:val="18"/>
                <w:szCs w:val="18"/>
                <w:b w:val="1"/>
                <w:bCs w:val="1"/>
                <w:color w:val="auto"/>
                <w:w w:val="92"/>
              </w:rPr>
              <w:t>PennantPark Floating Rate Capital Ltd.</w:t>
            </w:r>
          </w:p>
        </w:tc>
      </w:tr>
      <w:tr>
        <w:trPr>
          <w:trHeight w:val="608"/>
        </w:trPr>
        <w:tc>
          <w:tcPr>
            <w:tcW w:w="3620" w:type="dxa"/>
            <w:vAlign w:val="bottom"/>
          </w:tcPr>
          <w:p>
            <w:pPr>
              <w:spacing w:after="0"/>
              <w:rPr>
                <w:sz w:val="20"/>
                <w:szCs w:val="20"/>
                <w:color w:val="auto"/>
              </w:rPr>
            </w:pPr>
            <w:r>
              <w:rPr>
                <w:rFonts w:ascii="Arial" w:cs="Arial" w:eastAsia="Arial" w:hAnsi="Arial"/>
                <w:sz w:val="18"/>
                <w:szCs w:val="18"/>
                <w:color w:val="auto"/>
              </w:rPr>
              <w:t>Date: December 3, 2019</w:t>
            </w:r>
          </w:p>
        </w:tc>
        <w:tc>
          <w:tcPr>
            <w:tcW w:w="4940" w:type="dxa"/>
            <w:vAlign w:val="bottom"/>
            <w:gridSpan w:val="3"/>
          </w:tcPr>
          <w:p>
            <w:pPr>
              <w:ind w:left="1840"/>
              <w:spacing w:after="0"/>
              <w:rPr>
                <w:sz w:val="20"/>
                <w:szCs w:val="20"/>
                <w:color w:val="auto"/>
              </w:rPr>
            </w:pPr>
            <w:r>
              <w:rPr>
                <w:rFonts w:ascii="Arial" w:cs="Arial" w:eastAsia="Arial" w:hAnsi="Arial"/>
                <w:sz w:val="18"/>
                <w:szCs w:val="18"/>
                <w:color w:val="auto"/>
              </w:rPr>
              <w:t>By: /s/ Aviv Efrat</w:t>
            </w:r>
          </w:p>
        </w:tc>
      </w:tr>
      <w:tr>
        <w:trPr>
          <w:trHeight w:val="222"/>
        </w:trPr>
        <w:tc>
          <w:tcPr>
            <w:tcW w:w="362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13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Aviv Efrat</w:t>
            </w:r>
          </w:p>
        </w:tc>
        <w:tc>
          <w:tcPr>
            <w:tcW w:w="1460" w:type="dxa"/>
            <w:vAlign w:val="bottom"/>
          </w:tcPr>
          <w:p>
            <w:pPr>
              <w:spacing w:after="0"/>
              <w:rPr>
                <w:sz w:val="19"/>
                <w:szCs w:val="19"/>
                <w:color w:val="auto"/>
              </w:rPr>
            </w:pPr>
          </w:p>
        </w:tc>
      </w:tr>
      <w:tr>
        <w:trPr>
          <w:trHeight w:val="230"/>
        </w:trPr>
        <w:tc>
          <w:tcPr>
            <w:tcW w:w="362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2780" w:type="dxa"/>
            <w:vAlign w:val="bottom"/>
            <w:gridSpan w:val="2"/>
          </w:tcPr>
          <w:p>
            <w:pPr>
              <w:spacing w:after="0"/>
              <w:rPr>
                <w:sz w:val="20"/>
                <w:szCs w:val="20"/>
                <w:color w:val="auto"/>
              </w:rPr>
            </w:pPr>
            <w:r>
              <w:rPr>
                <w:rFonts w:ascii="Arial" w:cs="Arial" w:eastAsia="Arial" w:hAnsi="Arial"/>
                <w:sz w:val="18"/>
                <w:szCs w:val="18"/>
                <w:color w:val="auto"/>
                <w:w w:val="99"/>
              </w:rPr>
              <w:t>Chief Financial Officer &amp; Treasurer</w:t>
            </w:r>
          </w:p>
        </w:tc>
      </w:tr>
    </w:tbl>
    <w:p>
      <w:pPr>
        <w:sectPr>
          <w:pgSz w:w="11900" w:h="16838" w:orient="portrait"/>
          <w:cols w:equalWidth="0" w:num="1">
            <w:col w:w="11200"/>
          </w:cols>
          <w:pgMar w:left="320" w:top="337" w:right="379" w:bottom="1440" w:gutter="0" w:footer="0" w:header="0"/>
        </w:sectPr>
      </w:pPr>
    </w:p>
    <w:bookmarkStart w:id="3" w:name="page4"/>
    <w:bookmarkEnd w:id="3"/>
    <w:p>
      <w:pPr>
        <w:ind w:left="9880"/>
        <w:spacing w:after="0"/>
        <w:rPr>
          <w:sz w:val="20"/>
          <w:szCs w:val="20"/>
          <w:color w:val="auto"/>
        </w:rPr>
      </w:pPr>
      <w:r>
        <w:rPr>
          <w:rFonts w:ascii="Arial" w:cs="Arial" w:eastAsia="Arial" w:hAnsi="Arial"/>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1285875" cy="3003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5875" cy="300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PennantPark Floating Rate Capital Ltd. Announces Monthly Distribution of $0.095 per Share</w:t>
      </w:r>
    </w:p>
    <w:p>
      <w:pPr>
        <w:spacing w:after="0" w:line="212" w:lineRule="exact"/>
        <w:rPr>
          <w:sz w:val="20"/>
          <w:szCs w:val="20"/>
          <w:color w:val="auto"/>
        </w:rPr>
      </w:pPr>
    </w:p>
    <w:p>
      <w:pPr>
        <w:jc w:val="both"/>
        <w:spacing w:after="0" w:line="282" w:lineRule="auto"/>
        <w:rPr>
          <w:sz w:val="20"/>
          <w:szCs w:val="20"/>
          <w:color w:val="auto"/>
        </w:rPr>
      </w:pPr>
      <w:r>
        <w:rPr>
          <w:rFonts w:ascii="Arial" w:cs="Arial" w:eastAsia="Arial" w:hAnsi="Arial"/>
          <w:sz w:val="19"/>
          <w:szCs w:val="19"/>
          <w:color w:val="auto"/>
        </w:rPr>
        <w:t>NEW YORK, Dec. 03, 2019 (GLOBE NEWSWIRE) -- PennantPark Floating Rate Capital Ltd. (the "Company") (NASDAQ: PFLT) (TASE: PFLT) declares its monthly distribution for December 2019 of $0.095 per share, payable on January 2, 2020 to stockholders of record as of December 19, 2019. The distribution is expected to be paid from taxable net investment income. The final specific tax characteristics of the distribution will be reported to stockholders on Form 1099 after the end of the calendar year and in the Company's periodic report filed with the Securities and Exchange Commission.</w:t>
      </w:r>
    </w:p>
    <w:p>
      <w:pPr>
        <w:spacing w:after="0" w:line="147" w:lineRule="exact"/>
        <w:rPr>
          <w:sz w:val="20"/>
          <w:szCs w:val="20"/>
          <w:color w:val="auto"/>
        </w:rPr>
      </w:pPr>
    </w:p>
    <w:p>
      <w:pPr>
        <w:jc w:val="both"/>
        <w:spacing w:after="0" w:line="328" w:lineRule="auto"/>
        <w:rPr>
          <w:sz w:val="20"/>
          <w:szCs w:val="20"/>
          <w:color w:val="auto"/>
        </w:rPr>
      </w:pPr>
      <w:r>
        <w:rPr>
          <w:rFonts w:ascii="Arial" w:cs="Arial" w:eastAsia="Arial" w:hAnsi="Arial"/>
          <w:sz w:val="19"/>
          <w:szCs w:val="19"/>
          <w:color w:val="auto"/>
        </w:rPr>
        <w:t>"We are pleased that through our focus on investing in lower risk, first lien senior secured middle market loans we have been able to maintain a steady and stable dividend over a long period of time," said Arthur Penn, Chairman and Chief Executive Officer.</w:t>
      </w:r>
    </w:p>
    <w:p>
      <w:pPr>
        <w:spacing w:after="0" w:line="105"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The Company, which operates as a regulated investment company (“RIC”), generates qualified interest income and short-term capital gains that may be exempt from U.S. withholding tax when distributed to non-U.S. stockholders. The U.S. tax law permits a RIC to report the portion of distributions paid that represents interest-related dividends as exempt from U.S. withholding tax when paid to non-U.S. stockholders with proper documentation.</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color w:val="auto"/>
        </w:rPr>
        <w:t>The specific tax characteristics of this distribution can be found on our website www.pennantpark.com.</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ABOUT PENNANTPARK FLOATING RATE CAPITAL LTD.</w:t>
      </w:r>
    </w:p>
    <w:p>
      <w:pPr>
        <w:spacing w:after="0" w:line="206"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PennantPark Floating Rate Capital Ltd. is a business development company which primarily invests in U.S. middle-market private companies in the form of floating rate senior secured loans, including first lien secured debt, second lien secured debt and subordinated debt. From time to time, the Company may also invest in equity investments. PennantPark Floating Rate Capital Ltd. is managed by PennantPark Investment Advisers, LLC.</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color w:val="auto"/>
        </w:rPr>
        <w:t>ABOUT PENNANTPARK INVESTMENT ADVISERS, LLC</w:t>
      </w:r>
    </w:p>
    <w:p>
      <w:pPr>
        <w:spacing w:after="0" w:line="206" w:lineRule="exact"/>
        <w:rPr>
          <w:sz w:val="20"/>
          <w:szCs w:val="20"/>
          <w:color w:val="auto"/>
        </w:rPr>
      </w:pPr>
    </w:p>
    <w:p>
      <w:pPr>
        <w:jc w:val="both"/>
        <w:spacing w:after="0" w:line="249" w:lineRule="auto"/>
        <w:rPr>
          <w:sz w:val="20"/>
          <w:szCs w:val="20"/>
          <w:color w:val="auto"/>
        </w:rPr>
      </w:pPr>
      <w:r>
        <w:rPr>
          <w:rFonts w:ascii="Arial" w:cs="Arial" w:eastAsia="Arial" w:hAnsi="Arial"/>
          <w:sz w:val="21"/>
          <w:szCs w:val="21"/>
          <w:color w:val="auto"/>
        </w:rPr>
        <w:t>PennantPark Investment Advisers, LLC is a leading middle market credit platform, which has approximately $3.3 billion of assets under management. Since its inception in 2007, PennantPark Investment Advisers, LLC has provided investors access to middle market credit by offering private equity firms and their portfolio companies as well as other middle-market borrowers a comprehensive range of creative and flexible financing solutions. PennantPark Investment Advisers, LLC is headquartered in New York and has offices in Chicago, Houston and Los Angeles.</w:t>
      </w:r>
    </w:p>
    <w:p>
      <w:pPr>
        <w:spacing w:after="0" w:line="178" w:lineRule="exact"/>
        <w:rPr>
          <w:sz w:val="20"/>
          <w:szCs w:val="20"/>
          <w:color w:val="auto"/>
        </w:rPr>
      </w:pPr>
    </w:p>
    <w:p>
      <w:pPr>
        <w:spacing w:after="0"/>
        <w:rPr>
          <w:sz w:val="20"/>
          <w:szCs w:val="20"/>
          <w:color w:val="auto"/>
        </w:rPr>
      </w:pPr>
      <w:r>
        <w:rPr>
          <w:rFonts w:ascii="Arial" w:cs="Arial" w:eastAsia="Arial" w:hAnsi="Arial"/>
          <w:sz w:val="22"/>
          <w:szCs w:val="22"/>
          <w:color w:val="auto"/>
        </w:rPr>
        <w:t>FORWARD-LOOKING STATEMENTS</w:t>
      </w:r>
    </w:p>
    <w:p>
      <w:pPr>
        <w:spacing w:after="0" w:line="206" w:lineRule="exact"/>
        <w:rPr>
          <w:sz w:val="20"/>
          <w:szCs w:val="20"/>
          <w:color w:val="auto"/>
        </w:rPr>
      </w:pPr>
    </w:p>
    <w:p>
      <w:pPr>
        <w:jc w:val="both"/>
        <w:spacing w:after="0" w:line="274" w:lineRule="auto"/>
        <w:rPr>
          <w:sz w:val="20"/>
          <w:szCs w:val="20"/>
          <w:color w:val="auto"/>
        </w:rPr>
      </w:pPr>
      <w:r>
        <w:rPr>
          <w:rFonts w:ascii="Arial" w:cs="Arial" w:eastAsia="Arial" w:hAnsi="Arial"/>
          <w:sz w:val="19"/>
          <w:szCs w:val="19"/>
          <w:color w:val="auto"/>
        </w:rPr>
        <w:t>This press release may contain “forward-looking statements” within the meaning of the Private Securities Litigation Reform Act of 1995. You should understand that under Section 27A(b)(2)(B) of the Securities Act and Section 21E(b)(2)(B) of the Exchange Act the “safe harbor” provisions of the Private Securities Litigation Reform Act of 1995 do not apply to forward-looking statements made in periodic reports PennantPark Floating Rate Capital Ltd. files under the Exchange Act.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Floating Rate Capital Ltd. undertakes no duty to update any forward-looking statement made herein. You should not place undue influence on such forward-looking statements as such statements speak only as of the date on which they are made.</w:t>
      </w:r>
    </w:p>
    <w:p>
      <w:pPr>
        <w:spacing w:after="0" w:line="200" w:lineRule="exact"/>
        <w:rPr>
          <w:sz w:val="20"/>
          <w:szCs w:val="20"/>
          <w:color w:val="auto"/>
        </w:rPr>
      </w:pPr>
    </w:p>
    <w:p>
      <w:pPr>
        <w:spacing w:after="0" w:line="201"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The information contained herein is based on current tax laws, which may change in the future. The Company cannot be held responsible for any direct or incidental loss resulting from applying any of the information provided in this publication or from any other source mentioned. The information provided in this material does not constitute any specific legal, tax or accounting advice. Please consult with qualified professionals for this type of advice.</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color w:val="auto"/>
        </w:rPr>
        <w:t>CONTACT:</w:t>
      </w:r>
    </w:p>
    <w:p>
      <w:pPr>
        <w:spacing w:after="0" w:line="238" w:lineRule="auto"/>
        <w:rPr>
          <w:sz w:val="20"/>
          <w:szCs w:val="20"/>
          <w:color w:val="auto"/>
        </w:rPr>
      </w:pPr>
      <w:r>
        <w:rPr>
          <w:rFonts w:ascii="Arial" w:cs="Arial" w:eastAsia="Arial" w:hAnsi="Arial"/>
          <w:sz w:val="22"/>
          <w:szCs w:val="22"/>
          <w:color w:val="auto"/>
        </w:rPr>
        <w:t>Aviv Efrat</w:t>
      </w:r>
    </w:p>
    <w:p>
      <w:pPr>
        <w:spacing w:after="0" w:line="230" w:lineRule="auto"/>
        <w:rPr>
          <w:sz w:val="20"/>
          <w:szCs w:val="20"/>
          <w:color w:val="auto"/>
        </w:rPr>
      </w:pPr>
      <w:r>
        <w:rPr>
          <w:rFonts w:ascii="Arial" w:cs="Arial" w:eastAsia="Arial" w:hAnsi="Arial"/>
          <w:sz w:val="22"/>
          <w:szCs w:val="22"/>
          <w:color w:val="auto"/>
        </w:rPr>
        <w:t>PennantPark Floating Rate Capital Ltd.</w:t>
      </w:r>
    </w:p>
    <w:p>
      <w:pPr>
        <w:spacing w:after="0" w:line="1" w:lineRule="exact"/>
        <w:rPr>
          <w:sz w:val="20"/>
          <w:szCs w:val="20"/>
          <w:color w:val="auto"/>
        </w:rPr>
      </w:pPr>
    </w:p>
    <w:p>
      <w:pPr>
        <w:ind w:right="9240" w:firstLine="8"/>
        <w:spacing w:after="0" w:line="308" w:lineRule="auto"/>
        <w:tabs>
          <w:tab w:leader="none" w:pos="522" w:val="left"/>
        </w:tabs>
        <w:numPr>
          <w:ilvl w:val="0"/>
          <w:numId w:val="3"/>
        </w:numPr>
        <w:rPr>
          <w:rFonts w:ascii="Arial" w:cs="Arial" w:eastAsia="Arial" w:hAnsi="Arial"/>
          <w:sz w:val="19"/>
          <w:szCs w:val="19"/>
          <w:color w:val="auto"/>
        </w:rPr>
      </w:pPr>
      <w:r>
        <w:rPr>
          <w:rFonts w:ascii="Arial" w:cs="Arial" w:eastAsia="Arial" w:hAnsi="Arial"/>
          <w:sz w:val="19"/>
          <w:szCs w:val="19"/>
          <w:color w:val="auto"/>
        </w:rPr>
        <w:t>905-1000 www.pennantpark.com</w:t>
      </w:r>
    </w:p>
    <w:sectPr>
      <w:pgSz w:w="11900" w:h="16838" w:orient="portrait"/>
      <w:cols w:equalWidth="0" w:num="1">
        <w:col w:w="11240"/>
      </w:cols>
      <w:pgMar w:left="320" w:top="11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lowerLetter"/>
      <w:start w:val="1"/>
    </w:lvl>
    <w:lvl w:ilvl="1">
      <w:lvlJc w:val="left"/>
      <w:lvlText w:val="(%2)"/>
      <w:numFmt w:val="lowerLetter"/>
      <w:start w:val="2"/>
    </w:lvl>
  </w:abstractNum>
  <w:abstractNum w:abstractNumId="2">
    <w:nsid w:val="19495CFF"/>
    <w:multiLevelType w:val="hybridMultilevel"/>
    <w:lvl w:ilvl="0">
      <w:lvlJc w:val="left"/>
      <w:lvlText w:val="(%1)"/>
      <w:numFmt w:val="decimal"/>
      <w:start w:val="212"/>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2020-05-05T12:04:54Z</dcterms:created>
  <dcterms:modified xsi:type="dcterms:W3CDTF">2020-05-05T12:04:54Z</dcterms:modified>
</cp:coreProperties>
</file>