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01,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4"/>
          <w:szCs w:val="24"/>
          <w:color w:val="auto"/>
        </w:rPr>
      </w:pPr>
    </w:p>
    <w:p>
      <w:pPr>
        <w:ind w:left="40" w:right="80"/>
        <w:spacing w:after="0" w:line="245" w:lineRule="auto"/>
        <w:rPr>
          <w:sz w:val="20"/>
          <w:szCs w:val="20"/>
          <w:color w:val="auto"/>
        </w:rPr>
      </w:pPr>
      <w:r>
        <w:rPr>
          <w:rFonts w:ascii="Arial" w:cs="Arial" w:eastAsia="Arial" w:hAnsi="Arial"/>
          <w:sz w:val="21"/>
          <w:szCs w:val="21"/>
          <w:color w:val="auto"/>
        </w:rPr>
        <w:t>On March 29, 2013, PennantPark Floating Rate Capital Ltd. (the "Company"), through PennantPark Floating Rate Funding I, LLC, a wholly-owned subsidiary of the Company ("Funding I"), entered into an amendment of its amended and restated revolving credit facility (as amended, the "Credit Facility") with SunTrust Bank, which (i) increased the size of the Credit Facility from $100 million to $125 million, (ii) reduced the interest rate on amounts drawn under the Credit Facility from 225 to 200 basis points above the London Interbank Offer Rate for the revolving period which extends through May 14, 2015, (iii) reduced the undrawn Commitment Fee and (iv) extended the maturity date to May 14, 2018. PennantPark Investment Advisers LLC, the Company's investment adviser, is the collateral manager, SunTrust Robinson Humphrey, Inc. acted as lead arranger, SunTrust Bank acted as administrative agent and U.S. Bank National Association serves as collateral agent, as backup collateral manager and as custodian.</w:t>
      </w:r>
    </w:p>
    <w:p>
      <w:pPr>
        <w:spacing w:after="0" w:line="211"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As previously disclosed, the Credit Facility is secured by all of the assets held by Funding I and includes customary covenants, including minimum asset coverage and minimum equity requirements.</w:t>
      </w:r>
    </w:p>
    <w:p>
      <w:pPr>
        <w:spacing w:after="0" w:line="202" w:lineRule="exact"/>
        <w:rPr>
          <w:sz w:val="24"/>
          <w:szCs w:val="24"/>
          <w:color w:val="auto"/>
        </w:rPr>
      </w:pPr>
    </w:p>
    <w:p>
      <w:pPr>
        <w:ind w:left="40" w:right="440"/>
        <w:spacing w:after="0" w:line="250" w:lineRule="auto"/>
        <w:rPr>
          <w:sz w:val="20"/>
          <w:szCs w:val="20"/>
          <w:color w:val="auto"/>
        </w:rPr>
      </w:pPr>
      <w:r>
        <w:rPr>
          <w:rFonts w:ascii="Arial" w:cs="Arial" w:eastAsia="Arial" w:hAnsi="Arial"/>
          <w:sz w:val="22"/>
          <w:szCs w:val="22"/>
          <w:color w:val="auto"/>
        </w:rPr>
        <w:t>The description above is only a summary of the material provisions of the Credit Facility, as amended, and is qualified in its entirety by reference to the Credit Facility.</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22"/>
          <w:szCs w:val="22"/>
          <w:color w:val="auto"/>
        </w:rPr>
        <w:t>A press release announcing the amendment to the Credit Facility is attached hereto as Exhibit 99.1.</w:t>
      </w:r>
    </w:p>
    <w:p>
      <w:pPr>
        <w:spacing w:after="0" w:line="200" w:lineRule="exact"/>
        <w:rPr>
          <w:sz w:val="24"/>
          <w:szCs w:val="24"/>
          <w:color w:val="auto"/>
        </w:rPr>
      </w:pPr>
    </w:p>
    <w:p>
      <w:pPr>
        <w:ind w:left="40" w:right="46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95" w:lineRule="exact"/>
        <w:rPr>
          <w:sz w:val="24"/>
          <w:szCs w:val="24"/>
          <w:color w:val="auto"/>
        </w:rPr>
      </w:pPr>
    </w:p>
    <w:p>
      <w:pPr>
        <w:ind w:left="40"/>
        <w:spacing w:after="0"/>
        <w:rPr>
          <w:sz w:val="20"/>
          <w:szCs w:val="20"/>
          <w:color w:val="auto"/>
        </w:rPr>
      </w:pPr>
      <w:r>
        <w:rPr>
          <w:rFonts w:ascii="Arial" w:cs="Arial" w:eastAsia="Arial" w:hAnsi="Arial"/>
          <w:sz w:val="22"/>
          <w:szCs w:val="22"/>
          <w:color w:val="auto"/>
        </w:rPr>
        <w:t>The information set forth in Item 1.01 is incorporated by reference into this Item 2.03.</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01, 2013</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01,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Amends Credit Facility</w:t>
      </w: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NEW YORK, NY -- (Marketwire - April 01, 2013) - PennantPark Floating Rate Capital Ltd. (the "Company") (NASDAQ: PFLT) announced today that on March 29, 2013, through PennantPark Floating Rate Funding I, LLC, a wholly-owned subsidiary of the Company ("Funding I"), it has entered into an amendment of its amended and restated revolving credit facility with SunTrust Bank, which among other things, (i) increased the size of the Credit Facility from $100 million to $125 million, (ii) reduced the interest rate on amounts drawn under the Credit Facility from 225 to 200 basis points above the London Interbank Offer Rate for the revolving period which extends through May 14, 2015, (iii) reduced the undrawn Commitment Fee and (iv) extended the maturity date to May 14, 2018. The Credit Facility includes customary covenants, including minimum asset coverage and minimum equity.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2020-05-05T12:04:28Z</dcterms:created>
  <dcterms:modified xsi:type="dcterms:W3CDTF">2020-05-05T12:04:28Z</dcterms:modified>
</cp:coreProperties>
</file>