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460" w:right="1860" w:hanging="3452"/>
        <w:spacing w:after="0" w:line="470"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right="314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May 11, 2020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MARCH 31, 2020</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20" w:type="dxa"/>
            <w:vAlign w:val="bottom"/>
          </w:tcPr>
          <w:p>
            <w:pPr>
              <w:spacing w:after="0"/>
              <w:rPr>
                <w:sz w:val="16"/>
                <w:szCs w:val="16"/>
                <w:color w:val="auto"/>
              </w:rPr>
            </w:pPr>
          </w:p>
        </w:tc>
      </w:tr>
      <w:tr>
        <w:trPr>
          <w:trHeight w:val="297"/>
        </w:trPr>
        <w:tc>
          <w:tcPr>
            <w:tcW w:w="93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20" w:type="dxa"/>
            <w:vAlign w:val="bottom"/>
          </w:tcPr>
          <w:p>
            <w:pPr>
              <w:spacing w:after="0"/>
              <w:rPr>
                <w:sz w:val="24"/>
                <w:szCs w:val="24"/>
                <w:color w:val="auto"/>
              </w:rPr>
            </w:pP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2020 (unaudited) and September 30, 2019</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2020 and 2019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six months ended March 31, 2020 and 2019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2020 and 2019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2020 (unaudited) and September 30, 2019</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Notes to Consolidated Financial Statements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3. 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4. Controls and Procedures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320" w:type="dxa"/>
            <w:vAlign w:val="bottom"/>
          </w:tcPr>
          <w:p>
            <w:pPr>
              <w:ind w:left="43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PART II. OTHER INFORMATION</w:t>
              </w:r>
            </w:hyperlink>
          </w:p>
        </w:tc>
        <w:tc>
          <w:tcPr>
            <w:tcW w:w="1920" w:type="dxa"/>
            <w:vAlign w:val="bottom"/>
          </w:tcPr>
          <w:p>
            <w:pPr>
              <w:spacing w:after="0"/>
              <w:rPr>
                <w:sz w:val="24"/>
                <w:szCs w:val="24"/>
                <w:color w:val="auto"/>
              </w:rPr>
            </w:pP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Item 1. Legal Proceedings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Item 1A. Risk Factors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Item 2. 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Item 3. Defaults Upon Senior Securities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Item 4. Mine Safety Disclosures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7">
              <w:r>
                <w:rPr>
                  <w:rFonts w:ascii="Arial" w:cs="Arial" w:eastAsia="Arial" w:hAnsi="Arial"/>
                  <w:sz w:val="14"/>
                  <w:szCs w:val="14"/>
                  <w:b w:val="1"/>
                  <w:bCs w:val="1"/>
                  <w:u w:val="single" w:color="auto"/>
                  <w:color w:val="0000EE"/>
                </w:rPr>
                <w:t>Item 5. Other Information</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Item 6. Exhibits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50">
              <w:r>
                <w:rPr>
                  <w:rFonts w:ascii="Arial" w:cs="Arial" w:eastAsia="Arial" w:hAnsi="Arial"/>
                  <w:sz w:val="14"/>
                  <w:szCs w:val="14"/>
                  <w:b w:val="1"/>
                  <w:bCs w:val="1"/>
                  <w:u w:val="single" w:color="auto"/>
                  <w:color w:val="0000EE"/>
                </w:rPr>
                <w:t>SIGNATURES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39" w:lineRule="exact"/>
        <w:rPr>
          <w:sz w:val="20"/>
          <w:szCs w:val="20"/>
          <w:color w:val="auto"/>
        </w:rPr>
      </w:pPr>
    </w:p>
    <w:p>
      <w:pPr>
        <w:ind w:firstLine="438"/>
        <w:spacing w:after="0" w:line="151" w:lineRule="exact"/>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 to PennantPark Investment Administration, LLC; “2023 Notes” refer to our 4.3% Series A notes due 2023;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4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680" w:type="dxa"/>
            <w:vAlign w:val="bottom"/>
          </w:tcPr>
          <w:p>
            <w:pPr>
              <w:spacing w:after="0"/>
              <w:rPr>
                <w:sz w:val="24"/>
                <w:szCs w:val="24"/>
                <w:color w:val="auto"/>
              </w:rPr>
            </w:pPr>
          </w:p>
        </w:tc>
        <w:tc>
          <w:tcPr>
            <w:tcW w:w="7320" w:type="dxa"/>
            <w:vAlign w:val="bottom"/>
            <w:gridSpan w:val="2"/>
          </w:tcPr>
          <w:p>
            <w:pPr>
              <w:jc w:val="center"/>
              <w:ind w:left="2508"/>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7320" w:type="dxa"/>
            <w:vAlign w:val="bottom"/>
            <w:gridSpan w:val="2"/>
          </w:tcPr>
          <w:p>
            <w:pPr>
              <w:jc w:val="center"/>
              <w:ind w:left="2488"/>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6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(cost—$1,048,160,082 and $886,955,156, respectively)</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1,012,983,114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889,113,264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(cost—$25,970,270 and $23,645,693, respectively)</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11,138,636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20,430,565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(cost—$176,312,500 and $174,562,500, respectively)</w:t>
            </w:r>
          </w:p>
        </w:tc>
        <w:tc>
          <w:tcPr>
            <w:tcW w:w="28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154,838,109</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172,163,080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(cost—$1,250,442,852 and $1,085,172,349, respectively)</w:t>
            </w:r>
          </w:p>
        </w:tc>
        <w:tc>
          <w:tcPr>
            <w:tcW w:w="2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1,178,959,859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1,081,706,909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(cost—$30,223,951 and $63,367,237, respectively)</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29,993,752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4,146,825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3,892,292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2,997,546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464,179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441,337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shd w:val="clear" w:color="auto" w:fill="CCECFF"/>
          </w:tcPr>
          <w:p>
            <w:pPr>
              <w:spacing w:after="0"/>
              <w:rPr>
                <w:sz w:val="13"/>
                <w:szCs w:val="13"/>
                <w:color w:val="auto"/>
              </w:rPr>
            </w:pPr>
          </w:p>
        </w:tc>
        <w:tc>
          <w:tcPr>
            <w:tcW w:w="704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shd w:val="clear" w:color="auto" w:fill="CCECFF"/>
          </w:tcPr>
          <w:p>
            <w:pPr>
              <w:spacing w:after="0"/>
              <w:rPr>
                <w:sz w:val="13"/>
                <w:szCs w:val="13"/>
                <w:color w:val="auto"/>
              </w:rPr>
            </w:pP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1,222,614,615</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28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12,033,794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Facility payable, at fair value (cost—$413,307,500 and $265,307,500, respectively) (See Notes 5 and 10)</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400,592,492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263,988,583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2023 Notes payable, at fair value (par—$138,579,858) (See Notes 5 and 10)</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111,736,940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 net (par—$228,000,000) (See Notes 5 and 10)</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224,550,913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4,903,259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3,275,481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2,948,941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2,728,019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(See Note 3)</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2,937,024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2,532,205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8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1,432,425</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1,514,943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752,785,341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649,318,301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8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20"/>
                <w:szCs w:val="20"/>
                <w:color w:val="auto"/>
              </w:rPr>
            </w:pPr>
            <w:r>
              <w:rPr>
                <w:rFonts w:ascii="Arial" w:cs="Arial" w:eastAsia="Arial" w:hAnsi="Arial"/>
                <w:sz w:val="14"/>
                <w:szCs w:val="14"/>
                <w:b w:val="1"/>
                <w:bCs w:val="1"/>
                <w:color w:val="auto"/>
                <w:w w:val="94"/>
              </w:rPr>
              <w:t>Net assets</w:t>
            </w:r>
          </w:p>
        </w:tc>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shares issued and outstanding Par value $0.001 per share and 100,000,000</w:t>
            </w:r>
          </w:p>
        </w:tc>
        <w:tc>
          <w:tcPr>
            <w:tcW w:w="28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shares authorized</w:t>
            </w:r>
          </w:p>
        </w:tc>
        <w:tc>
          <w:tcPr>
            <w:tcW w:w="2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538,632,828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538,632,828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Distributable income</w:t>
            </w:r>
          </w:p>
        </w:tc>
        <w:tc>
          <w:tcPr>
            <w:tcW w:w="28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(68,842,326)</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(35,614,089)</w:t>
            </w:r>
          </w:p>
        </w:tc>
        <w:tc>
          <w:tcPr>
            <w:tcW w:w="0" w:type="dxa"/>
            <w:vAlign w:val="bottom"/>
          </w:tcPr>
          <w:p>
            <w:pPr>
              <w:spacing w:after="0"/>
              <w:rPr>
                <w:sz w:val="1"/>
                <w:szCs w:val="1"/>
                <w:color w:val="auto"/>
              </w:rPr>
            </w:pPr>
          </w:p>
        </w:tc>
      </w:tr>
      <w:tr>
        <w:trPr>
          <w:trHeight w:val="156"/>
        </w:trPr>
        <w:tc>
          <w:tcPr>
            <w:tcW w:w="680" w:type="dxa"/>
            <w:vAlign w:val="bottom"/>
            <w:tcBorders>
              <w:bottom w:val="single" w:sz="8" w:color="CCECFF"/>
            </w:tcBorders>
          </w:tcPr>
          <w:p>
            <w:pPr>
              <w:spacing w:after="0"/>
              <w:rPr>
                <w:sz w:val="13"/>
                <w:szCs w:val="13"/>
                <w:color w:val="auto"/>
              </w:rPr>
            </w:pPr>
          </w:p>
        </w:tc>
        <w:tc>
          <w:tcPr>
            <w:tcW w:w="704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469,829,274</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503,057,511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CCECFF"/>
            </w:tcBorders>
            <w:shd w:val="clear" w:color="auto" w:fill="CCECFF"/>
          </w:tcPr>
          <w:p>
            <w:pPr>
              <w:spacing w:after="0"/>
              <w:rPr>
                <w:sz w:val="13"/>
                <w:szCs w:val="13"/>
                <w:color w:val="auto"/>
              </w:rPr>
            </w:pPr>
          </w:p>
        </w:tc>
        <w:tc>
          <w:tcPr>
            <w:tcW w:w="7040" w:type="dxa"/>
            <w:vAlign w:val="bottom"/>
            <w:tcBorders>
              <w:bottom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1,222,614,615</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12.12</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20,307,380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16,825,167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39,217,274</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34,995,165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1,140,500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1,390,690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1,913,603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2,011,879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233,772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459,125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3,069,785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3,214,482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6,225,109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6,032,527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1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26,326,437</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23,005,339</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50,965,111</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46,189,571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2,948,941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2,418,706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5,779,100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4,917,472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2,937,024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2,514,047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5,252,859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1,321,638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7,626,550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5,316,180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14,933,814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10,621,658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1,232,153</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1,232,152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14,478,592</w:t>
            </w: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11,215,010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27,897,926</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18,942,920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1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4,517,292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14,578,592</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11,220,023</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28,097,926</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23,460,212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11,747,845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11,785,316</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22,867,185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22,729,359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(1,599,285)</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1,079,348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(586,972)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2,002,814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(1,599,285)</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1,079,348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(586,972)</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2,002,814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color w:val="auto"/>
              </w:rPr>
              <w:t>Net change in unrealized depreciation on:</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(40,004,484)</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(13,288,572)</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(37,625,126)</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(23,330,111)</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(24,782,772)</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573,851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(30,682,477)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(1,790,617)</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(appreciation) (See Notes 5 and 10)</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33,537,647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(5,621,668)</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34,899,235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(87,975)</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(31,249,609)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(18,336,389)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(33,408,368)</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(25,208,703)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(32,848,894)</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(17,257,041)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(33,995,340)</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(23,205,889)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(21,101,049)</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(5,471,725)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(11,128,155)</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(476,530)</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decrease in net assets resulting from operations per common share (See Note 7)</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(0.54)</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(0.14)</w:t>
            </w:r>
          </w:p>
        </w:tc>
        <w:tc>
          <w:tcPr>
            <w:tcW w:w="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(0.29)</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11,747,845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11,785,316</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22,867,185</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22,729,359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(1,599,285)</w:t>
            </w: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1,079,348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(586,972)</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2,002,814</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(64,787,256)</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(12,714,721)</w:t>
            </w: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(68,307,603)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(25,120,728)</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33,537,647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(5,621,668)</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34,899,235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(87,975)</w:t>
            </w: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(21,101,049)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(5,471,725)</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(11,128,155)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(476,530)</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(22,100,082)</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(22,100,082)</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(32,151,090)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(16,521,766)</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(33,228,237)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(22,576,612)</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501,980,364</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529,786,722</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469,829,274</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513,264,956</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469,829,274</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513,264,956</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(11,128,155)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(476,530)</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decrease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68,307,603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25,120,728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(34,899,235)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586,972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(2,002,814)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(887,519)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(760,733)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(406,983,072)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(316,812,305)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(1,089,736)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(524,049)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243,107,247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333,519,118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229,072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(254,533)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(4,404)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(6,052,454)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(13,945,000)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prepaid expenses and other assets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(22,842)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685,972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(12,033,794)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(59,587,222)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1,627,778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323,459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(decrease) in base management fee payable</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220,921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performance-based incentive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404,820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(784,357)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(82,519)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(412,701)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(158,949,446)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(35,573,786)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(22,100,082)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(22,100,082)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190,700,000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(97,000,000)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(172,120,020)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125,899,918</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(3,520,102)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(33,049,528)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(39,093,888)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(294,448)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611,740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63,337,728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29,993,752</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33,742,035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13,076,964</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10,298,199</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501,633</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273,941</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8,025,882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18,032,254</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080" w:type="dxa"/>
            <w:vAlign w:val="bottom"/>
          </w:tcPr>
          <w:p>
            <w:pPr>
              <w:jc w:val="center"/>
              <w:ind w:left="326"/>
              <w:spacing w:after="0"/>
              <w:rPr>
                <w:sz w:val="20"/>
                <w:szCs w:val="20"/>
                <w:color w:val="auto"/>
              </w:rPr>
            </w:pPr>
            <w:r>
              <w:rPr>
                <w:rFonts w:ascii="Arial" w:cs="Arial" w:eastAsia="Arial" w:hAnsi="Arial"/>
                <w:sz w:val="11"/>
                <w:szCs w:val="11"/>
                <w:b w:val="1"/>
                <w:bCs w:val="1"/>
                <w:color w:val="auto"/>
                <w:w w:val="98"/>
              </w:rPr>
              <w:t>Maturity</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7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9"/>
        </w:trPr>
        <w:tc>
          <w:tcPr>
            <w:tcW w:w="43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Non-Affiliated Portfolio Companies—215.6% </w:t>
            </w:r>
            <w:r>
              <w:rPr>
                <w:rFonts w:ascii="Arial" w:cs="Arial" w:eastAsia="Arial" w:hAnsi="Arial"/>
                <w:sz w:val="9"/>
                <w:szCs w:val="9"/>
                <w:b w:val="1"/>
                <w:bCs w:val="1"/>
                <w:color w:val="auto"/>
              </w:rPr>
              <w:t>(3), (4)</w:t>
            </w:r>
          </w:p>
        </w:tc>
        <w:tc>
          <w:tcPr>
            <w:tcW w:w="24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b w:val="1"/>
                <w:bCs w:val="1"/>
                <w:color w:val="auto"/>
              </w:rPr>
              <w:t>First Lien Secured Debt—201.7%</w:t>
            </w:r>
          </w:p>
        </w:tc>
        <w:tc>
          <w:tcPr>
            <w:tcW w:w="10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08/11/2025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6,572,409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6,228,858</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Advantage Sales &amp; Marketing</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07/23/2021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Food and Staples Retailing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4.70%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1,279,281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1,231,422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1,228,110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7.78%</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6,418,750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6,329,916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6,290,375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2,156,250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(43,125)</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7,423,069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7,346,860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7,348,838</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12/21/2023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7.40%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14,850,035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14,621,881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14,256,034</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American Teleconferencing Services, Ltd.</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06/08/2023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9,659,927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9,547,066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7,341,544</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6,367,833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6,304,948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6,320,075</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 (9)</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07/31/2021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1,844,019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(13,830)</w:t>
            </w: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API Holdings III Corp.</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05/11/2026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5,955,000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5,926,012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5,776,350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04/28/2023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6.58%</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11,670,000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11,600,897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11,436,600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7.52%</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29,352,996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29,160,577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28,472,406</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3,166,448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3,166,448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3,071,455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1,013,175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(30,395)</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11/14/2023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2,853,510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2,826,599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2,754,779</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Cano Health,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12/23/2021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7.84%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33,684,743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33,424,149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33,684,743</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11/29/2023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3,815,167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3,819,235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3,777,015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Centauri Group Holdings,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02/12/2024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6.71%</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3,265,353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3,260,122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3,167,392</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04/10/2025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7,328,973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7,304,186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7,182,393</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08/31/2023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(78,259)</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7,769,468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7,617,787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7,370,894</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3,322,470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(170,443)</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1,405,660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1,405,660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1,333,550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Confluent Health,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06/24/2026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6.01%</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3,970,000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3,930,706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3,811,200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15,334,477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15,038,297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14,724,164</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3,681,041</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05/22/2026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9,776,859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9,230,250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14,267,647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14,111,747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13,982,294</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4,303,353</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9,767,257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9,714,220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9,571,912</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4,939,379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4,732,140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722,973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722,973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685,957</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180,743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(9,254)</w:t>
            </w: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03/07/2022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9.07%</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18,540,775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18,447,260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18,077,255</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6.13%</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5,101,476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5,051,875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4,820,894</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854,978</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6.38%</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16,378,750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16,378,750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16,051,175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(10)</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4,900,000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05/06/2021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8.86%</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10,170,513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10,170,513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9,814,545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05/06/2021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8.94%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L+725</w:t>
            </w:r>
          </w:p>
        </w:tc>
        <w:tc>
          <w:tcPr>
            <w:tcW w:w="660" w:type="dxa"/>
            <w:vAlign w:val="bottom"/>
          </w:tcPr>
          <w:p>
            <w:pPr>
              <w:jc w:val="right"/>
              <w:spacing w:after="0"/>
              <w:rPr>
                <w:sz w:val="20"/>
                <w:szCs w:val="20"/>
                <w:color w:val="auto"/>
              </w:rPr>
            </w:pPr>
            <w:r>
              <w:rPr>
                <w:rFonts w:ascii="Arial" w:cs="Arial" w:eastAsia="Arial" w:hAnsi="Arial"/>
                <w:sz w:val="11"/>
                <w:szCs w:val="11"/>
                <w:color w:val="auto"/>
              </w:rPr>
              <w:t>2,197,230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2,197,230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2,120,327</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06/15/2022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7,164,036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6,721,845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Empire Resorts, Inc.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03/22/2021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3.25%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L+225</w:t>
            </w:r>
          </w:p>
        </w:tc>
        <w:tc>
          <w:tcPr>
            <w:tcW w:w="660" w:type="dxa"/>
            <w:vAlign w:val="bottom"/>
          </w:tcPr>
          <w:p>
            <w:pPr>
              <w:jc w:val="right"/>
              <w:spacing w:after="0"/>
              <w:rPr>
                <w:sz w:val="20"/>
                <w:szCs w:val="20"/>
                <w:color w:val="auto"/>
              </w:rPr>
            </w:pPr>
            <w:r>
              <w:rPr>
                <w:rFonts w:ascii="Arial" w:cs="Arial" w:eastAsia="Arial" w:hAnsi="Arial"/>
                <w:sz w:val="11"/>
                <w:szCs w:val="11"/>
                <w:color w:val="auto"/>
              </w:rPr>
              <w:t>8,025,882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8,025,882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8,025,882</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8.81%</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L+722</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4,975,898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4,910,270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4,602,706</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3,077,342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(207,720)</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11/14/2022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7.86%</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14,075,502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13,823,919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14,040,313</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11/14/2022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P+425</w:t>
            </w:r>
          </w:p>
        </w:tc>
        <w:tc>
          <w:tcPr>
            <w:tcW w:w="660" w:type="dxa"/>
            <w:vAlign w:val="bottom"/>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2,660,000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11/18/2024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5.32%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6,797,549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6,741,917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6,321,720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11/18/2024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tcPr>
          <w:p>
            <w:pPr>
              <w:jc w:val="right"/>
              <w:spacing w:after="0"/>
              <w:rPr>
                <w:sz w:val="20"/>
                <w:szCs w:val="20"/>
                <w:color w:val="auto"/>
              </w:rPr>
            </w:pPr>
            <w:r>
              <w:rPr>
                <w:rFonts w:ascii="Arial" w:cs="Arial" w:eastAsia="Arial" w:hAnsi="Arial"/>
                <w:sz w:val="11"/>
                <w:szCs w:val="11"/>
                <w:color w:val="auto"/>
              </w:rPr>
              <w:t>1,882,200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1,882,200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1,769,268</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11/16/2023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1,254,800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(75,288)</w:t>
            </w: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GSM Holdings, Inc.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06/03/2024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5.56%</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19,227,856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19,127,205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18,747,160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06/03/2024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6,948,322</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Holdco Sands Intermediate,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12/19/2025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7.45%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21,650,500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21,336,934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21,217,490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7,454,032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7,391,072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7,230,411</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(43,548)</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10/28/2024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984,252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984,252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930,118</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10/28/2024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984,252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(54,134)</w:t>
            </w: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06/27/2023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12,739,165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12,681,686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10,891,986</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3,288,645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3,257,315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3,058,440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499,115</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25,625,377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25,434,705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24,600,362</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4,800,000</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Inventus Power, Inc.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04/30/2021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3,734,390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3,720,426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3,472,983</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12/20/2023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1,360,286</w:t>
            </w:r>
          </w:p>
        </w:tc>
        <w:tc>
          <w:tcPr>
            <w:tcW w:w="100" w:type="dxa"/>
            <w:vAlign w:val="bottom"/>
            <w:shd w:val="clear" w:color="auto" w:fill="CCECFF"/>
          </w:tcPr>
          <w:p>
            <w:pPr>
              <w:spacing w:after="0"/>
              <w:rPr>
                <w:sz w:val="11"/>
                <w:szCs w:val="11"/>
                <w:color w:val="auto"/>
              </w:rPr>
            </w:pPr>
          </w:p>
        </w:tc>
      </w:tr>
      <w:tr>
        <w:trPr>
          <w:trHeight w:val="139"/>
        </w:trPr>
        <w:tc>
          <w:tcPr>
            <w:tcW w:w="3220" w:type="dxa"/>
            <w:vAlign w:val="bottom"/>
          </w:tcPr>
          <w:p>
            <w:pPr>
              <w:spacing w:after="0"/>
              <w:rPr>
                <w:sz w:val="20"/>
                <w:szCs w:val="20"/>
                <w:color w:val="auto"/>
              </w:rPr>
            </w:pPr>
            <w:r>
              <w:rPr>
                <w:rFonts w:ascii="Arial" w:cs="Arial" w:eastAsia="Arial" w:hAnsi="Arial"/>
                <w:sz w:val="11"/>
                <w:szCs w:val="11"/>
                <w:color w:val="auto"/>
              </w:rPr>
              <w:t>Kentucky Downs,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03/07/2025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10.45%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5,444,171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5,348,344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5,416,950</w:t>
            </w:r>
          </w:p>
        </w:tc>
        <w:tc>
          <w:tcPr>
            <w:tcW w:w="100" w:type="dxa"/>
            <w:vAlign w:val="bottom"/>
          </w:tcPr>
          <w:p>
            <w:pPr>
              <w:spacing w:after="0"/>
              <w:rPr>
                <w:sz w:val="12"/>
                <w:szCs w:val="12"/>
                <w:color w:val="auto"/>
              </w:rPr>
            </w:pPr>
          </w:p>
        </w:tc>
      </w:tr>
      <w:tr>
        <w:trPr>
          <w:trHeight w:val="131"/>
        </w:trPr>
        <w:tc>
          <w:tcPr>
            <w:tcW w:w="3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(PIK 3.00%)</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03/07/2025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(2,241)</w:t>
            </w: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Lago Resort &amp; Casino, LLC</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03/07/2022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10.57%</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L+950</w:t>
            </w:r>
          </w:p>
        </w:tc>
        <w:tc>
          <w:tcPr>
            <w:tcW w:w="660" w:type="dxa"/>
            <w:vAlign w:val="bottom"/>
          </w:tcPr>
          <w:p>
            <w:pPr>
              <w:jc w:val="right"/>
              <w:spacing w:after="0"/>
              <w:rPr>
                <w:sz w:val="20"/>
                <w:szCs w:val="20"/>
                <w:color w:val="auto"/>
              </w:rPr>
            </w:pPr>
            <w:r>
              <w:rPr>
                <w:rFonts w:ascii="Arial" w:cs="Arial" w:eastAsia="Arial" w:hAnsi="Arial"/>
                <w:sz w:val="11"/>
                <w:szCs w:val="11"/>
                <w:color w:val="auto"/>
              </w:rPr>
              <w:t>9,265,000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9,190,156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8,616,450</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10/31/2024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8,936,957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8,888,661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8,554,456</w:t>
            </w:r>
          </w:p>
        </w:tc>
        <w:tc>
          <w:tcPr>
            <w:tcW w:w="100" w:type="dxa"/>
            <w:vAlign w:val="bottom"/>
            <w:shd w:val="clear" w:color="auto" w:fill="CCECFF"/>
          </w:tcPr>
          <w:p>
            <w:pPr>
              <w:spacing w:after="0"/>
              <w:rPr>
                <w:sz w:val="11"/>
                <w:szCs w:val="1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1080" w:type="dxa"/>
            <w:vAlign w:val="bottom"/>
          </w:tcPr>
          <w:p>
            <w:pPr>
              <w:jc w:val="center"/>
              <w:ind w:left="346"/>
              <w:spacing w:after="0"/>
              <w:rPr>
                <w:sz w:val="20"/>
                <w:szCs w:val="20"/>
                <w:color w:val="auto"/>
              </w:rPr>
            </w:pPr>
            <w:r>
              <w:rPr>
                <w:rFonts w:ascii="Arial" w:cs="Arial" w:eastAsia="Arial" w:hAnsi="Arial"/>
                <w:sz w:val="11"/>
                <w:szCs w:val="11"/>
                <w:color w:val="auto"/>
                <w:w w:val="87"/>
              </w:rPr>
              <w:t>10/31/2024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7.45%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507,937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507,937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486,197</w:t>
            </w:r>
          </w:p>
        </w:tc>
        <w:tc>
          <w:tcPr>
            <w:tcW w:w="100" w:type="dxa"/>
            <w:vAlign w:val="bottom"/>
          </w:tcPr>
          <w:p>
            <w:pPr>
              <w:spacing w:after="0"/>
              <w:rPr>
                <w:sz w:val="11"/>
                <w:szCs w:val="11"/>
                <w:color w:val="auto"/>
              </w:rPr>
            </w:pPr>
          </w:p>
        </w:tc>
      </w:tr>
      <w:tr>
        <w:trPr>
          <w:trHeight w:val="135"/>
        </w:trPr>
        <w:tc>
          <w:tcPr>
            <w:tcW w:w="32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 (9)</w:t>
            </w:r>
          </w:p>
        </w:tc>
        <w:tc>
          <w:tcPr>
            <w:tcW w:w="1080" w:type="dxa"/>
            <w:vAlign w:val="bottom"/>
            <w:shd w:val="clear" w:color="auto" w:fill="CCECFF"/>
          </w:tcPr>
          <w:p>
            <w:pPr>
              <w:jc w:val="center"/>
              <w:ind w:left="346"/>
              <w:spacing w:after="0"/>
              <w:rPr>
                <w:sz w:val="20"/>
                <w:szCs w:val="20"/>
                <w:color w:val="auto"/>
              </w:rPr>
            </w:pPr>
            <w:r>
              <w:rPr>
                <w:rFonts w:ascii="Arial" w:cs="Arial" w:eastAsia="Arial" w:hAnsi="Arial"/>
                <w:sz w:val="11"/>
                <w:szCs w:val="11"/>
                <w:color w:val="auto"/>
                <w:w w:val="87"/>
              </w:rPr>
              <w:t>10/31/2024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1,079,365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(46,197)</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10"/>
                <w:szCs w:val="10"/>
                <w:color w:val="auto"/>
              </w:rPr>
            </w:pP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Maturity</w:t>
            </w:r>
          </w:p>
        </w:tc>
        <w:tc>
          <w:tcPr>
            <w:tcW w:w="120" w:type="dxa"/>
            <w:vAlign w:val="bottom"/>
            <w:tcBorders>
              <w:bottom w:val="single" w:sz="8" w:color="CCECFF"/>
            </w:tcBorders>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1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00" w:type="dxa"/>
            <w:vAlign w:val="bottom"/>
            <w:tcBorders>
              <w:bottom w:val="single" w:sz="8" w:color="CCECFF"/>
            </w:tcBorders>
          </w:tcPr>
          <w:p>
            <w:pPr>
              <w:spacing w:after="0"/>
              <w:rPr>
                <w:sz w:val="11"/>
                <w:szCs w:val="11"/>
                <w:color w:val="auto"/>
              </w:rPr>
            </w:pPr>
          </w:p>
        </w:tc>
      </w:tr>
      <w:tr>
        <w:trPr>
          <w:trHeight w:val="128"/>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Lash Opco,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8,946,987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8,690,750</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8,231,228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8.39%</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L+725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1,705,015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1,705,015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1,585,665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38,168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(2,672)</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4,736,107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4,599,788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236,805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02/03/2026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27,144,833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26,611,314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25,244,695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02/03/2026</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5,252,966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(315,178)</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02/03/2026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2,324,348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Lombart Brothers,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04/13/2023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7.70%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13,711,638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13,572,443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12,751,824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04/13/2023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1,164,602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Long Island Vision Management,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6.56%</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9,021,896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8,965,087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8,696,205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880,212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(31,776)</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Retail</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13,503,125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13,420,264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12,152,813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12/08/2023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8,347,500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8,290,549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7,941,811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5,284,919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5,219,537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4,809,277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6.58%</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P+275</w:t>
            </w:r>
          </w:p>
        </w:tc>
        <w:tc>
          <w:tcPr>
            <w:tcW w:w="1120" w:type="dxa"/>
            <w:vAlign w:val="bottom"/>
            <w:gridSpan w:val="3"/>
            <w:shd w:val="clear" w:color="auto" w:fill="CCECFF"/>
          </w:tcPr>
          <w:p>
            <w:pPr>
              <w:ind w:left="140"/>
              <w:spacing w:after="0"/>
              <w:rPr>
                <w:sz w:val="20"/>
                <w:szCs w:val="20"/>
                <w:color w:val="auto"/>
              </w:rPr>
            </w:pPr>
            <w:r>
              <w:rPr>
                <w:rFonts w:ascii="Arial" w:cs="Arial" w:eastAsia="Arial" w:hAnsi="Arial"/>
                <w:sz w:val="11"/>
                <w:szCs w:val="11"/>
                <w:color w:val="auto"/>
              </w:rPr>
              <w:t>C $  16,213,270</w:t>
            </w: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11,370,730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10,479,649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P+275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1,703,163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1,583,942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30,350,934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29,952,809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28,226,369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(268,899)</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6.94%</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616,829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611,366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601,531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8.56%</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883,392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883,392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861,484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09/28/2021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441,696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(10,954)</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9"/>
                <w:szCs w:val="9"/>
                <w:color w:val="auto"/>
              </w:rPr>
              <w:t>(5), (10)</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6,269,637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6,181,009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6,081,548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1,428,452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1,414,168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1,414,168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Olde Thompson,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L+425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1,321,429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1,321,429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1,308,214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Olde Thompson,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(13,215)</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6.11%</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4,485,177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3,898,209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4,081,512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Output Services Group, Inc.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74,527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(6,335)</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Ox Two,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7.85%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12,653,425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12,590,132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12,526,890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8.51%</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552,888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547,359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(27)</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Peninsula Pacific Entertainment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 Gaming and Leisure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8.32%</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10,275,810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10,240,842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9,453,745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7.12%</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2,103,056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2,080,278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2,060,994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05/08/2026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5,558,000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5,506,130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5,391,260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PRA Events,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08/08/2022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8.45%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L+700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2,558,746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2,523,472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2,520,364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7,387,500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7,271,817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7,018,125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398,936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398,936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378,990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797,872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(39,893)</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Research Horizons,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06/28/2022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Media: Advertising, Printing and Publishing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7.84%</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7,078,632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7,018,013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6,724,700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Survey Sampling</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7.26%</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25,386,499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24,668,238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24,371,038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International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Riverpoint Medical,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4,917,642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4,742,661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454,545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434,409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454,545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(20,136)</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03/10/2025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15,750,000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15,438,109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14,568,750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01/3/2025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7.87%</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L+600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14,004,065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13,736,053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13,723,985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5"/>
              </w:rPr>
              <w:t>06/3/2021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(64,634)</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01/3/2025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1,292,683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(25,853)</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Salient CRGT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7.57%</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1,746,626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1,730,621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1,397,300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4,748,376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4,680,177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4,510,957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1,056,367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1,056,367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998,267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Schlesinger Global,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7.44%</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13,546,826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13,407,952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13,275,900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1,870,302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(37,416)</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7.57%</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12,675,000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12,509,394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12,383,475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279,570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279,570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273,140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1,467,742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(33,758)</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6.11%</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3,417,798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3,417,798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3,383,620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1,076,088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(10,761)</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7.62%</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P+350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1,429,482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1,429,482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1,403,465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186,768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(3,399)</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483,333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483,333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456,749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11,803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(649)</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6.74%</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6,647,338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6,541,288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6,425,983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6.71%</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1,207,167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(13,861)</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Spear Education,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02/26/2025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6.90%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15,125,000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14,977,694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14,822,500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02/26/2025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(137,500)</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Spectacle Gary Holdings,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11.00%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L+900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8,427,027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8,181,265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8,005,676</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972,973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(48,649)</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STV Group Incorporated</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12/11/2026</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6.24%</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13,236,472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13,106,014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12,971,742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6,663,122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6,596,751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6,396,597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Teneo Holdings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9,582,343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9,452,500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Tensar Corporation</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07/09/2021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22,620,696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22,547,428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21,263,454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The Infosoft Group,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6.96%</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18,380,294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18,243,795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17,277,476</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6.62%</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L+500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7,586,270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7,523,434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7,206,957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6.12%</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2M L+450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5,403,722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5,375,094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5,133,536</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(7), (10)</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6.54%</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1,418,484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1,418,484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1,347,560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11/24/2025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7.16%</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4,939,707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4,839,870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Triad Manufacturing,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12/28/2020</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12.24%</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L+1,125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7,314,323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7,287,001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7,241,180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TVC Enterprises,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5,898,936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5,804,926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5,780,957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1,955,719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(39,114)</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733,273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733,273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718,608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570,539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(11,411)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366"/>
              <w:spacing w:after="0" w:line="122" w:lineRule="exact"/>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40" w:type="dxa"/>
            <w:vAlign w:val="bottom"/>
            <w:tcBorders>
              <w:bottom w:val="single" w:sz="8" w:color="CCECFF"/>
            </w:tcBorders>
          </w:tcPr>
          <w:p>
            <w:pPr>
              <w:spacing w:after="0"/>
              <w:rPr>
                <w:sz w:val="11"/>
                <w:szCs w:val="1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00" w:type="dxa"/>
            <w:vAlign w:val="bottom"/>
            <w:tcBorders>
              <w:bottom w:val="single" w:sz="8" w:color="CCECFF"/>
            </w:tcBorders>
          </w:tcPr>
          <w:p>
            <w:pPr>
              <w:spacing w:after="0"/>
              <w:rPr>
                <w:sz w:val="11"/>
                <w:szCs w:val="11"/>
                <w:color w:val="auto"/>
              </w:rPr>
            </w:pPr>
          </w:p>
        </w:tc>
      </w:tr>
      <w:tr>
        <w:trPr>
          <w:trHeight w:val="128"/>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w:t>
            </w:r>
          </w:p>
        </w:tc>
        <w:tc>
          <w:tcPr>
            <w:tcW w:w="280" w:type="dxa"/>
            <w:vAlign w:val="bottom"/>
            <w:shd w:val="clear" w:color="auto" w:fill="CCECFF"/>
          </w:tcPr>
          <w:p>
            <w:pPr>
              <w:jc w:val="right"/>
              <w:ind w:right="126"/>
              <w:spacing w:after="0" w:line="120" w:lineRule="exact"/>
              <w:rPr>
                <w:sz w:val="20"/>
                <w:szCs w:val="20"/>
                <w:color w:val="auto"/>
              </w:rPr>
            </w:pPr>
            <w:r>
              <w:rPr>
                <w:rFonts w:ascii="Arial" w:cs="Arial" w:eastAsia="Arial" w:hAnsi="Arial"/>
                <w:sz w:val="11"/>
                <w:szCs w:val="11"/>
                <w:color w:val="auto"/>
                <w:w w:val="81"/>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6,754,738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6,703,151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7.25%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1,819,285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1,819,285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1,764,707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808,571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(24,257)</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Tyto Athene, LLC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08/27/2024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6.75%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17,582,096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17,365,943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16,400,674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08/27/2024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4,318,182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4,318,182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4,028,023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08/27/2024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(167,987)</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6.76%</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14,101,269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14,013,752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13,960,256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(7)</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5.55%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2,933,333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2,894,672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UniTek Global Services, Inc.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08/20/2024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8.11%</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10,417,286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10,247,069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9,167,212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6.46%</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4,905,677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4,887,750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08/13/2021</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9.95%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2,980,469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2,980,469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2,935,762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Vision Purchaser Corporation</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06/10/2025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7.49%</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14,430,851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14,154,694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13,853,617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10/18/2022</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8.50%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4,267,207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4,209,359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4,224,535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Wildcat Buyerco, Inc.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02/27/2026</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7.14%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7,473,529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7,308,304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7,286,691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02/27/2022</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3,914,706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(53,827)</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02/27/2026</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(13,346)</w:t>
            </w:r>
          </w:p>
        </w:tc>
      </w:tr>
      <w:tr>
        <w:trPr>
          <w:trHeight w:val="128"/>
        </w:trPr>
        <w:tc>
          <w:tcPr>
            <w:tcW w:w="35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986,913,905</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947,728,061</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540" w:type="dxa"/>
            <w:vAlign w:val="bottom"/>
          </w:tcPr>
          <w:p>
            <w:pPr>
              <w:spacing w:after="0"/>
              <w:rPr>
                <w:sz w:val="20"/>
                <w:szCs w:val="20"/>
                <w:color w:val="auto"/>
              </w:rPr>
            </w:pPr>
            <w:r>
              <w:rPr>
                <w:rFonts w:ascii="Arial" w:cs="Arial" w:eastAsia="Arial" w:hAnsi="Arial"/>
                <w:sz w:val="11"/>
                <w:szCs w:val="11"/>
                <w:b w:val="1"/>
                <w:bCs w:val="1"/>
                <w:color w:val="auto"/>
              </w:rPr>
              <w:t>Second Lien Secured Debt—5.6%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04/25/2025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10.53%</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1,655,172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1,629,894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1,531,035</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02/02/2026</w:t>
            </w:r>
          </w:p>
        </w:tc>
        <w:tc>
          <w:tcPr>
            <w:tcW w:w="240" w:type="dxa"/>
            <w:vAlign w:val="bottom"/>
          </w:tcPr>
          <w:p>
            <w:pPr>
              <w:spacing w:after="0"/>
              <w:rPr>
                <w:sz w:val="12"/>
                <w:szCs w:val="12"/>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9.00%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10,655,053</w:t>
            </w:r>
          </w:p>
        </w:tc>
        <w:tc>
          <w:tcPr>
            <w:tcW w:w="100" w:type="dxa"/>
            <w:vAlign w:val="bottom"/>
          </w:tcPr>
          <w:p>
            <w:pPr>
              <w:spacing w:after="0"/>
              <w:rPr>
                <w:sz w:val="12"/>
                <w:szCs w:val="12"/>
                <w:color w:val="auto"/>
              </w:rPr>
            </w:pPr>
          </w:p>
        </w:tc>
      </w:tr>
      <w:tr>
        <w:trPr>
          <w:trHeight w:val="131"/>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(PIK 9.00%)</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03/26/2021</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9.00%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21,308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06"/>
              <w:spacing w:after="0"/>
              <w:rPr>
                <w:sz w:val="20"/>
                <w:szCs w:val="20"/>
                <w:color w:val="auto"/>
              </w:rPr>
            </w:pPr>
            <w:r>
              <w:rPr>
                <w:rFonts w:ascii="Arial" w:cs="Arial" w:eastAsia="Arial" w:hAnsi="Arial"/>
                <w:sz w:val="11"/>
                <w:szCs w:val="11"/>
                <w:color w:val="auto"/>
              </w:rPr>
              <w:t>(PIK 9.00%)</w:t>
            </w: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DecoPac, Inc.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03/31/2025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9.25%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9,648,701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9,738,580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10/23/2024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Media: Advertising, Printing and Publishing</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12.00%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2,871,025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2,825,614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2,612,633</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11/30/2024</w:t>
            </w:r>
          </w:p>
        </w:tc>
        <w:tc>
          <w:tcPr>
            <w:tcW w:w="240" w:type="dxa"/>
            <w:vAlign w:val="bottom"/>
          </w:tcPr>
          <w:p>
            <w:pPr>
              <w:spacing w:after="0"/>
              <w:rPr>
                <w:sz w:val="12"/>
                <w:szCs w:val="12"/>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11.83%</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1,982,007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1,965,378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1,833,356</w:t>
            </w:r>
          </w:p>
        </w:tc>
        <w:tc>
          <w:tcPr>
            <w:tcW w:w="100" w:type="dxa"/>
            <w:vAlign w:val="bottom"/>
          </w:tcPr>
          <w:p>
            <w:pPr>
              <w:spacing w:after="0"/>
              <w:rPr>
                <w:sz w:val="12"/>
                <w:szCs w:val="12"/>
                <w:color w:val="auto"/>
              </w:rPr>
            </w:pPr>
          </w:p>
        </w:tc>
      </w:tr>
      <w:tr>
        <w:trPr>
          <w:trHeight w:val="131"/>
        </w:trPr>
        <w:tc>
          <w:tcPr>
            <w:tcW w:w="35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06"/>
              <w:spacing w:after="0"/>
              <w:rPr>
                <w:sz w:val="20"/>
                <w:szCs w:val="20"/>
                <w:color w:val="auto"/>
              </w:rPr>
            </w:pPr>
            <w:r>
              <w:rPr>
                <w:rFonts w:ascii="Arial" w:cs="Arial" w:eastAsia="Arial" w:hAnsi="Arial"/>
                <w:sz w:val="11"/>
                <w:szCs w:val="11"/>
                <w:color w:val="auto"/>
              </w:rPr>
              <w:t>(PIK 11.83%)</w:t>
            </w: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5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27,249,023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26,391,965</w:t>
            </w:r>
          </w:p>
        </w:tc>
        <w:tc>
          <w:tcPr>
            <w:tcW w:w="100" w:type="dxa"/>
            <w:vAlign w:val="bottom"/>
            <w:shd w:val="clear" w:color="auto" w:fill="CCECFF"/>
          </w:tcPr>
          <w:p>
            <w:pPr>
              <w:spacing w:after="0"/>
              <w:rPr>
                <w:sz w:val="11"/>
                <w:szCs w:val="11"/>
                <w:color w:val="auto"/>
              </w:rPr>
            </w:pPr>
          </w:p>
        </w:tc>
      </w:tr>
      <w:tr>
        <w:trPr>
          <w:trHeight w:val="129"/>
        </w:trPr>
        <w:tc>
          <w:tcPr>
            <w:tcW w:w="354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 1.5%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10,173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9"/>
                <w:szCs w:val="9"/>
                <w:color w:val="auto"/>
              </w:rPr>
              <w:t>(8)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14.00%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3,542,199</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742,962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424,569</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11.94%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467,044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Commercial Services &amp; Supplies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12.00%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1,166,993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1,222,477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421,445</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20.00%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19.00%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13.50%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8"/>
        </w:trPr>
        <w:tc>
          <w:tcPr>
            <w:tcW w:w="35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6,908,886</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54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6.8%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805,164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1,326,801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2,190,771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6,067,737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960,839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629,620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668,999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9"/>
                <w:szCs w:val="9"/>
                <w:color w:val="auto"/>
              </w:rPr>
              <w:t>(8)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3,126,132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240,636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240,636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213,528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381,004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187,117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332,316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Products</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1,089,489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1,089,489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617,767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403,005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676,207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383,878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1,549,209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1,423,211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2,506,194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450,791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149,350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706,761</w:t>
            </w:r>
          </w:p>
        </w:tc>
        <w:tc>
          <w:tcPr>
            <w:tcW w:w="100" w:type="dxa"/>
            <w:vAlign w:val="bottom"/>
          </w:tcPr>
          <w:p>
            <w:pPr>
              <w:spacing w:after="0"/>
              <w:rPr>
                <w:sz w:val="12"/>
                <w:szCs w:val="12"/>
                <w:color w:val="auto"/>
              </w:rPr>
            </w:pP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25,006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543,578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815,167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 (8),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1,352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1,139,684</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4,015,266</w:t>
            </w:r>
          </w:p>
        </w:tc>
        <w:tc>
          <w:tcPr>
            <w:tcW w:w="100" w:type="dxa"/>
            <w:vAlign w:val="bottom"/>
          </w:tcPr>
          <w:p>
            <w:pPr>
              <w:spacing w:after="0"/>
              <w:rPr>
                <w:sz w:val="12"/>
                <w:szCs w:val="12"/>
                <w:color w:val="auto"/>
              </w:rPr>
            </w:pPr>
          </w:p>
        </w:tc>
      </w:tr>
      <w:tr>
        <w:trPr>
          <w:trHeight w:val="136"/>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188,520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Healthcare Technology</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387,126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w w:val="96"/>
              </w:rPr>
              <w:t xml:space="preserve">OceanSound Discovery Equity, LP (Holdco Sands Intermediate, LLC) </w:t>
            </w:r>
            <w:r>
              <w:rPr>
                <w:rFonts w:ascii="Arial" w:cs="Arial" w:eastAsia="Arial" w:hAnsi="Arial"/>
                <w:sz w:val="9"/>
                <w:szCs w:val="9"/>
                <w:color w:val="auto"/>
                <w:w w:val="96"/>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1,736,381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1,522,681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286,000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381,474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646,341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530,629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61,421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6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1,106,230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6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763,837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763,837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1,516,026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 (8), (9)</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236,163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52,741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472,857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560" w:type="dxa"/>
            <w:vAlign w:val="bottom"/>
            <w:gridSpan w:val="2"/>
            <w:shd w:val="clear" w:color="auto" w:fill="CCECFF"/>
          </w:tcPr>
          <w:p>
            <w:pPr>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line="125" w:lineRule="exact"/>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800" w:type="dxa"/>
            <w:vAlign w:val="bottom"/>
            <w:gridSpan w:val="2"/>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0"/>
                <w:szCs w:val="10"/>
                <w:color w:val="auto"/>
              </w:rPr>
            </w:pPr>
          </w:p>
        </w:tc>
        <w:tc>
          <w:tcPr>
            <w:tcW w:w="880" w:type="dxa"/>
            <w:vAlign w:val="bottom"/>
            <w:gridSpan w:val="2"/>
            <w:shd w:val="clear" w:color="auto" w:fill="CCECFF"/>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2,093</w:t>
            </w: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209,343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176,007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Components</w:t>
            </w: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21,928,441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31,954,202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93"/>
              </w:rPr>
              <w:t>Total Investments in Non-Controlled, Non-Affiliated Portfolio Companies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1,048,160,082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1,012,983,114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w w:val="90"/>
              </w:rPr>
              <w:t xml:space="preserve">Investments in Non-Controlled, Affiliated Portfolio Companies—2.4% </w:t>
            </w:r>
            <w:r>
              <w:rPr>
                <w:rFonts w:ascii="Arial" w:cs="Arial" w:eastAsia="Arial" w:hAnsi="Arial"/>
                <w:sz w:val="9"/>
                <w:szCs w:val="9"/>
                <w:b w:val="1"/>
                <w:bCs w:val="1"/>
                <w:color w:val="auto"/>
                <w:w w:val="90"/>
              </w:rPr>
              <w:t>(3), (4)</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Debt—1.0%</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1"/>
                <w:szCs w:val="11"/>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6.45%</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1,510,188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6.45%</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2,746,564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10/12/2023</w:t>
            </w:r>
          </w:p>
        </w:tc>
        <w:tc>
          <w:tcPr>
            <w:tcW w:w="220" w:type="dxa"/>
            <w:vAlign w:val="bottom"/>
            <w:tcBorders>
              <w:bottom w:val="single" w:sz="8" w:color="CCECFF"/>
            </w:tcBorders>
          </w:tcPr>
          <w:p>
            <w:pPr>
              <w:spacing w:after="0"/>
              <w:rPr>
                <w:sz w:val="11"/>
                <w:szCs w:val="11"/>
                <w:color w:val="auto"/>
              </w:rPr>
            </w:pPr>
          </w:p>
        </w:tc>
        <w:tc>
          <w:tcPr>
            <w:tcW w:w="24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Borders>
              <w:bottom w:val="single" w:sz="8" w:color="CCECFF"/>
            </w:tcBorders>
          </w:tcPr>
          <w:p>
            <w:pPr>
              <w:jc w:val="right"/>
              <w:spacing w:after="0"/>
              <w:rPr>
                <w:sz w:val="20"/>
                <w:szCs w:val="20"/>
                <w:color w:val="auto"/>
              </w:rPr>
            </w:pPr>
            <w:r>
              <w:rPr>
                <w:rFonts w:ascii="Arial" w:cs="Arial" w:eastAsia="Arial" w:hAnsi="Arial"/>
                <w:sz w:val="9"/>
                <w:szCs w:val="9"/>
                <w:color w:val="auto"/>
                <w:w w:val="90"/>
              </w:rPr>
              <w:t>(6)</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2,057,202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2,057,202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302,530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6,313,954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4,593,255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Debt—1.2%</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9.95%</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5,602,242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5,602,242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5,602,242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9.95%)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Quick Weight Loss Centers, LLC</w:t>
            </w:r>
          </w:p>
        </w:tc>
        <w:tc>
          <w:tcPr>
            <w:tcW w:w="520" w:type="dxa"/>
            <w:vAlign w:val="bottom"/>
          </w:tcPr>
          <w:p>
            <w:pPr>
              <w:spacing w:after="0"/>
              <w:rPr>
                <w:sz w:val="20"/>
                <w:szCs w:val="20"/>
                <w:color w:val="auto"/>
              </w:rPr>
            </w:pPr>
            <w:r>
              <w:rPr>
                <w:rFonts w:ascii="Arial" w:cs="Arial" w:eastAsia="Arial" w:hAnsi="Arial"/>
                <w:sz w:val="11"/>
                <w:szCs w:val="11"/>
                <w:color w:val="auto"/>
                <w:w w:val="90"/>
              </w:rPr>
              <w:t>10/12/2023</w:t>
            </w:r>
          </w:p>
        </w:tc>
        <w:tc>
          <w:tcPr>
            <w:tcW w:w="220" w:type="dxa"/>
            <w:vAlign w:val="bottom"/>
          </w:tcPr>
          <w:p>
            <w:pPr>
              <w:spacing w:after="0"/>
              <w:rPr>
                <w:sz w:val="11"/>
                <w:szCs w:val="11"/>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235,960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238,372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56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2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5,840,614</w:t>
            </w: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5,602,242</w:t>
            </w: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Preferred Equity—0.0% </w:t>
            </w:r>
            <w:r>
              <w:rPr>
                <w:rFonts w:ascii="Arial" w:cs="Arial" w:eastAsia="Arial" w:hAnsi="Arial"/>
                <w:sz w:val="9"/>
                <w:szCs w:val="9"/>
                <w:b w:val="1"/>
                <w:bCs w:val="1"/>
                <w:color w:val="auto"/>
              </w:rPr>
              <w:t>(6)</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9"/>
                <w:szCs w:val="9"/>
                <w:color w:val="auto"/>
              </w:rPr>
              <w:t>(8)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9,568,216</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Total Preferred Equity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Equity/Warrants—0.2%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Country Fresh Holding Company Inc.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943,139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12,973,350</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943,139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25,970,270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11,138,636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w w:val="95"/>
              </w:rPr>
              <w:t xml:space="preserve">Investments in Controlled, Affiliated Portfolio Companies—33.0% </w:t>
            </w:r>
            <w:r>
              <w:rPr>
                <w:rFonts w:ascii="Arial" w:cs="Arial" w:eastAsia="Arial" w:hAnsi="Arial"/>
                <w:sz w:val="9"/>
                <w:szCs w:val="9"/>
                <w:b w:val="1"/>
                <w:bCs w:val="1"/>
                <w:color w:val="auto"/>
                <w:w w:val="95"/>
              </w:rPr>
              <w:t>(3), (4)</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Debt—25.5%</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05/06/2024</w:t>
            </w:r>
          </w:p>
        </w:tc>
        <w:tc>
          <w:tcPr>
            <w:tcW w:w="220" w:type="dxa"/>
            <w:vAlign w:val="bottom"/>
            <w:tcBorders>
              <w:bottom w:val="single" w:sz="8" w:color="CCECFF"/>
            </w:tcBorders>
          </w:tcPr>
          <w:p>
            <w:pPr>
              <w:spacing w:after="0"/>
              <w:rPr>
                <w:sz w:val="11"/>
                <w:szCs w:val="11"/>
                <w:color w:val="auto"/>
              </w:rPr>
            </w:pPr>
          </w:p>
        </w:tc>
        <w:tc>
          <w:tcPr>
            <w:tcW w:w="24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0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1"/>
                <w:szCs w:val="11"/>
                <w:color w:val="auto"/>
              </w:rPr>
              <w:t>9.45%</w:t>
            </w:r>
          </w:p>
        </w:tc>
        <w:tc>
          <w:tcPr>
            <w:tcW w:w="14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123,418,750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123,418,750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119,716,188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123,418,750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119,716,188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Equity Interests—7.5%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52,894</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52,893,750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35,121,921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52,893,750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35,121,921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176,312,500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154,838,109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Investments—250.9%</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1,250,442,852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1,178,959,859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Equivalents—6.4%</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8,688,080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color w:val="auto"/>
                <w:w w:val="93"/>
              </w:rPr>
              <w:t>8,688,080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BNY Mellon Cash</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21,535,871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21,305,672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30,223,951</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29,993,752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Equivalents—257.3%</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1,280,666,803</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1,208,953,611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CFF"/>
              <w:bottom w:val="single" w:sz="8" w:color="CCECFF"/>
            </w:tcBorders>
            <w:gridSpan w:val="2"/>
            <w:vMerge w:val="restart"/>
          </w:tcPr>
          <w:p>
            <w:pPr>
              <w:spacing w:after="0"/>
              <w:rPr>
                <w:sz w:val="20"/>
                <w:szCs w:val="20"/>
                <w:color w:val="auto"/>
              </w:rPr>
            </w:pPr>
            <w:r>
              <w:rPr>
                <w:rFonts w:ascii="Arial" w:cs="Arial" w:eastAsia="Arial" w:hAnsi="Arial"/>
                <w:sz w:val="11"/>
                <w:szCs w:val="11"/>
                <w:b w:val="1"/>
                <w:bCs w:val="1"/>
                <w:color w:val="auto"/>
              </w:rPr>
              <w:t>Liabilities in Excess of Other Assets—(157.3)%</w:t>
            </w:r>
          </w:p>
        </w:tc>
        <w:tc>
          <w:tcPr>
            <w:tcW w:w="5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(739,124,337)</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469,829,274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right="2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2020, qualifying assets represent 83% of our total assets and non-qualifying assets represent 17%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Companies—176.7% </w:t>
            </w:r>
            <w:r>
              <w:rPr>
                <w:rFonts w:ascii="Arial" w:cs="Arial" w:eastAsia="Arial" w:hAnsi="Arial"/>
                <w:sz w:val="9"/>
                <w:szCs w:val="9"/>
                <w:b w:val="1"/>
                <w:bCs w:val="1"/>
                <w:color w:val="auto"/>
                <w:w w:val="96"/>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Debt—162.7%</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14,702,672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15,000,000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8.28%</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6,500,000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6,404,125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6,500,000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2,156,250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7.07%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5,798,444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5,727,667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5,740,459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8.10%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14,670,272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14,701,125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649,351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(9,740)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12/08/2021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8.69%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9,672,954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9,590,848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6,771,068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API Holdings III Corp.</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05/11/2026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6.45%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5,985,000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5,955,320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5,783,006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04/28/2023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7.61%</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11,730,000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11,651,612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11,612,700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8.56%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13,096,955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12,864,397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13,096,955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15,745,817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8.54%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2,868,106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2,848,592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2,854,626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Cano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12/23/2021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23,306,224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23,094,603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23,306,224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11/29/2023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7.86%</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3,834,884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3,840,082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3,719,837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CHA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7,366,205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7,340,067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7,329,374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 Holdings, Inc.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(268)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7.87%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284,579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284,579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277,464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426,868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(10,672)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06/24/2026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Healthcare Providers and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7.40%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4,000,000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3,960,046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3,940,000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Deva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931,008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944,900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Deva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Digital Room Holdings, Inc.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9,827,383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9,495,003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14,340,441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14,159,516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14,197,037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9.75%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439,118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434,726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3,952,059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(39,522)</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Douglas Sewer Intermediate,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9,816,712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9,755,921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9,718,545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10.06%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18,592,082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18,478,010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18,406,161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7.07%</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9.62%</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10,401,338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10,401,338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10,349,331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(PIK 2.50%)</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9.66%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2,189,535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2,189,535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2,178,587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06/15/2022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7,250,797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7,220,335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7,178,290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FlexPrint,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8.61%</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L+620</w:t>
            </w:r>
          </w:p>
        </w:tc>
        <w:tc>
          <w:tcPr>
            <w:tcW w:w="660" w:type="dxa"/>
            <w:vAlign w:val="bottom"/>
          </w:tcPr>
          <w:p>
            <w:pPr>
              <w:jc w:val="right"/>
              <w:spacing w:after="0"/>
              <w:rPr>
                <w:sz w:val="20"/>
                <w:szCs w:val="20"/>
                <w:color w:val="auto"/>
              </w:rPr>
            </w:pPr>
            <w:r>
              <w:rPr>
                <w:rFonts w:ascii="Arial" w:cs="Arial" w:eastAsia="Arial" w:hAnsi="Arial"/>
                <w:sz w:val="11"/>
                <w:szCs w:val="11"/>
                <w:color w:val="auto"/>
              </w:rPr>
              <w:t>4,281,014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4,213,518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4,216,799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3,772,226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(28,292)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12,112,187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11,880,407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12,112,187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11/16/2023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(31,370)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GSM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6.66%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19,325,409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19,215,204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19,132,154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6.69%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5,938,737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5,938,737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5,879,350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1,187,747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(11,877)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8.39%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7,491,774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7,422,604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7,491,774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8.39%</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209,032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209,032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209,032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1,242,581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10/28/2024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06/27/2023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8.72%</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12,807,129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12,742,367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12,679,058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3,305,640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3,271,191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3,272,584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159,292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159,292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158,495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371,681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(1,858)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25,755,126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25,541,479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25,755,126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04/30/2020</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8.54%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4,105,494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4,100,506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3,777,055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493,950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928,571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(11,236)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Kentucky Downs,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10.60%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5,429,692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5,327,414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5,429,692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1,344,828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KHC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12,031,250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11,925,121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12,031,250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10/30/2020</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10/30/2020</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729,839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Lago Resort &amp; Casino,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11.60%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L+950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9,316,000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9,224,654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9,176,260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LAV Gear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7.60%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8,357,143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8,311,279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8,349,621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7.61%</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126,984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126,984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126,870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1,460,317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(1,314)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11/30/2021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4,736,107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4,599,788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94,722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Lombart Brothers,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13,783,976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13,628,111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13,646,136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437,272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437,272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435,086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801,666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(4,009)</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Long Island Vision Management,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09/11/2023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8,165,763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8,114,887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8,124,934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09/11/2023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1,788,843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(8,944)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7.10%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9,830,562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9,801,000</w:t>
            </w:r>
          </w:p>
        </w:tc>
        <w:tc>
          <w:tcPr>
            <w:tcW w:w="120" w:type="dxa"/>
            <w:vAlign w:val="bottom"/>
            <w:shd w:val="clear" w:color="auto" w:fill="CCECFF"/>
          </w:tcPr>
          <w:p>
            <w:pPr>
              <w:spacing w:after="0"/>
              <w:rPr>
                <w:sz w:val="11"/>
                <w:szCs w:val="1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color w:val="auto"/>
              </w:rPr>
              <w:t xml:space="preserve">Long’s Drugs Incorporated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(60,000)</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13,684,375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   13,590,322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6"/>
              </w:rPr>
              <w:t>$   12,711,826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12/08/2023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8.11%</w:t>
            </w:r>
          </w:p>
        </w:tc>
        <w:tc>
          <w:tcPr>
            <w:tcW w:w="68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8,390,000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8,327,947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8,159,275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Marketplace Events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5,312,015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5,243,388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5,245,616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7.20%</w:t>
            </w:r>
          </w:p>
        </w:tc>
        <w:tc>
          <w:tcPr>
            <w:tcW w:w="680" w:type="dxa"/>
            <w:vAlign w:val="bottom"/>
          </w:tcPr>
          <w:p>
            <w:pPr>
              <w:jc w:val="right"/>
              <w:spacing w:after="0"/>
              <w:rPr>
                <w:sz w:val="20"/>
                <w:szCs w:val="20"/>
                <w:color w:val="auto"/>
              </w:rPr>
            </w:pPr>
            <w:r>
              <w:rPr>
                <w:rFonts w:ascii="Arial" w:cs="Arial" w:eastAsia="Arial" w:hAnsi="Arial"/>
                <w:sz w:val="11"/>
                <w:szCs w:val="11"/>
                <w:color w:val="auto"/>
              </w:rPr>
              <w:t>P+275</w:t>
            </w:r>
          </w:p>
        </w:tc>
        <w:tc>
          <w:tcPr>
            <w:tcW w:w="1140" w:type="dxa"/>
            <w:vAlign w:val="bottom"/>
            <w:gridSpan w:val="3"/>
          </w:tcPr>
          <w:p>
            <w:pPr>
              <w:ind w:left="140"/>
              <w:spacing w:after="0"/>
              <w:rPr>
                <w:sz w:val="20"/>
                <w:szCs w:val="20"/>
                <w:color w:val="auto"/>
              </w:rPr>
            </w:pPr>
            <w:r>
              <w:rPr>
                <w:rFonts w:ascii="Arial" w:cs="Arial" w:eastAsia="Arial" w:hAnsi="Arial"/>
                <w:sz w:val="11"/>
                <w:szCs w:val="11"/>
                <w:color w:val="auto"/>
              </w:rPr>
              <w:t>C $   16,299,990</w:t>
            </w:r>
          </w:p>
        </w:tc>
        <w:tc>
          <w:tcPr>
            <w:tcW w:w="700" w:type="dxa"/>
            <w:vAlign w:val="bottom"/>
          </w:tcPr>
          <w:p>
            <w:pPr>
              <w:jc w:val="right"/>
              <w:spacing w:after="0"/>
              <w:rPr>
                <w:sz w:val="20"/>
                <w:szCs w:val="20"/>
                <w:color w:val="auto"/>
              </w:rPr>
            </w:pPr>
            <w:r>
              <w:rPr>
                <w:rFonts w:ascii="Arial" w:cs="Arial" w:eastAsia="Arial" w:hAnsi="Arial"/>
                <w:sz w:val="11"/>
                <w:szCs w:val="11"/>
                <w:color w:val="auto"/>
              </w:rPr>
              <w:t>11,428,057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12,311,171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P+275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1,226,277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34,772,838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34,280,848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34,251,245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(67,225)</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09/28/2021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7.18%</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1,113,074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Montreign Operating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01/24/2023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27,189,858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27,394,375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24,344,712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09/28/2025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8.43%</w:t>
            </w:r>
          </w:p>
        </w:tc>
        <w:tc>
          <w:tcPr>
            <w:tcW w:w="680" w:type="dxa"/>
            <w:vAlign w:val="bottom"/>
          </w:tcPr>
          <w:p>
            <w:pPr>
              <w:jc w:val="right"/>
              <w:spacing w:after="0"/>
              <w:rPr>
                <w:sz w:val="20"/>
                <w:szCs w:val="20"/>
                <w:color w:val="auto"/>
              </w:rPr>
            </w:pPr>
            <w:r>
              <w:rPr>
                <w:rFonts w:ascii="Arial" w:cs="Arial" w:eastAsia="Arial" w:hAnsi="Arial"/>
                <w:sz w:val="11"/>
                <w:szCs w:val="11"/>
                <w:color w:val="auto"/>
              </w:rPr>
              <w:t>P+400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19,949,780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19,652,494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19,650,534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1,575,476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1,559,721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1,575,476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2,642,857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2,962,422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2,684,289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2,547,683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Ox Two,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8.29%</w:t>
            </w: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12,780,524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12,708,453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12,780,524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12.25%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9.35%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13,275,810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13,225,232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13,275,810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06/01/2023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7.57%</w:t>
            </w:r>
          </w:p>
        </w:tc>
        <w:tc>
          <w:tcPr>
            <w:tcW w:w="6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14,887,500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14,769,736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14,738,625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2,113,704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2,087,235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2,092,567</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05/08/2026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5,586,000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5,531,151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5,579,018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08/08/2022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9.11%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2,585,319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2,543,697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2,585,319</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Quantum Spatial,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09/04/2024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68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18,717,745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18,715,000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Questex,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7,297,539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7,350,750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1,196,809</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(11,968)</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7,241,807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7,167,727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7,096,971</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Research Now Group, Inc. and Survey Sampling</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7.84%</w:t>
            </w:r>
          </w:p>
        </w:tc>
        <w:tc>
          <w:tcPr>
            <w:tcW w:w="6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24,562,500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23,577,849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24,600,818</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International LLC</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4,938,821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4,961,565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(4,727)</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Salient CRGT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1,771,740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1,752,209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1,674,294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7.14%</w:t>
            </w:r>
          </w:p>
        </w:tc>
        <w:tc>
          <w:tcPr>
            <w:tcW w:w="68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18,256,482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17,988,515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18,256,482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4,007,789</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680" w:type="dxa"/>
            <w:vAlign w:val="bottom"/>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667,965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667,965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667,965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1,202,337</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12,918,768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12,735,120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12,918,768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1,747,312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6.64%</w:t>
            </w:r>
          </w:p>
        </w:tc>
        <w:tc>
          <w:tcPr>
            <w:tcW w:w="6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2,136,667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2,136,667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2,115,300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2,362,585</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(23,626)</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680" w:type="dxa"/>
            <w:vAlign w:val="bottom"/>
          </w:tcPr>
          <w:p>
            <w:pPr>
              <w:jc w:val="right"/>
              <w:spacing w:after="0"/>
              <w:rPr>
                <w:sz w:val="20"/>
                <w:szCs w:val="20"/>
                <w:color w:val="auto"/>
              </w:rPr>
            </w:pPr>
            <w:r>
              <w:rPr>
                <w:rFonts w:ascii="Arial" w:cs="Arial" w:eastAsia="Arial" w:hAnsi="Arial"/>
                <w:sz w:val="11"/>
                <w:szCs w:val="11"/>
                <w:color w:val="auto"/>
              </w:rPr>
              <w:t>P+350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242,438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242,438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238,025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1,373,813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(25,003)</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8.23%</w:t>
            </w:r>
          </w:p>
        </w:tc>
        <w:tc>
          <w:tcPr>
            <w:tcW w:w="68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46,500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(31,160)</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7.83%</w:t>
            </w: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13,253,400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13,019,272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07/25/2023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68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7,473,846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7,393,786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7,399,108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7.45%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9,600,726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9,525,000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Tensar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6.85%</w:t>
            </w: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22,620,696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22,523,390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21,715,869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18,667,460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18,511,339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18,480,783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7.15%</w:t>
            </w:r>
          </w:p>
        </w:tc>
        <w:tc>
          <w:tcPr>
            <w:tcW w:w="680" w:type="dxa"/>
            <w:vAlign w:val="bottom"/>
          </w:tcPr>
          <w:p>
            <w:pPr>
              <w:jc w:val="right"/>
              <w:spacing w:after="0"/>
              <w:rPr>
                <w:sz w:val="20"/>
                <w:szCs w:val="20"/>
                <w:color w:val="auto"/>
              </w:rPr>
            </w:pPr>
            <w:r>
              <w:rPr>
                <w:rFonts w:ascii="Arial" w:cs="Arial" w:eastAsia="Arial" w:hAnsi="Arial"/>
                <w:sz w:val="11"/>
                <w:szCs w:val="11"/>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7,624,976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7,550,542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7,586,851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6.65%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5,431,292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5,398,553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5,404,135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(7),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6.65%</w:t>
            </w: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170,218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170,218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169,367</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(7), (9), (10)</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1,248,266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(6,241)</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Triad Manufacturing,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12/28/2020</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680" w:type="dxa"/>
            <w:vAlign w:val="bottom"/>
          </w:tcPr>
          <w:p>
            <w:pPr>
              <w:jc w:val="right"/>
              <w:spacing w:after="0"/>
              <w:rPr>
                <w:sz w:val="20"/>
                <w:szCs w:val="20"/>
                <w:color w:val="auto"/>
              </w:rPr>
            </w:pPr>
            <w:r>
              <w:rPr>
                <w:rFonts w:ascii="Arial" w:cs="Arial" w:eastAsia="Arial" w:hAnsi="Arial"/>
                <w:sz w:val="11"/>
                <w:szCs w:val="11"/>
                <w:color w:val="auto"/>
              </w:rPr>
              <w:t>1M L+1,125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7,710,575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7,664,214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7,633,469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5,928,804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5,824,179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5,928,804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1,955,719</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836,791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6,906,190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792,400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1,819,286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(36,385)</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Tyto Athene,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68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18,000,068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17,763,278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17,463,665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7.80%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4,465,909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4,465,909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4,332,825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2,352,273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(70,098)</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14,169,914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14,069,246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14,028,214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(38,661)</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UniTek Global Services,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8.42%</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10,395,000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10,209,742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9,771,301</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08/13/2021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680" w:type="dxa"/>
            <w:vAlign w:val="bottom"/>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2,996,094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2,996,094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2,996,094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3,440,998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3,373,821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90"/>
              </w:rPr>
              <w:t>10/18/2022</w:t>
            </w:r>
          </w:p>
        </w:tc>
        <w:tc>
          <w:tcPr>
            <w:tcW w:w="12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9.55%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5,187,498</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5,083,748</w:t>
            </w:r>
          </w:p>
        </w:tc>
        <w:tc>
          <w:tcPr>
            <w:tcW w:w="2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5,187,498</w:t>
            </w: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829,387,687</w:t>
            </w:r>
          </w:p>
        </w:tc>
        <w:tc>
          <w:tcPr>
            <w:tcW w:w="220" w:type="dxa"/>
            <w:vAlign w:val="bottom"/>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818,357,018</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Debt—5.7%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04/25/2025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11.01%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1,655,172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1,628,190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1,638,621</w:t>
            </w:r>
          </w:p>
        </w:tc>
        <w:tc>
          <w:tcPr>
            <w:tcW w:w="12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DBI Holdings, LLC, Term Loan B</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02/01/2026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10,639,343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10,639,343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10,586,145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03/26/2021</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21,276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21,276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21,276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DecoPac, Inc.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10.35%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9,738,580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9,643,427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MailSouth, Inc.</w:t>
            </w:r>
          </w:p>
        </w:tc>
        <w:tc>
          <w:tcPr>
            <w:tcW w:w="520" w:type="dxa"/>
            <w:vAlign w:val="bottom"/>
          </w:tcPr>
          <w:p>
            <w:pPr>
              <w:spacing w:after="0"/>
              <w:rPr>
                <w:sz w:val="20"/>
                <w:szCs w:val="20"/>
                <w:color w:val="auto"/>
              </w:rPr>
            </w:pPr>
            <w:r>
              <w:rPr>
                <w:rFonts w:ascii="Arial" w:cs="Arial" w:eastAsia="Arial" w:hAnsi="Arial"/>
                <w:sz w:val="11"/>
                <w:szCs w:val="11"/>
                <w:color w:val="auto"/>
                <w:w w:val="90"/>
              </w:rPr>
              <w:t>10/23/2024</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2,871,025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2,822,554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2,784,894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McAfee,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2,158,107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2,205,284</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520" w:type="dxa"/>
            <w:vAlign w:val="bottom"/>
          </w:tcPr>
          <w:p>
            <w:pPr>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12.30%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1,864,409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1,846,555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1,845,765</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28,759,453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28,820,565</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Preferrred Equity— 1.9% </w:t>
            </w:r>
            <w:r>
              <w:rPr>
                <w:rFonts w:ascii="Arial" w:cs="Arial" w:eastAsia="Arial" w:hAnsi="Arial"/>
                <w:sz w:val="9"/>
                <w:szCs w:val="9"/>
                <w:b w:val="1"/>
                <w:bCs w:val="1"/>
                <w:color w:val="auto"/>
              </w:rPr>
              <w:t>(6)</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10,173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11,325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86,640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9"/>
                <w:szCs w:val="9"/>
                <w:color w:val="auto"/>
              </w:rPr>
              <w:t>(8)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7,040,844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6,545,361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1,002,057</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362,645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12.14%</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359,000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370,570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1,166,993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1,224,860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30,743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448,851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Total Preferred Equity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11,589,702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9,634,652</w:t>
            </w:r>
          </w:p>
        </w:tc>
        <w:tc>
          <w:tcPr>
            <w:tcW w:w="120" w:type="dxa"/>
            <w:vAlign w:val="bottom"/>
          </w:tcPr>
          <w:p>
            <w:pPr>
              <w:spacing w:after="0"/>
              <w:rPr>
                <w:sz w:val="11"/>
                <w:szCs w:val="11"/>
                <w:color w:val="auto"/>
              </w:rPr>
            </w:pPr>
          </w:p>
        </w:tc>
      </w:tr>
      <w:tr>
        <w:trPr>
          <w:trHeight w:val="128"/>
        </w:trPr>
        <w:tc>
          <w:tcPr>
            <w:tcW w:w="350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 6.4% </w:t>
            </w:r>
            <w:r>
              <w:rPr>
                <w:rFonts w:ascii="Arial" w:cs="Arial" w:eastAsia="Arial" w:hAnsi="Arial"/>
                <w:sz w:val="9"/>
                <w:szCs w:val="9"/>
                <w:b w:val="1"/>
                <w:bCs w:val="1"/>
                <w:color w:val="auto"/>
              </w:rPr>
              <w:t>(6)</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244,998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94,129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21,908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2,190,771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9,218,753</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CI (Allied) Investment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CI (Summit) Investment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54,907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581,995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720,588</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9"/>
                <w:szCs w:val="9"/>
                <w:color w:val="auto"/>
              </w:rPr>
              <w:t>(10),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1,632,744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3,149,261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370,436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58,044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331,562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497,465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403,005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403,005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399,678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1,549,209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1,549,209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2,233,506</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450,791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Go Dawgs Capital III,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324,675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324,675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331,169</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1,392,905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(10)</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430,576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607,059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1,210,541</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JWC-WE Holdings,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1,381,741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1,381,741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3,595,627</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166,773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98,635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239,333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680,580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29,886</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540,000</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728,601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754,821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754,820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1,589,878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245,179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498,572</w:t>
            </w:r>
          </w:p>
        </w:tc>
        <w:tc>
          <w:tcPr>
            <w:tcW w:w="120" w:type="dxa"/>
            <w:vAlign w:val="bottom"/>
            <w:tcBorders>
              <w:bottom w:val="single" w:sz="8" w:color="CCECFF"/>
            </w:tcBorders>
          </w:tcPr>
          <w:p>
            <w:pPr>
              <w:spacing w:after="0"/>
              <w:rPr>
                <w:sz w:val="11"/>
                <w:szCs w:val="11"/>
                <w:color w:val="auto"/>
              </w:rPr>
            </w:pPr>
          </w:p>
        </w:tc>
      </w:tr>
      <w:tr>
        <w:trPr>
          <w:trHeight w:val="129"/>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17,218,314</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32,301,030</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w w:val="91"/>
              </w:rPr>
              <w:t>Total Investments in Non-Controlled, Non-Affiliated Portfolio Companies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886,955,156</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889,113,264</w:t>
            </w:r>
          </w:p>
        </w:tc>
        <w:tc>
          <w:tcPr>
            <w:tcW w:w="120" w:type="dxa"/>
            <w:vAlign w:val="bottom"/>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40" w:type="dxa"/>
            <w:vAlign w:val="bottom"/>
          </w:tcPr>
          <w:p>
            <w:pPr>
              <w:jc w:val="center"/>
              <w:ind w:right="306"/>
              <w:spacing w:after="0"/>
              <w:rPr>
                <w:sz w:val="20"/>
                <w:szCs w:val="20"/>
                <w:color w:val="auto"/>
              </w:rPr>
            </w:pPr>
            <w:r>
              <w:rPr>
                <w:rFonts w:ascii="Arial" w:cs="Arial" w:eastAsia="Arial" w:hAnsi="Arial"/>
                <w:sz w:val="11"/>
                <w:szCs w:val="11"/>
                <w:b w:val="1"/>
                <w:bCs w:val="1"/>
                <w:color w:val="auto"/>
                <w:w w:val="98"/>
              </w:rPr>
              <w:t>Maturity</w:t>
            </w:r>
          </w:p>
        </w:tc>
        <w:tc>
          <w:tcPr>
            <w:tcW w:w="2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8"/>
        </w:trPr>
        <w:tc>
          <w:tcPr>
            <w:tcW w:w="43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Companies—4.1% </w:t>
            </w:r>
            <w:r>
              <w:rPr>
                <w:rFonts w:ascii="Arial" w:cs="Arial" w:eastAsia="Arial" w:hAnsi="Arial"/>
                <w:sz w:val="9"/>
                <w:szCs w:val="9"/>
                <w:b w:val="1"/>
                <w:bCs w:val="1"/>
                <w:color w:val="auto"/>
              </w:rPr>
              <w:t>(3), (4)</w:t>
            </w:r>
          </w:p>
        </w:tc>
        <w:tc>
          <w:tcPr>
            <w:tcW w:w="21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First Lien Secured Debt—0.9%</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940" w:type="dxa"/>
            <w:vAlign w:val="bottom"/>
            <w:shd w:val="clear" w:color="auto" w:fill="CCECFF"/>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1,505,589</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769,038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769,038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769,038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 (9)</w:t>
            </w:r>
          </w:p>
        </w:tc>
        <w:tc>
          <w:tcPr>
            <w:tcW w:w="940" w:type="dxa"/>
            <w:vAlign w:val="bottom"/>
            <w:shd w:val="clear" w:color="auto" w:fill="CCECFF"/>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1,977,526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10/12/2023</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2,016,667</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2,016,667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2,036,833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4,291,294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4,350,032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Debt—1.1%</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04/29/2024</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5,314,125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5,314,125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5,314,125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1"/>
                <w:szCs w:val="11"/>
                <w:color w:val="auto"/>
              </w:rPr>
              <w:t>Quick Weight Loss Centers, LLC</w:t>
            </w:r>
          </w:p>
        </w:tc>
        <w:tc>
          <w:tcPr>
            <w:tcW w:w="940" w:type="dxa"/>
            <w:vAlign w:val="bottom"/>
            <w:tcBorders>
              <w:bottom w:val="single" w:sz="8" w:color="CCECFF"/>
            </w:tcBorders>
            <w:shd w:val="clear" w:color="auto" w:fill="CCECFF"/>
          </w:tcPr>
          <w:p>
            <w:pPr>
              <w:jc w:val="center"/>
              <w:ind w:right="306"/>
              <w:spacing w:after="0"/>
              <w:rPr>
                <w:sz w:val="20"/>
                <w:szCs w:val="20"/>
                <w:color w:val="auto"/>
              </w:rPr>
            </w:pPr>
            <w:r>
              <w:rPr>
                <w:rFonts w:ascii="Arial" w:cs="Arial" w:eastAsia="Arial" w:hAnsi="Arial"/>
                <w:sz w:val="11"/>
                <w:szCs w:val="11"/>
                <w:color w:val="auto"/>
                <w:w w:val="90"/>
              </w:rPr>
              <w:t>10/12/2023</w:t>
            </w:r>
          </w:p>
        </w:tc>
        <w:tc>
          <w:tcPr>
            <w:tcW w:w="2300" w:type="dxa"/>
            <w:vAlign w:val="bottom"/>
            <w:tcBorders>
              <w:bottom w:val="single" w:sz="8" w:color="CCECFF"/>
            </w:tcBorders>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4.00%</w:t>
            </w: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233,572</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233,572</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235,908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940" w:type="dxa"/>
            <w:vAlign w:val="bottom"/>
            <w:shd w:val="clear" w:color="auto" w:fill="CCECFF"/>
          </w:tcPr>
          <w:p>
            <w:pPr>
              <w:spacing w:after="0"/>
              <w:rPr>
                <w:sz w:val="12"/>
                <w:szCs w:val="12"/>
                <w:color w:val="auto"/>
              </w:rPr>
            </w:pPr>
          </w:p>
        </w:tc>
        <w:tc>
          <w:tcPr>
            <w:tcW w:w="2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5,547,697</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5,550,033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9"/>
                <w:szCs w:val="9"/>
                <w:b w:val="1"/>
                <w:bCs w:val="1"/>
                <w:color w:val="auto"/>
              </w:rPr>
              <w:t>(6)</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9"/>
                <w:szCs w:val="9"/>
                <w:color w:val="auto"/>
              </w:rPr>
              <w:t>(7), (8)</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9,568,216</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891,816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20"/>
                <w:szCs w:val="20"/>
                <w:color w:val="auto"/>
              </w:rPr>
            </w:pPr>
            <w:r>
              <w:rPr>
                <w:rFonts w:ascii="Arial" w:cs="Arial" w:eastAsia="Arial" w:hAnsi="Arial"/>
                <w:sz w:val="11"/>
                <w:szCs w:val="11"/>
                <w:b w:val="1"/>
                <w:bCs w:val="1"/>
                <w:color w:val="auto"/>
              </w:rPr>
              <w:t>Total Preferred Equity</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891,816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Equity/Warrants—1.9% </w:t>
            </w:r>
            <w:r>
              <w:rPr>
                <w:rFonts w:ascii="Arial" w:cs="Arial" w:eastAsia="Arial" w:hAnsi="Arial"/>
                <w:sz w:val="9"/>
                <w:szCs w:val="9"/>
                <w:b w:val="1"/>
                <w:bCs w:val="1"/>
                <w:color w:val="auto"/>
              </w:rPr>
              <w:t>(6)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940" w:type="dxa"/>
            <w:vAlign w:val="bottom"/>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6,864,302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 (8)</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2,520,000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2,774,382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Equity/Warrants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12,973,350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9,638,684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5"/>
              </w:rPr>
              <w:t>Total Investments in Non-Controlled, Affiliated Portfolio Companies</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23,654,693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20,430,565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20"/>
                <w:szCs w:val="20"/>
                <w:color w:val="auto"/>
              </w:rPr>
            </w:pPr>
            <w:r>
              <w:rPr>
                <w:rFonts w:ascii="Arial" w:cs="Arial" w:eastAsia="Arial" w:hAnsi="Arial"/>
                <w:sz w:val="11"/>
                <w:szCs w:val="11"/>
                <w:b w:val="1"/>
                <w:bCs w:val="1"/>
                <w:color w:val="auto"/>
                <w:w w:val="91"/>
              </w:rPr>
              <w:t xml:space="preserve">Investments in Controlled, Affiliated Portfolio Companies—34.2% </w:t>
            </w:r>
            <w:r>
              <w:rPr>
                <w:rFonts w:ascii="Arial" w:cs="Arial" w:eastAsia="Arial" w:hAnsi="Arial"/>
                <w:sz w:val="9"/>
                <w:szCs w:val="9"/>
                <w:b w:val="1"/>
                <w:bCs w:val="1"/>
                <w:color w:val="auto"/>
                <w:w w:val="91"/>
              </w:rPr>
              <w:t>(3), (4)</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First Lien Secured Debt—24.3%</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940" w:type="dxa"/>
            <w:vAlign w:val="bottom"/>
            <w:tcBorders>
              <w:bottom w:val="single" w:sz="8" w:color="CCECFF"/>
            </w:tcBorders>
          </w:tcPr>
          <w:p>
            <w:pPr>
              <w:jc w:val="center"/>
              <w:ind w:right="306"/>
              <w:spacing w:after="0"/>
              <w:rPr>
                <w:sz w:val="20"/>
                <w:szCs w:val="20"/>
                <w:color w:val="auto"/>
              </w:rPr>
            </w:pPr>
            <w:r>
              <w:rPr>
                <w:rFonts w:ascii="Arial" w:cs="Arial" w:eastAsia="Arial" w:hAnsi="Arial"/>
                <w:sz w:val="11"/>
                <w:szCs w:val="11"/>
                <w:color w:val="auto"/>
                <w:w w:val="90"/>
              </w:rPr>
              <w:t>05/06/2024</w:t>
            </w:r>
          </w:p>
        </w:tc>
        <w:tc>
          <w:tcPr>
            <w:tcW w:w="23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10.10%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122,193,750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122,193,750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122,193,750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122,193,750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122,193,750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Equity Interests—9.9%</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52,369</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52,368,750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49,969,330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Equity Interests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52,368,750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49,969,330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174,562,500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172,163,080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Investments—215.0%</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1,085,172,349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1,081,706,909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Equivalents—12.6%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18,053,873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18,053,873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BNY Mellon Cash</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45,313,364</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45,283,855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63,367,237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63,337,728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Equivalents—227.6%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1,148,539,586</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1,145,044,637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Assets—(127.6)%</w:t>
            </w:r>
          </w:p>
        </w:tc>
        <w:tc>
          <w:tcPr>
            <w:tcW w:w="94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(641,987,126)</w:t>
            </w: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503,057,511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line="344" w:lineRule="auto"/>
        <w:tabs>
          <w:tab w:leader="none" w:pos="380" w:val="left"/>
        </w:tabs>
        <w:numPr>
          <w:ilvl w:val="0"/>
          <w:numId w:val="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(or an alternative risk-free floating interest rate index) plus 200 basis points during the revolving period. The Credit Facility is secured by all of the assets held by Funding I. See Note 10.</w:t>
      </w:r>
    </w:p>
    <w:p>
      <w:pPr>
        <w:spacing w:after="0" w:line="11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1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06"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20" w:firstLine="438"/>
        <w:spacing w:after="0" w:line="251"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2020, we had two portfolio companies on non-accrual, representing 0.6% and zero of our overall portfolio on a cost and fair value basis, respectively. As of September 30, 2019, we had one portfolio company on non-accrual, representing 0.4% and zero of our overall portfolio on a cost and fair value basis, respectively.</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U.S. federal income taxes. However, we may choose to retain a portion of our calendar year income, which may result in the imposition of a U.S. federal excise tax, or we may incur taxes through our taxable subsidiaries, including the Taxable Subsidiary. For the three and six months ended March 31, 2020, we recorded a provision for taxes of $0.1 million and $0.2 million, respectively, pertaining to U.S. federal excise tax. For both the three and six months ended March 31, 2019, we did not record a provision for taxes.</w:t>
      </w:r>
    </w:p>
    <w:p>
      <w:pPr>
        <w:spacing w:after="0" w:line="117" w:lineRule="exact"/>
        <w:rPr>
          <w:sz w:val="20"/>
          <w:szCs w:val="20"/>
          <w:color w:val="auto"/>
        </w:rPr>
      </w:pPr>
    </w:p>
    <w:p>
      <w:pPr>
        <w:jc w:val="both"/>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transactions in connection with offerings of our common stock, are recorded when issued and offering costs are charged as a reduction of capital upon issuance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24"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investment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of its assets and such assets are not intended to be available to our creditors or any of our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09"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2020, the Investment Adviser earned a base management fee of $2.9 million and $5.8 million, respectively, from us. For the three and six months ended March 31, 2019, the Investment Adviser earned a base management fee of $2.4 million and $4.9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w:t>
      </w:r>
    </w:p>
    <w:p>
      <w:pPr>
        <w:spacing w:after="0" w:line="117"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2020, the Investment Adviser earned $2.9 million and $5.3 million, respectively, in incentive fees on net investment income from us. For the three and six months ended March 31, 2019, the Investment Adviser earned $2.5 million and $2.7 million, respectively, in incentive fees on net investment income from us.</w:t>
      </w:r>
    </w:p>
    <w:p>
      <w:pPr>
        <w:spacing w:after="0" w:line="11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six months ended March 31, 2020 and 2019,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both the three and six months ended March 31, 2020 was zero. The incentive fee accrued for, but not payable, under GAAP on our unrealized and realized capital gains for the three and six months ended March 31, 2019 was zero and $(1.4) million, respectively.</w:t>
      </w:r>
    </w:p>
    <w:p>
      <w:pPr>
        <w:spacing w:after="0" w:line="121"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2020.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2020, we reimbursed the Investment Adviser approximately $0.7 million and $1.0 million, respectively, including expenses the Investment Adviser incurred on behalf of the Administrator, for services described above. For the three and six months ended March 31, 2019, we reimbursed the Investment Adviser approximately $0.8 million and $1.1 million, respectively, including expenses the Investment Adviser incurred on behalf of the Administrator, for services described above.</w:t>
      </w:r>
    </w:p>
    <w:p>
      <w:pPr>
        <w:spacing w:after="0" w:line="121"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During both the three and six months ended March 31, 2020, the Company sold $15.0 million in total investments to an affiliated fund managed by our Investment Adviser in accordance with, and pursuant to procedures adopted under, Rule 17a-7 of the 1940 Act. Realized losses on those sales for both periods amounted to $1.0 million. There were no transactions subject to Rule 17a-7 under the 1940 Act during the three and six months ended March 31, 2019.</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 the three and six months ended March 31, 2020, we sold $17.8 million and $86.7 million in investments, respectively, to PSSL at fair value and recognized net realized gains of less than $0.1 million and $0.5 million, respectively. For the three and six months ended March 31, 2019, we sold $19.7 million and $57.7 million in investments, respectively, to PSSL at fair value and recognized less than $0.1 million and $0.2 million of net realized gains,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2020 totaled $167.8 million and $408.1 million, respectively. For the same periods in the prior year, purchases of investments, including PIK interest, totaled $136.5 million and $317.3 million, respectively. Sales and repayments of investments for the three and six months ended March 31, 2020 totaled $99.4 million and $243.1 million, respectively. For the same periods in the prior year, sales and repayments of investments totaled $143.2 million and $333.5 million,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8"/>
              </w:rPr>
              <w:t>Investments,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993,227,859</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952,321,316</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833,678,981</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822,707,050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123,418,750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119,716,188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33,089,637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31,994,207</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34,307,150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34,370,598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47,812,856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39,806,227</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42,623,718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52,466,181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52,893,750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35,121,921</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52,368,750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1,250,442,852</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1,178,959,859</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1,085,172,349</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30,223,951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29,993,752</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63,367,237</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1,280,666,803</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1,208,953,611</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1,148,539,586</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March 31, 2020 </w:t>
            </w:r>
            <w:r>
              <w:rPr>
                <w:rFonts w:ascii="Arial" w:cs="Arial" w:eastAsia="Arial" w:hAnsi="Arial"/>
                <w:sz w:val="12"/>
                <w:szCs w:val="12"/>
                <w:b w:val="1"/>
                <w:bCs w:val="1"/>
                <w:color w:val="auto"/>
              </w:rPr>
              <w:t>(1)</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2019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5"/>
        </w:trPr>
        <w:tc>
          <w:tcPr>
            <w:tcW w:w="69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Professional Services</w:t>
            </w: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8%</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3%</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Business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Consumer Goods: Durable</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Healthcare Technology</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Telecommunications</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Diversified Financial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Electronic Equipment, Instruments, and Components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Hotels, Restaurants and Leisure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Insurance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Personal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Beverages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Building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Commercial Services &amp; Supplies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4"/>
          </w:tcPr>
          <w:p>
            <w:pPr>
              <w:spacing w:after="0"/>
              <w:rPr>
                <w:sz w:val="20"/>
                <w:szCs w:val="20"/>
                <w:color w:val="auto"/>
              </w:rPr>
            </w:pPr>
            <w:r>
              <w:rPr>
                <w:rFonts w:ascii="Arial" w:cs="Arial" w:eastAsia="Arial" w:hAnsi="Arial"/>
                <w:sz w:val="14"/>
                <w:szCs w:val="14"/>
                <w:color w:val="auto"/>
              </w:rPr>
              <w:t>Diversified Consumer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Providers and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Wholesale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tcBorders>
              <w:bottom w:val="single" w:sz="8" w:color="CCECFF"/>
            </w:tcBorders>
            <w:gridSpan w:val="4"/>
          </w:tcPr>
          <w:p>
            <w:pPr>
              <w:spacing w:after="0"/>
              <w:rPr>
                <w:sz w:val="20"/>
                <w:szCs w:val="20"/>
                <w:color w:val="auto"/>
              </w:rPr>
            </w:pPr>
            <w:r>
              <w:rPr>
                <w:rFonts w:ascii="Arial" w:cs="Arial" w:eastAsia="Arial" w:hAnsi="Arial"/>
                <w:sz w:val="14"/>
                <w:szCs w:val="14"/>
                <w:color w:val="auto"/>
              </w:rPr>
              <w:t>All 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CFF"/>
            </w:tcBorders>
          </w:tcPr>
          <w:p>
            <w:pPr>
              <w:spacing w:after="0"/>
              <w:rPr>
                <w:sz w:val="14"/>
                <w:szCs w:val="14"/>
                <w:color w:val="auto"/>
              </w:rPr>
            </w:pPr>
          </w:p>
        </w:tc>
      </w:tr>
      <w:tr>
        <w:trPr>
          <w:trHeight w:val="155"/>
        </w:trPr>
        <w:tc>
          <w:tcPr>
            <w:tcW w:w="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shd w:val="clear" w:color="auto" w:fill="CCECFF"/>
          </w:tcPr>
          <w:p>
            <w:pPr>
              <w:spacing w:after="0"/>
              <w:rPr>
                <w:sz w:val="13"/>
                <w:szCs w:val="13"/>
                <w:color w:val="auto"/>
              </w:rPr>
            </w:pPr>
          </w:p>
        </w:tc>
        <w:tc>
          <w:tcPr>
            <w:tcW w:w="40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6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404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143"/>
        </w:trPr>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24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8"/>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6820" w:type="dxa"/>
            <w:vAlign w:val="bottom"/>
            <w:gridSpan w:val="3"/>
          </w:tcPr>
          <w:p>
            <w:pPr>
              <w:ind w:left="20"/>
              <w:spacing w:after="0"/>
              <w:rPr>
                <w:sz w:val="20"/>
                <w:szCs w:val="20"/>
                <w:color w:val="auto"/>
              </w:rPr>
            </w:pPr>
            <w:r>
              <w:rPr>
                <w:rFonts w:ascii="Arial" w:cs="Arial" w:eastAsia="Arial" w:hAnsi="Arial"/>
                <w:sz w:val="14"/>
                <w:szCs w:val="14"/>
                <w:color w:val="auto"/>
              </w:rPr>
              <w:t>Excludes investments in PSSL.</w:t>
            </w: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2020, PSSL had total assets of $497.2 million. As of the same date, we and Kemper had remaining commitments to fund first lien secured debt and equity interests in PSSL in an aggregate amount of $28.5 million. PSSL invests in portfolio companies in the same industries in which we may directly invest.</w:t>
      </w:r>
    </w:p>
    <w:p>
      <w:pPr>
        <w:spacing w:after="0" w:line="10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2020, we and Kemper owned 87.5% and 12.5%, respectively, of each of the outstanding first lien secured debt and equity interests. As of the same date, our investment in PSSL consisted of first lien secured debt of $123.4 million and equity interests of $52.9 million. As of the same date, we had commitments to fund first lien secured debt to PSSL of $140.9 million, of which $17.5 million was unfunded, and commitments to fund equity interests in PSSL of $60.4 million, of which $7.4 million was unfunded.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Additionally, PSSL has entered into a $420.0 million senior secured revolving credit facility which bears interest at LIBOR (or an alternative risk-free interest rate index) plus 200 basis points, or the PSSL Credit Facility, with Capital One, N.A. through its wholly-owned subsidiary, PennantPark Senior Secured Loan Facility LLC, or PSSL Subsidiary,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4"/>
                <w:szCs w:val="14"/>
                <w:color w:val="auto"/>
              </w:rPr>
            </w:pPr>
          </w:p>
        </w:tc>
      </w:tr>
      <w:tr>
        <w:trPr>
          <w:trHeight w:val="156"/>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482,798,265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6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21,915,026</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22,026,186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98,532,862</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color w:val="auto"/>
        </w:rPr>
        <w:t>P</w:t>
      </w:r>
      <w:r>
        <w:rPr>
          <w:rFonts w:ascii="Arial" w:cs="Arial" w:eastAsia="Arial" w:hAnsi="Arial"/>
          <w:sz w:val="14"/>
          <w:szCs w:val="14"/>
          <w:b w:val="1"/>
          <w:bCs w:val="1"/>
          <w:color w:val="auto"/>
        </w:rPr>
        <w:t>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4,937,500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4,870,291</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4,838,750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7,709,836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7,635,520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7,632,738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13,578,048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13,380,598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13,170,706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11,675,625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11,593,803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11,271,648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7,311,083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7,276,584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7,237,972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6.71%</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10,370,472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10,361,964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10,059,358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9,997,608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9,918,100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8,897,872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6.45%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179,556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6.45%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12,250,000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12,116,071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12,005,000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8,125,453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8,081,707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7,962,943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11/03/2025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8,062,563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7,985,331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7,649,760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7,385,936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5,753,270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17,091,551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16,988,454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17,048,821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11,329,248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11,237,035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10,536,200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19,569,810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19,436,112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19,080,565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5.95%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12,343,750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12,292,298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11,603,125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9,340,185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9,254,980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7,985,858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10,984,374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8,382,025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9,527,638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19,507,844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18,805,950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7,406,250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7,192,235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6,813,750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9,875,000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9,794,401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9,452,350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14,680,747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10,435,897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8,850,571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6,984,375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7,018,576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6,285,938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6,842,500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6,769,218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6,509,954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5,730,254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4,447,088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3,703,821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2"/>
              </w:rPr>
              <w:t>Media: Advertising, Printing &amp; Publishing</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4,889,980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4,591,875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5,979,856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5,952,437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5,831,556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14,629,441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13,890,094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Nuvei Technologies Corp.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12,452,133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12,513,133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12,078,570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10,768,333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10,660,648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6.11%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rPr>
              <w:t>7,843,419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7,866,673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7,137,512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9,842,557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9,759,641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9,252,004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1,749,547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1,730,634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1,714,556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4,168,500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4,129,610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4,043,445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4,902,819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4,726,250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11,964,715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11,964,715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11,725,430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11,232,813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11,139,848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11,120,484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4,406,245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Solutionreach,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6.74%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6,539,462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6,461,958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6,321,698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15,147,368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15,150,402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14,162,789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12/11/2026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7,980,000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7,902,772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7,820,400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11/20/2025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8,409,616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8,368,338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8,073,231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4,793,152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4,726,250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6.92%</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8,687,660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8,661,839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8,166,400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tcPr>
          <w:p>
            <w:pPr>
              <w:jc w:val="right"/>
              <w:spacing w:after="0"/>
              <w:rPr>
                <w:sz w:val="20"/>
                <w:szCs w:val="20"/>
                <w:color w:val="auto"/>
              </w:rPr>
            </w:pPr>
            <w:r>
              <w:rPr>
                <w:rFonts w:ascii="Arial" w:cs="Arial" w:eastAsia="Arial" w:hAnsi="Arial"/>
                <w:sz w:val="11"/>
                <w:szCs w:val="11"/>
                <w:color w:val="auto"/>
              </w:rPr>
              <w:t>8,969,066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8,882,178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8,703,582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9,726,131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6,785,977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6,703,151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22,136,390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21,947,892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21,915,026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11,521,769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11,353,227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11,291,333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8.41%</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15,797,891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15,545,471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15,797,891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8.50%</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5,326,734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5,262,695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5,273,467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492,386,307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471,559,114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918,103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918,103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918,104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9.95%)</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7,618,525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8,911,562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8,551,858</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154,563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2,532,730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2,687,293</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8,789,465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8,789,465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3,128,147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2,964,039</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11,917,612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11,753,504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520,199,418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494,551,769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(454,412,431)</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40,139,338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line="262"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171"/>
        </w:trPr>
        <w:tc>
          <w:tcPr>
            <w:tcW w:w="7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Investments at fair value (cost—$508,281,806 and $494,413,190, respectively)</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482,798,265</w:t>
            </w:r>
          </w:p>
        </w:tc>
        <w:tc>
          <w:tcPr>
            <w:tcW w:w="30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488,549,847</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(cost—$11,917,612 and $15,322,531, respectively)</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11,753,504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15,294,881</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1,703,141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1,855,545</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490,875</w:t>
            </w:r>
          </w:p>
        </w:tc>
        <w:tc>
          <w:tcPr>
            <w:tcW w:w="3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996,333</w:t>
            </w:r>
          </w:p>
        </w:tc>
        <w:tc>
          <w:tcPr>
            <w:tcW w:w="100" w:type="dxa"/>
            <w:vAlign w:val="bottom"/>
            <w:shd w:val="clear" w:color="auto" w:fill="CFF0FC"/>
          </w:tcPr>
          <w:p>
            <w:pPr>
              <w:spacing w:after="0"/>
              <w:rPr>
                <w:sz w:val="14"/>
                <w:szCs w:val="14"/>
                <w:color w:val="auto"/>
              </w:rPr>
            </w:pPr>
          </w:p>
        </w:tc>
      </w:tr>
      <w:tr>
        <w:trPr>
          <w:trHeight w:val="156"/>
        </w:trPr>
        <w:tc>
          <w:tcPr>
            <w:tcW w:w="704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496,745,785</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Borders>
              <w:bottom w:val="single" w:sz="8" w:color="CFF0FC"/>
            </w:tcBorders>
          </w:tcPr>
          <w:p>
            <w:pPr>
              <w:spacing w:after="0"/>
              <w:rPr>
                <w:sz w:val="13"/>
                <w:szCs w:val="13"/>
                <w:color w:val="auto"/>
              </w:rPr>
            </w:pPr>
          </w:p>
        </w:tc>
      </w:tr>
      <w:tr>
        <w:trPr>
          <w:trHeight w:val="155"/>
        </w:trPr>
        <w:tc>
          <w:tcPr>
            <w:tcW w:w="70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314,443,536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308,724,305</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141,050,000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139,650,000</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1,073,654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1,015,468</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39,257</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176,273</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22,754</w:t>
            </w:r>
          </w:p>
        </w:tc>
        <w:tc>
          <w:tcPr>
            <w:tcW w:w="100" w:type="dxa"/>
            <w:vAlign w:val="bottom"/>
          </w:tcPr>
          <w:p>
            <w:pPr>
              <w:spacing w:after="0"/>
              <w:rPr>
                <w:sz w:val="14"/>
                <w:szCs w:val="14"/>
                <w:color w:val="auto"/>
              </w:rPr>
            </w:pPr>
          </w:p>
        </w:tc>
      </w:tr>
      <w:tr>
        <w:trPr>
          <w:trHeight w:val="156"/>
        </w:trPr>
        <w:tc>
          <w:tcPr>
            <w:tcW w:w="70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456,606,447</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449,588,800</w:t>
            </w:r>
          </w:p>
        </w:tc>
        <w:tc>
          <w:tcPr>
            <w:tcW w:w="100" w:type="dxa"/>
            <w:vAlign w:val="bottom"/>
            <w:tcBorders>
              <w:top w:val="single" w:sz="8" w:color="CFF0FC"/>
            </w:tcBorders>
            <w:shd w:val="clear" w:color="auto" w:fill="CFF0FC"/>
          </w:tcPr>
          <w:p>
            <w:pPr>
              <w:spacing w:after="0"/>
              <w:rPr>
                <w:sz w:val="13"/>
                <w:szCs w:val="13"/>
                <w:color w:val="auto"/>
              </w:rPr>
            </w:pPr>
          </w:p>
        </w:tc>
      </w:tr>
      <w:tr>
        <w:trPr>
          <w:trHeight w:val="155"/>
        </w:trPr>
        <w:tc>
          <w:tcPr>
            <w:tcW w:w="70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3"/>
                <w:szCs w:val="13"/>
                <w:color w:val="auto"/>
              </w:rPr>
            </w:pPr>
          </w:p>
        </w:tc>
      </w:tr>
      <w:tr>
        <w:trPr>
          <w:trHeight w:val="156"/>
        </w:trPr>
        <w:tc>
          <w:tcPr>
            <w:tcW w:w="704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40,139,338</w:t>
            </w:r>
          </w:p>
        </w:tc>
        <w:tc>
          <w:tcPr>
            <w:tcW w:w="3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57,107,806</w:t>
            </w:r>
          </w:p>
        </w:tc>
        <w:tc>
          <w:tcPr>
            <w:tcW w:w="100" w:type="dxa"/>
            <w:vAlign w:val="bottom"/>
            <w:shd w:val="clear" w:color="auto" w:fill="CFF0FC"/>
          </w:tcPr>
          <w:p>
            <w:pPr>
              <w:spacing w:after="0"/>
              <w:rPr>
                <w:sz w:val="13"/>
                <w:szCs w:val="13"/>
                <w:color w:val="auto"/>
              </w:rPr>
            </w:pPr>
          </w:p>
        </w:tc>
      </w:tr>
      <w:tr>
        <w:trPr>
          <w:trHeight w:val="155"/>
        </w:trPr>
        <w:tc>
          <w:tcPr>
            <w:tcW w:w="704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496,745,785</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Pr>
          <w:p>
            <w:pPr>
              <w:spacing w:after="0"/>
              <w:rPr>
                <w:sz w:val="13"/>
                <w:szCs w:val="13"/>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As of March 31, 2020 and September 30, 2019, PSSL had unfunded commitments to fund investments of zero and $0.3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8,623,991</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10,379,484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17,399,249</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5,097,142</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141,030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12,219</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8,626,985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10,520,514</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17,395,612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5,109,361</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3,341,355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4,336,173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6,746,751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1,957,836</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3,508,325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3,673,693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7,139,570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1,638,700</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227,360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465,436</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7,263,330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8,423,516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14,713,681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4,211,972</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1,363,655</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2,096,998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2,681,931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897,389</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(loss) gain on investments and credit facility foreign</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(34,117)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320,818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418,361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15,946</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(20,835,443)</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388,105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(19,756,654)</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999,702</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4,013,416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(350,091)</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2,687,894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(251,668)</w:t>
            </w: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(depreciation) appreciation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(16,822,027)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38,014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(17,068,760)</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748,034</w:t>
            </w:r>
          </w:p>
        </w:tc>
        <w:tc>
          <w:tcPr>
            <w:tcW w:w="100" w:type="dxa"/>
            <w:vAlign w:val="bottom"/>
            <w:shd w:val="clear" w:color="auto" w:fill="CCECFF"/>
          </w:tcPr>
          <w:p>
            <w:pPr>
              <w:spacing w:after="0"/>
              <w:rPr>
                <w:sz w:val="14"/>
                <w:szCs w:val="14"/>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(loss) gain from investments and credit facility</w:t>
            </w:r>
          </w:p>
        </w:tc>
        <w:tc>
          <w:tcPr>
            <w:tcW w:w="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(16,856,144)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358,832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(16,650,399)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763,980</w:t>
            </w:r>
          </w:p>
        </w:tc>
        <w:tc>
          <w:tcPr>
            <w:tcW w:w="100" w:type="dxa"/>
            <w:vAlign w:val="bottom"/>
          </w:tcPr>
          <w:p>
            <w:pPr>
              <w:spacing w:after="0"/>
              <w:rPr>
                <w:sz w:val="14"/>
                <w:szCs w:val="14"/>
                <w:color w:val="auto"/>
              </w:rPr>
            </w:pP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(15,492,489)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2,455,830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(13,968,468)</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1,661,369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5560" w:right="1980" w:hanging="5552"/>
        <w:spacing w:after="0" w:line="595"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No management or incentive fees are payable by PSSL. If any fees were to be charged, they would be separately disclosed in the Statement of Operations.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4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March 31, 2020</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53,056,176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gridSpan w:val="2"/>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1,007,349,058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3"/>
              </w:rPr>
              <w:t>6.0% – 18.0% (9.0%)</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26,391,965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9.3% – 14.2% (10.6%)</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11,632,270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6"/>
              </w:rPr>
              <w:t>4.8x – 5.0x (4.9x)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5,602,242</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20"/>
              <w:spacing w:after="0"/>
              <w:rPr>
                <w:sz w:val="20"/>
                <w:szCs w:val="20"/>
                <w:color w:val="auto"/>
              </w:rPr>
            </w:pPr>
            <w:r>
              <w:rPr>
                <w:rFonts w:ascii="Arial" w:cs="Arial" w:eastAsia="Arial" w:hAnsi="Arial"/>
                <w:sz w:val="14"/>
                <w:szCs w:val="14"/>
                <w:color w:val="auto"/>
                <w:w w:val="98"/>
              </w:rPr>
              <w:t>4.8x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39,806,227</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20"/>
              <w:spacing w:after="0"/>
              <w:rPr>
                <w:sz w:val="20"/>
                <w:szCs w:val="20"/>
                <w:color w:val="auto"/>
              </w:rPr>
            </w:pPr>
            <w:r>
              <w:rPr>
                <w:rFonts w:ascii="Arial" w:cs="Arial" w:eastAsia="Arial" w:hAnsi="Arial"/>
                <w:sz w:val="14"/>
                <w:szCs w:val="14"/>
                <w:color w:val="auto"/>
                <w:w w:val="94"/>
              </w:rPr>
              <w:t>4.8x – 12.9x (9.6x)</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1,143,837,938</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4.5%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400,592,492</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274,095,799</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2,205,284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661,720,734</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3.9% – 29.2% (8.3%)</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26,851,188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3.9% – 14.2% (10.6%)</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9,084,267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w w:val="94"/>
              </w:rPr>
              <w:t>5.0x – 10.9x (6.5x)</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5,314,125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10.9x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6.3x – 50.8x (15.4x)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2023 Notes, and the 2031 Asset-Backed Debt were categorized as follows in the fair value hierarchy: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Fair Value at March 31, 2020</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1,072,037,504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1,072,037,504</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31,994,207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31,994,207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74,928,148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39,806,227</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35,121,921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1,178,959,859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1,143,837,938</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35,121,921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29,993,752</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29,993,752</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1,208,953,611</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29,993,752</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1,143,837,938</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35,121,921</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400,592,492</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400,592,492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111,736,940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111,736,940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2031 Asset-Backed Debt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224,550,913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224,550,913</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736,880,345</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111,736,940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625,143,405</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51"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ind w:left="380" w:right="280" w:hanging="37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We elected not to apply ASC 825-10 to the 2031 Asset-Backed Debt and thus the balance reported in the Consolidated Statement of Assets and Liabilities represents the carrying value, which approximates the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at September 30, 2019</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102,435,511</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1,031,737,579</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1,031,737,579</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623,550,512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488,310,428</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100" w:hanging="372"/>
        <w:spacing w:after="0" w:line="230"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have not been classified in the fair value hierarchy.</w:t>
      </w:r>
    </w:p>
    <w:p>
      <w:pPr>
        <w:ind w:left="380" w:right="280" w:hanging="372"/>
        <w:spacing w:after="0" w:line="237"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elected not to apply ASC 825-10 to the 2031 Asset-Backed Debt and thus the balance reported in the Consolidated Statement of Assets and Liabilities represents the carrying value, which approximates the fair value.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080"/>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gridSpan w:val="13"/>
          </w:tcPr>
          <w:p>
            <w:pPr>
              <w:ind w:left="440"/>
              <w:spacing w:after="0"/>
              <w:rPr>
                <w:sz w:val="20"/>
                <w:szCs w:val="20"/>
                <w:color w:val="auto"/>
              </w:rPr>
            </w:pPr>
            <w:r>
              <w:rPr>
                <w:rFonts w:ascii="Arial" w:cs="Arial" w:eastAsia="Arial" w:hAnsi="Arial"/>
                <w:sz w:val="14"/>
                <w:szCs w:val="14"/>
                <w:color w:val="auto"/>
                <w:w w:val="95"/>
              </w:rPr>
              <w:t>The tables below show a reconciliation of the beginning and ending balances for fair valued investments measured using significant unobservable inputs (Level 3):</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Six Months Ended March 31, 2020</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8"/>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and equity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 gain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color w:val="auto"/>
              </w:rPr>
              <w:t>(619,987)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35,322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(584,665)</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(33,637,179)</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(19,007,976)</w:t>
            </w: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(52,645,155)</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402,181,468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6,255,958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408,437,426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(240,787,598)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(2,319,649)</w:t>
            </w: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(243,107,247)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1,072,037,504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71,800,434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1,143,837,938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4"/>
          </w:tcPr>
          <w:p>
            <w:pPr>
              <w:jc w:val="right"/>
              <w:ind w:right="100"/>
              <w:spacing w:after="0"/>
              <w:rPr>
                <w:sz w:val="20"/>
                <w:szCs w:val="20"/>
                <w:color w:val="auto"/>
              </w:rPr>
            </w:pPr>
            <w:r>
              <w:rPr>
                <w:rFonts w:ascii="Arial" w:cs="Arial" w:eastAsia="Arial" w:hAnsi="Arial"/>
                <w:sz w:val="14"/>
                <w:szCs w:val="14"/>
                <w:color w:val="auto"/>
              </w:rPr>
              <w:t>(36,700,242)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128"/>
              <w:spacing w:after="0"/>
              <w:rPr>
                <w:sz w:val="20"/>
                <w:szCs w:val="20"/>
                <w:color w:val="auto"/>
              </w:rPr>
            </w:pPr>
            <w:r>
              <w:rPr>
                <w:rFonts w:ascii="Arial" w:cs="Arial" w:eastAsia="Arial" w:hAnsi="Arial"/>
                <w:sz w:val="14"/>
                <w:szCs w:val="14"/>
                <w:color w:val="auto"/>
              </w:rPr>
              <w:t>(18,960,794)</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(55,661,036)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Six Months Ended March 31, 2019</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8"/>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and equity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1,284,454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65,936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1,350,390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(24,640,721)</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1,351,293</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(23,289,428)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288,897,752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20,668,086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309,565,838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4"/>
            <w:shd w:val="clear" w:color="auto" w:fill="CCECFF"/>
          </w:tcPr>
          <w:p>
            <w:pPr>
              <w:jc w:val="right"/>
              <w:ind w:right="100"/>
              <w:spacing w:after="0"/>
              <w:rPr>
                <w:sz w:val="20"/>
                <w:szCs w:val="20"/>
                <w:color w:val="auto"/>
              </w:rPr>
            </w:pPr>
            <w:r>
              <w:rPr>
                <w:rFonts w:ascii="Arial" w:cs="Arial" w:eastAsia="Arial" w:hAnsi="Arial"/>
                <w:sz w:val="14"/>
                <w:szCs w:val="14"/>
                <w:color w:val="auto"/>
              </w:rPr>
              <w:t>(328,719,308)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3"/>
            <w:shd w:val="clear" w:color="auto" w:fill="CCECFF"/>
          </w:tcPr>
          <w:p>
            <w:pPr>
              <w:jc w:val="right"/>
              <w:ind w:right="128"/>
              <w:spacing w:after="0"/>
              <w:rPr>
                <w:sz w:val="20"/>
                <w:szCs w:val="20"/>
                <w:color w:val="auto"/>
              </w:rPr>
            </w:pPr>
            <w:r>
              <w:rPr>
                <w:rFonts w:ascii="Arial" w:cs="Arial" w:eastAsia="Arial" w:hAnsi="Arial"/>
                <w:sz w:val="14"/>
                <w:szCs w:val="14"/>
                <w:color w:val="auto"/>
              </w:rPr>
              <w:t>(4,799,810)</w:t>
            </w: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(333,519,118)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850,120,153</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59,803,093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909,923,246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4"/>
          </w:tcPr>
          <w:p>
            <w:pPr>
              <w:jc w:val="right"/>
              <w:ind w:right="100"/>
              <w:spacing w:after="0"/>
              <w:rPr>
                <w:sz w:val="20"/>
                <w:szCs w:val="20"/>
                <w:color w:val="auto"/>
              </w:rPr>
            </w:pPr>
            <w:r>
              <w:rPr>
                <w:rFonts w:ascii="Arial" w:cs="Arial" w:eastAsia="Arial" w:hAnsi="Arial"/>
                <w:sz w:val="14"/>
                <w:szCs w:val="14"/>
                <w:color w:val="auto"/>
              </w:rPr>
              <w:t>(24,868,883)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1,351,293</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(23,517,590)</w:t>
            </w: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800" w:type="dxa"/>
            <w:vAlign w:val="bottom"/>
            <w:gridSpan w:val="12"/>
          </w:tcPr>
          <w:p>
            <w:pPr>
              <w:ind w:left="440"/>
              <w:spacing w:after="0"/>
              <w:rPr>
                <w:sz w:val="20"/>
                <w:szCs w:val="20"/>
                <w:color w:val="auto"/>
              </w:rPr>
            </w:pPr>
            <w:r>
              <w:rPr>
                <w:rFonts w:ascii="Arial" w:cs="Arial" w:eastAsia="Arial" w:hAnsi="Arial"/>
                <w:sz w:val="14"/>
                <w:szCs w:val="14"/>
                <w:color w:val="auto"/>
                <w:w w:val="95"/>
              </w:rPr>
              <w:t>The table below shows a reconciliation of the beginning and ending balances for fair valued liabilities measured using significant unobservable inputs (Level 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6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$265,307,500 and $333,727,520, respectively)</w:t>
            </w:r>
          </w:p>
        </w:tc>
        <w:tc>
          <w:tcPr>
            <w:tcW w:w="1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(11,396,091)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(1,768,994)</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245,000,000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190,700,000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Repayments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(97,000,000)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4"/>
                <w:szCs w:val="14"/>
                <w:color w:val="auto"/>
              </w:rPr>
              <w:t>(172,120,020)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Pr>
          <w:p>
            <w:pPr>
              <w:spacing w:after="0" w:line="155" w:lineRule="exact"/>
              <w:rPr>
                <w:sz w:val="20"/>
                <w:szCs w:val="20"/>
                <w:color w:val="auto"/>
              </w:rPr>
            </w:pPr>
            <w:r>
              <w:rPr>
                <w:rFonts w:ascii="Arial" w:cs="Arial" w:eastAsia="Arial" w:hAnsi="Arial"/>
                <w:sz w:val="14"/>
                <w:szCs w:val="14"/>
                <w:color w:val="auto"/>
              </w:rPr>
              <w:t>Ending Balance (cost – $413,307,500 and $352,307,500, respectively)</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400,592,492</w:t>
            </w: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348,939,801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March 31, 2020, we had outstanding non-U.S. dollar borrowings on the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3"/>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12,294,938</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9"/>
              </w:rPr>
              <w:t>April 1,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(112,563)</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6"/>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13,217,523</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810,022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528"/>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zero, relating to amendment costs on the Credit Facility during both the three and six months ended March 31, 2020. Due to that election and in accordance with GAAP, we incurred expenses of less than $0.1 million and $4.5 million, respectively, relating to amendment costs on the Credit Facility during the three and six months ended March 31,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For the three and six months ended March 31, 2020, the Credit Facility and the 2023 Notes had a net change in unrealized depreciation of $33.5 million and $34.9 million, respectively. For the three and six months ended March 31, 2019, the Credit Facility and the 2023 Notes had a net change in unrealized appreciation of $5.6 million and $0.1 million, respectively. As of March 31, 2020 and September 30, 2019, the net unrealized depreciation on the Credit Facility and the 2023 Notes totaled $39.6 million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Fair value at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Purchases</w:t>
            </w:r>
          </w:p>
        </w:tc>
        <w:tc>
          <w:tcPr>
            <w:tcW w:w="6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Sale of /</w:t>
            </w:r>
          </w:p>
        </w:tc>
        <w:tc>
          <w:tcPr>
            <w:tcW w:w="220" w:type="dxa"/>
            <w:vAlign w:val="bottom"/>
          </w:tcPr>
          <w:p>
            <w:pPr>
              <w:spacing w:after="0"/>
              <w:rPr>
                <w:sz w:val="14"/>
                <w:szCs w:val="14"/>
                <w:color w:val="auto"/>
              </w:rPr>
            </w:pPr>
          </w:p>
        </w:tc>
        <w:tc>
          <w:tcPr>
            <w:tcW w:w="12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3"/>
              </w:rPr>
              <w:t>Net Change in</w:t>
            </w: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Fair value at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Dividend</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6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 Affiliates</w:t>
            </w:r>
          </w:p>
        </w:tc>
        <w:tc>
          <w:tcPr>
            <w:tcW w:w="6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Affiliates</w:t>
            </w:r>
          </w:p>
        </w:tc>
        <w:tc>
          <w:tcPr>
            <w:tcW w:w="220" w:type="dxa"/>
            <w:vAlign w:val="bottom"/>
          </w:tcPr>
          <w:p>
            <w:pPr>
              <w:spacing w:after="0"/>
              <w:rPr>
                <w:sz w:val="14"/>
                <w:szCs w:val="14"/>
                <w:color w:val="auto"/>
              </w:rPr>
            </w:pPr>
          </w:p>
        </w:tc>
        <w:tc>
          <w:tcPr>
            <w:tcW w:w="12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56"/>
        </w:trPr>
        <w:tc>
          <w:tcPr>
            <w:tcW w:w="20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60" w:type="dxa"/>
            <w:vAlign w:val="bottom"/>
            <w:gridSpan w:val="2"/>
          </w:tcPr>
          <w:p>
            <w:pPr>
              <w:spacing w:after="0" w:line="143" w:lineRule="exact"/>
              <w:rPr>
                <w:sz w:val="20"/>
                <w:szCs w:val="20"/>
                <w:color w:val="auto"/>
              </w:rPr>
            </w:pPr>
            <w:r>
              <w:rPr>
                <w:rFonts w:ascii="Arial" w:cs="Arial" w:eastAsia="Arial" w:hAnsi="Arial"/>
                <w:sz w:val="14"/>
                <w:szCs w:val="14"/>
                <w:color w:val="auto"/>
              </w:rPr>
              <w:t>Country Fresh Holding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ind w:left="120"/>
              <w:spacing w:after="0"/>
              <w:rPr>
                <w:sz w:val="20"/>
                <w:szCs w:val="20"/>
                <w:color w:val="auto"/>
              </w:rPr>
            </w:pPr>
            <w:r>
              <w:rPr>
                <w:rFonts w:ascii="Arial" w:cs="Arial" w:eastAsia="Arial" w:hAnsi="Arial"/>
                <w:sz w:val="14"/>
                <w:szCs w:val="14"/>
                <w:color w:val="auto"/>
              </w:rPr>
              <w:t>Company Inc.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14,491,626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2,270,242</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(5,925,762)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10,836,106</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412,835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Quick Weight Loss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Centers, LLC</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5,938,939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45,335</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(5,681,744)</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302,530.0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160" w:type="dxa"/>
            <w:vAlign w:val="bottom"/>
            <w:gridSpan w:val="2"/>
          </w:tcPr>
          <w:p>
            <w:pPr>
              <w:spacing w:after="0" w:line="137" w:lineRule="exact"/>
              <w:rPr>
                <w:sz w:val="20"/>
                <w:szCs w:val="20"/>
                <w:color w:val="auto"/>
              </w:rPr>
            </w:pPr>
            <w:r>
              <w:rPr>
                <w:rFonts w:ascii="Arial" w:cs="Arial" w:eastAsia="Arial" w:hAnsi="Arial"/>
                <w:sz w:val="14"/>
                <w:szCs w:val="14"/>
                <w:color w:val="auto"/>
              </w:rPr>
              <w:t>Total Non-Controlled</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160" w:type="dxa"/>
            <w:vAlign w:val="bottom"/>
            <w:gridSpan w:val="2"/>
          </w:tcPr>
          <w:p>
            <w:pPr>
              <w:ind w:left="120"/>
              <w:spacing w:after="0"/>
              <w:rPr>
                <w:sz w:val="20"/>
                <w:szCs w:val="20"/>
                <w:color w:val="auto"/>
              </w:rPr>
            </w:pPr>
            <w:r>
              <w:rPr>
                <w:rFonts w:ascii="Arial" w:cs="Arial" w:eastAsia="Arial" w:hAnsi="Arial"/>
                <w:sz w:val="14"/>
                <w:szCs w:val="14"/>
                <w:color w:val="auto"/>
              </w:rPr>
              <w:t>Affiliates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20,430,565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2,315,577</w:t>
            </w:r>
          </w:p>
        </w:tc>
        <w:tc>
          <w:tcPr>
            <w:tcW w:w="2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(11,607,506)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11,138,636</w:t>
            </w:r>
          </w:p>
        </w:tc>
        <w:tc>
          <w:tcPr>
            <w:tcW w:w="2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459,125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Controlled Affiliates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PennantPark Senior Secured</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ind w:left="140"/>
              <w:spacing w:after="0"/>
              <w:rPr>
                <w:sz w:val="20"/>
                <w:szCs w:val="20"/>
                <w:color w:val="auto"/>
              </w:rPr>
            </w:pPr>
            <w:r>
              <w:rPr>
                <w:rFonts w:ascii="Arial" w:cs="Arial" w:eastAsia="Arial" w:hAnsi="Arial"/>
                <w:sz w:val="14"/>
                <w:szCs w:val="14"/>
                <w:color w:val="auto"/>
              </w:rPr>
              <w:t>Loan Fund I LLC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172,163,080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(19,074,971)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154,838,109</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6,225,109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Controlled Affiliates</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172,163,080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1,750,000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ind w:left="7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(19,074,971</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154,838,109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6,225,109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3,150,000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ind w:left="60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192,593,645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4,065,577</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(30,682,477)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165,976,745</w:t>
            </w:r>
          </w:p>
        </w:tc>
        <w:tc>
          <w:tcPr>
            <w:tcW w:w="2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6,684,234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right="20" w:hanging="372"/>
        <w:spacing w:after="0" w:line="233"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4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decrease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(21,101,049)</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(5,471,725)</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(11,128,155)</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(476,530)</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(0.54)</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(0.14)</w:t>
            </w:r>
          </w:p>
        </w:tc>
        <w:tc>
          <w:tcPr>
            <w:tcW w:w="3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(0.29)</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(0.01)</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2020 and September 30, 2019, cash and cash equivalents consisted of money market funds in the amounts of $30.0 million and $63.3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4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6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12.97</w:t>
            </w:r>
          </w:p>
        </w:tc>
        <w:tc>
          <w:tcPr>
            <w:tcW w:w="26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decrease in net assets resulting from operations </w:t>
            </w:r>
            <w:r>
              <w:rPr>
                <w:rFonts w:ascii="Arial" w:cs="Arial" w:eastAsia="Arial" w:hAnsi="Arial"/>
                <w:sz w:val="12"/>
                <w:szCs w:val="12"/>
                <w:color w:val="auto"/>
              </w:rPr>
              <w:t>(1)</w:t>
            </w:r>
          </w:p>
        </w:tc>
        <w:tc>
          <w:tcPr>
            <w:tcW w:w="36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(0.29)</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(0.01)</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4.86</w:t>
            </w:r>
          </w:p>
        </w:tc>
        <w:tc>
          <w:tcPr>
            <w:tcW w:w="26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12.81</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6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jc w:val="right"/>
              <w:ind w:right="100"/>
              <w:spacing w:after="0" w:line="143" w:lineRule="exact"/>
              <w:rPr>
                <w:sz w:val="20"/>
                <w:szCs w:val="20"/>
                <w:color w:val="auto"/>
              </w:rPr>
            </w:pPr>
            <w:r>
              <w:rPr>
                <w:rFonts w:ascii="Arial" w:cs="Arial" w:eastAsia="Arial" w:hAnsi="Arial"/>
                <w:sz w:val="14"/>
                <w:szCs w:val="14"/>
                <w:color w:val="auto"/>
              </w:rPr>
              <w:t>(56.05)%</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2"/>
        </w:trPr>
        <w:tc>
          <w:tcPr>
            <w:tcW w:w="76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2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11.31%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6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469,829,274</w:t>
            </w:r>
          </w:p>
        </w:tc>
        <w:tc>
          <w:tcPr>
            <w:tcW w:w="26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513,264,956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720,417,458</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418,424,913</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18.58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10.79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1,552</w:t>
            </w:r>
          </w:p>
        </w:tc>
        <w:tc>
          <w:tcPr>
            <w:tcW w:w="26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6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42.35%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65.73%</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8240" w:firstLine="8"/>
        <w:spacing w:after="0" w:line="248" w:lineRule="auto"/>
        <w:tabs>
          <w:tab w:leader="none" w:pos="364"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assumes distributions, if any, are reinvested.</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line="22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Includes interest and expenses on debt (annualized) as well as Credit Facility amendment and debt issuance costs, if any, (not annualized).</w:t>
      </w:r>
    </w:p>
    <w:p>
      <w:pPr>
        <w:ind w:left="380" w:right="80" w:hanging="372"/>
        <w:spacing w:after="0" w:line="232"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2020 and 2019, inclusive of the fee on the undrawn commitment on the Credit Facility, amendment costs and debt issuance costs, was 4.1% and 6.2%, respectively. As of March 31, 2020,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2020 and September 30, 2019, our asset coverage ratio, as computed in accordance with the 1940 Act, was 155% and 179%,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Funding I’s multi-currency Credit Facility with affiliates of Truist Bank (formerly SunTrust Bank), or the Lenders, was $520 million as of March 31, 2020, subject to satisfaction of certain conditions and regulatory restrictions that the 1940 Act imposes on us as a BDC, has an interest rate spread above LIBOR (or an alternative risk-free interest rate index) of 200 basis points, a maturity date of October 2023 and a revolving period that ends in October 2021. As of March 31, 2020 and September 30, 2019, Funding I had $413.3 million and $265.3 million of outstanding borrowings under the Credit Facility, respectively. The Credit Facility had a weighted average interest rate of 3.6% and 4.1%, exclusive of the fee on undrawn commitments as of March 31, 2020 and September 30, 2019, respectively. As of March 31, 2020 and September 30, 2019, we had $106.7 million and $254.7 million of unused borrowing capacity under the Credit Facility, respectively, subject to leverage and borrowing base restrictions.</w:t>
      </w:r>
    </w:p>
    <w:p>
      <w:pPr>
        <w:spacing w:after="0" w:line="118"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interest rate index) plus 200 basis points and, after the revolving period, the rate will reset to LIBOR (or an alternative risk-free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2020,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24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60" w:firstLine="438"/>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March 31, 2020 and September 30, 2019, the Company had $228.0 million of 2031 Asset-Backed Debt outstanding, respectively, with a weighted average interest rate of 4.0% and 4.2%. As of March 31, 2020 and September 30, 2019, the unamortized fees on the 2031 Asset-Backed Debt were $3.4 million and $3.7 million, respectively.</w:t>
      </w:r>
    </w:p>
    <w:p>
      <w:pPr>
        <w:spacing w:after="0" w:line="117"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2020 and September 30, 2019, we had $60.3 million and $101.1 million, respectively, in commitments to fund investments. Additionally, as described in Note 4, the Company had unfunded commitments of up to $24.9 million and $9.2 million, respectively, to PSSL as of March 31, 2020 and September 30, 2019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March 31, 2020, the related consolidated statements of operations and the related consolidated statements of changes in net assets for the three and six months ended March 31, 2020 and 2019, and cash flows for the six months ended March 31, 2020 and 2019,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20, 2019, we expressed an unqualified opinion on those financial statements. In our opinion, the information set forth in the accompanying consolidated statement of assets and liabilities as of September 30, 2019,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11, 2020</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1" w:name="page32"/>
    <w:bookmarkEnd w:id="31"/>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800" w:hanging="360"/>
        <w:spacing w:after="0" w:line="253"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the novel coronavirus (commonly known as “COVID-19”);</w:t>
      </w:r>
    </w:p>
    <w:p>
      <w:pPr>
        <w:spacing w:after="0" w:line="106" w:lineRule="exact"/>
        <w:rPr>
          <w:rFonts w:ascii="Arial" w:cs="Arial" w:eastAsia="Arial" w:hAnsi="Arial"/>
          <w:sz w:val="14"/>
          <w:szCs w:val="14"/>
          <w:color w:val="auto"/>
        </w:rPr>
      </w:pPr>
    </w:p>
    <w:p>
      <w:pPr>
        <w:ind w:left="800" w:right="80" w:hanging="360"/>
        <w:spacing w:after="0" w:line="253"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2" w:name="page33"/>
    <w:bookmarkEnd w:id="32"/>
    <w:p>
      <w:pPr>
        <w:ind w:right="60"/>
        <w:spacing w:after="0" w:line="253" w:lineRule="auto"/>
        <w:rPr>
          <w:sz w:val="20"/>
          <w:szCs w:val="20"/>
          <w:color w:val="auto"/>
        </w:rPr>
      </w:pPr>
      <w:r>
        <w:rPr>
          <w:rFonts w:ascii="Arial" w:cs="Arial" w:eastAsia="Arial" w:hAnsi="Arial"/>
          <w:sz w:val="14"/>
          <w:szCs w:val="14"/>
          <w:color w:val="auto"/>
        </w:rPr>
        <w:t>maturity from three to ten years and are made to U.S. and, to a limited extent, non-U.S. corporations, partnerships and other business entities which operate in various industries and geographical regions.</w:t>
      </w:r>
    </w:p>
    <w:p>
      <w:pPr>
        <w:spacing w:after="0" w:line="10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novel coronavirus (commonly known as “COVID-19”)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Investment Adviser. We cannot predict with any level of certainty the magnitude of the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11"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Due to the nature of these governmental restrictions and their potentially long-lasting duration, we anticipate that some portfolio companies, especially those in vulnerable industries such as retail, food and beverage and travel, will undergo significant financial distress and possibly default on their financial obligations to us and their other capital providers. Moreover, if our portfolio companies remain subject to prolonged and severe financial distress, we expect such companies to substantially curtail their operations, defer capital expenditures, furlough or lay off workers and terminate relationships with their service providers. These developments would likely reduce the value of our investments in such portfolio companies and permanently impair their business operations.</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COVID-19 pandemic could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may affect market, economic and geopolitical conditions, and thereby may adversely affect our business, including:</w:t>
      </w:r>
    </w:p>
    <w:p>
      <w:pPr>
        <w:spacing w:after="0" w:line="117" w:lineRule="exact"/>
        <w:rPr>
          <w:sz w:val="20"/>
          <w:szCs w:val="20"/>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limited availability of credit, both in the U.S. and internationally;</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March 31, 2020, we had two portfolio companies on non-accrual status, and the continuing impact of the COVID-19 pandemic may result in additional portfolio investments being placed on non-accrual status in the future.</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had a significant reduction in our net asset value as of March 31, 2020 as compared to our net asset value as of the prior quarter, which was primarily due to the immediate adverse economic effects of the COVID-19 pandemic, the continuing uncertainty surrounding its long-term impact as well as the re-pricing of credit risk in the broadly syndicated credit market. The decrease in net asset value as of March 31, 2020 primarily resulted from an increase in unrealized depreciation in respect of our portfolio company investments, which led to a decrease in the fair value of some of our portfolio company investments.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Additionally, as of March 31, 2020 and September 30, 2019, our asset coverage ratio, as computed in accordance with the 1940 Act, was 155% and 179%, respectively. Our Credit Facility includes standard covenants and events of default provisions. If we fail to make payments required under such facility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ind w:right="80" w:firstLine="438"/>
        <w:spacing w:after="0" w:line="245" w:lineRule="auto"/>
        <w:rPr>
          <w:sz w:val="20"/>
          <w:szCs w:val="20"/>
          <w:color w:val="auto"/>
        </w:rPr>
      </w:pPr>
      <w:r>
        <w:rPr>
          <w:rFonts w:ascii="Arial" w:cs="Arial" w:eastAsia="Arial" w:hAnsi="Arial"/>
          <w:sz w:val="13"/>
          <w:szCs w:val="13"/>
          <w:color w:val="auto"/>
        </w:rPr>
        <w:t>We are also subject to financial risks, including changes in market interest rates. As of March 31, 2020,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LIBOR decreased in March 2020 when, among other things, the U.S. Federal Reserve reduced certain interest rates as a result of the COVID-19 pandemic. If interest rates remain at such levels, our gross investment income may decrease which could result in a decrease in our net investment income if decreases in LIBOR are not offset by, among other things, a corresponding increase in the spread over LIBOR that we earn on any portfolio investments, or a decrease in the interest rate of any floating interest rate liabilities we may have that are tied to LIBOR. See “Item 3. Quantitative and Qualitative Disclosures About Market Risk” below.</w:t>
      </w:r>
    </w:p>
    <w:p>
      <w:pPr>
        <w:spacing w:after="0" w:line="11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While we have generally avoided direct investments in industries that have been hard hit by the spread of COVID-19, including oil and gas, retail, restaurants and airlines, some of our portfolio companies, such as those in the events and gaming industries, have been especially susceptible to the economic effects of the COVID-19 pandemic. As the COVID-19 pandemic began to worsen, we proactively took action to support and evaluate our portfolio companies including, but not limited to, the following: 1) gathering additional information regarding the business operations and market impact of COVID-19 from a multitude of sources such as qualified third-party service providers, management teams and private equity sponsor owners of our investment companies and other sources; 2) establishing frequent real-time communications with our private equity sponsor partners and stakeholders, which we believe will result in more efficient solutions for our portfolio companies and, due to our strong business relationships with such sponsors, will create the appropriate incentives necessary for them to work with us to address the needs of our portfolio companies; and 3) through the use of our underwriting team and the benefit of our strong analytics surrounding the portfolio, assessing the likely impact of the COVID-19 pandemic on our portfolio companies and segmenting our portfolio to call attention to those borrowers who, as a result of COVID-19, are of moderate or higher risk of default, which will enable us to focus on and assist those borrowers which are more likely to require attention.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800" w:right="220" w:hanging="360"/>
        <w:spacing w:after="0" w:line="253" w:lineRule="auto"/>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800" w:right="180" w:hanging="360"/>
        <w:spacing w:after="0" w:line="264" w:lineRule="auto"/>
        <w:tabs>
          <w:tab w:leader="none" w:pos="8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As of March 31, 2020, our portfolio totaled $1,179.0 million and consisted of $1,072.0 million of first lien secured debt (including $119.7 million in PSSL), $32.0 million of second lien secured debt and $74.9 million of preferred and common equity (including $35.1 million in PSSL). Our debt portfolio consisted of 99% variable-rate investments. As of March 31, 2020, we had two portfolio companies on non-accrual, representing 0.6% and zero of our overall portfolio on a cost and fair value basis, respectively. Overall, the portfolio had net unrealized depreciation of $71.7 million. Our overall portfolio consisted of 108 companies with an average investment size of $10.9 million, had a weighted average yield on debt investments of 7.8%, and was invested 91% in first lien secured debt (including 10% in PSSL), 3% in second lien secured debt and 6% in preferred and common equity (including 3% in PSSL). As of March 31, 2020, 98% of the investments held by PSSL were first lien secured debt.</w:t>
      </w:r>
    </w:p>
    <w:p>
      <w:pPr>
        <w:spacing w:after="0" w:line="118"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18" w:lineRule="exact"/>
        <w:rPr>
          <w:sz w:val="20"/>
          <w:szCs w:val="20"/>
          <w:color w:val="auto"/>
        </w:rPr>
      </w:pPr>
    </w:p>
    <w:p>
      <w:pPr>
        <w:jc w:val="both"/>
        <w:ind w:right="200" w:firstLine="438"/>
        <w:spacing w:after="0" w:line="264" w:lineRule="auto"/>
        <w:rPr>
          <w:sz w:val="20"/>
          <w:szCs w:val="20"/>
          <w:color w:val="auto"/>
        </w:rPr>
      </w:pPr>
      <w:r>
        <w:rPr>
          <w:rFonts w:ascii="Arial" w:cs="Arial" w:eastAsia="Arial" w:hAnsi="Arial"/>
          <w:sz w:val="13"/>
          <w:szCs w:val="13"/>
          <w:color w:val="auto"/>
        </w:rPr>
        <w:t>For the three months ended March 31, 2020, we invested $167.5 million in seven new and 37 existing portfolio companies with a weighted average yield on debt investments of 7.5%. Sales and repayments of investments for the three months ended March 31, 2020 totaled $99.4 million. For the six months ended March 31, 2020, we invested $407.0 million in 17 new and 68 existing portfolio companies with a weighted average yield on debt investments of 8.0%. Sales and repayments of investments for the six months ended March 31, 2020 totaled $243.1 million.</w:t>
      </w:r>
    </w:p>
    <w:p>
      <w:pPr>
        <w:spacing w:after="0" w:line="101"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For the three months ended March 31, 2019, we invested $136.1 million in five new and 22 existing portfolio companies with a weighted average yield on debt investments of 8.7%. Sales and repayments of investments for the three months ended March 31, 2019 totaled $143.2 million. For the six months ended March 31, 2019, we invested $316.8 million in 14 new and 46 existing portfolio companies with a weighted average yield on debt investments of 8.6%. Sales and repayments of investments for the six months ended March 31, 2019 totaled $333.5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March 31, 2020, PSSL’s portfolio totaled $482.8 million, consisted of 51 companies with an average investment size of $9.5 million and had a weighted average yield on debt investments of 7.0%. As of September 30, 2019, PSSL’s portfolio totaled $488.5 million, consisted of 45 companies with an average investment size of $10.9 million and had a weighted average yield on debt investments of 7.6%.</w:t>
      </w:r>
    </w:p>
    <w:p>
      <w:pPr>
        <w:spacing w:after="0" w:line="115"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For the three months ended March 31, 2020, PSSL invested $17.9 million (including $17.8 million purchased from the Company) in three new and one existing portfolio companies with a weighted average yield on debt investments of 7.4%. Sales and repayments of investments for the three months ended March 31, 2020 totaled $7.9 million. For the six months ended March 31, 2020, PSSL invested $87.1 million (including $86.7 million purchased from the Company) in 11 new and two existing portfolio companies with a weighted average yield on debt investments of 7.4%. Sales and repayments of investments for the six months ended March 31, 2020 totaled $74.3 million.</w:t>
      </w:r>
    </w:p>
    <w:p>
      <w:pPr>
        <w:spacing w:after="0" w:line="117"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For the three months ended March 31, 2019, PSSL invested $25.2 million (of which $19.7 million was purchased from the Company) in one new and three existing portfolio companies with a weighted average yield on debt investments of 8.0%. PSSL’s sales and repayments of investments for the three months ended March 31, 2019 totaled $17.8 million. For the six months ended March 31, 2019 PSSL invested $167.6 million in 10 new and 10 existing portfolio companies with a weighted average yield on debt investments of 8.1%. PSSL’s sales and repayments of investments for the six months ended March 31, 2019 totaled $88.5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jc w:val="both"/>
        <w:ind w:left="800" w:right="180" w:hanging="360"/>
        <w:spacing w:after="0" w:line="264" w:lineRule="auto"/>
        <w:tabs>
          <w:tab w:leader="none" w:pos="8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zero relating to amendment costs on the Credit Facility during both the three and six months ended March 31, 2020. Due to that election and in accordance with GAAP, we incurred expenses of less than $0.1 million and $4.5 million, respectively, relating to amendment costs on the Credit Facility during the three and six months ended March 31,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For the three and six months ended March 31, 2020, the Credit Facility and the 2023 Notes had a net change in unrealized depreciation of $33.5 million and $34.9 million, respectively. For the three and six months ended March 31, 2019, the Credit Facility and the 2023 Notes had a net change in unrealized appreciation of $5.6 million and $0.1 million, respectively. As of March 31, 2020 and September 30, 2019, the net unrealized depreciation on the Credit Facility and the 2023 Notes totaled $39.6 million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2020 and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80" w:firstLine="438"/>
        <w:spacing w:after="0" w:line="233" w:lineRule="auto"/>
        <w:rPr>
          <w:sz w:val="20"/>
          <w:szCs w:val="20"/>
          <w:color w:val="auto"/>
        </w:rPr>
      </w:pPr>
      <w:r>
        <w:rPr>
          <w:rFonts w:ascii="Arial" w:cs="Arial" w:eastAsia="Arial" w:hAnsi="Arial"/>
          <w:sz w:val="14"/>
          <w:szCs w:val="14"/>
          <w:color w:val="auto"/>
        </w:rPr>
        <w:t>Investment income for the three and six months ended March 31, 2020 was $26.3 million and $51.0 million, respectively, and was attributable to $24.1 million and $46.5 million from first lien secured debt and $2.2 million and $4.5 million from other investments, respectively. This compares to investment income for the three and six months ended March 31, 2019, which was $23.0 million and $46.2 million, respectively, and was attributable to $21.0 million and $42.1 million from first lien secured debt and $2.0 million and $4.1 million from other investments, respectively. The increase in investment income compared to the same periods in the prior year was primarily due to the growth of our portfolio.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Expenses for the three and six months ended March 31, 2020 totaled $14.6 million and $28.1 million, respectively. Base management fee for the same periods totaled $2.9 million and $5.8 million, incentive fee totaled $2.9 million and $5.3 million, debt related interest and expenses totaled $7.6 million and $14.9 million and general and administrative expenses totaled $1.0 million and $1.9 million, respectively. This compares to expenses for the three and six months ended March 31, 2019 which totaled $11.2 million and $23.5 million, respectively. Base management fee for the same periods totaled $2.4 million and $4.9 million, incentive fee totaled $2.5 million and $1.3 million (including $(1.4) million on realized and unrealized gains accrued but not payable), debt related interest and expenses totaled $5.3 million (including less than $0.1 million in Credit Facility amendment costs) and $15.1 million (including $4.5 million in Credit Facility amendment costs), and general and administrative expenses totaled $1.0 million and $2.2 million, respectively. The increase in expenses for the three and six months ended March 31, 2020 compared to the same periods in the prior year was primarily due to the growth of our portfolio.</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Net investment income totaled $11.7 million and $22.9 million, or $0.30 and $0.59 per share, for the three and six months ended March 31, 2020, respectively. Net investment income totaled $11.8 million and $22.7 million, or $0.30 and $0.59 per share, for the three and six months ended March 31,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20" w:firstLine="438"/>
        <w:spacing w:after="0" w:line="296" w:lineRule="auto"/>
        <w:rPr>
          <w:sz w:val="20"/>
          <w:szCs w:val="20"/>
          <w:color w:val="auto"/>
        </w:rPr>
      </w:pPr>
      <w:r>
        <w:rPr>
          <w:rFonts w:ascii="Arial" w:cs="Arial" w:eastAsia="Arial" w:hAnsi="Arial"/>
          <w:sz w:val="12"/>
          <w:szCs w:val="12"/>
          <w:color w:val="auto"/>
        </w:rPr>
        <w:t>Sales and repayments of investments for the three and six months ended March 31, 2020 totaled $99.4 million and $243.1 million, respectively, and net realized losses totaled $1.6 million and $0.6 million, respectively. Sales and repayments of investments for the three and six months ended March 31, 2019 totaled $143.2 million and $333.5 million, respectively, and net realized gains totaled $1.1 million and $2.0 million, respectively. The change in realized gains/losses was primarily due to changes in the market conditions of our investments and the values at which they were realized.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For the three and six months ended March 31, 2020, we reported net change in unrealized depreciation on investments of $64.8 million and $68.3 million, respectively. For the three and six months ended March 31, 2019, we reported net change in unrealized depreciation on investments of $12.7 million and $25.1 million, respectively. As of March 31, 2020 and September 30, 2019, our net unrealized depreciation on investments totaled $71.7 million and $3.5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09"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For the three and six months ended March 31, 2020, the Credit Facility and the 2023 Notes had a net change in unrealized appreciation of $33.5 million and $34.9 million, respectively. For the three and six months ended March 31, 2019, the Credit Facility and the 2023 Notes had a net change in unrealized appreciation of $5.6 million and $0.1 million, respectively. As of March 31, 2020 and September 30, 2019, the net unrealized depreciation on the Credit Facility and the 2023 Notes totaled $39.6 million and $4.7 million, respectively. The net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Net decrease in net assets resulting from operations totaled $21.1 million and $11.1 million, or $0.54 and $0.29 per share, respectively, for the three and six months ended March 31, 2020. This compares to a net decrease in net assets resulting from operations of $5.5 million and $0.5 million, or $0.14 and $0.01 per share, respectively, for the three and six months ended March 31, 2019. The net change in net assets from operations compared to the same periods in the prior year was primarily due to depreciation of the portfolio in the current period primarily driven by the market disruption caused by the COVID-19 pandemic and the uncertainty surrounding its continued adverse economic impact, as discussed above under “COVID-19 Developments.”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5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2020, in accordance with the 1940 Act, with certain limited exceptions, we are only allowed to borrow amounts such that we are in compliance with a 150% asset coverage ratio requirement after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such borrowing. This “Liquidity and Capital Resources” section should be read in conjunction with the “COVID-19 Developments” section above.</w:t>
      </w:r>
    </w:p>
    <w:p>
      <w:pPr>
        <w:spacing w:after="0" w:line="16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2020 and September 30, 2019, our asset coverage ratio, as computed in accordance with the 1940 Act, was 155% and 179%, respectively.</w:t>
      </w:r>
    </w:p>
    <w:p>
      <w:pPr>
        <w:spacing w:after="0" w:line="107"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The annualized weighted average cost of debt for the six months ended March 31, 2020 and 2019, inclusive of the fee on the undrawn commitment on the Credit Facility, amendment costs and debt issuance costs, was 4.1% and 6.2%, respectively (excluding amendment and debt issuance costs, amounts were 4.1% and 5.1%, respectively). As of March 31, 2020 and September 30, 2019, we had $106.7 million and $254.7 million of unused borrowing capacity under the Credit Facility, respectively, subject to leverage and borrowing base restrictions.</w:t>
      </w:r>
    </w:p>
    <w:p>
      <w:pPr>
        <w:spacing w:after="0" w:line="101"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$520 million as of March 31, 2020,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March 31, 2020 and September 30, 2019, Funding I had $413.3 million and 265.3 million of outstanding borrowings under the Credit Facility, respectively. The Credit Facility had a weighted average interest rate of 3.6% and 4.1%, exclusive of the fee on undrawn commitments as of March 31, 2020 and September 30, 2019, respectively.</w:t>
      </w:r>
    </w:p>
    <w:p>
      <w:pPr>
        <w:spacing w:after="0" w:line="107"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2020,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152" w:lineRule="exact"/>
        <w:rPr>
          <w:sz w:val="20"/>
          <w:szCs w:val="20"/>
          <w:color w:val="auto"/>
        </w:rPr>
      </w:pPr>
      <w:r>
        <w:rPr>
          <w:rFonts w:ascii="Arial" w:cs="Arial" w:eastAsia="Arial" w:hAnsi="Arial"/>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March 31, 2020 and September 30, 2019, the Company had $228.0 million of 2031 Asset-Backed Debt outstanding, respectively, with a weighted average interest rate of 4.0% and 4.2%.</w:t>
      </w:r>
    </w:p>
    <w:p>
      <w:pPr>
        <w:spacing w:after="0" w:line="12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both the six months ended March 31, 2020 and 2019, we did not issue any shares.</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As of March 31, 2020 and September 30, 2019, we had cash equivalents of $30.0 million and $63.3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operating activities used cash of $158.9 million for the six months ended March 31, 2020, and our financing activities provided cash of $125.9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5"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Our operating activities used cash of $35.6 million for the six months ended March 31, 2019 and our financing activities used cash of $3.5 million for the same period. Our operating activities used cash primarily for our investment activities and our financing activities used cash primarily for distributions paid to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2020, PSSL had total assets of $497.2 million. As of the same date, we and Kemper had remaining commitments to fund first lien secured debt and equity interests in PSSL in an aggregate amount of $28.5 million. PSSL invests in portfolio companies in the same industries in which we may directly invest.</w:t>
      </w:r>
    </w:p>
    <w:p>
      <w:pPr>
        <w:spacing w:after="0" w:line="101"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2020, we and Kemper owned 87.5% and 12.5%, respectively, of each of the outstanding first lien secured debt and equity interests. As of the same date, our investment in PSSL consisted of first lien secured debt of $123.4 million (additional $17.5 million unfunded) and equity interests of $52.9 million (additional $7.4 million unfunded).</w:t>
      </w:r>
    </w:p>
    <w:p>
      <w:pPr>
        <w:spacing w:after="0" w:line="115"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March 31, 2020 allowed PSSL Subsidiary to borrow up to $420.0 million at any one time outstanding, subject to leverage and borrowing base restrictions.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top w:val="single" w:sz="8" w:color="CCECFF"/>
            </w:tcBorders>
            <w:shd w:val="clear" w:color="auto" w:fill="CCECFF"/>
          </w:tcPr>
          <w:p>
            <w:pPr>
              <w:spacing w:after="0"/>
              <w:rPr>
                <w:sz w:val="13"/>
                <w:szCs w:val="13"/>
                <w:color w:val="auto"/>
              </w:rPr>
            </w:pPr>
          </w:p>
        </w:tc>
        <w:tc>
          <w:tcPr>
            <w:tcW w:w="5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26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gridSpan w:val="4"/>
            <w:shd w:val="clear" w:color="auto" w:fill="CCECFF"/>
          </w:tcPr>
          <w:p>
            <w:pPr>
              <w:jc w:val="right"/>
              <w:spacing w:after="0" w:line="155" w:lineRule="exact"/>
              <w:rPr>
                <w:sz w:val="20"/>
                <w:szCs w:val="20"/>
                <w:color w:val="auto"/>
              </w:rPr>
            </w:pPr>
            <w:r>
              <w:rPr>
                <w:rFonts w:ascii="Arial" w:cs="Arial" w:eastAsia="Arial" w:hAnsi="Arial"/>
                <w:sz w:val="14"/>
                <w:szCs w:val="14"/>
                <w:color w:val="auto"/>
              </w:rPr>
              <w:t>482,798,265</w:t>
            </w:r>
          </w:p>
        </w:tc>
        <w:tc>
          <w:tcPr>
            <w:tcW w:w="26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12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w:t>
            </w:r>
          </w:p>
        </w:tc>
        <w:tc>
          <w:tcPr>
            <w:tcW w:w="2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21,915,026</w:t>
            </w:r>
          </w:p>
        </w:tc>
        <w:tc>
          <w:tcPr>
            <w:tcW w:w="26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22,026,186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CECFF"/>
          </w:tcPr>
          <w:p>
            <w:pPr>
              <w:spacing w:after="0"/>
              <w:rPr>
                <w:sz w:val="20"/>
                <w:szCs w:val="20"/>
                <w:color w:val="auto"/>
              </w:rPr>
            </w:pPr>
            <w:r>
              <w:rPr>
                <w:rFonts w:ascii="Arial" w:cs="Arial" w:eastAsia="Arial" w:hAnsi="Arial"/>
                <w:sz w:val="14"/>
                <w:szCs w:val="14"/>
                <w:color w:val="auto"/>
                <w:w w:val="97"/>
              </w:rPr>
              <w:t>Total of five largest portfolio company investments</w:t>
            </w:r>
          </w:p>
        </w:tc>
        <w:tc>
          <w:tcPr>
            <w:tcW w:w="12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860" w:type="dxa"/>
            <w:vAlign w:val="bottom"/>
            <w:gridSpan w:val="4"/>
            <w:shd w:val="clear" w:color="auto" w:fill="CCECFF"/>
          </w:tcPr>
          <w:p>
            <w:pPr>
              <w:jc w:val="right"/>
              <w:spacing w:after="0"/>
              <w:rPr>
                <w:sz w:val="20"/>
                <w:szCs w:val="20"/>
                <w:color w:val="auto"/>
              </w:rPr>
            </w:pPr>
            <w:r>
              <w:rPr>
                <w:rFonts w:ascii="Arial" w:cs="Arial" w:eastAsia="Arial" w:hAnsi="Arial"/>
                <w:sz w:val="14"/>
                <w:szCs w:val="14"/>
                <w:color w:val="auto"/>
              </w:rPr>
              <w:t>98,532,862</w:t>
            </w:r>
          </w:p>
        </w:tc>
        <w:tc>
          <w:tcPr>
            <w:tcW w:w="2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9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6700" w:type="dxa"/>
            <w:vAlign w:val="bottom"/>
            <w:gridSpan w:val="6"/>
          </w:tcPr>
          <w:p>
            <w:pPr>
              <w:ind w:left="440"/>
              <w:spacing w:after="0"/>
              <w:rPr>
                <w:sz w:val="20"/>
                <w:szCs w:val="20"/>
                <w:color w:val="auto"/>
              </w:rPr>
            </w:pPr>
            <w:r>
              <w:rPr>
                <w:rFonts w:ascii="Arial" w:cs="Arial" w:eastAsia="Arial" w:hAnsi="Arial"/>
                <w:sz w:val="14"/>
                <w:szCs w:val="14"/>
                <w:color w:val="auto"/>
              </w:rPr>
              <w:t>Below is a listing of PSSL’s individual investments as of March 31, 2020: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7.78%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L+600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4,937,500</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4,870,291</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4,838,750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L+475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7,709,836</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7,635,520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7,632,738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7.86%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L+625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13,578,048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13,380,598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13,170,706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11,675,625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11,593,803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11,271,648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7,311,083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7,276,584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7,237,972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6.71%</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L+525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10,370,472</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10,361,964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10,059,358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9,997,608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9,918,100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8,897,872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6.45%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182,403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179,556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6.45%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450,110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450,110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12,250,000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12,116,071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12,005,000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8,125,453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8,081,707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7,962,943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11/03/2025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8,062,563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7,985,331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7,649,760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L+525A $</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10,000,000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7,385,936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5,753,270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7.86%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L+625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17,091,551</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16,988,454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17,048,821</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5.32%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11,329,248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11,237,035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10,536,200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19,569,810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19,436,112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19,080,565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5.95%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12,343,750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12,292,298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11,603,125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9,340,185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9,254,980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7,985,858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5.75%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L+475A $</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15,000,000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10,984,374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8,382,025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L+475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9,924,623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9,527,638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19,750,000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19,507,844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18,805,950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L+725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7,406,250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7,192,235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6,813,750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L+550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9,875,000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9,794,401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9,452,350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L+575A $</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9"/>
              </w:rPr>
              <w:t>14,680,747</w:t>
            </w: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10,435,897</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8,850,571</w:t>
            </w:r>
          </w:p>
        </w:tc>
        <w:tc>
          <w:tcPr>
            <w:tcW w:w="12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L+600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6,984,375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7,018,576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6,285,938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6,842,500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6,769,218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6,509,954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6.58%</w:t>
            </w:r>
          </w:p>
        </w:tc>
        <w:tc>
          <w:tcPr>
            <w:tcW w:w="560" w:type="dxa"/>
            <w:vAlign w:val="bottom"/>
          </w:tcPr>
          <w:p>
            <w:pPr>
              <w:spacing w:after="0"/>
              <w:rPr>
                <w:sz w:val="12"/>
                <w:szCs w:val="12"/>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P+275C $</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5,730,254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4,447,088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3,703,821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2"/>
              </w:rPr>
              <w:t>Media: Advertising, Printing &amp; Publishing</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4,937,500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4,889,980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4,591,875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5,979,856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5,952,437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5,831,556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14,737,500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14,629,441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13,890,094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Nuvei Technologies Corp.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12,452,133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12,513,133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12,078,570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5.25%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L+425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10,768,333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10,660,648</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6.11%</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7,843,419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7,866,673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7,137,512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6.07%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9,842,557</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9,759,641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9,252,004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7.12%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1,749,547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1,730,634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1,714,556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4,168,500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4,129,610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4,043,445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L+550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4,975,000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4,902,819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4,726,250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7.44%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11,964,715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11,964,715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11,725,430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11,232,813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11,139,848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11,120,484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7.58%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4,687,495</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4,406,245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Solutionreach,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01/17/2024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6.74%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6,539,462</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6,461,958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6,321,698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5.00%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L+400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15,147,368</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15,150,402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14,162,789</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STV Group Incorporated</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12/11/2026</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7,980,000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7,902,772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7,820,400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11/20/2025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8,409,616</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8,368,338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8,073,231</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6.25%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4,975,000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4,793,152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4,726,250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09/16/2024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6.92%</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L+525</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8,687,660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8,661,839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8,166,400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TPC Canada Parent, Inc. and TPC US Parent,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7.14%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L+475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8,969,066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8,882,178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8,703,582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L+550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9,924,623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9,924,623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9,726,131</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7.25%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L+625</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6,910,465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6,785,977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6,703,151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6.76%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L+450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22,136,390</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21,947,892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21,915,026</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6.00%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ind w:left="20"/>
              <w:spacing w:after="0"/>
              <w:rPr>
                <w:sz w:val="20"/>
                <w:szCs w:val="20"/>
                <w:color w:val="auto"/>
              </w:rPr>
            </w:pPr>
            <w:r>
              <w:rPr>
                <w:rFonts w:ascii="Arial" w:cs="Arial" w:eastAsia="Arial" w:hAnsi="Arial"/>
                <w:sz w:val="11"/>
                <w:szCs w:val="11"/>
                <w:color w:val="auto"/>
              </w:rPr>
              <w:t>L+500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8"/>
              </w:rPr>
              <w:t>11,521,769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11,353,227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11,291,333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8.41%</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L+650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w w:val="98"/>
              </w:rPr>
              <w:t>15,797,891</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15,545,471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15,797,891</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3"/>
          </w:tcPr>
          <w:p>
            <w:pPr>
              <w:jc w:val="right"/>
              <w:ind w:right="180"/>
              <w:spacing w:after="0"/>
              <w:rPr>
                <w:sz w:val="20"/>
                <w:szCs w:val="20"/>
                <w:color w:val="auto"/>
              </w:rPr>
            </w:pPr>
            <w:r>
              <w:rPr>
                <w:rFonts w:ascii="Arial" w:cs="Arial" w:eastAsia="Arial" w:hAnsi="Arial"/>
                <w:sz w:val="11"/>
                <w:szCs w:val="11"/>
                <w:color w:val="auto"/>
              </w:rPr>
              <w:t>8.50%</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ind w:left="20"/>
              <w:spacing w:after="0"/>
              <w:rPr>
                <w:sz w:val="20"/>
                <w:szCs w:val="20"/>
                <w:color w:val="auto"/>
              </w:rPr>
            </w:pPr>
            <w:r>
              <w:rPr>
                <w:rFonts w:ascii="Arial" w:cs="Arial" w:eastAsia="Arial" w:hAnsi="Arial"/>
                <w:sz w:val="11"/>
                <w:szCs w:val="11"/>
                <w:color w:val="auto"/>
              </w:rPr>
              <w:t>L+750</w:t>
            </w:r>
          </w:p>
        </w:tc>
        <w:tc>
          <w:tcPr>
            <w:tcW w:w="58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1"/>
                <w:szCs w:val="11"/>
                <w:color w:val="auto"/>
              </w:rPr>
              <w:t>5,326,734</w:t>
            </w:r>
          </w:p>
        </w:tc>
        <w:tc>
          <w:tcPr>
            <w:tcW w:w="6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5,262,695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5,273,467</w:t>
            </w:r>
          </w:p>
        </w:tc>
        <w:tc>
          <w:tcPr>
            <w:tcW w:w="120" w:type="dxa"/>
            <w:vAlign w:val="bottom"/>
            <w:tcBorders>
              <w:bottom w:val="single" w:sz="8" w:color="CCEC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492,386,307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471,559,114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9.95%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L+850</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918,103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918,103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918,104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(PIK 9.95%)</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9.00%</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15,946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15,229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1"/>
                <w:szCs w:val="11"/>
                <w:color w:val="auto"/>
              </w:rPr>
              <w:t>(PIK 9.00%)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ind w:left="2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7,977,513</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7,618,525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8,911,562</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8,551,858</w:t>
            </w:r>
          </w:p>
        </w:tc>
        <w:tc>
          <w:tcPr>
            <w:tcW w:w="120" w:type="dxa"/>
            <w:vAlign w:val="bottom"/>
            <w:tcBorders>
              <w:bottom w:val="single" w:sz="8" w:color="CCEC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1,317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154,563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ind w:left="2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5,034</w:t>
            </w: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2,532,730</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ind w:left="2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1,065,021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68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2,687,293</w:t>
            </w:r>
          </w:p>
        </w:tc>
        <w:tc>
          <w:tcPr>
            <w:tcW w:w="120" w:type="dxa"/>
            <w:vAlign w:val="bottom"/>
            <w:tcBorders>
              <w:top w:val="single" w:sz="8" w:color="CCECFF"/>
            </w:tcBorders>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8,789,465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8,789,465</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3,128,147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2,964,039</w:t>
            </w:r>
          </w:p>
        </w:tc>
        <w:tc>
          <w:tcPr>
            <w:tcW w:w="120" w:type="dxa"/>
            <w:vAlign w:val="bottom"/>
            <w:tcBorders>
              <w:bottom w:val="single" w:sz="8" w:color="CCEC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11,917,612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11,753,504</w:t>
            </w:r>
          </w:p>
        </w:tc>
        <w:tc>
          <w:tcPr>
            <w:tcW w:w="120" w:type="dxa"/>
            <w:vAlign w:val="bottom"/>
            <w:shd w:val="clear" w:color="auto" w:fill="CCEC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520,199,418</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494,551,769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4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3"/>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(454,412,431)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40,139,338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vMerge w:val="restart"/>
          </w:tcPr>
          <w:p>
            <w:pPr>
              <w:jc w:val="right"/>
              <w:ind w:right="806"/>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0" w:name="page41"/>
    <w:bookmarkEnd w:id="40"/>
    <w:p>
      <w:pPr>
        <w:ind w:left="372" w:hanging="363"/>
        <w:spacing w:after="0" w:line="239" w:lineRule="auto"/>
        <w:tabs>
          <w:tab w:leader="none" w:pos="352"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18599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9915" cy="8890"/>
                    </a:xfrm>
                    <a:prstGeom prst="rect">
                      <a:avLst/>
                    </a:prstGeom>
                    <a:noFill/>
                  </pic:spPr>
                </pic:pic>
              </a:graphicData>
            </a:graphic>
          </wp:anchor>
        </w:drawing>
        <w:t>(</w:t>
      </w:r>
      <w:r>
        <w:rPr>
          <w:rFonts w:ascii="Arial" w:cs="Arial" w:eastAsia="Arial" w:hAnsi="Arial"/>
          <w:sz w:val="10"/>
          <w:szCs w:val="10"/>
          <w:color w:val="auto"/>
        </w:rPr>
        <w:t>1)</w:t>
      </w:r>
      <w:r>
        <w:rPr>
          <w:sz w:val="20"/>
          <w:szCs w:val="20"/>
          <w:color w:val="auto"/>
        </w:rPr>
        <w:tab/>
      </w: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sz w:val="20"/>
          <w:szCs w:val="20"/>
          <w:color w:val="auto"/>
        </w:rPr>
      </w:pPr>
    </w:p>
    <w:p>
      <w:pPr>
        <w:ind w:left="372" w:hanging="372"/>
        <w:spacing w:after="0"/>
        <w:tabs>
          <w:tab w:leader="none" w:pos="372" w:val="left"/>
        </w:tabs>
        <w:numPr>
          <w:ilvl w:val="0"/>
          <w:numId w:val="23"/>
        </w:numPr>
        <w:rPr>
          <w:rFonts w:ascii="Arial" w:cs="Arial" w:eastAsia="Arial" w:hAnsi="Arial"/>
          <w:sz w:val="11"/>
          <w:szCs w:val="11"/>
          <w:color w:val="auto"/>
        </w:rPr>
      </w:pPr>
      <w:r>
        <w:rPr>
          <w:rFonts w:ascii="Arial" w:cs="Arial" w:eastAsia="Arial" w:hAnsi="Arial"/>
          <w:sz w:val="11"/>
          <w:szCs w:val="11"/>
          <w:color w:val="auto"/>
        </w:rPr>
        <w:t>Valued based on PSSL’s accounting policy.</w:t>
      </w:r>
    </w:p>
    <w:p>
      <w:pPr>
        <w:spacing w:after="0" w:line="35" w:lineRule="exact"/>
        <w:rPr>
          <w:rFonts w:ascii="Arial" w:cs="Arial" w:eastAsia="Arial" w:hAnsi="Arial"/>
          <w:sz w:val="11"/>
          <w:szCs w:val="11"/>
          <w:color w:val="auto"/>
        </w:rPr>
      </w:pPr>
    </w:p>
    <w:p>
      <w:pPr>
        <w:ind w:left="372" w:hanging="372"/>
        <w:spacing w:after="0"/>
        <w:tabs>
          <w:tab w:leader="none" w:pos="372" w:val="left"/>
        </w:tabs>
        <w:numPr>
          <w:ilvl w:val="0"/>
          <w:numId w:val="23"/>
        </w:numPr>
        <w:rPr>
          <w:rFonts w:ascii="Arial" w:cs="Arial" w:eastAsia="Arial" w:hAnsi="Arial"/>
          <w:sz w:val="11"/>
          <w:szCs w:val="11"/>
          <w:color w:val="auto"/>
        </w:rPr>
      </w:pPr>
      <w:r>
        <w:rPr>
          <w:rFonts w:ascii="Arial" w:cs="Arial" w:eastAsia="Arial" w:hAnsi="Arial"/>
          <w:sz w:val="11"/>
          <w:szCs w:val="11"/>
          <w:color w:val="auto"/>
        </w:rPr>
        <w:t>Non-U.S. company or principal place of business outside the United States.</w:t>
      </w:r>
    </w:p>
    <w:p>
      <w:pPr>
        <w:spacing w:after="0" w:line="35" w:lineRule="exact"/>
        <w:rPr>
          <w:rFonts w:ascii="Arial" w:cs="Arial" w:eastAsia="Arial" w:hAnsi="Arial"/>
          <w:sz w:val="11"/>
          <w:szCs w:val="11"/>
          <w:color w:val="auto"/>
        </w:rPr>
      </w:pPr>
    </w:p>
    <w:p>
      <w:pPr>
        <w:ind w:left="372" w:hanging="372"/>
        <w:spacing w:after="0"/>
        <w:tabs>
          <w:tab w:leader="none" w:pos="372" w:val="left"/>
        </w:tabs>
        <w:numPr>
          <w:ilvl w:val="0"/>
          <w:numId w:val="23"/>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or in Canadian Dollars (C$) as denoted.</w:t>
      </w: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92"/>
          </w:cols>
          <w:pgMar w:left="328" w:top="386" w:right="379" w:bottom="1440" w:gutter="0" w:footer="0" w:header="0"/>
        </w:sectPr>
      </w:pPr>
    </w:p>
    <w:bookmarkStart w:id="41" w:name="page42"/>
    <w:bookmarkEnd w:id="41"/>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73" w:lineRule="exact"/>
        <w:rPr>
          <w:sz w:val="20"/>
          <w:szCs w:val="20"/>
          <w:color w:val="auto"/>
        </w:rPr>
      </w:pPr>
    </w:p>
    <w:p>
      <w:pPr>
        <w:ind w:left="380" w:right="40" w:hanging="372"/>
        <w:spacing w:after="0" w:line="235" w:lineRule="auto"/>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Non-U.S. company or principal place of business outside the United States.</w:t>
      </w: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or in Canadian Dollars (C$) as denoted.</w:t>
      </w:r>
    </w:p>
    <w:p>
      <w:pPr>
        <w:spacing w:after="0" w:line="27" w:lineRule="exact"/>
        <w:rPr>
          <w:rFonts w:ascii="Arial" w:cs="Arial" w:eastAsia="Arial" w:hAnsi="Arial"/>
          <w:sz w:val="11"/>
          <w:szCs w:val="11"/>
          <w:color w:val="auto"/>
        </w:rPr>
      </w:pP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70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171"/>
        </w:trPr>
        <w:tc>
          <w:tcPr>
            <w:tcW w:w="7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Investments at fair value (cost—$508,281,806 and $494,413,190, respectively)</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482,798,265</w:t>
            </w:r>
          </w:p>
        </w:tc>
        <w:tc>
          <w:tcPr>
            <w:tcW w:w="30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488,549,847</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(cost—$11,917,612 and $15,322,531, respectively)</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11,753,504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15,294,881</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1,703,141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1,855,545</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490,875</w:t>
            </w:r>
          </w:p>
        </w:tc>
        <w:tc>
          <w:tcPr>
            <w:tcW w:w="3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996,333</w:t>
            </w:r>
          </w:p>
        </w:tc>
        <w:tc>
          <w:tcPr>
            <w:tcW w:w="100" w:type="dxa"/>
            <w:vAlign w:val="bottom"/>
            <w:shd w:val="clear" w:color="auto" w:fill="CFF0FC"/>
          </w:tcPr>
          <w:p>
            <w:pPr>
              <w:spacing w:after="0"/>
              <w:rPr>
                <w:sz w:val="14"/>
                <w:szCs w:val="14"/>
                <w:color w:val="auto"/>
              </w:rPr>
            </w:pPr>
          </w:p>
        </w:tc>
      </w:tr>
      <w:tr>
        <w:trPr>
          <w:trHeight w:val="155"/>
        </w:trPr>
        <w:tc>
          <w:tcPr>
            <w:tcW w:w="704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496,745,785</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Borders>
              <w:bottom w:val="single" w:sz="8" w:color="CFF0FC"/>
            </w:tcBorders>
          </w:tcPr>
          <w:p>
            <w:pPr>
              <w:spacing w:after="0"/>
              <w:rPr>
                <w:sz w:val="13"/>
                <w:szCs w:val="13"/>
                <w:color w:val="auto"/>
              </w:rPr>
            </w:pPr>
          </w:p>
        </w:tc>
      </w:tr>
      <w:tr>
        <w:trPr>
          <w:trHeight w:val="156"/>
        </w:trPr>
        <w:tc>
          <w:tcPr>
            <w:tcW w:w="70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314,443,536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308,724,305</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141,050,000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139,650,000</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1,073,654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1,015,468</w:t>
            </w:r>
          </w:p>
        </w:tc>
        <w:tc>
          <w:tcPr>
            <w:tcW w:w="100" w:type="dxa"/>
            <w:vAlign w:val="bottom"/>
          </w:tcPr>
          <w:p>
            <w:pPr>
              <w:spacing w:after="0"/>
              <w:rPr>
                <w:sz w:val="14"/>
                <w:szCs w:val="14"/>
                <w:color w:val="auto"/>
              </w:rPr>
            </w:pPr>
          </w:p>
        </w:tc>
      </w:tr>
      <w:tr>
        <w:trPr>
          <w:trHeight w:val="162"/>
        </w:trPr>
        <w:tc>
          <w:tcPr>
            <w:tcW w:w="7040" w:type="dxa"/>
            <w:vAlign w:val="bottom"/>
            <w:shd w:val="clear" w:color="auto" w:fill="CFF0FC"/>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39,257</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176,273</w:t>
            </w:r>
          </w:p>
        </w:tc>
        <w:tc>
          <w:tcPr>
            <w:tcW w:w="100" w:type="dxa"/>
            <w:vAlign w:val="bottom"/>
            <w:shd w:val="clear" w:color="auto" w:fill="CFF0FC"/>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22,754</w:t>
            </w:r>
          </w:p>
        </w:tc>
        <w:tc>
          <w:tcPr>
            <w:tcW w:w="100" w:type="dxa"/>
            <w:vAlign w:val="bottom"/>
          </w:tcPr>
          <w:p>
            <w:pPr>
              <w:spacing w:after="0"/>
              <w:rPr>
                <w:sz w:val="14"/>
                <w:szCs w:val="14"/>
                <w:color w:val="auto"/>
              </w:rPr>
            </w:pPr>
          </w:p>
        </w:tc>
      </w:tr>
      <w:tr>
        <w:trPr>
          <w:trHeight w:val="156"/>
        </w:trPr>
        <w:tc>
          <w:tcPr>
            <w:tcW w:w="70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456,606,447</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449,588,800</w:t>
            </w:r>
          </w:p>
        </w:tc>
        <w:tc>
          <w:tcPr>
            <w:tcW w:w="100" w:type="dxa"/>
            <w:vAlign w:val="bottom"/>
            <w:tcBorders>
              <w:top w:val="single" w:sz="8" w:color="CFF0FC"/>
            </w:tcBorders>
            <w:shd w:val="clear" w:color="auto" w:fill="CFF0FC"/>
          </w:tcPr>
          <w:p>
            <w:pPr>
              <w:spacing w:after="0"/>
              <w:rPr>
                <w:sz w:val="13"/>
                <w:szCs w:val="13"/>
                <w:color w:val="auto"/>
              </w:rPr>
            </w:pPr>
          </w:p>
        </w:tc>
      </w:tr>
      <w:tr>
        <w:trPr>
          <w:trHeight w:val="155"/>
        </w:trPr>
        <w:tc>
          <w:tcPr>
            <w:tcW w:w="70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3"/>
                <w:szCs w:val="13"/>
                <w:color w:val="auto"/>
              </w:rPr>
            </w:pPr>
          </w:p>
        </w:tc>
      </w:tr>
      <w:tr>
        <w:trPr>
          <w:trHeight w:val="156"/>
        </w:trPr>
        <w:tc>
          <w:tcPr>
            <w:tcW w:w="704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40,139,338</w:t>
            </w:r>
          </w:p>
        </w:tc>
        <w:tc>
          <w:tcPr>
            <w:tcW w:w="3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57,107,806</w:t>
            </w:r>
          </w:p>
        </w:tc>
        <w:tc>
          <w:tcPr>
            <w:tcW w:w="100" w:type="dxa"/>
            <w:vAlign w:val="bottom"/>
            <w:shd w:val="clear" w:color="auto" w:fill="CFF0FC"/>
          </w:tcPr>
          <w:p>
            <w:pPr>
              <w:spacing w:after="0"/>
              <w:rPr>
                <w:sz w:val="13"/>
                <w:szCs w:val="13"/>
                <w:color w:val="auto"/>
              </w:rPr>
            </w:pPr>
          </w:p>
        </w:tc>
      </w:tr>
      <w:tr>
        <w:trPr>
          <w:trHeight w:val="155"/>
        </w:trPr>
        <w:tc>
          <w:tcPr>
            <w:tcW w:w="704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496,745,785</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Pr>
          <w:p>
            <w:pPr>
              <w:spacing w:after="0"/>
              <w:rPr>
                <w:sz w:val="13"/>
                <w:szCs w:val="13"/>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As of March 31, 2020 and September 30, 2019, PSSL had unfunded commitments to fund investments of zero and $0.3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8,623,991</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10,379,484</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17,399,249</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5,097,142</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141,030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12,219</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8,626,985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10,520,514</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17,395,612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5,109,361</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3,341,355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4,336,173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6,746,751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1,957,836</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3,508,325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3,673,693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7,139,570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1,638,700</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227,360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465,436</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7,263,330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8,423,516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14,713,681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4,211,972</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1,363,655</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2,096,998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2,681,931</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897,389</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(loss) gain on investments and credit facility foreign</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(34,117)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320,818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418,361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15,946</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(20,835,443)</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388,105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(19,756,654)</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999,702</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4,013,416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(350,091)</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2,687,894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(251,668)</w:t>
            </w: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(depreciation) appreciation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(16,822,027)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38,014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(17,068,760)</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748,034</w:t>
            </w:r>
          </w:p>
        </w:tc>
        <w:tc>
          <w:tcPr>
            <w:tcW w:w="100" w:type="dxa"/>
            <w:vAlign w:val="bottom"/>
            <w:shd w:val="clear" w:color="auto" w:fill="CCECFF"/>
          </w:tcPr>
          <w:p>
            <w:pPr>
              <w:spacing w:after="0"/>
              <w:rPr>
                <w:sz w:val="14"/>
                <w:szCs w:val="14"/>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(loss) gain from investments and credit facility</w:t>
            </w:r>
          </w:p>
        </w:tc>
        <w:tc>
          <w:tcPr>
            <w:tcW w:w="9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(16,856,144)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358,832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(16,650,399)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763,980</w:t>
            </w:r>
          </w:p>
        </w:tc>
        <w:tc>
          <w:tcPr>
            <w:tcW w:w="100" w:type="dxa"/>
            <w:vAlign w:val="bottom"/>
          </w:tcPr>
          <w:p>
            <w:pPr>
              <w:spacing w:after="0"/>
              <w:rPr>
                <w:sz w:val="14"/>
                <w:szCs w:val="14"/>
                <w:color w:val="auto"/>
              </w:rPr>
            </w:pP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(15,492,489)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2,455,830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(13,968,468)</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1,661,369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5560" w:right="1340" w:hanging="5552"/>
        <w:spacing w:after="0" w:line="575" w:lineRule="auto"/>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859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2020, including borrowings under our Credit Facility, 2023 Notes, 2031 Asset-Backed Debt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413.3</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413.3</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779.9</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489.5</w:t>
            </w:r>
          </w:p>
        </w:tc>
        <w:tc>
          <w:tcPr>
            <w:tcW w:w="24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60.3</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top w:val="single" w:sz="8" w:color="auto"/>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865.1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960" w:type="dxa"/>
            <w:vAlign w:val="bottom"/>
            <w:tcBorders>
              <w:top w:val="single" w:sz="8" w:color="auto"/>
              <w:bottom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522.4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269.9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40" w:hanging="372"/>
        <w:spacing w:after="0" w:line="230"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2020, excluding amendment costs and debt issuance costs, was 3.8% exclusive of the fee on the undrawn commitment on the Credit Facility.</w:t>
      </w: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2020,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jc w:val="both"/>
        <w:ind w:right="140" w:firstLine="438"/>
        <w:spacing w:after="0" w:line="255" w:lineRule="auto"/>
        <w:rPr>
          <w:sz w:val="20"/>
          <w:szCs w:val="20"/>
          <w:color w:val="auto"/>
        </w:rPr>
      </w:pPr>
      <w:r>
        <w:rPr>
          <w:rFonts w:ascii="Arial" w:cs="Arial" w:eastAsia="Arial" w:hAnsi="Arial"/>
          <w:sz w:val="13"/>
          <w:szCs w:val="13"/>
          <w:color w:val="auto"/>
        </w:rPr>
        <w:t>During the three and six months ended March 31, 2020 and 2019, we declared distributions of $0.285 and $0.57 per share, respectively, for total distributions of $11.1 and $22.1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Subsequent to March 31, 2020, the market disruptions caused by the COVID-19 pandemic have continued to adversely affect the business operations of some, if not all, of our portfolio companies and have adversely affected, and may continue to adversely affect, our operations and the operations of our Investment Adviser. While we are closely monitoring this situation, we cannot predict the impact of COVID-19 on our future financial condition, results of operations or cash flows with any level of certainty. That said, we expect that the COVID-19 pandemic will have a material adverse impact on our future net investment income, the fair value of our portfolio investments, and the results of operations and financial condition of our portfolio companies. For more information, see “COVID-19 Developments” above.</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We are subject to financial market risks, including changes in interest rates. As of March 31, 2020,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4"/>
          <w:szCs w:val="14"/>
          <w:color w:val="auto"/>
        </w:rPr>
        <w:t>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1,614</w:t>
            </w:r>
          </w:p>
        </w:tc>
        <w:tc>
          <w:tcPr>
            <w:tcW w:w="3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4,386</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9,792</w:t>
            </w:r>
          </w:p>
        </w:tc>
        <w:tc>
          <w:tcPr>
            <w:tcW w:w="3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15,198</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20,604</w:t>
            </w:r>
          </w:p>
        </w:tc>
        <w:tc>
          <w:tcPr>
            <w:tcW w:w="8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2020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20, 2019,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1"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due to future recessions, political instability, geopolitical turmoil and foreign hostilities, and disease pandemics and other serious health events.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15"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6" w:name="page47"/>
    <w:bookmarkEnd w:id="46"/>
    <w:p>
      <w:pPr>
        <w:ind w:right="120"/>
        <w:spacing w:after="0" w:line="226" w:lineRule="auto"/>
        <w:rPr>
          <w:sz w:val="20"/>
          <w:szCs w:val="20"/>
          <w:color w:val="auto"/>
        </w:rPr>
      </w:pPr>
      <w:r>
        <w:rPr>
          <w:rFonts w:ascii="Arial" w:cs="Arial" w:eastAsia="Arial" w:hAnsi="Arial"/>
          <w:sz w:val="14"/>
          <w:szCs w:val="14"/>
          <w:color w:val="auto"/>
        </w:rPr>
        <w:t>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(commonly known as “Brexit”) could lead to further market disruptions and currency volatility, potentially weakening consumer, corporate and financial confidence and resulting in lower economic growth for companies that rely significantly on Europe for their business activities and revenues. Furthermore,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21" w:lineRule="exact"/>
        <w:rPr>
          <w:sz w:val="20"/>
          <w:szCs w:val="20"/>
          <w:color w:val="auto"/>
        </w:rPr>
      </w:pPr>
    </w:p>
    <w:p>
      <w:pPr>
        <w:ind w:right="160" w:firstLine="438"/>
        <w:spacing w:after="0" w:line="244"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17"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are rapidly introducing creative proposals to address the needs of businesses, such actions may not adequately address the problems facing our portfolio companies.</w:t>
      </w:r>
    </w:p>
    <w:p>
      <w:pPr>
        <w:spacing w:after="0" w:line="118"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outbreak is likely to have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 These future events, while unpredictable, will likely adversely affect our operating results and the operating results of our portfolio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U.S. capital markets have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 fair values of our debt and equity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right="240" w:firstLine="438"/>
        <w:spacing w:after="0" w:line="335" w:lineRule="auto"/>
        <w:rPr>
          <w:sz w:val="20"/>
          <w:szCs w:val="20"/>
          <w:color w:val="auto"/>
        </w:rPr>
      </w:pPr>
      <w:r>
        <w:rPr>
          <w:rFonts w:ascii="Arial" w:cs="Arial" w:eastAsia="Arial" w:hAnsi="Arial"/>
          <w:sz w:val="12"/>
          <w:szCs w:val="12"/>
          <w:color w:val="auto"/>
        </w:rPr>
        <w:t>On May 8, 2020, our board of directors adopted the Second Amended and Restated Bylaws of the Company (the “Second A&amp;R Bylaws"), which became effective immediately. The Second A&amp;R Bylaws, among other things, amended (i) the exclusive forum provision in Article XV and (ii) the voting standard for the election of directors in Article II, Section 7, as described below.</w:t>
      </w:r>
    </w:p>
    <w:p>
      <w:pPr>
        <w:spacing w:after="0" w:line="6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Second A&amp;R Bylaws amended Article XV to include Internal Corporate Claims (a new term resulting from a change in Maryland law that is defined in Section 1-101 of the Maryland General Corporation Law (the “MGCL”)) as a type of litigation subject to the Company’s exclusive forum provision. The revised Article XV also clarifies that the exclusive forum provision does not cover actions arising under federal securities laws and provides that none of the actions, claims or proceedings explicitly covered in the exclusive forum provision may be brought in any court sitting outside the State of Maryland without the Company’s written consent.</w:t>
      </w:r>
    </w:p>
    <w:p>
      <w:pPr>
        <w:spacing w:after="0" w:line="117"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The Second A&amp;R Bylaws also amended Article II, Section 7 to provide that a director nominee shall be elected by an affirmative vote of a majority of the total votes cast for and against such nominee in an uncontested election at a meeting of stockholders duly called and at which a quorum is present, except that nominees for director shall be elected by a plurality of the votes cast at a meeting of stockholders during a contested election where the number of nominees is greater than the number of directors to be elected. Prior to the amendment, a director nominee may be elected by an affirmative vote of the holders of a majority of the total votes cast for and affirmatively withheld from such nominee. Under the revised voting standard, a nominee shall be elected to the Company’s board of directors by a majority of the votes cast with respect to such nominee, which means that the number of votes cast for a director nominee must exceed the number of votes cast against the nominee; provided that if the election is contested, directors shall be elected by a plurality of the votes cast. The amendment further provides that voting on any matter, including the election of directors, may be conducted orally unless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chairman of the meeting orders that voting be by ballot or otherwise.</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foregoing description of the Second A&amp;R Bylaws does not purport to be complete and is qualified in its entirety by reference to the full text of the Second A&amp;R Bylaws, which is attached as Exhibit 3.2 to this Form 10-Q and incorporated herein by reference.</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269" w:right="439"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80">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80">
        <w:r>
          <w:rPr>
            <w:rFonts w:ascii="Arial" w:cs="Arial" w:eastAsia="Arial" w:hAnsi="Arial"/>
            <w:sz w:val="14"/>
            <w:szCs w:val="14"/>
            <w:u w:val="single" w:color="auto"/>
            <w:color w:val="0000EE"/>
          </w:rPr>
          <w:t>on Form N-2 (File No. 333-170243), filed on March 29, 2011).</w:t>
        </w:r>
      </w:hyperlink>
    </w:p>
    <w:p>
      <w:pPr>
        <w:spacing w:after="0" w:line="79" w:lineRule="exact"/>
        <w:rPr>
          <w:sz w:val="20"/>
          <w:szCs w:val="20"/>
          <w:color w:val="auto"/>
        </w:rPr>
      </w:pPr>
    </w:p>
    <w:p>
      <w:pPr>
        <w:ind w:left="80"/>
        <w:spacing w:after="0"/>
        <w:tabs>
          <w:tab w:leader="none" w:pos="560" w:val="left"/>
        </w:tabs>
        <w:rPr>
          <w:rFonts w:ascii="Arial" w:cs="Arial" w:eastAsia="Arial" w:hAnsi="Arial"/>
          <w:sz w:val="12"/>
          <w:szCs w:val="12"/>
          <w:u w:val="single" w:color="auto"/>
          <w:color w:val="0000EE"/>
        </w:rPr>
      </w:pPr>
      <w:r>
        <w:rPr>
          <w:rFonts w:ascii="Arial" w:cs="Arial" w:eastAsia="Arial" w:hAnsi="Arial"/>
          <w:sz w:val="14"/>
          <w:szCs w:val="14"/>
          <w:color w:val="auto"/>
        </w:rPr>
        <w:t>3.2*</w:t>
      </w:r>
      <w:r>
        <w:rPr>
          <w:sz w:val="20"/>
          <w:szCs w:val="20"/>
          <w:color w:val="auto"/>
        </w:rPr>
        <w:tab/>
      </w:r>
      <w:hyperlink w:anchor="page51">
        <w:r>
          <w:rPr>
            <w:rFonts w:ascii="Arial" w:cs="Arial" w:eastAsia="Arial" w:hAnsi="Arial"/>
            <w:sz w:val="12"/>
            <w:szCs w:val="12"/>
            <w:u w:val="single" w:color="auto"/>
            <w:color w:val="0000EE"/>
          </w:rPr>
          <w:t>Second Amended and Restated Bylaws of the Registrant</w:t>
        </w:r>
      </w:hyperlink>
    </w:p>
    <w:p>
      <w:pPr>
        <w:spacing w:after="0" w:line="109"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81">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81">
        <w:r>
          <w:rPr>
            <w:rFonts w:ascii="Arial" w:cs="Arial" w:eastAsia="Arial" w:hAnsi="Arial"/>
            <w:sz w:val="14"/>
            <w:szCs w:val="14"/>
            <w:u w:val="single" w:color="auto"/>
            <w:color w:val="0000EE"/>
          </w:rPr>
          <w:t>170243), filed on April 5, 2011).</w:t>
        </w:r>
      </w:hyperlink>
    </w:p>
    <w:p>
      <w:pPr>
        <w:spacing w:after="0" w:line="97"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68">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69">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70">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71">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2">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9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140" w:type="dxa"/>
            <w:vAlign w:val="bottom"/>
          </w:tcPr>
          <w:p>
            <w:pPr>
              <w:ind w:left="840"/>
              <w:spacing w:after="0"/>
              <w:rPr>
                <w:sz w:val="20"/>
                <w:szCs w:val="20"/>
                <w:color w:val="auto"/>
              </w:rPr>
            </w:pPr>
            <w:r>
              <w:rPr>
                <w:rFonts w:ascii="Arial" w:cs="Arial" w:eastAsia="Arial" w:hAnsi="Arial"/>
                <w:sz w:val="14"/>
                <w:szCs w:val="14"/>
                <w:color w:val="auto"/>
              </w:rPr>
              <w:t>PENNANTPARK FLOATING RATE CAPITAL LTD.</w:t>
            </w:r>
          </w:p>
        </w:tc>
      </w:tr>
      <w:tr>
        <w:trPr>
          <w:trHeight w:val="377"/>
        </w:trPr>
        <w:tc>
          <w:tcPr>
            <w:tcW w:w="3360" w:type="dxa"/>
            <w:vAlign w:val="bottom"/>
          </w:tcPr>
          <w:p>
            <w:pPr>
              <w:spacing w:after="0"/>
              <w:rPr>
                <w:sz w:val="20"/>
                <w:szCs w:val="20"/>
                <w:color w:val="auto"/>
              </w:rPr>
            </w:pPr>
            <w:r>
              <w:rPr>
                <w:rFonts w:ascii="Arial" w:cs="Arial" w:eastAsia="Arial" w:hAnsi="Arial"/>
                <w:sz w:val="14"/>
                <w:szCs w:val="14"/>
                <w:color w:val="auto"/>
              </w:rPr>
              <w:t>Date: May 11, 2020</w:t>
            </w:r>
          </w:p>
        </w:tc>
        <w:tc>
          <w:tcPr>
            <w:tcW w:w="2740" w:type="dxa"/>
            <w:vAlign w:val="bottom"/>
          </w:tcPr>
          <w:p>
            <w:pPr>
              <w:ind w:left="2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Arthur H. Penn</w:t>
            </w:r>
          </w:p>
        </w:tc>
      </w:tr>
      <w:tr>
        <w:trPr>
          <w:trHeight w:val="160"/>
        </w:trPr>
        <w:tc>
          <w:tcPr>
            <w:tcW w:w="33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90"/>
        </w:trPr>
        <w:tc>
          <w:tcPr>
            <w:tcW w:w="3360" w:type="dxa"/>
            <w:vAlign w:val="bottom"/>
          </w:tcPr>
          <w:p>
            <w:pPr>
              <w:spacing w:after="0"/>
              <w:rPr>
                <w:sz w:val="20"/>
                <w:szCs w:val="20"/>
                <w:color w:val="auto"/>
              </w:rPr>
            </w:pPr>
            <w:r>
              <w:rPr>
                <w:rFonts w:ascii="Arial" w:cs="Arial" w:eastAsia="Arial" w:hAnsi="Arial"/>
                <w:sz w:val="14"/>
                <w:szCs w:val="14"/>
                <w:color w:val="auto"/>
              </w:rPr>
              <w:t>Date: May 11, 2020</w:t>
            </w:r>
          </w:p>
        </w:tc>
        <w:tc>
          <w:tcPr>
            <w:tcW w:w="2740" w:type="dxa"/>
            <w:vAlign w:val="bottom"/>
          </w:tcPr>
          <w:p>
            <w:pPr>
              <w:ind w:left="2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Aviv Efrat</w:t>
            </w:r>
          </w:p>
        </w:tc>
      </w:tr>
      <w:tr>
        <w:trPr>
          <w:trHeight w:val="160"/>
        </w:trPr>
        <w:tc>
          <w:tcPr>
            <w:tcW w:w="33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Aviv Efrat</w:t>
            </w:r>
          </w:p>
        </w:tc>
      </w:tr>
      <w:tr>
        <w:trPr>
          <w:trHeight w:val="148"/>
        </w:trPr>
        <w:tc>
          <w:tcPr>
            <w:tcW w:w="3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756"/>
        </w:trPr>
        <w:tc>
          <w:tcPr>
            <w:tcW w:w="3360" w:type="dxa"/>
            <w:vAlign w:val="bottom"/>
          </w:tcPr>
          <w:p>
            <w:pPr>
              <w:spacing w:after="0"/>
              <w:rPr>
                <w:sz w:val="24"/>
                <w:szCs w:val="24"/>
                <w:color w:val="auto"/>
              </w:rPr>
            </w:pPr>
          </w:p>
        </w:tc>
        <w:tc>
          <w:tcPr>
            <w:tcW w:w="2740" w:type="dxa"/>
            <w:vAlign w:val="bottom"/>
          </w:tcPr>
          <w:p>
            <w:pPr>
              <w:jc w:val="right"/>
              <w:ind w:right="328"/>
              <w:spacing w:after="0"/>
              <w:rPr>
                <w:sz w:val="20"/>
                <w:szCs w:val="20"/>
                <w:color w:val="auto"/>
              </w:rPr>
            </w:pPr>
            <w:r>
              <w:rPr>
                <w:rFonts w:ascii="Arial" w:cs="Arial" w:eastAsia="Arial" w:hAnsi="Arial"/>
                <w:sz w:val="14"/>
                <w:szCs w:val="14"/>
                <w:color w:val="auto"/>
              </w:rPr>
              <w:t>50</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BYLAWS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59" w:lineRule="auto"/>
        <w:tabs>
          <w:tab w:leader="none" w:pos="2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Chairman of the Board, the president or the Board of Directors may call a special meeting of the stockholders. Subject to subsection (b) 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6" w:lineRule="exact"/>
        <w:rPr>
          <w:rFonts w:ascii="Arial" w:cs="Arial" w:eastAsia="Arial" w:hAnsi="Arial"/>
          <w:sz w:val="18"/>
          <w:szCs w:val="18"/>
          <w:color w:val="auto"/>
        </w:rPr>
      </w:pPr>
    </w:p>
    <w:p>
      <w:pPr>
        <w:ind w:right="20" w:firstLine="8"/>
        <w:spacing w:after="0" w:line="25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w:t>
      </w:r>
    </w:p>
    <w:p>
      <w:pPr>
        <w:spacing w:after="0" w:line="19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close of business on the tenth day after the first date on which the Record Date Request Notice is received by the secretary.</w:t>
      </w:r>
    </w:p>
    <w:p>
      <w:pPr>
        <w:spacing w:after="0" w:line="225" w:lineRule="exact"/>
        <w:rPr>
          <w:sz w:val="20"/>
          <w:szCs w:val="20"/>
          <w:color w:val="auto"/>
        </w:rPr>
      </w:pPr>
    </w:p>
    <w:p>
      <w:pPr>
        <w:ind w:right="80" w:firstLine="8"/>
        <w:spacing w:after="0" w:line="287"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71" w:lineRule="exact"/>
        <w:rPr>
          <w:rFonts w:ascii="Arial" w:cs="Arial" w:eastAsia="Arial" w:hAnsi="Arial"/>
          <w:sz w:val="16"/>
          <w:szCs w:val="16"/>
          <w:color w:val="auto"/>
        </w:rPr>
      </w:pPr>
    </w:p>
    <w:p>
      <w:pPr>
        <w:jc w:val="both"/>
        <w:ind w:right="160" w:firstLine="8"/>
        <w:spacing w:after="0" w:line="259"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right="140" w:firstLine="8"/>
        <w:spacing w:after="0" w:line="273"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5" w:lineRule="exact"/>
        <w:rPr>
          <w:sz w:val="20"/>
          <w:szCs w:val="20"/>
          <w:color w:val="auto"/>
        </w:rPr>
      </w:pPr>
    </w:p>
    <w:p>
      <w:pPr>
        <w:ind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60"/>
        <w:spacing w:after="0" w:line="257" w:lineRule="auto"/>
        <w:rPr>
          <w:sz w:val="20"/>
          <w:szCs w:val="20"/>
          <w:color w:val="auto"/>
        </w:rPr>
      </w:pPr>
      <w:r>
        <w:rPr>
          <w:rFonts w:ascii="Arial" w:cs="Arial" w:eastAsia="Arial" w:hAnsi="Arial"/>
          <w:sz w:val="18"/>
          <w:szCs w:val="18"/>
          <w:color w:val="auto"/>
        </w:rPr>
        <w:t>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88" w:lineRule="exact"/>
        <w:rPr>
          <w:sz w:val="20"/>
          <w:szCs w:val="20"/>
          <w:color w:val="auto"/>
        </w:rPr>
      </w:pPr>
    </w:p>
    <w:p>
      <w:pPr>
        <w:ind w:right="140" w:firstLine="8"/>
        <w:spacing w:after="0" w:line="290"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65" w:lineRule="exact"/>
        <w:rPr>
          <w:rFonts w:ascii="Arial" w:cs="Arial" w:eastAsia="Arial" w:hAnsi="Arial"/>
          <w:sz w:val="16"/>
          <w:szCs w:val="16"/>
          <w:color w:val="auto"/>
        </w:rPr>
      </w:pPr>
    </w:p>
    <w:p>
      <w:pPr>
        <w:ind w:right="30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480"/>
        <w:spacing w:after="0" w:line="277" w:lineRule="auto"/>
        <w:rPr>
          <w:sz w:val="20"/>
          <w:szCs w:val="20"/>
          <w:color w:val="auto"/>
        </w:rPr>
      </w:pPr>
      <w:r>
        <w:rPr>
          <w:rFonts w:ascii="Arial" w:cs="Arial" w:eastAsia="Arial" w:hAnsi="Arial"/>
          <w:sz w:val="18"/>
          <w:szCs w:val="18"/>
          <w:color w:val="auto"/>
        </w:rPr>
        <w:t>individual appointed by the chairman of the meeting shall act as secretary. In the event that the secretary presides at a meeting of the stockholders, an assistant secretary, or, in the absence of assistant secretaries, an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7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6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A nominee for director shall be elected as a director only if such nominee receives the affirmative vote of a majority of the total votes cast for and against such nominee at a meeting of stockholders duly called and at which a quorum is present. However, directors shall be elected by a plurality of votes cast at a meeting of stockholders duly called and at which a quorum is present for which (i) the secretary of the Corporation receives notice that a stockholder has nominated an individual for election as a director in compliance with the requirements of advance notice of stockholder nominees for director set forth in Article II, Section 11 of these Bylaws, and (ii) such nomination has not been withdrawn by such stockholder on or before the close of business on the tenth day before the date of filing of the definitive proxy statement of the Corporation with the Securities and Exchange Commission (the “Commission”), and, as a result of which, the number of nominees is greater than the number of directors to be elected at the meeting. Each share entitles the holder thereof to vote for as many individuals as there are directors to be elected and for whose election the holder is entitled to vote.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by statute or by the charter of the Corporation, each outstanding share of stock, regardless of class, entitles the holder thereof to cast one vote on each matter submitted to a vote at a meeting of stockholders. Voting on any question or in any election may be </w:t>
      </w:r>
      <w:r>
        <w:rPr>
          <w:rFonts w:ascii="Arial" w:cs="Arial" w:eastAsia="Arial" w:hAnsi="Arial"/>
          <w:sz w:val="17"/>
          <w:szCs w:val="17"/>
          <w:i w:val="1"/>
          <w:iCs w:val="1"/>
          <w:color w:val="auto"/>
        </w:rPr>
        <w:t>viva voce</w:t>
      </w:r>
      <w:r>
        <w:rPr>
          <w:rFonts w:ascii="Arial" w:cs="Arial" w:eastAsia="Arial" w:hAnsi="Arial"/>
          <w:sz w:val="17"/>
          <w:szCs w:val="17"/>
          <w:color w:val="auto"/>
        </w:rPr>
        <w:t xml:space="preserve"> unless the chairman of the meeting shall order that voting be by ballot or otherwise. Section 8. </w:t>
      </w:r>
      <w:r>
        <w:rPr>
          <w:rFonts w:ascii="Arial" w:cs="Arial" w:eastAsia="Arial" w:hAnsi="Arial"/>
          <w:sz w:val="17"/>
          <w:szCs w:val="17"/>
          <w:u w:val="single" w:color="auto"/>
          <w:color w:val="auto"/>
        </w:rPr>
        <w:t>PROXIES</w:t>
      </w:r>
      <w:r>
        <w:rPr>
          <w:rFonts w:ascii="Arial" w:cs="Arial" w:eastAsia="Arial" w:hAnsi="Arial"/>
          <w:sz w:val="17"/>
          <w:szCs w:val="17"/>
          <w:color w:val="auto"/>
        </w:rPr>
        <w:t>. A stockholder may cast the votes entitled to be cast by the shares of stock owned of record by the stockholder in person or by proxy executed by the stockholder or by the stockholder’s duly authorized agent in any manner permitted by law.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60"/>
        <w:spacing w:after="0" w:line="277" w:lineRule="auto"/>
        <w:rPr>
          <w:sz w:val="20"/>
          <w:szCs w:val="20"/>
          <w:color w:val="auto"/>
        </w:rPr>
      </w:pPr>
      <w:r>
        <w:rPr>
          <w:rFonts w:ascii="Arial" w:cs="Arial" w:eastAsia="Arial" w:hAnsi="Arial"/>
          <w:sz w:val="18"/>
          <w:szCs w:val="18"/>
          <w:color w:val="auto"/>
        </w:rPr>
        <w:t>proxy or evidence of authorization of such proxy shall be filed with the secretary of the Corporation before or at the meeting. No proxy shall be valid more than eleven months after its date unless otherwise provided in the proxy.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ADVANCE NOTICE OF STOCKHOLDER NOMINEES FOR DIRECTOR AND OTHER STOCKHOLDER PROPOSALS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57" w:lineRule="auto"/>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20" w:firstLine="8"/>
        <w:spacing w:after="0" w:line="269" w:lineRule="auto"/>
        <w:tabs>
          <w:tab w:leader="none" w:pos="2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nor later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such notice must be so delivered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5:00 p.m., Eastern Time, on the later of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as to each individual whom the stockholder proposes to nominate for election or reelection as a director (each, a “Proposed Nominee”),</w:t>
      </w:r>
    </w:p>
    <w:p>
      <w:pPr>
        <w:spacing w:after="0" w:line="225" w:lineRule="exact"/>
        <w:rPr>
          <w:sz w:val="20"/>
          <w:szCs w:val="20"/>
          <w:color w:val="auto"/>
        </w:rPr>
      </w:pPr>
    </w:p>
    <w:p>
      <w:pPr>
        <w:ind w:firstLine="8"/>
        <w:spacing w:after="0" w:line="286" w:lineRule="auto"/>
        <w:tabs>
          <w:tab w:leader="none" w:pos="2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65" w:lineRule="exact"/>
        <w:rPr>
          <w:rFonts w:ascii="Arial" w:cs="Arial" w:eastAsia="Arial" w:hAnsi="Arial"/>
          <w:sz w:val="17"/>
          <w:szCs w:val="17"/>
          <w:color w:val="auto"/>
        </w:rPr>
      </w:pPr>
    </w:p>
    <w:p>
      <w:pPr>
        <w:jc w:val="center"/>
        <w:ind w:right="60" w:firstLine="8"/>
        <w:spacing w:after="0" w:line="311" w:lineRule="auto"/>
        <w:tabs>
          <w:tab w:leader="none" w:pos="2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49" w:lineRule="exact"/>
        <w:rPr>
          <w:sz w:val="20"/>
          <w:szCs w:val="20"/>
          <w:color w:val="auto"/>
        </w:rPr>
      </w:pPr>
    </w:p>
    <w:p>
      <w:pPr>
        <w:ind w:right="280" w:firstLine="8"/>
        <w:spacing w:after="0" w:line="31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48"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sz w:val="20"/>
          <w:szCs w:val="20"/>
          <w:color w:val="auto"/>
        </w:rPr>
      </w:pPr>
    </w:p>
    <w:p>
      <w:pPr>
        <w:jc w:val="both"/>
        <w:ind w:firstLine="8"/>
        <w:spacing w:after="0" w:line="279" w:lineRule="auto"/>
        <w:tabs>
          <w:tab w:leader="none" w:pos="2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71" w:lineRule="exact"/>
        <w:rPr>
          <w:rFonts w:ascii="Arial" w:cs="Arial" w:eastAsia="Arial" w:hAnsi="Arial"/>
          <w:sz w:val="17"/>
          <w:szCs w:val="17"/>
          <w:color w:val="auto"/>
        </w:rPr>
      </w:pPr>
    </w:p>
    <w:p>
      <w:pPr>
        <w:ind w:right="500" w:firstLine="8"/>
        <w:spacing w:after="0" w:line="277"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p>
    <w:p>
      <w:pPr>
        <w:spacing w:after="0" w:line="170" w:lineRule="exact"/>
        <w:rPr>
          <w:rFonts w:ascii="Arial" w:cs="Arial" w:eastAsia="Arial" w:hAnsi="Arial"/>
          <w:sz w:val="18"/>
          <w:szCs w:val="18"/>
          <w:color w:val="auto"/>
        </w:rPr>
      </w:pPr>
    </w:p>
    <w:p>
      <w:pPr>
        <w:ind w:right="20" w:firstLine="8"/>
        <w:spacing w:after="0" w:line="257"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300"/>
        <w:spacing w:after="0" w:line="277" w:lineRule="auto"/>
        <w:rPr>
          <w:sz w:val="20"/>
          <w:szCs w:val="20"/>
          <w:color w:val="auto"/>
        </w:rPr>
      </w:pPr>
      <w:r>
        <w:rPr>
          <w:rFonts w:ascii="Arial" w:cs="Arial" w:eastAsia="Arial" w:hAnsi="Arial"/>
          <w:sz w:val="18"/>
          <w:szCs w:val="18"/>
          <w:color w:val="auto"/>
        </w:rPr>
        <w:t>voting power of such stockholder, Proposed Nominee or Stockholder Associated Person in the Corporation or any affiliate thereof disproportionately to such person’s economic interest in the Company Securities; and</w:t>
      </w:r>
    </w:p>
    <w:p>
      <w:pPr>
        <w:spacing w:after="0" w:line="170" w:lineRule="exact"/>
        <w:rPr>
          <w:sz w:val="20"/>
          <w:szCs w:val="20"/>
          <w:color w:val="auto"/>
        </w:rPr>
      </w:pPr>
    </w:p>
    <w:p>
      <w:pPr>
        <w:ind w:right="120" w:firstLine="8"/>
        <w:spacing w:after="0" w:line="301" w:lineRule="auto"/>
        <w:tabs>
          <w:tab w:leader="none" w:pos="2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all other holders of the same class or series;</w:t>
      </w:r>
    </w:p>
    <w:p>
      <w:pPr>
        <w:spacing w:after="0" w:line="157" w:lineRule="exact"/>
        <w:rPr>
          <w:sz w:val="20"/>
          <w:szCs w:val="20"/>
          <w:color w:val="auto"/>
        </w:rPr>
      </w:pPr>
    </w:p>
    <w:p>
      <w:pPr>
        <w:ind w:right="560" w:firstLine="8"/>
        <w:spacing w:after="0" w:line="277" w:lineRule="auto"/>
        <w:tabs>
          <w:tab w:leader="none" w:pos="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to the stockholder giving the notice, any Stockholder Associated Person with an interest or ownership referred to in clauses (ii) or (iii) of this paragraph (3) of this Section 11(a) and any Proposed Nominee,</w:t>
      </w:r>
    </w:p>
    <w:p>
      <w:pPr>
        <w:spacing w:after="0" w:line="170" w:lineRule="exact"/>
        <w:rPr>
          <w:sz w:val="20"/>
          <w:szCs w:val="20"/>
          <w:color w:val="auto"/>
        </w:rPr>
      </w:pPr>
    </w:p>
    <w:p>
      <w:pPr>
        <w:ind w:right="120" w:firstLine="8"/>
        <w:spacing w:after="0" w:line="277"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ind w:right="220" w:firstLine="8"/>
        <w:spacing w:after="0" w:line="263" w:lineRule="auto"/>
        <w:tabs>
          <w:tab w:leader="none" w:pos="2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4" w:lineRule="exact"/>
        <w:rPr>
          <w:sz w:val="20"/>
          <w:szCs w:val="20"/>
          <w:color w:val="auto"/>
        </w:rPr>
      </w:pPr>
    </w:p>
    <w:p>
      <w:pPr>
        <w:ind w:right="18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70" w:lineRule="exact"/>
        <w:rPr>
          <w:rFonts w:ascii="Arial" w:cs="Arial" w:eastAsia="Arial" w:hAnsi="Arial"/>
          <w:sz w:val="18"/>
          <w:szCs w:val="18"/>
          <w:color w:val="auto"/>
        </w:rPr>
      </w:pPr>
    </w:p>
    <w:p>
      <w:pPr>
        <w:ind w:right="620" w:firstLine="8"/>
        <w:spacing w:after="0" w:line="277"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sz w:val="20"/>
          <w:szCs w:val="20"/>
          <w:color w:val="auto"/>
        </w:rPr>
      </w:pPr>
    </w:p>
    <w:p>
      <w:pPr>
        <w:ind w:firstLine="8"/>
        <w:spacing w:after="0" w:line="289"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 (i) 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pacing w:after="0" w:line="166"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right="80" w:firstLine="8"/>
        <w:spacing w:after="0" w:line="259"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20" w:firstLine="8"/>
        <w:spacing w:after="0" w:line="286"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 this Section 11, is delivered to the secretary at the principal executive office of the Corporation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and not later than 5:00 p.m., 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73" w:lineRule="exact"/>
        <w:rPr>
          <w:rFonts w:ascii="Arial" w:cs="Arial" w:eastAsia="Arial" w:hAnsi="Arial"/>
          <w:sz w:val="16"/>
          <w:szCs w:val="16"/>
          <w:color w:val="auto"/>
        </w:rPr>
      </w:pPr>
    </w:p>
    <w:p>
      <w:pPr>
        <w:ind w:right="140" w:firstLine="8"/>
        <w:spacing w:after="0" w:line="259" w:lineRule="auto"/>
        <w:tabs>
          <w:tab w:leader="none" w:pos="2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secretary or the Board of Directors, any such stockholder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95"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Only such individuals who are nominated in accordance with this Section 11 shall be eligible for election by stockholders as directors, and only such</w:t>
      </w:r>
    </w:p>
    <w:p>
      <w:pPr>
        <w:spacing w:after="0" w:line="46"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9" w:lineRule="exact"/>
        <w:rPr>
          <w:rFonts w:ascii="Arial" w:cs="Arial" w:eastAsia="Arial" w:hAnsi="Arial"/>
          <w:sz w:val="16"/>
          <w:szCs w:val="16"/>
          <w:color w:val="auto"/>
        </w:rPr>
      </w:pPr>
    </w:p>
    <w:p>
      <w:pPr>
        <w:ind w:right="140" w:firstLine="8"/>
        <w:spacing w:after="0" w:line="30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purposes of this Section 11, “the date of the proxy statement” shall have the same meaning as “the date of the company’s proxy statement released to shareholders” as used in Rule 14a-8(e) promulgated under the Exchange Act, as interpreted by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57"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 and of the</w:t>
      </w:r>
    </w:p>
    <w:p>
      <w:pPr>
        <w:spacing w:after="0" w:line="46"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such stockholder or Stockholder Associated Person under Section 14(a) of the Exchange Act or the Investment Company Act.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CONTROL SHARE ACQUISITION ACT</w:t>
      </w:r>
      <w:r>
        <w:rPr>
          <w:rFonts w:ascii="Arial" w:cs="Arial" w:eastAsia="Arial" w:hAnsi="Arial"/>
          <w:sz w:val="18"/>
          <w:szCs w:val="18"/>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whole or in part, at any time, whether before or after an acquisition of control shares and, upon such repeal, may, to the extent provided by any successor bylaw, apply to any prior or subsequent control share acquisition.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under the direction of its Board of Directors.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RESIGNATION</w:t>
      </w:r>
      <w:r>
        <w:rPr>
          <w:rFonts w:ascii="Arial" w:cs="Arial" w:eastAsia="Arial" w:hAnsi="Arial"/>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Corporation by the director. Facsimile transmission notice shall be deemed to be given upon completion of the transmission of the message to the number given to the Corporation by the director and receipt of a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140"/>
        <w:spacing w:after="0" w:line="259" w:lineRule="auto"/>
        <w:rPr>
          <w:sz w:val="20"/>
          <w:szCs w:val="20"/>
          <w:color w:val="auto"/>
        </w:rPr>
      </w:pPr>
      <w:r>
        <w:rPr>
          <w:rFonts w:ascii="Arial" w:cs="Arial" w:eastAsia="Arial" w:hAnsi="Arial"/>
          <w:sz w:val="18"/>
          <w:szCs w:val="18"/>
          <w:color w:val="auto"/>
        </w:rPr>
        <w:t>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of the Corporation.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 of the Corporation.</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secretary or, in his or her absence, an assistant secretary of the Corporation, or in the absence of the secretary and all assistant secretaries, a person appointed by the Chairman, shall act as secretary of the meeting.</w:t>
      </w:r>
    </w:p>
    <w:p>
      <w:pPr>
        <w:spacing w:after="0" w:line="1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VACANCIES</w:t>
      </w:r>
      <w:r>
        <w:rPr>
          <w:rFonts w:ascii="Arial" w:cs="Arial" w:eastAsia="Arial" w:hAnsi="Arial"/>
          <w:sz w:val="17"/>
          <w:szCs w:val="17"/>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herein contained shall be construed to preclude any directors from serving the Corporation in any other capacity and receiving compensation therefore.</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22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provisions hereof, the Board of Directors shall have the power at any time to change the membership of any committee, to fill all vacancies, to</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PROVISIONS</w:t>
      </w:r>
      <w:r>
        <w:rPr>
          <w:rFonts w:ascii="Arial" w:cs="Arial" w:eastAsia="Arial" w:hAnsi="Arial"/>
          <w:sz w:val="17"/>
          <w:szCs w:val="17"/>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2" w:name="page63"/>
    <w:bookmarkEnd w:id="62"/>
    <w:p>
      <w:pPr>
        <w:ind w:right="56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REQUIRED INFORMATION</w:t>
      </w:r>
      <w:r>
        <w:rPr>
          <w:rFonts w:ascii="Arial" w:cs="Arial" w:eastAsia="Arial" w:hAnsi="Arial"/>
          <w:sz w:val="17"/>
          <w:szCs w:val="17"/>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8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8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The Board of Directors may set, in advance, a record date for the purpose of determining stockholders entitled to notice of or to vote at any</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14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2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FRACTIONAL STOCK; ISSUANCE OF UNITS</w:t>
      </w:r>
      <w:r>
        <w:rPr>
          <w:rFonts w:ascii="Arial" w:cs="Arial" w:eastAsia="Arial" w:hAnsi="Arial"/>
          <w:sz w:val="17"/>
          <w:szCs w:val="17"/>
          <w:color w:val="auto"/>
        </w:rPr>
        <w:t>. The Board of Directors may issue fractional stock or provide for the issuance of scrip, all on such terms and under such conditions as they may determine. Notwithstanding any other provision of the charter of the Corporation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 of the Corporation.</w:t>
      </w:r>
    </w:p>
    <w:p>
      <w:pPr>
        <w:spacing w:after="0" w:line="18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w:t>
      </w:r>
    </w:p>
    <w:p>
      <w:pPr>
        <w:spacing w:after="0" w:line="14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of the Corporation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INSPECTION OF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right="220"/>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of the Corporation or these Bylaws conflicts with any provision of the Investment Company Act, the applicable provision of the Investment Company Act shall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LITIGATION</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Unless the Corporation consents in writing to the selection of an alternative forum, the Circuit Court for Baltimore City, Maryland, or, if that Court does not have jurisdiction, the United States District Court for the District of Maryland, Northern Division, shall be the sole and exclusive forum for (a) any Internal Corporate Claim, as such term is defined in Section 1-101(q) of the MGCL, or any successor provision thereof, (b) any derivative action or proceeding brought on behalf of the Corporation, other than actions arising under federal securities laws, (c) any action asserting a claim of breach of any duty owed by any director or officer or other agent of the Corporation to the Corporation or to the stockholders of the Corporation, (d) any action asserting a claim against the Corporation or any director or officer or other agent of the Corporation arising pursuant to any provision of the MGCL or the charter of the Corporation or these Bylaws, or (e) any other action asserting a claim against the Corporation or any director or officer or other agent of the Corporation that is governed by the internal affairs doctrine. None of the foregoing actions, claims or proceedings may be brought in any court sitting outside the State of Maryland unless the Corporation consents in writing to such court.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BYLAWS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ectPr>
          <w:pgSz w:w="11900" w:h="16838" w:orient="portrait"/>
          <w:cols w:equalWidth="0" w:num="1">
            <w:col w:w="11240"/>
          </w:cols>
          <w:pgMar w:left="320" w:top="55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4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11,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2020,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11, 2020</w:t>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2020,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11, 2020</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lowerLetter"/>
      <w:start w:val="5"/>
    </w:lvl>
    <w:lvl w:ilvl="1">
      <w:lvlJc w:val="left"/>
      <w:lvlText w:val="%2."/>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3"/>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2"/>
    </w:lvl>
  </w:abstractNum>
  <w:abstractNum w:abstractNumId="30">
    <w:nsid w:val="51EAD36B"/>
    <w:multiLevelType w:val="hybridMultilevel"/>
    <w:lvl w:ilvl="0">
      <w:lvlJc w:val="left"/>
      <w:lvlText w:val="(%1)"/>
      <w:numFmt w:val="decimal"/>
      <w:start w:val="5"/>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upperLetter"/>
      <w:start w:val="1"/>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upperLetter"/>
      <w:start w:val="1"/>
    </w:lvl>
  </w:abstractNum>
  <w:abstractNum w:abstractNumId="37">
    <w:nsid w:val="2A487CB0"/>
    <w:multiLevelType w:val="hybridMultilevel"/>
    <w:lvl w:ilvl="0">
      <w:lvlJc w:val="left"/>
      <w:lvlText w:val="(%1)"/>
      <w:numFmt w:val="upperLetter"/>
      <w:start w:val="4"/>
    </w:lvl>
  </w:abstractNum>
  <w:abstractNum w:abstractNumId="38">
    <w:nsid w:val="1D4ED43B"/>
    <w:multiLevelType w:val="hybridMultilevel"/>
    <w:lvl w:ilvl="0">
      <w:lvlJc w:val="left"/>
      <w:lvlText w:val="(%1)"/>
      <w:numFmt w:val="lowerRoman"/>
      <w:start w:val="4"/>
    </w:lvl>
  </w:abstractNum>
  <w:abstractNum w:abstractNumId="39">
    <w:nsid w:val="725A06FB"/>
    <w:multiLevelType w:val="hybridMultilevel"/>
    <w:lvl w:ilvl="0">
      <w:lvlJc w:val="left"/>
      <w:lvlText w:val="(%1)"/>
      <w:numFmt w:val="upperLetter"/>
      <w:start w:val="1"/>
    </w:lvl>
  </w:abstractNum>
  <w:abstractNum w:abstractNumId="40">
    <w:nsid w:val="2CD89A32"/>
    <w:multiLevelType w:val="hybridMultilevel"/>
    <w:lvl w:ilvl="0">
      <w:lvlJc w:val="left"/>
      <w:lvlText w:val="(%1)"/>
      <w:numFmt w:val="lowerRoman"/>
      <w:start w:val="5"/>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80" Type="http://schemas.openxmlformats.org/officeDocument/2006/relationships/hyperlink" Target="http://www.sec.gov/Archives/edgar/data/1504619/000119312511080862/dex99a.htm" TargetMode="External"/><Relationship Id="rId81" Type="http://schemas.openxmlformats.org/officeDocument/2006/relationships/hyperlink" Target="http://www.sec.gov/Archives/edgar/data/1504619/000119312511088977/dex99d.htm" TargetMode="External"/><Relationship Id="rId82"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2020-05-12T14:54:28Z</dcterms:created>
  <dcterms:modified xsi:type="dcterms:W3CDTF">2020-05-12T14:54:28Z</dcterms:modified>
</cp:coreProperties>
</file>