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August 23, 2019</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300" w:type="dxa"/>
        <w:tblCellMar>
          <w:top w:w="0" w:type="dxa"/>
          <w:left w:w="0" w:type="dxa"/>
          <w:bottom w:w="0" w:type="dxa"/>
          <w:right w:w="0" w:type="dxa"/>
        </w:tblCellMar>
      </w:tblP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Written communications pursuant to Rule 425 under the Securities Act (17 CFR 230.425)</w:t>
            </w:r>
          </w:p>
        </w:tc>
      </w:tr>
      <w:tr>
        <w:trPr>
          <w:trHeight w:val="216"/>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30"/>
        </w:trPr>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8260" w:type="dxa"/>
            <w:vAlign w:val="bottom"/>
          </w:tcPr>
          <w:p>
            <w:pPr>
              <w:ind w:left="180"/>
              <w:spacing w:after="0"/>
              <w:rPr>
                <w:sz w:val="20"/>
                <w:szCs w:val="20"/>
                <w:color w:val="auto"/>
              </w:rPr>
            </w:pPr>
            <w:r>
              <w:rPr>
                <w:rFonts w:ascii="Arial" w:cs="Arial" w:eastAsia="Arial" w:hAnsi="Arial"/>
                <w:sz w:val="18"/>
                <w:szCs w:val="18"/>
                <w:color w:val="auto"/>
                <w:w w:val="90"/>
              </w:rPr>
              <w:t>Pre-commencement communications pursuant to Rule 14d-2(b) under the Exchange Act (17 CFR 240.14d-2(b))</w:t>
            </w:r>
          </w:p>
        </w:tc>
      </w:tr>
    </w:tbl>
    <w:p>
      <w:pPr>
        <w:ind w:right="2140" w:firstLine="291"/>
        <w:spacing w:after="0" w:line="490" w:lineRule="auto"/>
        <w:tabs>
          <w:tab w:leader="none" w:pos="478"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 Securities registered pursuant to Section 12(b) of the Act:</w:t>
      </w:r>
    </w:p>
    <w:p>
      <w:pPr>
        <w:sectPr>
          <w:pgSz w:w="11900" w:h="16838" w:orient="portrait"/>
          <w:cols w:equalWidth="0" w:num="1">
            <w:col w:w="11100"/>
          </w:cols>
          <w:pgMar w:left="320" w:top="724" w:right="479" w:bottom="1440" w:gutter="0" w:footer="0" w:header="0"/>
          <w:type w:val="continuous"/>
        </w:sectPr>
      </w:pPr>
    </w:p>
    <w:p>
      <w:pPr>
        <w:jc w:val="center"/>
        <w:ind w:left="32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2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4"/>
          <w:szCs w:val="24"/>
          <w:color w:val="auto"/>
        </w:rPr>
      </w:pPr>
      <w:r>
        <w:rPr>
          <w:sz w:val="24"/>
          <w:szCs w:val="24"/>
          <w:color w:val="auto"/>
        </w:rPr>
        <w:br w:type="column"/>
      </w:r>
    </w:p>
    <w:p>
      <w:pPr>
        <w:jc w:val="center"/>
        <w:ind w:right="180"/>
        <w:spacing w:after="0"/>
        <w:rPr>
          <w:sz w:val="20"/>
          <w:szCs w:val="20"/>
          <w:color w:val="auto"/>
        </w:rPr>
      </w:pPr>
      <w:r>
        <w:rPr>
          <w:rFonts w:ascii="Arial" w:cs="Arial" w:eastAsia="Arial" w:hAnsi="Arial"/>
          <w:sz w:val="16"/>
          <w:szCs w:val="16"/>
          <w:b w:val="1"/>
          <w:bCs w:val="1"/>
          <w:color w:val="auto"/>
        </w:rPr>
        <w:t>Trading Symbol(s)</w:t>
      </w:r>
    </w:p>
    <w:p>
      <w:pPr>
        <w:spacing w:after="0" w:line="50" w:lineRule="exact"/>
        <w:rPr>
          <w:sz w:val="24"/>
          <w:szCs w:val="24"/>
          <w:color w:val="auto"/>
        </w:rPr>
      </w:pPr>
    </w:p>
    <w:p>
      <w:pPr>
        <w:jc w:val="center"/>
        <w:ind w:right="180"/>
        <w:spacing w:after="0"/>
        <w:rPr>
          <w:sz w:val="20"/>
          <w:szCs w:val="20"/>
          <w:color w:val="auto"/>
        </w:rPr>
      </w:pPr>
      <w:r>
        <w:rPr>
          <w:rFonts w:ascii="Arial" w:cs="Arial" w:eastAsia="Arial" w:hAnsi="Arial"/>
          <w:sz w:val="18"/>
          <w:szCs w:val="18"/>
          <w:color w:val="auto"/>
        </w:rPr>
        <w:t>PFLT</w:t>
      </w:r>
    </w:p>
    <w:p>
      <w:pPr>
        <w:spacing w:after="0" w:line="20" w:lineRule="exact"/>
        <w:rPr>
          <w:sz w:val="24"/>
          <w:szCs w:val="24"/>
          <w:color w:val="auto"/>
        </w:rPr>
      </w:pPr>
      <w:r>
        <w:rPr>
          <w:sz w:val="24"/>
          <w:szCs w:val="24"/>
          <w:color w:val="auto"/>
        </w:rPr>
        <w:br w:type="column"/>
      </w:r>
    </w:p>
    <w:p>
      <w:pPr>
        <w:jc w:val="center"/>
        <w:ind w:right="340"/>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4"/>
          <w:szCs w:val="24"/>
          <w:color w:val="auto"/>
        </w:rPr>
      </w:pPr>
    </w:p>
    <w:p>
      <w:pPr>
        <w:jc w:val="center"/>
        <w:ind w:right="340"/>
        <w:spacing w:after="0"/>
        <w:rPr>
          <w:sz w:val="20"/>
          <w:szCs w:val="20"/>
          <w:color w:val="auto"/>
        </w:rPr>
      </w:pPr>
      <w:r>
        <w:rPr>
          <w:rFonts w:ascii="Arial" w:cs="Arial" w:eastAsia="Arial" w:hAnsi="Arial"/>
          <w:sz w:val="18"/>
          <w:szCs w:val="18"/>
          <w:color w:val="auto"/>
        </w:rPr>
        <w:t>The Nasdaq Stock Market LLC</w:t>
      </w:r>
    </w:p>
    <w:p>
      <w:pPr>
        <w:spacing w:after="0" w:line="200" w:lineRule="exact"/>
        <w:rPr>
          <w:sz w:val="24"/>
          <w:szCs w:val="24"/>
          <w:color w:val="auto"/>
        </w:rPr>
      </w:pPr>
    </w:p>
    <w:p>
      <w:pPr>
        <w:sectPr>
          <w:pgSz w:w="11900" w:h="16838" w:orient="portrait"/>
          <w:cols w:equalWidth="0" w:num="3">
            <w:col w:w="4200" w:space="720"/>
            <w:col w:w="1600" w:space="720"/>
            <w:col w:w="3860"/>
          </w:cols>
          <w:pgMar w:left="320" w:top="724" w:right="479" w:bottom="1440" w:gutter="0" w:footer="0" w:header="0"/>
          <w:type w:val="continuous"/>
        </w:sectPr>
      </w:pPr>
    </w:p>
    <w:p>
      <w:pPr>
        <w:spacing w:after="0" w:line="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183515</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August 26, 2019, the Registrant issued a press release, included herewith as Exhibit 99.1, and by this reference incorporated herein.</w:t>
      </w:r>
    </w:p>
    <w:p>
      <w:pPr>
        <w:spacing w:after="0" w:line="23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information disclosed under this Item 7.01, including Exhibit 99.1 hereto, is being furnished and shall not be deemed “filed” for purposes of Section 18 of the Securities Exchange Act of 1934 and shall not be deemed incorporated by reference into any filing made under the Securities Act of 1933, except as expressly set forth by specific reference in such filing.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600" w:right="9160" w:hanging="592"/>
        <w:spacing w:after="0" w:line="313" w:lineRule="auto"/>
        <w:tabs>
          <w:tab w:leader="none" w:pos="270" w:val="left"/>
        </w:tabs>
        <w:numPr>
          <w:ilvl w:val="0"/>
          <w:numId w:val="2"/>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Financial statements: </w:t>
      </w:r>
      <w:r>
        <w:rPr>
          <w:rFonts w:ascii="Arial" w:cs="Arial" w:eastAsia="Arial" w:hAnsi="Arial"/>
          <w:sz w:val="15"/>
          <w:szCs w:val="15"/>
          <w:color w:val="auto"/>
        </w:rPr>
        <w:t>None</w:t>
      </w:r>
    </w:p>
    <w:p>
      <w:pPr>
        <w:ind w:left="600" w:right="8220" w:hanging="547"/>
        <w:spacing w:after="0" w:line="250" w:lineRule="auto"/>
        <w:tabs>
          <w:tab w:leader="none" w:pos="32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600" w:right="8600" w:hanging="547"/>
        <w:spacing w:after="0" w:line="250" w:lineRule="auto"/>
        <w:tabs>
          <w:tab w:leader="none" w:pos="305"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320" w:hanging="267"/>
        <w:spacing w:after="0"/>
        <w:tabs>
          <w:tab w:leader="none" w:pos="320" w:val="left"/>
        </w:tabs>
        <w:numPr>
          <w:ilvl w:val="1"/>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600"/>
        <w:spacing w:after="0"/>
        <w:tabs>
          <w:tab w:leader="none" w:pos="116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Press Release of PennantPark Floating Rate Capital Ltd. dated August 26,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5020" w:type="dxa"/>
            <w:vAlign w:val="bottom"/>
            <w:gridSpan w:val="3"/>
          </w:tcPr>
          <w:p>
            <w:pPr>
              <w:ind w:left="1920"/>
              <w:spacing w:after="0"/>
              <w:rPr>
                <w:sz w:val="20"/>
                <w:szCs w:val="20"/>
                <w:color w:val="auto"/>
              </w:rPr>
            </w:pPr>
            <w:r>
              <w:rPr>
                <w:rFonts w:ascii="Arial" w:cs="Arial" w:eastAsia="Arial" w:hAnsi="Arial"/>
                <w:sz w:val="18"/>
                <w:szCs w:val="18"/>
                <w:b w:val="1"/>
                <w:bCs w:val="1"/>
                <w:color w:val="auto"/>
                <w:w w:val="92"/>
              </w:rPr>
              <w:t>PennantPark Floating Rate Capital Ltd.</w:t>
            </w:r>
          </w:p>
        </w:tc>
      </w:tr>
      <w:tr>
        <w:trPr>
          <w:trHeight w:val="608"/>
        </w:trPr>
        <w:tc>
          <w:tcPr>
            <w:tcW w:w="3540" w:type="dxa"/>
            <w:vAlign w:val="bottom"/>
          </w:tcPr>
          <w:p>
            <w:pPr>
              <w:spacing w:after="0"/>
              <w:rPr>
                <w:sz w:val="20"/>
                <w:szCs w:val="20"/>
                <w:color w:val="auto"/>
              </w:rPr>
            </w:pPr>
            <w:r>
              <w:rPr>
                <w:rFonts w:ascii="Arial" w:cs="Arial" w:eastAsia="Arial" w:hAnsi="Arial"/>
                <w:sz w:val="18"/>
                <w:szCs w:val="18"/>
                <w:color w:val="auto"/>
              </w:rPr>
              <w:t>Date: August 26, 2019</w:t>
            </w:r>
          </w:p>
        </w:tc>
        <w:tc>
          <w:tcPr>
            <w:tcW w:w="5020" w:type="dxa"/>
            <w:vAlign w:val="bottom"/>
            <w:gridSpan w:val="3"/>
          </w:tcPr>
          <w:p>
            <w:pPr>
              <w:ind w:left="1920"/>
              <w:spacing w:after="0"/>
              <w:rPr>
                <w:sz w:val="20"/>
                <w:szCs w:val="20"/>
                <w:color w:val="auto"/>
              </w:rPr>
            </w:pPr>
            <w:r>
              <w:rPr>
                <w:rFonts w:ascii="Arial" w:cs="Arial" w:eastAsia="Arial" w:hAnsi="Arial"/>
                <w:sz w:val="18"/>
                <w:szCs w:val="18"/>
                <w:color w:val="auto"/>
              </w:rPr>
              <w:t>By: /s/ Aviv Efrat</w:t>
            </w:r>
          </w:p>
        </w:tc>
      </w:tr>
      <w:tr>
        <w:trPr>
          <w:trHeight w:val="222"/>
        </w:trPr>
        <w:tc>
          <w:tcPr>
            <w:tcW w:w="354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1460" w:type="dxa"/>
            <w:vAlign w:val="bottom"/>
          </w:tcPr>
          <w:p>
            <w:pPr>
              <w:spacing w:after="0"/>
              <w:rPr>
                <w:sz w:val="19"/>
                <w:szCs w:val="19"/>
                <w:color w:val="auto"/>
              </w:rPr>
            </w:pPr>
          </w:p>
        </w:tc>
      </w:tr>
      <w:tr>
        <w:trPr>
          <w:trHeight w:val="230"/>
        </w:trPr>
        <w:tc>
          <w:tcPr>
            <w:tcW w:w="35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780" w:type="dxa"/>
            <w:vAlign w:val="bottom"/>
            <w:gridSpan w:val="2"/>
          </w:tcPr>
          <w:p>
            <w:pPr>
              <w:spacing w:after="0"/>
              <w:rPr>
                <w:sz w:val="20"/>
                <w:szCs w:val="20"/>
                <w:color w:val="auto"/>
              </w:rPr>
            </w:pPr>
            <w:r>
              <w:rPr>
                <w:rFonts w:ascii="Arial" w:cs="Arial" w:eastAsia="Arial" w:hAnsi="Arial"/>
                <w:sz w:val="18"/>
                <w:szCs w:val="18"/>
                <w:color w:val="auto"/>
                <w:w w:val="99"/>
              </w:rPr>
              <w:t>Chief Financial Officer &amp; Treasurer</w:t>
            </w:r>
          </w:p>
        </w:tc>
      </w:tr>
    </w:tbl>
    <w:p>
      <w:pPr>
        <w:sectPr>
          <w:pgSz w:w="11900" w:h="16838" w:orient="portrait"/>
          <w:cols w:equalWidth="0" w:num="1">
            <w:col w:w="11200"/>
          </w:cols>
          <w:pgMar w:left="320" w:top="33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Prices $301.4 Million Debut CLO</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NEW YORK, Aug. 26, 2019 (GLOBE NEWSWIRE) -- PennantPark Floating Rate Capital Ltd. (the “Company”) (NASDAQ: PFLT) (TASE: PFLT) today announced that its indirect, wholly-owned and consolidated subsidiary, PennantPark CLO I, Ltd. has priced a four year reinvestment period, twelve-year final maturity $301.4 million debt securitization in the form of a collateralized loan obligation (“CLO”). The debt issued in the CLO (the “Debt”) is structured in the following manner:</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2520" w:type="dxa"/>
            <w:vAlign w:val="bottom"/>
          </w:tcPr>
          <w:p>
            <w:pPr>
              <w:ind w:left="1280"/>
              <w:spacing w:after="0"/>
              <w:rPr>
                <w:sz w:val="20"/>
                <w:szCs w:val="20"/>
                <w:color w:val="auto"/>
              </w:rPr>
            </w:pPr>
            <w:r>
              <w:rPr>
                <w:rFonts w:ascii="Arial" w:cs="Arial" w:eastAsia="Arial" w:hAnsi="Arial"/>
                <w:sz w:val="22"/>
                <w:szCs w:val="22"/>
                <w:b w:val="1"/>
                <w:bCs w:val="1"/>
                <w:color w:val="auto"/>
              </w:rPr>
              <w:t>Class</w:t>
            </w:r>
          </w:p>
        </w:tc>
        <w:tc>
          <w:tcPr>
            <w:tcW w:w="2320" w:type="dxa"/>
            <w:vAlign w:val="bottom"/>
          </w:tcPr>
          <w:p>
            <w:pPr>
              <w:jc w:val="right"/>
              <w:ind w:right="272"/>
              <w:spacing w:after="0"/>
              <w:rPr>
                <w:sz w:val="20"/>
                <w:szCs w:val="20"/>
                <w:color w:val="auto"/>
              </w:rPr>
            </w:pPr>
            <w:r>
              <w:rPr>
                <w:rFonts w:ascii="Arial" w:cs="Arial" w:eastAsia="Arial" w:hAnsi="Arial"/>
                <w:sz w:val="22"/>
                <w:szCs w:val="22"/>
                <w:b w:val="1"/>
                <w:bCs w:val="1"/>
                <w:color w:val="auto"/>
              </w:rPr>
              <w:t>Par Amount</w:t>
            </w:r>
          </w:p>
        </w:tc>
        <w:tc>
          <w:tcPr>
            <w:tcW w:w="1480" w:type="dxa"/>
            <w:vAlign w:val="bottom"/>
          </w:tcPr>
          <w:p>
            <w:pPr>
              <w:jc w:val="right"/>
              <w:ind w:right="92"/>
              <w:spacing w:after="0"/>
              <w:rPr>
                <w:sz w:val="20"/>
                <w:szCs w:val="20"/>
                <w:color w:val="auto"/>
              </w:rPr>
            </w:pPr>
            <w:r>
              <w:rPr>
                <w:rFonts w:ascii="Arial" w:cs="Arial" w:eastAsia="Arial" w:hAnsi="Arial"/>
                <w:sz w:val="22"/>
                <w:szCs w:val="22"/>
                <w:b w:val="1"/>
                <w:bCs w:val="1"/>
                <w:color w:val="auto"/>
              </w:rPr>
              <w:t>% of Capital</w:t>
            </w:r>
          </w:p>
        </w:tc>
        <w:tc>
          <w:tcPr>
            <w:tcW w:w="1620" w:type="dxa"/>
            <w:vAlign w:val="bottom"/>
          </w:tcPr>
          <w:p>
            <w:pPr>
              <w:jc w:val="center"/>
              <w:spacing w:after="0"/>
              <w:rPr>
                <w:sz w:val="20"/>
                <w:szCs w:val="20"/>
                <w:color w:val="auto"/>
              </w:rPr>
            </w:pPr>
            <w:r>
              <w:rPr>
                <w:rFonts w:ascii="Arial" w:cs="Arial" w:eastAsia="Arial" w:hAnsi="Arial"/>
                <w:sz w:val="22"/>
                <w:szCs w:val="22"/>
                <w:b w:val="1"/>
                <w:bCs w:val="1"/>
                <w:color w:val="auto"/>
                <w:w w:val="86"/>
              </w:rPr>
              <w:t>Coupon</w:t>
            </w:r>
          </w:p>
        </w:tc>
        <w:tc>
          <w:tcPr>
            <w:tcW w:w="1760" w:type="dxa"/>
            <w:vAlign w:val="bottom"/>
          </w:tcPr>
          <w:p>
            <w:pPr>
              <w:jc w:val="center"/>
              <w:spacing w:after="0"/>
              <w:rPr>
                <w:sz w:val="20"/>
                <w:szCs w:val="20"/>
                <w:color w:val="auto"/>
              </w:rPr>
            </w:pPr>
            <w:r>
              <w:rPr>
                <w:rFonts w:ascii="Arial" w:cs="Arial" w:eastAsia="Arial" w:hAnsi="Arial"/>
                <w:sz w:val="22"/>
                <w:szCs w:val="22"/>
                <w:b w:val="1"/>
                <w:bCs w:val="1"/>
                <w:color w:val="auto"/>
                <w:w w:val="88"/>
              </w:rPr>
              <w:t>Expected Rating</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5"/>
              </w:rPr>
              <w:t>Issuance Price</w:t>
            </w:r>
          </w:p>
        </w:tc>
        <w:tc>
          <w:tcPr>
            <w:tcW w:w="0" w:type="dxa"/>
            <w:vAlign w:val="bottom"/>
          </w:tcPr>
          <w:p>
            <w:pPr>
              <w:spacing w:after="0"/>
              <w:rPr>
                <w:sz w:val="1"/>
                <w:szCs w:val="1"/>
                <w:color w:val="auto"/>
              </w:rPr>
            </w:pPr>
          </w:p>
        </w:tc>
      </w:tr>
      <w:tr>
        <w:trPr>
          <w:trHeight w:val="189"/>
        </w:trPr>
        <w:tc>
          <w:tcPr>
            <w:tcW w:w="252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tcPr>
          <w:p>
            <w:pPr>
              <w:jc w:val="right"/>
              <w:ind w:right="212"/>
              <w:spacing w:after="0" w:line="189" w:lineRule="exact"/>
              <w:rPr>
                <w:sz w:val="20"/>
                <w:szCs w:val="20"/>
                <w:color w:val="auto"/>
              </w:rPr>
            </w:pPr>
            <w:r>
              <w:rPr>
                <w:rFonts w:ascii="Arial" w:cs="Arial" w:eastAsia="Arial" w:hAnsi="Arial"/>
                <w:sz w:val="21"/>
                <w:szCs w:val="21"/>
                <w:b w:val="1"/>
                <w:bCs w:val="1"/>
                <w:color w:val="auto"/>
              </w:rPr>
              <w:t>($ in millions)</w:t>
            </w:r>
          </w:p>
        </w:tc>
        <w:tc>
          <w:tcPr>
            <w:tcW w:w="1480" w:type="dxa"/>
            <w:vAlign w:val="bottom"/>
            <w:tcBorders>
              <w:bottom w:val="single" w:sz="8" w:color="auto"/>
            </w:tcBorders>
          </w:tcPr>
          <w:p>
            <w:pPr>
              <w:jc w:val="right"/>
              <w:ind w:right="252"/>
              <w:spacing w:after="0" w:line="189" w:lineRule="exact"/>
              <w:rPr>
                <w:sz w:val="20"/>
                <w:szCs w:val="20"/>
                <w:color w:val="auto"/>
              </w:rPr>
            </w:pPr>
            <w:r>
              <w:rPr>
                <w:rFonts w:ascii="Arial" w:cs="Arial" w:eastAsia="Arial" w:hAnsi="Arial"/>
                <w:sz w:val="21"/>
                <w:szCs w:val="21"/>
                <w:b w:val="1"/>
                <w:bCs w:val="1"/>
                <w:color w:val="auto"/>
              </w:rPr>
              <w:t>Structure</w:t>
            </w:r>
          </w:p>
        </w:tc>
        <w:tc>
          <w:tcPr>
            <w:tcW w:w="16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tcPr>
          <w:p>
            <w:pPr>
              <w:jc w:val="center"/>
              <w:spacing w:after="0" w:line="189" w:lineRule="exact"/>
              <w:rPr>
                <w:sz w:val="20"/>
                <w:szCs w:val="20"/>
                <w:color w:val="auto"/>
              </w:rPr>
            </w:pPr>
            <w:r>
              <w:rPr>
                <w:rFonts w:ascii="Arial" w:cs="Arial" w:eastAsia="Arial" w:hAnsi="Arial"/>
                <w:sz w:val="21"/>
                <w:szCs w:val="21"/>
                <w:b w:val="1"/>
                <w:bCs w:val="1"/>
                <w:color w:val="auto"/>
                <w:w w:val="97"/>
              </w:rPr>
              <w:t>(S&amp;P / Fitch)</w:t>
            </w:r>
          </w:p>
        </w:tc>
        <w:tc>
          <w:tcPr>
            <w:tcW w:w="1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520" w:type="dxa"/>
            <w:vAlign w:val="bottom"/>
            <w:vMerge w:val="restart"/>
          </w:tcPr>
          <w:p>
            <w:pPr>
              <w:ind w:left="20"/>
              <w:spacing w:after="0"/>
              <w:rPr>
                <w:sz w:val="20"/>
                <w:szCs w:val="20"/>
                <w:color w:val="auto"/>
              </w:rPr>
            </w:pPr>
            <w:r>
              <w:rPr>
                <w:rFonts w:ascii="Arial" w:cs="Arial" w:eastAsia="Arial" w:hAnsi="Arial"/>
                <w:sz w:val="22"/>
                <w:szCs w:val="22"/>
                <w:color w:val="auto"/>
              </w:rPr>
              <w:t>A-1 Note</w:t>
            </w:r>
          </w:p>
        </w:tc>
        <w:tc>
          <w:tcPr>
            <w:tcW w:w="2320" w:type="dxa"/>
            <w:vAlign w:val="bottom"/>
            <w:vMerge w:val="restart"/>
          </w:tcPr>
          <w:p>
            <w:pPr>
              <w:jc w:val="right"/>
              <w:spacing w:after="0"/>
              <w:rPr>
                <w:sz w:val="20"/>
                <w:szCs w:val="20"/>
                <w:color w:val="auto"/>
              </w:rPr>
            </w:pPr>
            <w:r>
              <w:rPr>
                <w:rFonts w:ascii="Arial" w:cs="Arial" w:eastAsia="Arial" w:hAnsi="Arial"/>
                <w:sz w:val="22"/>
                <w:szCs w:val="22"/>
                <w:color w:val="auto"/>
              </w:rPr>
              <w:t>$78.5</w:t>
            </w:r>
          </w:p>
        </w:tc>
        <w:tc>
          <w:tcPr>
            <w:tcW w:w="1480" w:type="dxa"/>
            <w:vAlign w:val="bottom"/>
            <w:vMerge w:val="restart"/>
          </w:tcPr>
          <w:p>
            <w:pPr>
              <w:jc w:val="right"/>
              <w:ind w:right="52"/>
              <w:spacing w:after="0"/>
              <w:rPr>
                <w:sz w:val="20"/>
                <w:szCs w:val="20"/>
                <w:color w:val="auto"/>
              </w:rPr>
            </w:pPr>
            <w:r>
              <w:rPr>
                <w:rFonts w:ascii="Arial" w:cs="Arial" w:eastAsia="Arial" w:hAnsi="Arial"/>
                <w:sz w:val="22"/>
                <w:szCs w:val="22"/>
                <w:color w:val="auto"/>
              </w:rPr>
              <w:t>26.0%</w:t>
            </w:r>
          </w:p>
        </w:tc>
        <w:tc>
          <w:tcPr>
            <w:tcW w:w="1620" w:type="dxa"/>
            <w:vAlign w:val="bottom"/>
          </w:tcPr>
          <w:p>
            <w:pPr>
              <w:jc w:val="center"/>
              <w:spacing w:after="0" w:line="228" w:lineRule="exact"/>
              <w:rPr>
                <w:sz w:val="20"/>
                <w:szCs w:val="20"/>
                <w:color w:val="auto"/>
              </w:rPr>
            </w:pPr>
            <w:r>
              <w:rPr>
                <w:rFonts w:ascii="Arial" w:cs="Arial" w:eastAsia="Arial" w:hAnsi="Arial"/>
                <w:sz w:val="22"/>
                <w:szCs w:val="22"/>
                <w:color w:val="auto"/>
                <w:w w:val="95"/>
              </w:rPr>
              <w:t>3 Mo LIBOR +</w:t>
            </w:r>
          </w:p>
        </w:tc>
        <w:tc>
          <w:tcPr>
            <w:tcW w:w="1760" w:type="dxa"/>
            <w:vAlign w:val="bottom"/>
            <w:vMerge w:val="restart"/>
          </w:tcPr>
          <w:p>
            <w:pPr>
              <w:jc w:val="center"/>
              <w:spacing w:after="0"/>
              <w:rPr>
                <w:sz w:val="20"/>
                <w:szCs w:val="20"/>
                <w:color w:val="auto"/>
              </w:rPr>
            </w:pPr>
            <w:r>
              <w:rPr>
                <w:rFonts w:ascii="Arial" w:cs="Arial" w:eastAsia="Arial" w:hAnsi="Arial"/>
                <w:sz w:val="22"/>
                <w:szCs w:val="22"/>
                <w:color w:val="auto"/>
              </w:rPr>
              <w:t>AAA / AAA</w:t>
            </w:r>
          </w:p>
        </w:tc>
        <w:tc>
          <w:tcPr>
            <w:tcW w:w="1540" w:type="dxa"/>
            <w:vAlign w:val="bottom"/>
            <w:vMerge w:val="restart"/>
          </w:tcPr>
          <w:p>
            <w:pPr>
              <w:jc w:val="center"/>
              <w:spacing w:after="0"/>
              <w:rPr>
                <w:sz w:val="20"/>
                <w:szCs w:val="20"/>
                <w:color w:val="auto"/>
              </w:rPr>
            </w:pPr>
            <w:r>
              <w:rPr>
                <w:rFonts w:ascii="Arial" w:cs="Arial" w:eastAsia="Arial" w:hAnsi="Arial"/>
                <w:sz w:val="22"/>
                <w:szCs w:val="22"/>
                <w:color w:val="auto"/>
                <w:w w:val="89"/>
              </w:rPr>
              <w:t>100.00%</w:t>
            </w:r>
          </w:p>
        </w:tc>
        <w:tc>
          <w:tcPr>
            <w:tcW w:w="0" w:type="dxa"/>
            <w:vAlign w:val="bottom"/>
          </w:tcPr>
          <w:p>
            <w:pPr>
              <w:spacing w:after="0"/>
              <w:rPr>
                <w:sz w:val="1"/>
                <w:szCs w:val="1"/>
                <w:color w:val="auto"/>
              </w:rPr>
            </w:pPr>
          </w:p>
        </w:tc>
      </w:tr>
      <w:tr>
        <w:trPr>
          <w:trHeight w:val="153"/>
        </w:trPr>
        <w:tc>
          <w:tcPr>
            <w:tcW w:w="2520" w:type="dxa"/>
            <w:vAlign w:val="bottom"/>
            <w:vMerge w:val="continue"/>
          </w:tcPr>
          <w:p>
            <w:pPr>
              <w:spacing w:after="0"/>
              <w:rPr>
                <w:sz w:val="13"/>
                <w:szCs w:val="13"/>
                <w:color w:val="auto"/>
              </w:rPr>
            </w:pPr>
          </w:p>
        </w:tc>
        <w:tc>
          <w:tcPr>
            <w:tcW w:w="23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1620" w:type="dxa"/>
            <w:vAlign w:val="bottom"/>
            <w:vMerge w:val="restart"/>
          </w:tcPr>
          <w:p>
            <w:pPr>
              <w:jc w:val="center"/>
              <w:spacing w:after="0"/>
              <w:rPr>
                <w:sz w:val="20"/>
                <w:szCs w:val="20"/>
                <w:color w:val="auto"/>
              </w:rPr>
            </w:pPr>
            <w:r>
              <w:rPr>
                <w:rFonts w:ascii="Arial" w:cs="Arial" w:eastAsia="Arial" w:hAnsi="Arial"/>
                <w:sz w:val="22"/>
                <w:szCs w:val="22"/>
                <w:color w:val="auto"/>
                <w:w w:val="89"/>
              </w:rPr>
              <w:t>1.80%</w:t>
            </w:r>
          </w:p>
        </w:tc>
        <w:tc>
          <w:tcPr>
            <w:tcW w:w="176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5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17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520" w:type="dxa"/>
            <w:vAlign w:val="bottom"/>
            <w:vMerge w:val="restart"/>
          </w:tcPr>
          <w:p>
            <w:pPr>
              <w:ind w:left="20"/>
              <w:spacing w:after="0"/>
              <w:rPr>
                <w:sz w:val="20"/>
                <w:szCs w:val="20"/>
                <w:color w:val="auto"/>
              </w:rPr>
            </w:pPr>
            <w:r>
              <w:rPr>
                <w:rFonts w:ascii="Arial" w:cs="Arial" w:eastAsia="Arial" w:hAnsi="Arial"/>
                <w:sz w:val="22"/>
                <w:szCs w:val="22"/>
                <w:color w:val="auto"/>
              </w:rPr>
              <w:t>A-1 Loan</w:t>
            </w:r>
          </w:p>
        </w:tc>
        <w:tc>
          <w:tcPr>
            <w:tcW w:w="2320" w:type="dxa"/>
            <w:vAlign w:val="bottom"/>
            <w:vMerge w:val="restart"/>
          </w:tcPr>
          <w:p>
            <w:pPr>
              <w:jc w:val="right"/>
              <w:spacing w:after="0"/>
              <w:rPr>
                <w:sz w:val="20"/>
                <w:szCs w:val="20"/>
                <w:color w:val="auto"/>
              </w:rPr>
            </w:pPr>
            <w:r>
              <w:rPr>
                <w:rFonts w:ascii="Arial" w:cs="Arial" w:eastAsia="Arial" w:hAnsi="Arial"/>
                <w:sz w:val="22"/>
                <w:szCs w:val="22"/>
                <w:color w:val="auto"/>
              </w:rPr>
              <w:t>$77.5</w:t>
            </w:r>
          </w:p>
        </w:tc>
        <w:tc>
          <w:tcPr>
            <w:tcW w:w="1480" w:type="dxa"/>
            <w:vAlign w:val="bottom"/>
            <w:vMerge w:val="restart"/>
          </w:tcPr>
          <w:p>
            <w:pPr>
              <w:jc w:val="right"/>
              <w:ind w:right="52"/>
              <w:spacing w:after="0"/>
              <w:rPr>
                <w:sz w:val="20"/>
                <w:szCs w:val="20"/>
                <w:color w:val="auto"/>
              </w:rPr>
            </w:pPr>
            <w:r>
              <w:rPr>
                <w:rFonts w:ascii="Arial" w:cs="Arial" w:eastAsia="Arial" w:hAnsi="Arial"/>
                <w:sz w:val="22"/>
                <w:szCs w:val="22"/>
                <w:color w:val="auto"/>
              </w:rPr>
              <w:t>25.7%</w:t>
            </w:r>
          </w:p>
        </w:tc>
        <w:tc>
          <w:tcPr>
            <w:tcW w:w="1620" w:type="dxa"/>
            <w:vAlign w:val="bottom"/>
          </w:tcPr>
          <w:p>
            <w:pPr>
              <w:jc w:val="center"/>
              <w:spacing w:after="0" w:line="243" w:lineRule="exact"/>
              <w:rPr>
                <w:sz w:val="20"/>
                <w:szCs w:val="20"/>
                <w:color w:val="auto"/>
              </w:rPr>
            </w:pPr>
            <w:r>
              <w:rPr>
                <w:rFonts w:ascii="Arial" w:cs="Arial" w:eastAsia="Arial" w:hAnsi="Arial"/>
                <w:sz w:val="22"/>
                <w:szCs w:val="22"/>
                <w:color w:val="auto"/>
                <w:w w:val="95"/>
              </w:rPr>
              <w:t>3 Mo. LIBOR+</w:t>
            </w:r>
          </w:p>
        </w:tc>
        <w:tc>
          <w:tcPr>
            <w:tcW w:w="1760" w:type="dxa"/>
            <w:vAlign w:val="bottom"/>
            <w:vMerge w:val="restart"/>
          </w:tcPr>
          <w:p>
            <w:pPr>
              <w:jc w:val="center"/>
              <w:spacing w:after="0"/>
              <w:rPr>
                <w:sz w:val="20"/>
                <w:szCs w:val="20"/>
                <w:color w:val="auto"/>
              </w:rPr>
            </w:pPr>
            <w:r>
              <w:rPr>
                <w:rFonts w:ascii="Arial" w:cs="Arial" w:eastAsia="Arial" w:hAnsi="Arial"/>
                <w:sz w:val="22"/>
                <w:szCs w:val="22"/>
                <w:color w:val="auto"/>
              </w:rPr>
              <w:t>AAA/AAA</w:t>
            </w:r>
          </w:p>
        </w:tc>
        <w:tc>
          <w:tcPr>
            <w:tcW w:w="1540" w:type="dxa"/>
            <w:vAlign w:val="bottom"/>
            <w:vMerge w:val="restart"/>
          </w:tcPr>
          <w:p>
            <w:pPr>
              <w:jc w:val="center"/>
              <w:spacing w:after="0"/>
              <w:rPr>
                <w:sz w:val="20"/>
                <w:szCs w:val="20"/>
                <w:color w:val="auto"/>
              </w:rPr>
            </w:pPr>
            <w:r>
              <w:rPr>
                <w:rFonts w:ascii="Arial" w:cs="Arial" w:eastAsia="Arial" w:hAnsi="Arial"/>
                <w:sz w:val="22"/>
                <w:szCs w:val="22"/>
                <w:color w:val="auto"/>
                <w:w w:val="89"/>
              </w:rPr>
              <w:t>100.00%</w:t>
            </w:r>
          </w:p>
        </w:tc>
        <w:tc>
          <w:tcPr>
            <w:tcW w:w="0" w:type="dxa"/>
            <w:vAlign w:val="bottom"/>
          </w:tcPr>
          <w:p>
            <w:pPr>
              <w:spacing w:after="0"/>
              <w:rPr>
                <w:sz w:val="1"/>
                <w:szCs w:val="1"/>
                <w:color w:val="auto"/>
              </w:rPr>
            </w:pPr>
          </w:p>
        </w:tc>
      </w:tr>
      <w:tr>
        <w:trPr>
          <w:trHeight w:val="153"/>
        </w:trPr>
        <w:tc>
          <w:tcPr>
            <w:tcW w:w="2520" w:type="dxa"/>
            <w:vAlign w:val="bottom"/>
            <w:vMerge w:val="continue"/>
          </w:tcPr>
          <w:p>
            <w:pPr>
              <w:spacing w:after="0"/>
              <w:rPr>
                <w:sz w:val="13"/>
                <w:szCs w:val="13"/>
                <w:color w:val="auto"/>
              </w:rPr>
            </w:pPr>
          </w:p>
        </w:tc>
        <w:tc>
          <w:tcPr>
            <w:tcW w:w="23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1620" w:type="dxa"/>
            <w:vAlign w:val="bottom"/>
            <w:vMerge w:val="restart"/>
          </w:tcPr>
          <w:p>
            <w:pPr>
              <w:jc w:val="center"/>
              <w:spacing w:after="0"/>
              <w:rPr>
                <w:sz w:val="20"/>
                <w:szCs w:val="20"/>
                <w:color w:val="auto"/>
              </w:rPr>
            </w:pPr>
            <w:r>
              <w:rPr>
                <w:rFonts w:ascii="Arial" w:cs="Arial" w:eastAsia="Arial" w:hAnsi="Arial"/>
                <w:sz w:val="22"/>
                <w:szCs w:val="22"/>
                <w:color w:val="auto"/>
                <w:w w:val="89"/>
              </w:rPr>
              <w:t>1.80%</w:t>
            </w:r>
          </w:p>
        </w:tc>
        <w:tc>
          <w:tcPr>
            <w:tcW w:w="176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5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17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2520" w:type="dxa"/>
            <w:vAlign w:val="bottom"/>
          </w:tcPr>
          <w:p>
            <w:pPr>
              <w:ind w:left="20"/>
              <w:spacing w:after="0"/>
              <w:rPr>
                <w:sz w:val="20"/>
                <w:szCs w:val="20"/>
                <w:color w:val="auto"/>
              </w:rPr>
            </w:pPr>
            <w:r>
              <w:rPr>
                <w:rFonts w:ascii="Arial" w:cs="Arial" w:eastAsia="Arial" w:hAnsi="Arial"/>
                <w:sz w:val="22"/>
                <w:szCs w:val="22"/>
                <w:color w:val="auto"/>
              </w:rPr>
              <w:t>A-2 Fixed</w:t>
            </w:r>
          </w:p>
        </w:tc>
        <w:tc>
          <w:tcPr>
            <w:tcW w:w="2320" w:type="dxa"/>
            <w:vAlign w:val="bottom"/>
          </w:tcPr>
          <w:p>
            <w:pPr>
              <w:jc w:val="right"/>
              <w:spacing w:after="0"/>
              <w:rPr>
                <w:sz w:val="20"/>
                <w:szCs w:val="20"/>
                <w:color w:val="auto"/>
              </w:rPr>
            </w:pPr>
            <w:r>
              <w:rPr>
                <w:rFonts w:ascii="Arial" w:cs="Arial" w:eastAsia="Arial" w:hAnsi="Arial"/>
                <w:sz w:val="22"/>
                <w:szCs w:val="22"/>
                <w:color w:val="auto"/>
              </w:rPr>
              <w:t>$15.0</w:t>
            </w:r>
          </w:p>
        </w:tc>
        <w:tc>
          <w:tcPr>
            <w:tcW w:w="1480" w:type="dxa"/>
            <w:vAlign w:val="bottom"/>
          </w:tcPr>
          <w:p>
            <w:pPr>
              <w:jc w:val="right"/>
              <w:ind w:right="52"/>
              <w:spacing w:after="0"/>
              <w:rPr>
                <w:sz w:val="20"/>
                <w:szCs w:val="20"/>
                <w:color w:val="auto"/>
              </w:rPr>
            </w:pPr>
            <w:r>
              <w:rPr>
                <w:rFonts w:ascii="Arial" w:cs="Arial" w:eastAsia="Arial" w:hAnsi="Arial"/>
                <w:sz w:val="22"/>
                <w:szCs w:val="22"/>
                <w:color w:val="auto"/>
              </w:rPr>
              <w:t>5.0%</w:t>
            </w:r>
          </w:p>
        </w:tc>
        <w:tc>
          <w:tcPr>
            <w:tcW w:w="1620" w:type="dxa"/>
            <w:vAlign w:val="bottom"/>
          </w:tcPr>
          <w:p>
            <w:pPr>
              <w:jc w:val="center"/>
              <w:spacing w:after="0"/>
              <w:rPr>
                <w:sz w:val="20"/>
                <w:szCs w:val="20"/>
                <w:color w:val="auto"/>
              </w:rPr>
            </w:pPr>
            <w:r>
              <w:rPr>
                <w:rFonts w:ascii="Arial" w:cs="Arial" w:eastAsia="Arial" w:hAnsi="Arial"/>
                <w:sz w:val="22"/>
                <w:szCs w:val="22"/>
                <w:color w:val="auto"/>
                <w:w w:val="89"/>
              </w:rPr>
              <w:t>3.66%</w:t>
            </w:r>
          </w:p>
        </w:tc>
        <w:tc>
          <w:tcPr>
            <w:tcW w:w="1760" w:type="dxa"/>
            <w:vAlign w:val="bottom"/>
          </w:tcPr>
          <w:p>
            <w:pPr>
              <w:jc w:val="center"/>
              <w:spacing w:after="0"/>
              <w:rPr>
                <w:sz w:val="20"/>
                <w:szCs w:val="20"/>
                <w:color w:val="auto"/>
              </w:rPr>
            </w:pPr>
            <w:r>
              <w:rPr>
                <w:rFonts w:ascii="Arial" w:cs="Arial" w:eastAsia="Arial" w:hAnsi="Arial"/>
                <w:sz w:val="22"/>
                <w:szCs w:val="22"/>
                <w:color w:val="auto"/>
                <w:w w:val="99"/>
              </w:rPr>
              <w:t>AAA / NR</w:t>
            </w:r>
          </w:p>
        </w:tc>
        <w:tc>
          <w:tcPr>
            <w:tcW w:w="1540" w:type="dxa"/>
            <w:vAlign w:val="bottom"/>
          </w:tcPr>
          <w:p>
            <w:pPr>
              <w:jc w:val="center"/>
              <w:spacing w:after="0"/>
              <w:rPr>
                <w:sz w:val="20"/>
                <w:szCs w:val="20"/>
                <w:color w:val="auto"/>
              </w:rPr>
            </w:pPr>
            <w:r>
              <w:rPr>
                <w:rFonts w:ascii="Arial" w:cs="Arial" w:eastAsia="Arial" w:hAnsi="Arial"/>
                <w:sz w:val="22"/>
                <w:szCs w:val="22"/>
                <w:color w:val="auto"/>
                <w:w w:val="89"/>
              </w:rPr>
              <w:t>100.00%</w:t>
            </w:r>
          </w:p>
        </w:tc>
        <w:tc>
          <w:tcPr>
            <w:tcW w:w="0" w:type="dxa"/>
            <w:vAlign w:val="bottom"/>
          </w:tcPr>
          <w:p>
            <w:pPr>
              <w:spacing w:after="0"/>
              <w:rPr>
                <w:sz w:val="1"/>
                <w:szCs w:val="1"/>
                <w:color w:val="auto"/>
              </w:rPr>
            </w:pPr>
          </w:p>
        </w:tc>
      </w:tr>
      <w:tr>
        <w:trPr>
          <w:trHeight w:val="243"/>
        </w:trPr>
        <w:tc>
          <w:tcPr>
            <w:tcW w:w="2520" w:type="dxa"/>
            <w:vAlign w:val="bottom"/>
            <w:vMerge w:val="restart"/>
          </w:tcPr>
          <w:p>
            <w:pPr>
              <w:ind w:left="20"/>
              <w:spacing w:after="0"/>
              <w:rPr>
                <w:sz w:val="20"/>
                <w:szCs w:val="20"/>
                <w:color w:val="auto"/>
              </w:rPr>
            </w:pPr>
            <w:r>
              <w:rPr>
                <w:rFonts w:ascii="Arial" w:cs="Arial" w:eastAsia="Arial" w:hAnsi="Arial"/>
                <w:sz w:val="22"/>
                <w:szCs w:val="22"/>
                <w:color w:val="auto"/>
              </w:rPr>
              <w:t>B-1 Float</w:t>
            </w:r>
          </w:p>
        </w:tc>
        <w:tc>
          <w:tcPr>
            <w:tcW w:w="2320" w:type="dxa"/>
            <w:vAlign w:val="bottom"/>
            <w:vMerge w:val="restart"/>
          </w:tcPr>
          <w:p>
            <w:pPr>
              <w:jc w:val="right"/>
              <w:spacing w:after="0"/>
              <w:rPr>
                <w:sz w:val="20"/>
                <w:szCs w:val="20"/>
                <w:color w:val="auto"/>
              </w:rPr>
            </w:pPr>
            <w:r>
              <w:rPr>
                <w:rFonts w:ascii="Arial" w:cs="Arial" w:eastAsia="Arial" w:hAnsi="Arial"/>
                <w:sz w:val="22"/>
                <w:szCs w:val="22"/>
                <w:color w:val="auto"/>
              </w:rPr>
              <w:t>$14.0</w:t>
            </w:r>
          </w:p>
        </w:tc>
        <w:tc>
          <w:tcPr>
            <w:tcW w:w="1480" w:type="dxa"/>
            <w:vAlign w:val="bottom"/>
            <w:vMerge w:val="restart"/>
          </w:tcPr>
          <w:p>
            <w:pPr>
              <w:jc w:val="right"/>
              <w:ind w:right="52"/>
              <w:spacing w:after="0"/>
              <w:rPr>
                <w:sz w:val="20"/>
                <w:szCs w:val="20"/>
                <w:color w:val="auto"/>
              </w:rPr>
            </w:pPr>
            <w:r>
              <w:rPr>
                <w:rFonts w:ascii="Arial" w:cs="Arial" w:eastAsia="Arial" w:hAnsi="Arial"/>
                <w:sz w:val="22"/>
                <w:szCs w:val="22"/>
                <w:color w:val="auto"/>
              </w:rPr>
              <w:t>4.6%</w:t>
            </w:r>
          </w:p>
        </w:tc>
        <w:tc>
          <w:tcPr>
            <w:tcW w:w="1620" w:type="dxa"/>
            <w:vAlign w:val="bottom"/>
          </w:tcPr>
          <w:p>
            <w:pPr>
              <w:jc w:val="center"/>
              <w:spacing w:after="0" w:line="243" w:lineRule="exact"/>
              <w:rPr>
                <w:sz w:val="20"/>
                <w:szCs w:val="20"/>
                <w:color w:val="auto"/>
              </w:rPr>
            </w:pPr>
            <w:r>
              <w:rPr>
                <w:rFonts w:ascii="Arial" w:cs="Arial" w:eastAsia="Arial" w:hAnsi="Arial"/>
                <w:sz w:val="22"/>
                <w:szCs w:val="22"/>
                <w:color w:val="auto"/>
                <w:w w:val="95"/>
              </w:rPr>
              <w:t>3 Mo LIBOR +</w:t>
            </w:r>
          </w:p>
        </w:tc>
        <w:tc>
          <w:tcPr>
            <w:tcW w:w="1760" w:type="dxa"/>
            <w:vAlign w:val="bottom"/>
            <w:vMerge w:val="restart"/>
          </w:tcPr>
          <w:p>
            <w:pPr>
              <w:jc w:val="center"/>
              <w:spacing w:after="0"/>
              <w:rPr>
                <w:sz w:val="20"/>
                <w:szCs w:val="20"/>
                <w:color w:val="auto"/>
              </w:rPr>
            </w:pPr>
            <w:r>
              <w:rPr>
                <w:rFonts w:ascii="Arial" w:cs="Arial" w:eastAsia="Arial" w:hAnsi="Arial"/>
                <w:sz w:val="22"/>
                <w:szCs w:val="22"/>
                <w:color w:val="auto"/>
              </w:rPr>
              <w:t>AA/NR</w:t>
            </w:r>
          </w:p>
        </w:tc>
        <w:tc>
          <w:tcPr>
            <w:tcW w:w="1540" w:type="dxa"/>
            <w:vAlign w:val="bottom"/>
            <w:vMerge w:val="restart"/>
          </w:tcPr>
          <w:p>
            <w:pPr>
              <w:jc w:val="center"/>
              <w:spacing w:after="0"/>
              <w:rPr>
                <w:sz w:val="20"/>
                <w:szCs w:val="20"/>
                <w:color w:val="auto"/>
              </w:rPr>
            </w:pPr>
            <w:r>
              <w:rPr>
                <w:rFonts w:ascii="Arial" w:cs="Arial" w:eastAsia="Arial" w:hAnsi="Arial"/>
                <w:sz w:val="22"/>
                <w:szCs w:val="22"/>
                <w:color w:val="auto"/>
                <w:w w:val="89"/>
              </w:rPr>
              <w:t>100.00%</w:t>
            </w:r>
          </w:p>
        </w:tc>
        <w:tc>
          <w:tcPr>
            <w:tcW w:w="0" w:type="dxa"/>
            <w:vAlign w:val="bottom"/>
          </w:tcPr>
          <w:p>
            <w:pPr>
              <w:spacing w:after="0"/>
              <w:rPr>
                <w:sz w:val="1"/>
                <w:szCs w:val="1"/>
                <w:color w:val="auto"/>
              </w:rPr>
            </w:pPr>
          </w:p>
        </w:tc>
      </w:tr>
      <w:tr>
        <w:trPr>
          <w:trHeight w:val="153"/>
        </w:trPr>
        <w:tc>
          <w:tcPr>
            <w:tcW w:w="2520" w:type="dxa"/>
            <w:vAlign w:val="bottom"/>
            <w:vMerge w:val="continue"/>
          </w:tcPr>
          <w:p>
            <w:pPr>
              <w:spacing w:after="0"/>
              <w:rPr>
                <w:sz w:val="13"/>
                <w:szCs w:val="13"/>
                <w:color w:val="auto"/>
              </w:rPr>
            </w:pPr>
          </w:p>
        </w:tc>
        <w:tc>
          <w:tcPr>
            <w:tcW w:w="23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1620" w:type="dxa"/>
            <w:vAlign w:val="bottom"/>
            <w:vMerge w:val="restart"/>
          </w:tcPr>
          <w:p>
            <w:pPr>
              <w:jc w:val="center"/>
              <w:spacing w:after="0"/>
              <w:rPr>
                <w:sz w:val="20"/>
                <w:szCs w:val="20"/>
                <w:color w:val="auto"/>
              </w:rPr>
            </w:pPr>
            <w:r>
              <w:rPr>
                <w:rFonts w:ascii="Arial" w:cs="Arial" w:eastAsia="Arial" w:hAnsi="Arial"/>
                <w:sz w:val="22"/>
                <w:szCs w:val="22"/>
                <w:color w:val="auto"/>
                <w:w w:val="89"/>
              </w:rPr>
              <w:t>2.90%</w:t>
            </w:r>
          </w:p>
        </w:tc>
        <w:tc>
          <w:tcPr>
            <w:tcW w:w="176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5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17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2520" w:type="dxa"/>
            <w:vAlign w:val="bottom"/>
          </w:tcPr>
          <w:p>
            <w:pPr>
              <w:ind w:left="20"/>
              <w:spacing w:after="0"/>
              <w:rPr>
                <w:sz w:val="20"/>
                <w:szCs w:val="20"/>
                <w:color w:val="auto"/>
              </w:rPr>
            </w:pPr>
            <w:r>
              <w:rPr>
                <w:rFonts w:ascii="Arial" w:cs="Arial" w:eastAsia="Arial" w:hAnsi="Arial"/>
                <w:sz w:val="22"/>
                <w:szCs w:val="22"/>
                <w:color w:val="auto"/>
              </w:rPr>
              <w:t>B-2 Fixed</w:t>
            </w:r>
          </w:p>
        </w:tc>
        <w:tc>
          <w:tcPr>
            <w:tcW w:w="2320" w:type="dxa"/>
            <w:vAlign w:val="bottom"/>
          </w:tcPr>
          <w:p>
            <w:pPr>
              <w:jc w:val="right"/>
              <w:spacing w:after="0"/>
              <w:rPr>
                <w:sz w:val="20"/>
                <w:szCs w:val="20"/>
                <w:color w:val="auto"/>
              </w:rPr>
            </w:pPr>
            <w:r>
              <w:rPr>
                <w:rFonts w:ascii="Arial" w:cs="Arial" w:eastAsia="Arial" w:hAnsi="Arial"/>
                <w:sz w:val="22"/>
                <w:szCs w:val="22"/>
                <w:color w:val="auto"/>
              </w:rPr>
              <w:t>$16.0</w:t>
            </w:r>
          </w:p>
        </w:tc>
        <w:tc>
          <w:tcPr>
            <w:tcW w:w="1480" w:type="dxa"/>
            <w:vAlign w:val="bottom"/>
          </w:tcPr>
          <w:p>
            <w:pPr>
              <w:jc w:val="right"/>
              <w:ind w:right="52"/>
              <w:spacing w:after="0"/>
              <w:rPr>
                <w:sz w:val="20"/>
                <w:szCs w:val="20"/>
                <w:color w:val="auto"/>
              </w:rPr>
            </w:pPr>
            <w:r>
              <w:rPr>
                <w:rFonts w:ascii="Arial" w:cs="Arial" w:eastAsia="Arial" w:hAnsi="Arial"/>
                <w:sz w:val="22"/>
                <w:szCs w:val="22"/>
                <w:color w:val="auto"/>
              </w:rPr>
              <w:t>5.3%</w:t>
            </w:r>
          </w:p>
        </w:tc>
        <w:tc>
          <w:tcPr>
            <w:tcW w:w="1620" w:type="dxa"/>
            <w:vAlign w:val="bottom"/>
          </w:tcPr>
          <w:p>
            <w:pPr>
              <w:jc w:val="center"/>
              <w:spacing w:after="0"/>
              <w:rPr>
                <w:sz w:val="20"/>
                <w:szCs w:val="20"/>
                <w:color w:val="auto"/>
              </w:rPr>
            </w:pPr>
            <w:r>
              <w:rPr>
                <w:rFonts w:ascii="Arial" w:cs="Arial" w:eastAsia="Arial" w:hAnsi="Arial"/>
                <w:sz w:val="22"/>
                <w:szCs w:val="22"/>
                <w:color w:val="auto"/>
                <w:w w:val="89"/>
              </w:rPr>
              <w:t>4.27%</w:t>
            </w:r>
          </w:p>
        </w:tc>
        <w:tc>
          <w:tcPr>
            <w:tcW w:w="1760" w:type="dxa"/>
            <w:vAlign w:val="bottom"/>
          </w:tcPr>
          <w:p>
            <w:pPr>
              <w:jc w:val="center"/>
              <w:spacing w:after="0"/>
              <w:rPr>
                <w:sz w:val="20"/>
                <w:szCs w:val="20"/>
                <w:color w:val="auto"/>
              </w:rPr>
            </w:pPr>
            <w:r>
              <w:rPr>
                <w:rFonts w:ascii="Arial" w:cs="Arial" w:eastAsia="Arial" w:hAnsi="Arial"/>
                <w:sz w:val="22"/>
                <w:szCs w:val="22"/>
                <w:color w:val="auto"/>
              </w:rPr>
              <w:t>AA/NR</w:t>
            </w:r>
          </w:p>
        </w:tc>
        <w:tc>
          <w:tcPr>
            <w:tcW w:w="1540" w:type="dxa"/>
            <w:vAlign w:val="bottom"/>
          </w:tcPr>
          <w:p>
            <w:pPr>
              <w:jc w:val="center"/>
              <w:spacing w:after="0"/>
              <w:rPr>
                <w:sz w:val="20"/>
                <w:szCs w:val="20"/>
                <w:color w:val="auto"/>
              </w:rPr>
            </w:pPr>
            <w:r>
              <w:rPr>
                <w:rFonts w:ascii="Arial" w:cs="Arial" w:eastAsia="Arial" w:hAnsi="Arial"/>
                <w:sz w:val="22"/>
                <w:szCs w:val="22"/>
                <w:color w:val="auto"/>
                <w:w w:val="89"/>
              </w:rPr>
              <w:t>100.00%</w:t>
            </w:r>
          </w:p>
        </w:tc>
        <w:tc>
          <w:tcPr>
            <w:tcW w:w="0" w:type="dxa"/>
            <w:vAlign w:val="bottom"/>
          </w:tcPr>
          <w:p>
            <w:pPr>
              <w:spacing w:after="0"/>
              <w:rPr>
                <w:sz w:val="1"/>
                <w:szCs w:val="1"/>
                <w:color w:val="auto"/>
              </w:rPr>
            </w:pPr>
          </w:p>
        </w:tc>
      </w:tr>
      <w:tr>
        <w:trPr>
          <w:trHeight w:val="243"/>
        </w:trPr>
        <w:tc>
          <w:tcPr>
            <w:tcW w:w="2520" w:type="dxa"/>
            <w:vAlign w:val="bottom"/>
            <w:vMerge w:val="restart"/>
          </w:tcPr>
          <w:p>
            <w:pPr>
              <w:ind w:left="20"/>
              <w:spacing w:after="0"/>
              <w:rPr>
                <w:sz w:val="20"/>
                <w:szCs w:val="20"/>
                <w:color w:val="auto"/>
              </w:rPr>
            </w:pPr>
            <w:r>
              <w:rPr>
                <w:rFonts w:ascii="Arial" w:cs="Arial" w:eastAsia="Arial" w:hAnsi="Arial"/>
                <w:sz w:val="22"/>
                <w:szCs w:val="22"/>
                <w:color w:val="auto"/>
              </w:rPr>
              <w:t>C-1 Float</w:t>
            </w:r>
          </w:p>
        </w:tc>
        <w:tc>
          <w:tcPr>
            <w:tcW w:w="2320" w:type="dxa"/>
            <w:vAlign w:val="bottom"/>
            <w:vMerge w:val="restart"/>
          </w:tcPr>
          <w:p>
            <w:pPr>
              <w:jc w:val="right"/>
              <w:spacing w:after="0"/>
              <w:rPr>
                <w:sz w:val="20"/>
                <w:szCs w:val="20"/>
                <w:color w:val="auto"/>
              </w:rPr>
            </w:pPr>
            <w:r>
              <w:rPr>
                <w:rFonts w:ascii="Arial" w:cs="Arial" w:eastAsia="Arial" w:hAnsi="Arial"/>
                <w:sz w:val="22"/>
                <w:szCs w:val="22"/>
                <w:color w:val="auto"/>
              </w:rPr>
              <w:t>$19.0</w:t>
            </w:r>
          </w:p>
        </w:tc>
        <w:tc>
          <w:tcPr>
            <w:tcW w:w="1480" w:type="dxa"/>
            <w:vAlign w:val="bottom"/>
            <w:vMerge w:val="restart"/>
          </w:tcPr>
          <w:p>
            <w:pPr>
              <w:jc w:val="right"/>
              <w:ind w:right="52"/>
              <w:spacing w:after="0"/>
              <w:rPr>
                <w:sz w:val="20"/>
                <w:szCs w:val="20"/>
                <w:color w:val="auto"/>
              </w:rPr>
            </w:pPr>
            <w:r>
              <w:rPr>
                <w:rFonts w:ascii="Arial" w:cs="Arial" w:eastAsia="Arial" w:hAnsi="Arial"/>
                <w:sz w:val="22"/>
                <w:szCs w:val="22"/>
                <w:color w:val="auto"/>
              </w:rPr>
              <w:t>6.3%</w:t>
            </w:r>
          </w:p>
        </w:tc>
        <w:tc>
          <w:tcPr>
            <w:tcW w:w="1620" w:type="dxa"/>
            <w:vAlign w:val="bottom"/>
          </w:tcPr>
          <w:p>
            <w:pPr>
              <w:jc w:val="center"/>
              <w:spacing w:after="0" w:line="243" w:lineRule="exact"/>
              <w:rPr>
                <w:sz w:val="20"/>
                <w:szCs w:val="20"/>
                <w:color w:val="auto"/>
              </w:rPr>
            </w:pPr>
            <w:r>
              <w:rPr>
                <w:rFonts w:ascii="Arial" w:cs="Arial" w:eastAsia="Arial" w:hAnsi="Arial"/>
                <w:sz w:val="22"/>
                <w:szCs w:val="22"/>
                <w:color w:val="auto"/>
                <w:w w:val="95"/>
              </w:rPr>
              <w:t>3 Mo LIBOR +</w:t>
            </w:r>
          </w:p>
        </w:tc>
        <w:tc>
          <w:tcPr>
            <w:tcW w:w="1760" w:type="dxa"/>
            <w:vAlign w:val="bottom"/>
            <w:vMerge w:val="restart"/>
          </w:tcPr>
          <w:p>
            <w:pPr>
              <w:jc w:val="center"/>
              <w:spacing w:after="0"/>
              <w:rPr>
                <w:sz w:val="20"/>
                <w:szCs w:val="20"/>
                <w:color w:val="auto"/>
              </w:rPr>
            </w:pPr>
            <w:r>
              <w:rPr>
                <w:rFonts w:ascii="Arial" w:cs="Arial" w:eastAsia="Arial" w:hAnsi="Arial"/>
                <w:sz w:val="22"/>
                <w:szCs w:val="22"/>
                <w:color w:val="auto"/>
              </w:rPr>
              <w:t>A/NR</w:t>
            </w:r>
          </w:p>
        </w:tc>
        <w:tc>
          <w:tcPr>
            <w:tcW w:w="1540" w:type="dxa"/>
            <w:vAlign w:val="bottom"/>
            <w:vMerge w:val="restart"/>
          </w:tcPr>
          <w:p>
            <w:pPr>
              <w:jc w:val="center"/>
              <w:spacing w:after="0"/>
              <w:rPr>
                <w:sz w:val="20"/>
                <w:szCs w:val="20"/>
                <w:color w:val="auto"/>
              </w:rPr>
            </w:pPr>
            <w:r>
              <w:rPr>
                <w:rFonts w:ascii="Arial" w:cs="Arial" w:eastAsia="Arial" w:hAnsi="Arial"/>
                <w:sz w:val="22"/>
                <w:szCs w:val="22"/>
                <w:color w:val="auto"/>
                <w:w w:val="89"/>
              </w:rPr>
              <w:t>100.00%</w:t>
            </w:r>
          </w:p>
        </w:tc>
        <w:tc>
          <w:tcPr>
            <w:tcW w:w="0" w:type="dxa"/>
            <w:vAlign w:val="bottom"/>
          </w:tcPr>
          <w:p>
            <w:pPr>
              <w:spacing w:after="0"/>
              <w:rPr>
                <w:sz w:val="1"/>
                <w:szCs w:val="1"/>
                <w:color w:val="auto"/>
              </w:rPr>
            </w:pPr>
          </w:p>
        </w:tc>
      </w:tr>
      <w:tr>
        <w:trPr>
          <w:trHeight w:val="153"/>
        </w:trPr>
        <w:tc>
          <w:tcPr>
            <w:tcW w:w="2520" w:type="dxa"/>
            <w:vAlign w:val="bottom"/>
            <w:vMerge w:val="continue"/>
          </w:tcPr>
          <w:p>
            <w:pPr>
              <w:spacing w:after="0"/>
              <w:rPr>
                <w:sz w:val="13"/>
                <w:szCs w:val="13"/>
                <w:color w:val="auto"/>
              </w:rPr>
            </w:pPr>
          </w:p>
        </w:tc>
        <w:tc>
          <w:tcPr>
            <w:tcW w:w="23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1620" w:type="dxa"/>
            <w:vAlign w:val="bottom"/>
            <w:vMerge w:val="restart"/>
          </w:tcPr>
          <w:p>
            <w:pPr>
              <w:jc w:val="center"/>
              <w:spacing w:after="0"/>
              <w:rPr>
                <w:sz w:val="20"/>
                <w:szCs w:val="20"/>
                <w:color w:val="auto"/>
              </w:rPr>
            </w:pPr>
            <w:r>
              <w:rPr>
                <w:rFonts w:ascii="Arial" w:cs="Arial" w:eastAsia="Arial" w:hAnsi="Arial"/>
                <w:sz w:val="22"/>
                <w:szCs w:val="22"/>
                <w:color w:val="auto"/>
                <w:w w:val="89"/>
              </w:rPr>
              <w:t>4.00%</w:t>
            </w:r>
          </w:p>
        </w:tc>
        <w:tc>
          <w:tcPr>
            <w:tcW w:w="176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5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620" w:type="dxa"/>
            <w:vAlign w:val="bottom"/>
            <w:vMerge w:val="continue"/>
          </w:tcPr>
          <w:p>
            <w:pPr>
              <w:spacing w:after="0"/>
              <w:rPr>
                <w:sz w:val="10"/>
                <w:szCs w:val="10"/>
                <w:color w:val="auto"/>
              </w:rPr>
            </w:pPr>
          </w:p>
        </w:tc>
        <w:tc>
          <w:tcPr>
            <w:tcW w:w="1760" w:type="dxa"/>
            <w:vAlign w:val="bottom"/>
          </w:tcPr>
          <w:p>
            <w:pPr>
              <w:spacing w:after="0"/>
              <w:rPr>
                <w:sz w:val="10"/>
                <w:szCs w:val="10"/>
                <w:color w:val="auto"/>
              </w:rPr>
            </w:pPr>
          </w:p>
        </w:tc>
        <w:tc>
          <w:tcPr>
            <w:tcW w:w="15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2520" w:type="dxa"/>
            <w:vAlign w:val="bottom"/>
          </w:tcPr>
          <w:p>
            <w:pPr>
              <w:ind w:left="20"/>
              <w:spacing w:after="0"/>
              <w:rPr>
                <w:sz w:val="20"/>
                <w:szCs w:val="20"/>
                <w:color w:val="auto"/>
              </w:rPr>
            </w:pPr>
            <w:r>
              <w:rPr>
                <w:rFonts w:ascii="Arial" w:cs="Arial" w:eastAsia="Arial" w:hAnsi="Arial"/>
                <w:sz w:val="22"/>
                <w:szCs w:val="22"/>
                <w:color w:val="auto"/>
              </w:rPr>
              <w:t>C-2 Fixed</w:t>
            </w:r>
          </w:p>
        </w:tc>
        <w:tc>
          <w:tcPr>
            <w:tcW w:w="2320" w:type="dxa"/>
            <w:vAlign w:val="bottom"/>
          </w:tcPr>
          <w:p>
            <w:pPr>
              <w:jc w:val="right"/>
              <w:spacing w:after="0"/>
              <w:rPr>
                <w:sz w:val="20"/>
                <w:szCs w:val="20"/>
                <w:color w:val="auto"/>
              </w:rPr>
            </w:pPr>
            <w:r>
              <w:rPr>
                <w:rFonts w:ascii="Arial" w:cs="Arial" w:eastAsia="Arial" w:hAnsi="Arial"/>
                <w:sz w:val="22"/>
                <w:szCs w:val="22"/>
                <w:color w:val="auto"/>
              </w:rPr>
              <w:t>$8.0</w:t>
            </w:r>
          </w:p>
        </w:tc>
        <w:tc>
          <w:tcPr>
            <w:tcW w:w="1480" w:type="dxa"/>
            <w:vAlign w:val="bottom"/>
          </w:tcPr>
          <w:p>
            <w:pPr>
              <w:jc w:val="right"/>
              <w:ind w:right="52"/>
              <w:spacing w:after="0"/>
              <w:rPr>
                <w:sz w:val="20"/>
                <w:szCs w:val="20"/>
                <w:color w:val="auto"/>
              </w:rPr>
            </w:pPr>
            <w:r>
              <w:rPr>
                <w:rFonts w:ascii="Arial" w:cs="Arial" w:eastAsia="Arial" w:hAnsi="Arial"/>
                <w:sz w:val="22"/>
                <w:szCs w:val="22"/>
                <w:color w:val="auto"/>
              </w:rPr>
              <w:t>2.7%</w:t>
            </w:r>
          </w:p>
        </w:tc>
        <w:tc>
          <w:tcPr>
            <w:tcW w:w="1620" w:type="dxa"/>
            <w:vAlign w:val="bottom"/>
          </w:tcPr>
          <w:p>
            <w:pPr>
              <w:jc w:val="center"/>
              <w:spacing w:after="0"/>
              <w:rPr>
                <w:sz w:val="20"/>
                <w:szCs w:val="20"/>
                <w:color w:val="auto"/>
              </w:rPr>
            </w:pPr>
            <w:r>
              <w:rPr>
                <w:rFonts w:ascii="Arial" w:cs="Arial" w:eastAsia="Arial" w:hAnsi="Arial"/>
                <w:sz w:val="22"/>
                <w:szCs w:val="22"/>
                <w:color w:val="auto"/>
                <w:w w:val="89"/>
              </w:rPr>
              <w:t>5.38%</w:t>
            </w:r>
          </w:p>
        </w:tc>
        <w:tc>
          <w:tcPr>
            <w:tcW w:w="1760" w:type="dxa"/>
            <w:vAlign w:val="bottom"/>
          </w:tcPr>
          <w:p>
            <w:pPr>
              <w:jc w:val="center"/>
              <w:spacing w:after="0"/>
              <w:rPr>
                <w:sz w:val="20"/>
                <w:szCs w:val="20"/>
                <w:color w:val="auto"/>
              </w:rPr>
            </w:pPr>
            <w:r>
              <w:rPr>
                <w:rFonts w:ascii="Arial" w:cs="Arial" w:eastAsia="Arial" w:hAnsi="Arial"/>
                <w:sz w:val="22"/>
                <w:szCs w:val="22"/>
                <w:color w:val="auto"/>
              </w:rPr>
              <w:t>A/NR</w:t>
            </w:r>
          </w:p>
        </w:tc>
        <w:tc>
          <w:tcPr>
            <w:tcW w:w="1540" w:type="dxa"/>
            <w:vAlign w:val="bottom"/>
          </w:tcPr>
          <w:p>
            <w:pPr>
              <w:jc w:val="center"/>
              <w:spacing w:after="0"/>
              <w:rPr>
                <w:sz w:val="20"/>
                <w:szCs w:val="20"/>
                <w:color w:val="auto"/>
              </w:rPr>
            </w:pPr>
            <w:r>
              <w:rPr>
                <w:rFonts w:ascii="Arial" w:cs="Arial" w:eastAsia="Arial" w:hAnsi="Arial"/>
                <w:sz w:val="22"/>
                <w:szCs w:val="22"/>
                <w:color w:val="auto"/>
                <w:w w:val="89"/>
              </w:rPr>
              <w:t>100.00%</w:t>
            </w:r>
          </w:p>
        </w:tc>
        <w:tc>
          <w:tcPr>
            <w:tcW w:w="0" w:type="dxa"/>
            <w:vAlign w:val="bottom"/>
          </w:tcPr>
          <w:p>
            <w:pPr>
              <w:spacing w:after="0"/>
              <w:rPr>
                <w:sz w:val="1"/>
                <w:szCs w:val="1"/>
                <w:color w:val="auto"/>
              </w:rPr>
            </w:pPr>
          </w:p>
        </w:tc>
      </w:tr>
      <w:tr>
        <w:trPr>
          <w:trHeight w:val="243"/>
        </w:trPr>
        <w:tc>
          <w:tcPr>
            <w:tcW w:w="2520" w:type="dxa"/>
            <w:vAlign w:val="bottom"/>
            <w:vMerge w:val="restart"/>
          </w:tcPr>
          <w:p>
            <w:pPr>
              <w:ind w:left="20"/>
              <w:spacing w:after="0"/>
              <w:rPr>
                <w:sz w:val="20"/>
                <w:szCs w:val="20"/>
                <w:color w:val="auto"/>
              </w:rPr>
            </w:pPr>
            <w:r>
              <w:rPr>
                <w:rFonts w:ascii="Arial" w:cs="Arial" w:eastAsia="Arial" w:hAnsi="Arial"/>
                <w:sz w:val="22"/>
                <w:szCs w:val="22"/>
                <w:color w:val="auto"/>
              </w:rPr>
              <w:t>D</w:t>
            </w:r>
          </w:p>
        </w:tc>
        <w:tc>
          <w:tcPr>
            <w:tcW w:w="2320" w:type="dxa"/>
            <w:vAlign w:val="bottom"/>
            <w:vMerge w:val="restart"/>
          </w:tcPr>
          <w:p>
            <w:pPr>
              <w:jc w:val="right"/>
              <w:spacing w:after="0"/>
              <w:rPr>
                <w:sz w:val="20"/>
                <w:szCs w:val="20"/>
                <w:color w:val="auto"/>
              </w:rPr>
            </w:pPr>
            <w:r>
              <w:rPr>
                <w:rFonts w:ascii="Arial" w:cs="Arial" w:eastAsia="Arial" w:hAnsi="Arial"/>
                <w:sz w:val="22"/>
                <w:szCs w:val="22"/>
                <w:color w:val="auto"/>
              </w:rPr>
              <w:t>$18.0</w:t>
            </w:r>
          </w:p>
        </w:tc>
        <w:tc>
          <w:tcPr>
            <w:tcW w:w="1480" w:type="dxa"/>
            <w:vAlign w:val="bottom"/>
            <w:vMerge w:val="restart"/>
          </w:tcPr>
          <w:p>
            <w:pPr>
              <w:jc w:val="right"/>
              <w:ind w:right="52"/>
              <w:spacing w:after="0"/>
              <w:rPr>
                <w:sz w:val="20"/>
                <w:szCs w:val="20"/>
                <w:color w:val="auto"/>
              </w:rPr>
            </w:pPr>
            <w:r>
              <w:rPr>
                <w:rFonts w:ascii="Arial" w:cs="Arial" w:eastAsia="Arial" w:hAnsi="Arial"/>
                <w:sz w:val="22"/>
                <w:szCs w:val="22"/>
                <w:color w:val="auto"/>
              </w:rPr>
              <w:t>6.0%</w:t>
            </w:r>
          </w:p>
        </w:tc>
        <w:tc>
          <w:tcPr>
            <w:tcW w:w="1620" w:type="dxa"/>
            <w:vAlign w:val="bottom"/>
          </w:tcPr>
          <w:p>
            <w:pPr>
              <w:jc w:val="center"/>
              <w:spacing w:after="0" w:line="243" w:lineRule="exact"/>
              <w:rPr>
                <w:sz w:val="20"/>
                <w:szCs w:val="20"/>
                <w:color w:val="auto"/>
              </w:rPr>
            </w:pPr>
            <w:r>
              <w:rPr>
                <w:rFonts w:ascii="Arial" w:cs="Arial" w:eastAsia="Arial" w:hAnsi="Arial"/>
                <w:sz w:val="22"/>
                <w:szCs w:val="22"/>
                <w:color w:val="auto"/>
                <w:w w:val="95"/>
              </w:rPr>
              <w:t>3 Mo LIBOR +</w:t>
            </w:r>
          </w:p>
        </w:tc>
        <w:tc>
          <w:tcPr>
            <w:tcW w:w="1760" w:type="dxa"/>
            <w:vAlign w:val="bottom"/>
            <w:vMerge w:val="restart"/>
          </w:tcPr>
          <w:p>
            <w:pPr>
              <w:jc w:val="center"/>
              <w:spacing w:after="0"/>
              <w:rPr>
                <w:sz w:val="20"/>
                <w:szCs w:val="20"/>
                <w:color w:val="auto"/>
              </w:rPr>
            </w:pPr>
            <w:r>
              <w:rPr>
                <w:rFonts w:ascii="Arial" w:cs="Arial" w:eastAsia="Arial" w:hAnsi="Arial"/>
                <w:sz w:val="22"/>
                <w:szCs w:val="22"/>
                <w:color w:val="auto"/>
                <w:w w:val="94"/>
              </w:rPr>
              <w:t>BBB- / NR</w:t>
            </w:r>
          </w:p>
        </w:tc>
        <w:tc>
          <w:tcPr>
            <w:tcW w:w="1540" w:type="dxa"/>
            <w:vAlign w:val="bottom"/>
            <w:vMerge w:val="restart"/>
          </w:tcPr>
          <w:p>
            <w:pPr>
              <w:jc w:val="center"/>
              <w:spacing w:after="0"/>
              <w:rPr>
                <w:sz w:val="20"/>
                <w:szCs w:val="20"/>
                <w:color w:val="auto"/>
              </w:rPr>
            </w:pPr>
            <w:r>
              <w:rPr>
                <w:rFonts w:ascii="Arial" w:cs="Arial" w:eastAsia="Arial" w:hAnsi="Arial"/>
                <w:sz w:val="22"/>
                <w:szCs w:val="22"/>
                <w:color w:val="auto"/>
                <w:w w:val="88"/>
              </w:rPr>
              <w:t>96.79%</w:t>
            </w:r>
          </w:p>
        </w:tc>
        <w:tc>
          <w:tcPr>
            <w:tcW w:w="0" w:type="dxa"/>
            <w:vAlign w:val="bottom"/>
          </w:tcPr>
          <w:p>
            <w:pPr>
              <w:spacing w:after="0"/>
              <w:rPr>
                <w:sz w:val="1"/>
                <w:szCs w:val="1"/>
                <w:color w:val="auto"/>
              </w:rPr>
            </w:pPr>
          </w:p>
        </w:tc>
      </w:tr>
      <w:tr>
        <w:trPr>
          <w:trHeight w:val="153"/>
        </w:trPr>
        <w:tc>
          <w:tcPr>
            <w:tcW w:w="2520" w:type="dxa"/>
            <w:vAlign w:val="bottom"/>
            <w:vMerge w:val="continue"/>
          </w:tcPr>
          <w:p>
            <w:pPr>
              <w:spacing w:after="0"/>
              <w:rPr>
                <w:sz w:val="13"/>
                <w:szCs w:val="13"/>
                <w:color w:val="auto"/>
              </w:rPr>
            </w:pPr>
          </w:p>
        </w:tc>
        <w:tc>
          <w:tcPr>
            <w:tcW w:w="232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1620" w:type="dxa"/>
            <w:vAlign w:val="bottom"/>
            <w:vMerge w:val="restart"/>
          </w:tcPr>
          <w:p>
            <w:pPr>
              <w:jc w:val="center"/>
              <w:spacing w:after="0"/>
              <w:rPr>
                <w:sz w:val="20"/>
                <w:szCs w:val="20"/>
                <w:color w:val="auto"/>
              </w:rPr>
            </w:pPr>
            <w:r>
              <w:rPr>
                <w:rFonts w:ascii="Arial" w:cs="Arial" w:eastAsia="Arial" w:hAnsi="Arial"/>
                <w:sz w:val="22"/>
                <w:szCs w:val="22"/>
                <w:color w:val="auto"/>
                <w:w w:val="89"/>
              </w:rPr>
              <w:t>4.75%</w:t>
            </w:r>
          </w:p>
        </w:tc>
        <w:tc>
          <w:tcPr>
            <w:tcW w:w="1760" w:type="dxa"/>
            <w:vAlign w:val="bottom"/>
            <w:vMerge w:val="continue"/>
          </w:tcPr>
          <w:p>
            <w:pPr>
              <w:spacing w:after="0"/>
              <w:rPr>
                <w:sz w:val="13"/>
                <w:szCs w:val="13"/>
                <w:color w:val="auto"/>
              </w:rPr>
            </w:pPr>
          </w:p>
        </w:tc>
        <w:tc>
          <w:tcPr>
            <w:tcW w:w="15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520" w:type="dxa"/>
            <w:vAlign w:val="bottom"/>
            <w:vMerge w:val="restart"/>
          </w:tcPr>
          <w:p>
            <w:pPr>
              <w:ind w:left="20"/>
              <w:spacing w:after="0"/>
              <w:rPr>
                <w:sz w:val="20"/>
                <w:szCs w:val="20"/>
                <w:color w:val="auto"/>
              </w:rPr>
            </w:pPr>
            <w:r>
              <w:rPr>
                <w:rFonts w:ascii="Arial" w:cs="Arial" w:eastAsia="Arial" w:hAnsi="Arial"/>
                <w:sz w:val="22"/>
                <w:szCs w:val="22"/>
                <w:color w:val="auto"/>
              </w:rPr>
              <w:t>Sub Notes</w:t>
            </w:r>
          </w:p>
        </w:tc>
        <w:tc>
          <w:tcPr>
            <w:tcW w:w="2320" w:type="dxa"/>
            <w:vAlign w:val="bottom"/>
            <w:vMerge w:val="restart"/>
          </w:tcPr>
          <w:p>
            <w:pPr>
              <w:jc w:val="right"/>
              <w:spacing w:after="0"/>
              <w:rPr>
                <w:sz w:val="20"/>
                <w:szCs w:val="20"/>
                <w:color w:val="auto"/>
              </w:rPr>
            </w:pPr>
            <w:r>
              <w:rPr>
                <w:rFonts w:ascii="Arial" w:cs="Arial" w:eastAsia="Arial" w:hAnsi="Arial"/>
                <w:sz w:val="22"/>
                <w:szCs w:val="22"/>
                <w:color w:val="auto"/>
              </w:rPr>
              <w:t>$55.4</w:t>
            </w:r>
          </w:p>
        </w:tc>
        <w:tc>
          <w:tcPr>
            <w:tcW w:w="1480" w:type="dxa"/>
            <w:vAlign w:val="bottom"/>
            <w:vMerge w:val="restart"/>
          </w:tcPr>
          <w:p>
            <w:pPr>
              <w:jc w:val="right"/>
              <w:ind w:right="52"/>
              <w:spacing w:after="0"/>
              <w:rPr>
                <w:sz w:val="20"/>
                <w:szCs w:val="20"/>
                <w:color w:val="auto"/>
              </w:rPr>
            </w:pPr>
            <w:r>
              <w:rPr>
                <w:rFonts w:ascii="Arial" w:cs="Arial" w:eastAsia="Arial" w:hAnsi="Arial"/>
                <w:sz w:val="22"/>
                <w:szCs w:val="22"/>
                <w:color w:val="auto"/>
              </w:rPr>
              <w:t>18.4%</w:t>
            </w:r>
          </w:p>
        </w:tc>
        <w:tc>
          <w:tcPr>
            <w:tcW w:w="1620" w:type="dxa"/>
            <w:vAlign w:val="bottom"/>
            <w:vMerge w:val="continue"/>
          </w:tcPr>
          <w:p>
            <w:pPr>
              <w:spacing w:after="0"/>
              <w:rPr>
                <w:sz w:val="10"/>
                <w:szCs w:val="10"/>
                <w:color w:val="auto"/>
              </w:rPr>
            </w:pPr>
          </w:p>
        </w:tc>
        <w:tc>
          <w:tcPr>
            <w:tcW w:w="1760" w:type="dxa"/>
            <w:vAlign w:val="bottom"/>
            <w:vMerge w:val="restart"/>
          </w:tcPr>
          <w:p>
            <w:pPr>
              <w:jc w:val="center"/>
              <w:spacing w:after="0"/>
              <w:rPr>
                <w:sz w:val="20"/>
                <w:szCs w:val="20"/>
                <w:color w:val="auto"/>
              </w:rPr>
            </w:pPr>
            <w:r>
              <w:rPr>
                <w:rFonts w:ascii="Arial" w:cs="Arial" w:eastAsia="Arial" w:hAnsi="Arial"/>
                <w:sz w:val="22"/>
                <w:szCs w:val="22"/>
                <w:color w:val="auto"/>
                <w:w w:val="94"/>
              </w:rPr>
              <w:t>NR</w:t>
            </w:r>
          </w:p>
        </w:tc>
        <w:tc>
          <w:tcPr>
            <w:tcW w:w="1540" w:type="dxa"/>
            <w:vAlign w:val="bottom"/>
            <w:vMerge w:val="restart"/>
          </w:tcPr>
          <w:p>
            <w:pPr>
              <w:jc w:val="center"/>
              <w:spacing w:after="0"/>
              <w:rPr>
                <w:sz w:val="20"/>
                <w:szCs w:val="20"/>
                <w:color w:val="auto"/>
              </w:rPr>
            </w:pPr>
            <w:r>
              <w:rPr>
                <w:rFonts w:ascii="Arial" w:cs="Arial" w:eastAsia="Arial" w:hAnsi="Arial"/>
                <w:sz w:val="22"/>
                <w:szCs w:val="22"/>
                <w:color w:val="auto"/>
              </w:rPr>
              <w:t>NA</w:t>
            </w:r>
          </w:p>
        </w:tc>
        <w:tc>
          <w:tcPr>
            <w:tcW w:w="0" w:type="dxa"/>
            <w:vAlign w:val="bottom"/>
          </w:tcPr>
          <w:p>
            <w:pPr>
              <w:spacing w:after="0"/>
              <w:rPr>
                <w:sz w:val="1"/>
                <w:szCs w:val="1"/>
                <w:color w:val="auto"/>
              </w:rPr>
            </w:pPr>
          </w:p>
        </w:tc>
      </w:tr>
      <w:tr>
        <w:trPr>
          <w:trHeight w:val="270"/>
        </w:trPr>
        <w:tc>
          <w:tcPr>
            <w:tcW w:w="2520" w:type="dxa"/>
            <w:vAlign w:val="bottom"/>
            <w:vMerge w:val="continue"/>
          </w:tcPr>
          <w:p>
            <w:pPr>
              <w:spacing w:after="0"/>
              <w:rPr>
                <w:sz w:val="23"/>
                <w:szCs w:val="23"/>
                <w:color w:val="auto"/>
              </w:rPr>
            </w:pPr>
          </w:p>
        </w:tc>
        <w:tc>
          <w:tcPr>
            <w:tcW w:w="2320" w:type="dxa"/>
            <w:vAlign w:val="bottom"/>
            <w:vMerge w:val="continue"/>
          </w:tcPr>
          <w:p>
            <w:pPr>
              <w:spacing w:after="0"/>
              <w:rPr>
                <w:sz w:val="23"/>
                <w:szCs w:val="23"/>
                <w:color w:val="auto"/>
              </w:rPr>
            </w:pPr>
          </w:p>
        </w:tc>
        <w:tc>
          <w:tcPr>
            <w:tcW w:w="1480" w:type="dxa"/>
            <w:vAlign w:val="bottom"/>
            <w:vMerge w:val="continue"/>
          </w:tcPr>
          <w:p>
            <w:pPr>
              <w:spacing w:after="0"/>
              <w:rPr>
                <w:sz w:val="23"/>
                <w:szCs w:val="23"/>
                <w:color w:val="auto"/>
              </w:rPr>
            </w:pPr>
          </w:p>
        </w:tc>
        <w:tc>
          <w:tcPr>
            <w:tcW w:w="1620" w:type="dxa"/>
            <w:vAlign w:val="bottom"/>
          </w:tcPr>
          <w:p>
            <w:pPr>
              <w:spacing w:after="0"/>
              <w:rPr>
                <w:sz w:val="23"/>
                <w:szCs w:val="23"/>
                <w:color w:val="auto"/>
              </w:rPr>
            </w:pPr>
          </w:p>
        </w:tc>
        <w:tc>
          <w:tcPr>
            <w:tcW w:w="1760" w:type="dxa"/>
            <w:vAlign w:val="bottom"/>
            <w:vMerge w:val="continue"/>
          </w:tcPr>
          <w:p>
            <w:pPr>
              <w:spacing w:after="0"/>
              <w:rPr>
                <w:sz w:val="23"/>
                <w:szCs w:val="23"/>
                <w:color w:val="auto"/>
              </w:rPr>
            </w:pPr>
          </w:p>
        </w:tc>
        <w:tc>
          <w:tcPr>
            <w:tcW w:w="15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73"/>
        </w:trPr>
        <w:tc>
          <w:tcPr>
            <w:tcW w:w="2520" w:type="dxa"/>
            <w:vAlign w:val="bottom"/>
            <w:tcBorders>
              <w:bottom w:val="single" w:sz="8" w:color="auto"/>
            </w:tcBorders>
          </w:tcPr>
          <w:p>
            <w:pPr>
              <w:spacing w:after="0"/>
              <w:rPr>
                <w:sz w:val="23"/>
                <w:szCs w:val="23"/>
                <w:color w:val="auto"/>
              </w:rPr>
            </w:pPr>
          </w:p>
        </w:tc>
        <w:tc>
          <w:tcPr>
            <w:tcW w:w="232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15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68"/>
        </w:trPr>
        <w:tc>
          <w:tcPr>
            <w:tcW w:w="2520" w:type="dxa"/>
            <w:vAlign w:val="bottom"/>
          </w:tcPr>
          <w:p>
            <w:pPr>
              <w:ind w:left="20"/>
              <w:spacing w:after="0"/>
              <w:rPr>
                <w:sz w:val="20"/>
                <w:szCs w:val="20"/>
                <w:color w:val="auto"/>
              </w:rPr>
            </w:pPr>
            <w:r>
              <w:rPr>
                <w:rFonts w:ascii="Arial" w:cs="Arial" w:eastAsia="Arial" w:hAnsi="Arial"/>
                <w:sz w:val="22"/>
                <w:szCs w:val="22"/>
                <w:color w:val="auto"/>
              </w:rPr>
              <w:t>Totals</w:t>
            </w:r>
          </w:p>
        </w:tc>
        <w:tc>
          <w:tcPr>
            <w:tcW w:w="2320" w:type="dxa"/>
            <w:vAlign w:val="bottom"/>
          </w:tcPr>
          <w:p>
            <w:pPr>
              <w:jc w:val="right"/>
              <w:spacing w:after="0"/>
              <w:rPr>
                <w:sz w:val="20"/>
                <w:szCs w:val="20"/>
                <w:color w:val="auto"/>
              </w:rPr>
            </w:pPr>
            <w:r>
              <w:rPr>
                <w:rFonts w:ascii="Arial" w:cs="Arial" w:eastAsia="Arial" w:hAnsi="Arial"/>
                <w:sz w:val="22"/>
                <w:szCs w:val="22"/>
                <w:color w:val="auto"/>
              </w:rPr>
              <w:t>$301.4</w:t>
            </w:r>
          </w:p>
        </w:tc>
        <w:tc>
          <w:tcPr>
            <w:tcW w:w="1480" w:type="dxa"/>
            <w:vAlign w:val="bottom"/>
          </w:tcPr>
          <w:p>
            <w:pPr>
              <w:jc w:val="right"/>
              <w:ind w:right="52"/>
              <w:spacing w:after="0"/>
              <w:rPr>
                <w:sz w:val="20"/>
                <w:szCs w:val="20"/>
                <w:color w:val="auto"/>
              </w:rPr>
            </w:pPr>
            <w:r>
              <w:rPr>
                <w:rFonts w:ascii="Arial" w:cs="Arial" w:eastAsia="Arial" w:hAnsi="Arial"/>
                <w:sz w:val="22"/>
                <w:szCs w:val="22"/>
                <w:color w:val="auto"/>
              </w:rPr>
              <w:t>100.0%</w:t>
            </w:r>
          </w:p>
        </w:tc>
        <w:tc>
          <w:tcPr>
            <w:tcW w:w="162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Company will retain all of the Class D Notes and Subordinated Notes through a consolidated subsidiary. The reinvestment period for the term debt securitization ends in October 2023 and the Debt is scheduled to mature in October 2031. The term debt securitization is expected to be approximately 95% funded at close. The proceeds from the Debt will be used to repay a portion of the Company’s $520 million secured credit facility.</w:t>
      </w:r>
    </w:p>
    <w:p>
      <w:pPr>
        <w:spacing w:after="0" w:line="185"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The notes offered as part of the term debt securitization have not been and will not be registered under the Securities Act of 1933, as amended, or the Securities Act, or any state “blue sky” laws, and may not be offered or sold in the United States absent registration under Section 5 of the Securities Act or an applicable exemption from such registration requirements. CLOs are a form of secured financing incurred by the Company, which are consolidated by the Company and subject to the Company’s overall asset coverage requirements. This press release shall not constitute an offer to sell or a solicitation of an offer to buy nor shall there be any sale of the notes in any state or jurisdiction in which such offer, solicitation or sale would be unlawful prior to registration or qualification under the securities laws of any such state or jurisdiction.</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8" w:lineRule="exact"/>
        <w:rPr>
          <w:sz w:val="20"/>
          <w:szCs w:val="20"/>
          <w:color w:val="auto"/>
        </w:rPr>
      </w:pPr>
    </w:p>
    <w:p>
      <w:pPr>
        <w:jc w:val="both"/>
        <w:spacing w:after="0" w:line="233"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companies in the form of floating rate senior secured loans, including first lien secured debt, second lien secured debt and subordinated debt. From time to time, the Company may also invest in equity investments. PennantPark Floating Rate Capital Ltd. is managed by PennantPark Investment Advisers, LLC.</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ADVISERS, LLC</w:t>
      </w:r>
    </w:p>
    <w:p>
      <w:pPr>
        <w:spacing w:after="0" w:line="8"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PennantPark Investment Advisers, LLC is a leading middle market credit platform, which today has more than $3.2 billion of assets under management. Since its inception in 2007, PennantPark Investment Advisers, LLC has provided investors access to middle market credit by offering private equity firms and their portfolio companies as well as other middle-market borrowers a comprehensive range of creative and flexible financing solutions. PennantPark Investment Advisers, LLC is headquartered in New York and has offices in Chicago, Houston and Los Angeles.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8"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You should understand that under Section 27A(b)(2)(B) of the Securities Act and Section 21E(b)(2)(B) of the Securities Exchange Act of 1934, as amended, or the Exchange Act, the “safe harbor” provisions of the Private Securities Litigation Reform Act of 1995 do not apply to forward-looking statements made in periodic reports we file under the Exchange Act.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w:t>
      </w:r>
    </w:p>
    <w:p>
      <w:pPr>
        <w:sectPr>
          <w:pgSz w:w="11900" w:h="16838" w:orient="portrait"/>
          <w:cols w:equalWidth="0" w:num="1">
            <w:col w:w="11240"/>
          </w:cols>
          <w:pgMar w:left="320" w:top="112" w:right="339" w:bottom="0" w:gutter="0" w:footer="0" w:header="0"/>
        </w:sectPr>
      </w:pPr>
    </w:p>
    <w:bookmarkStart w:id="4" w:name="page5"/>
    <w:bookmarkEnd w:id="4"/>
    <w:p>
      <w:pPr>
        <w:spacing w:after="0" w:line="251" w:lineRule="auto"/>
        <w:rPr>
          <w:sz w:val="20"/>
          <w:szCs w:val="20"/>
          <w:color w:val="auto"/>
        </w:rPr>
      </w:pPr>
      <w:r>
        <w:rPr>
          <w:rFonts w:ascii="Arial" w:cs="Arial" w:eastAsia="Arial" w:hAnsi="Arial"/>
          <w:sz w:val="22"/>
          <w:szCs w:val="22"/>
          <w:color w:val="auto"/>
        </w:rPr>
        <w:t>You should not place undue influence on such forward-looking statements as such statements speak only as of the date on which they are made.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20" w:firstLine="8"/>
        <w:spacing w:after="0" w:line="308" w:lineRule="auto"/>
        <w:tabs>
          <w:tab w:leader="none" w:pos="522" w:val="left"/>
        </w:tabs>
        <w:numPr>
          <w:ilvl w:val="0"/>
          <w:numId w:val="3"/>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20"/>
      </w:cols>
      <w:pgMar w:left="320" w:top="11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1"/>
    </w:lvl>
    <w:lvl w:ilvl="1">
      <w:lvlJc w:val="left"/>
      <w:lvlText w:val="(%2)"/>
      <w:numFmt w:val="lowerLetter"/>
      <w:start w:val="2"/>
    </w:lvl>
  </w:abstractNum>
  <w:abstractNum w:abstractNumId="2">
    <w:nsid w:val="19495CFF"/>
    <w:multiLevelType w:val="hybridMultilevel"/>
    <w:lvl w:ilvl="0">
      <w:lvlJc w:val="left"/>
      <w:lvlText w:val="(%1)"/>
      <w:numFmt w:val="decimal"/>
      <w:start w:val="212"/>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2020-05-05T12:06:05Z</dcterms:created>
  <dcterms:modified xsi:type="dcterms:W3CDTF">2020-05-05T12:06:05Z</dcterms:modified>
</cp:coreProperties>
</file>