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January 03, 2012</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212-905-1014</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720"/>
        <w:spacing w:after="0" w:line="239" w:lineRule="auto"/>
        <w:rPr>
          <w:sz w:val="20"/>
          <w:szCs w:val="20"/>
          <w:color w:val="auto"/>
        </w:rPr>
      </w:pPr>
      <w:r>
        <w:rPr>
          <w:rFonts w:ascii="Arial" w:cs="Arial" w:eastAsia="Arial" w:hAnsi="Arial"/>
          <w:sz w:val="22"/>
          <w:szCs w:val="22"/>
          <w:color w:val="auto"/>
        </w:rPr>
        <w:t>On January 3, 2012, PennantPark Floating Rate Capital Ltd. issued a press release announcing an increase in its monthly distributions.</w:t>
      </w:r>
    </w:p>
    <w:p>
      <w:pPr>
        <w:ind w:left="40"/>
        <w:spacing w:after="0"/>
        <w:rPr>
          <w:sz w:val="20"/>
          <w:szCs w:val="20"/>
          <w:color w:val="auto"/>
        </w:rPr>
      </w:pPr>
      <w:r>
        <w:rPr>
          <w:rFonts w:ascii="Arial" w:cs="Arial" w:eastAsia="Arial" w:hAnsi="Arial"/>
          <w:sz w:val="22"/>
          <w:szCs w:val="22"/>
          <w:color w:val="auto"/>
        </w:rPr>
        <w:t>A copy of the press release is furnished as Exhibit 99.1 to this Form 8-K.</w:t>
      </w:r>
    </w:p>
    <w:p>
      <w:pPr>
        <w:spacing w:after="0" w:line="215"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Current Report on Form 8-K shall not be deemed incorporated by reference in any filing under the Securities Act of 1933, as amended, or the Exchange Act except as shall be expressly set forth by specific reference in such filing.</w:t>
      </w:r>
    </w:p>
    <w:p>
      <w:pPr>
        <w:spacing w:after="0" w:line="181"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4"/>
          <w:szCs w:val="24"/>
          <w:color w:val="auto"/>
        </w:rPr>
      </w:pPr>
    </w:p>
    <w:p>
      <w:pPr>
        <w:spacing w:after="0" w:line="249" w:lineRule="exact"/>
        <w:rPr>
          <w:sz w:val="24"/>
          <w:szCs w:val="24"/>
          <w:color w:val="auto"/>
        </w:rPr>
      </w:pPr>
    </w:p>
    <w:p>
      <w:pPr>
        <w:ind w:left="700" w:right="8880" w:hanging="652"/>
        <w:spacing w:after="0" w:line="280" w:lineRule="auto"/>
        <w:tabs>
          <w:tab w:leader="none" w:pos="35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700" w:right="7800" w:hanging="652"/>
        <w:spacing w:after="0" w:line="230" w:lineRule="auto"/>
        <w:tabs>
          <w:tab w:leader="none" w:pos="37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700" w:right="8260" w:hanging="652"/>
        <w:spacing w:after="0" w:line="230" w:lineRule="auto"/>
        <w:tabs>
          <w:tab w:leader="none" w:pos="34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60" w:hanging="312"/>
        <w:spacing w:after="0" w:line="230" w:lineRule="auto"/>
        <w:tabs>
          <w:tab w:leader="none" w:pos="36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4"/>
          <w:szCs w:val="24"/>
          <w:color w:val="auto"/>
        </w:rPr>
      </w:pPr>
    </w:p>
    <w:p>
      <w:pPr>
        <w:ind w:left="700"/>
        <w:spacing w:after="0"/>
        <w:tabs>
          <w:tab w:leader="none" w:pos="144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January 03, 2012</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132715</wp:posOffset>
            </wp:positionV>
            <wp:extent cx="70808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890"/>
                    </a:xfrm>
                    <a:prstGeom prst="rect">
                      <a:avLst/>
                    </a:prstGeom>
                    <a:noFill/>
                  </pic:spPr>
                </pic:pic>
              </a:graphicData>
            </a:graphic>
          </wp:anchor>
        </w:drawing>
      </w:r>
    </w:p>
    <w:p>
      <w:pPr>
        <w:sectPr>
          <w:pgSz w:w="11900" w:h="16838" w:orient="portrait"/>
          <w:cols w:equalWidth="0" w:num="1">
            <w:col w:w="11200"/>
          </w:cols>
          <w:pgMar w:left="320" w:top="828" w:right="379" w:bottom="0" w:gutter="0" w:footer="0" w:header="0"/>
        </w:sectPr>
      </w:pPr>
    </w:p>
    <w:bookmarkStart w:id="1" w:name="page2"/>
    <w:bookmarkEnd w:id="1"/>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3" w:lineRule="exact"/>
        <w:rPr>
          <w:sz w:val="20"/>
          <w:szCs w:val="20"/>
          <w:color w:val="auto"/>
        </w:rPr>
      </w:pPr>
    </w:p>
    <w:p>
      <w:pPr>
        <w:ind w:right="1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860" w:type="dxa"/>
            <w:vAlign w:val="bottom"/>
          </w:tcPr>
          <w:p>
            <w:pPr>
              <w:spacing w:after="0"/>
              <w:rPr>
                <w:sz w:val="20"/>
                <w:szCs w:val="20"/>
                <w:color w:val="auto"/>
              </w:rPr>
            </w:pPr>
            <w:r>
              <w:rPr>
                <w:rFonts w:ascii="Arial" w:cs="Arial" w:eastAsia="Arial" w:hAnsi="Arial"/>
                <w:sz w:val="22"/>
                <w:szCs w:val="22"/>
                <w:color w:val="auto"/>
              </w:rPr>
              <w:t>Dated: January 03, 2012</w:t>
            </w:r>
          </w:p>
        </w:tc>
        <w:tc>
          <w:tcPr>
            <w:tcW w:w="6760" w:type="dxa"/>
            <w:vAlign w:val="bottom"/>
            <w:gridSpan w:val="3"/>
          </w:tcPr>
          <w:p>
            <w:pPr>
              <w:ind w:left="176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860" w:type="dxa"/>
            <w:vAlign w:val="bottom"/>
          </w:tcPr>
          <w:p>
            <w:pPr>
              <w:spacing w:after="0"/>
              <w:rPr>
                <w:sz w:val="24"/>
                <w:szCs w:val="24"/>
                <w:color w:val="auto"/>
              </w:rPr>
            </w:pPr>
          </w:p>
        </w:tc>
        <w:tc>
          <w:tcPr>
            <w:tcW w:w="6760" w:type="dxa"/>
            <w:vAlign w:val="bottom"/>
            <w:gridSpan w:val="3"/>
          </w:tcPr>
          <w:p>
            <w:pPr>
              <w:ind w:left="1760"/>
              <w:spacing w:after="0"/>
              <w:rPr>
                <w:sz w:val="20"/>
                <w:szCs w:val="20"/>
                <w:color w:val="auto"/>
              </w:rPr>
            </w:pPr>
            <w:r>
              <w:rPr>
                <w:rFonts w:ascii="Arial" w:cs="Arial" w:eastAsia="Arial" w:hAnsi="Arial"/>
                <w:sz w:val="22"/>
                <w:szCs w:val="22"/>
                <w:color w:val="auto"/>
              </w:rPr>
              <w:t>By: /s/ Aviv Efrat</w:t>
            </w:r>
          </w:p>
        </w:tc>
      </w:tr>
      <w:tr>
        <w:trPr>
          <w:trHeight w:val="20"/>
        </w:trPr>
        <w:tc>
          <w:tcPr>
            <w:tcW w:w="38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860" w:type="dxa"/>
            <w:vAlign w:val="bottom"/>
          </w:tcPr>
          <w:p>
            <w:pPr>
              <w:spacing w:after="0"/>
              <w:rPr>
                <w:sz w:val="21"/>
                <w:szCs w:val="21"/>
                <w:color w:val="auto"/>
              </w:rPr>
            </w:pPr>
          </w:p>
        </w:tc>
        <w:tc>
          <w:tcPr>
            <w:tcW w:w="6760" w:type="dxa"/>
            <w:vAlign w:val="bottom"/>
            <w:gridSpan w:val="3"/>
          </w:tcPr>
          <w:p>
            <w:pPr>
              <w:ind w:left="200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860" w:type="dxa"/>
            <w:vAlign w:val="bottom"/>
          </w:tcPr>
          <w:p>
            <w:pPr>
              <w:spacing w:after="0"/>
              <w:rPr>
                <w:sz w:val="23"/>
                <w:szCs w:val="23"/>
                <w:color w:val="auto"/>
              </w:rPr>
            </w:pPr>
          </w:p>
        </w:tc>
        <w:tc>
          <w:tcPr>
            <w:tcW w:w="6760" w:type="dxa"/>
            <w:vAlign w:val="bottom"/>
            <w:gridSpan w:val="3"/>
          </w:tcPr>
          <w:p>
            <w:pPr>
              <w:ind w:left="208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32"/>
              <w:spacing w:after="0"/>
              <w:rPr>
                <w:sz w:val="20"/>
                <w:szCs w:val="20"/>
                <w:color w:val="auto"/>
              </w:rPr>
            </w:pPr>
            <w:r>
              <w:rPr>
                <w:rFonts w:ascii="Arial" w:cs="Arial" w:eastAsia="Arial" w:hAnsi="Arial"/>
                <w:sz w:val="22"/>
                <w:szCs w:val="22"/>
                <w:color w:val="auto"/>
                <w:w w:val="87"/>
              </w:rPr>
              <w:t>January 03, 2012</w:t>
            </w:r>
          </w:p>
        </w:tc>
        <w:tc>
          <w:tcPr>
            <w:tcW w:w="0" w:type="dxa"/>
            <w:vAlign w:val="bottom"/>
          </w:tcPr>
          <w:p>
            <w:pPr>
              <w:spacing w:after="0"/>
              <w:rPr>
                <w:sz w:val="1"/>
                <w:szCs w:val="1"/>
                <w:color w:val="auto"/>
              </w:rPr>
            </w:pPr>
          </w:p>
        </w:tc>
      </w:tr>
      <w:tr>
        <w:trPr>
          <w:trHeight w:val="121"/>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1" w:right="459" w:bottom="1440" w:gutter="0" w:footer="0" w:header="0"/>
        </w:sectPr>
      </w:pPr>
    </w:p>
    <w:bookmarkStart w:id="2" w:name="page3"/>
    <w:bookmarkEnd w:id="2"/>
    <w:p>
      <w:pPr>
        <w:spacing w:after="0"/>
        <w:rPr>
          <w:sz w:val="20"/>
          <w:szCs w:val="20"/>
          <w:color w:val="auto"/>
        </w:rPr>
      </w:pPr>
      <w:r>
        <w:rPr>
          <w:rFonts w:ascii="Arial" w:cs="Arial" w:eastAsia="Arial" w:hAnsi="Arial"/>
          <w:sz w:val="21"/>
          <w:szCs w:val="21"/>
          <w:b w:val="1"/>
          <w:bCs w:val="1"/>
          <w:color w:val="auto"/>
        </w:rPr>
        <w:t>PennantPark Floating Rate Capital Ltd. Announces an Increase in Its Monthly Distributions to $0.075 per Share</w:t>
      </w:r>
    </w:p>
    <w:p>
      <w:pPr>
        <w:spacing w:after="0" w:line="224" w:lineRule="exact"/>
        <w:rPr>
          <w:sz w:val="20"/>
          <w:szCs w:val="20"/>
          <w:color w:val="auto"/>
        </w:rPr>
      </w:pPr>
    </w:p>
    <w:p>
      <w:pPr>
        <w:ind w:right="140"/>
        <w:spacing w:after="0" w:line="282" w:lineRule="auto"/>
        <w:rPr>
          <w:sz w:val="20"/>
          <w:szCs w:val="20"/>
          <w:color w:val="auto"/>
        </w:rPr>
      </w:pPr>
      <w:r>
        <w:rPr>
          <w:rFonts w:ascii="Arial" w:cs="Arial" w:eastAsia="Arial" w:hAnsi="Arial"/>
          <w:sz w:val="19"/>
          <w:szCs w:val="19"/>
          <w:color w:val="auto"/>
        </w:rPr>
        <w:t>NEW YORK, NY -- (Marketwire - January 03, 2012) - PennantPark Floating Rate Capital Ltd. (the "Company") (NASDAQ: PFLT) declares an increase in its monthly distribution for January, 2012 to $0.075 per share, payable on February 1, 2012 to stockholders of record as of January 20, 2012. Distributions are paid from taxable earnings and may include a return of capital and/or capital gains. The specific tax characteristics of distributions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54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This press release may contain "forward-looking statements."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18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180"/>
      </w:cols>
      <w:pgMar w:left="32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2020-05-05T12:04:10Z</dcterms:created>
  <dcterms:modified xsi:type="dcterms:W3CDTF">2020-05-05T12:04:10Z</dcterms:modified>
</cp:coreProperties>
</file>