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31750</wp:posOffset>
            </wp:positionV>
            <wp:extent cx="3968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1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6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CURRENT REPORT</w:t>
      </w:r>
    </w:p>
    <w:p>
      <w:pPr>
        <w:spacing w:after="0" w:line="158"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Exchange Act of 1934</w:t>
      </w:r>
    </w:p>
    <w:p>
      <w:pPr>
        <w:spacing w:after="0" w:line="328"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Date of Report: November 15, 2023</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166"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3380" w:type="dxa"/>
            <w:vAlign w:val="bottom"/>
          </w:tcPr>
          <w:p>
            <w:pPr>
              <w:jc w:val="center"/>
              <w:ind w:right="688"/>
              <w:spacing w:after="0"/>
              <w:rPr>
                <w:sz w:val="20"/>
                <w:szCs w:val="20"/>
                <w:color w:val="auto"/>
              </w:rPr>
            </w:pPr>
            <w:r>
              <w:rPr>
                <w:rFonts w:ascii="Arial" w:cs="Arial" w:eastAsia="Arial" w:hAnsi="Arial"/>
                <w:sz w:val="14"/>
                <w:szCs w:val="14"/>
                <w:b w:val="1"/>
                <w:bCs w:val="1"/>
                <w:color w:val="auto"/>
              </w:rPr>
              <w:t>Maryland</w:t>
            </w:r>
          </w:p>
        </w:tc>
        <w:tc>
          <w:tcPr>
            <w:tcW w:w="3040" w:type="dxa"/>
            <w:vAlign w:val="bottom"/>
          </w:tcPr>
          <w:p>
            <w:pPr>
              <w:jc w:val="right"/>
              <w:ind w:right="1148"/>
              <w:spacing w:after="0"/>
              <w:rPr>
                <w:sz w:val="20"/>
                <w:szCs w:val="20"/>
                <w:color w:val="auto"/>
              </w:rPr>
            </w:pPr>
            <w:r>
              <w:rPr>
                <w:rFonts w:ascii="Arial" w:cs="Arial" w:eastAsia="Arial" w:hAnsi="Arial"/>
                <w:sz w:val="14"/>
                <w:szCs w:val="14"/>
                <w:b w:val="1"/>
                <w:bCs w:val="1"/>
                <w:color w:val="auto"/>
              </w:rPr>
              <w:t>814-00891</w:t>
            </w:r>
          </w:p>
        </w:tc>
        <w:tc>
          <w:tcPr>
            <w:tcW w:w="2960" w:type="dxa"/>
            <w:vAlign w:val="bottom"/>
          </w:tcPr>
          <w:p>
            <w:pPr>
              <w:jc w:val="right"/>
              <w:ind w:right="688"/>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82"/>
        </w:trPr>
        <w:tc>
          <w:tcPr>
            <w:tcW w:w="3380" w:type="dxa"/>
            <w:vAlign w:val="bottom"/>
          </w:tcPr>
          <w:p>
            <w:pPr>
              <w:jc w:val="center"/>
              <w:ind w:right="708"/>
              <w:spacing w:after="0"/>
              <w:rPr>
                <w:sz w:val="20"/>
                <w:szCs w:val="20"/>
                <w:color w:val="auto"/>
              </w:rPr>
            </w:pPr>
            <w:r>
              <w:rPr>
                <w:rFonts w:ascii="Arial" w:cs="Arial" w:eastAsia="Arial" w:hAnsi="Arial"/>
                <w:sz w:val="14"/>
                <w:szCs w:val="14"/>
                <w:color w:val="auto"/>
                <w:w w:val="95"/>
              </w:rPr>
              <w:t>(State or Other Jurisdiction of Incorporation)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(Commission File Number)</w:t>
            </w:r>
          </w:p>
        </w:tc>
        <w:tc>
          <w:tcPr>
            <w:tcW w:w="2960" w:type="dxa"/>
            <w:vAlign w:val="bottom"/>
          </w:tcPr>
          <w:p>
            <w:pPr>
              <w:jc w:val="center"/>
              <w:ind w:left="648"/>
              <w:spacing w:after="0"/>
              <w:rPr>
                <w:sz w:val="20"/>
                <w:szCs w:val="20"/>
                <w:color w:val="auto"/>
              </w:rPr>
            </w:pPr>
            <w:r>
              <w:rPr>
                <w:rFonts w:ascii="Arial" w:cs="Arial" w:eastAsia="Arial" w:hAnsi="Arial"/>
                <w:sz w:val="14"/>
                <w:szCs w:val="14"/>
                <w:color w:val="auto"/>
                <w:w w:val="96"/>
              </w:rPr>
              <w:t>(IRS Employer Identification Number)</w:t>
            </w:r>
          </w:p>
        </w:tc>
        <w:tc>
          <w:tcPr>
            <w:tcW w:w="0" w:type="dxa"/>
            <w:vAlign w:val="bottom"/>
          </w:tcPr>
          <w:p>
            <w:pPr>
              <w:spacing w:after="0"/>
              <w:rPr>
                <w:sz w:val="1"/>
                <w:szCs w:val="1"/>
                <w:color w:val="auto"/>
              </w:rPr>
            </w:pPr>
          </w:p>
        </w:tc>
      </w:tr>
      <w:tr>
        <w:trPr>
          <w:trHeight w:val="556"/>
        </w:trPr>
        <w:tc>
          <w:tcPr>
            <w:tcW w:w="3380" w:type="dxa"/>
            <w:vAlign w:val="bottom"/>
          </w:tcPr>
          <w:p>
            <w:pPr>
              <w:jc w:val="center"/>
              <w:ind w:right="348"/>
              <w:spacing w:after="0"/>
              <w:rPr>
                <w:sz w:val="20"/>
                <w:szCs w:val="20"/>
                <w:color w:val="auto"/>
              </w:rPr>
            </w:pPr>
            <w:r>
              <w:rPr>
                <w:rFonts w:ascii="Arial" w:cs="Arial" w:eastAsia="Arial" w:hAnsi="Arial"/>
                <w:sz w:val="14"/>
                <w:szCs w:val="14"/>
                <w:b w:val="1"/>
                <w:bCs w:val="1"/>
                <w:color w:val="auto"/>
                <w:w w:val="93"/>
              </w:rPr>
              <w:t>1691 Michigan Avenue</w:t>
            </w:r>
          </w:p>
        </w:tc>
        <w:tc>
          <w:tcPr>
            <w:tcW w:w="3040" w:type="dxa"/>
            <w:vAlign w:val="bottom"/>
          </w:tcPr>
          <w:p>
            <w:pPr>
              <w:spacing w:after="0"/>
              <w:rPr>
                <w:sz w:val="24"/>
                <w:szCs w:val="24"/>
                <w:color w:val="auto"/>
              </w:rPr>
            </w:pPr>
          </w:p>
        </w:tc>
        <w:tc>
          <w:tcPr>
            <w:tcW w:w="2960" w:type="dxa"/>
            <w:vAlign w:val="bottom"/>
            <w:vMerge w:val="restart"/>
          </w:tcPr>
          <w:p>
            <w:pPr>
              <w:jc w:val="right"/>
              <w:ind w:right="1188"/>
              <w:spacing w:after="0"/>
              <w:rPr>
                <w:sz w:val="20"/>
                <w:szCs w:val="20"/>
                <w:color w:val="auto"/>
              </w:rPr>
            </w:pPr>
            <w:r>
              <w:rPr>
                <w:rFonts w:ascii="Arial" w:cs="Arial" w:eastAsia="Arial" w:hAnsi="Arial"/>
                <w:sz w:val="14"/>
                <w:szCs w:val="14"/>
                <w:b w:val="1"/>
                <w:bCs w:val="1"/>
                <w:color w:val="auto"/>
              </w:rPr>
              <w:t>33139</w:t>
            </w:r>
          </w:p>
        </w:tc>
        <w:tc>
          <w:tcPr>
            <w:tcW w:w="0" w:type="dxa"/>
            <w:vAlign w:val="bottom"/>
          </w:tcPr>
          <w:p>
            <w:pPr>
              <w:spacing w:after="0"/>
              <w:rPr>
                <w:sz w:val="1"/>
                <w:szCs w:val="1"/>
                <w:color w:val="auto"/>
              </w:rPr>
            </w:pPr>
          </w:p>
        </w:tc>
      </w:tr>
      <w:tr>
        <w:trPr>
          <w:trHeight w:val="72"/>
        </w:trPr>
        <w:tc>
          <w:tcPr>
            <w:tcW w:w="3380" w:type="dxa"/>
            <w:vAlign w:val="bottom"/>
            <w:vMerge w:val="restart"/>
          </w:tcPr>
          <w:p>
            <w:pPr>
              <w:jc w:val="center"/>
              <w:ind w:right="388"/>
              <w:spacing w:after="0" w:line="153" w:lineRule="exact"/>
              <w:rPr>
                <w:sz w:val="20"/>
                <w:szCs w:val="20"/>
                <w:color w:val="auto"/>
              </w:rPr>
            </w:pPr>
            <w:r>
              <w:rPr>
                <w:rFonts w:ascii="Arial" w:cs="Arial" w:eastAsia="Arial" w:hAnsi="Arial"/>
                <w:sz w:val="14"/>
                <w:szCs w:val="14"/>
                <w:b w:val="1"/>
                <w:bCs w:val="1"/>
                <w:color w:val="auto"/>
                <w:w w:val="97"/>
              </w:rPr>
              <w:t>Miami Beach, Florida</w:t>
            </w:r>
          </w:p>
        </w:tc>
        <w:tc>
          <w:tcPr>
            <w:tcW w:w="304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vMerge w:val="restart"/>
          </w:tcPr>
          <w:p>
            <w:pPr>
              <w:jc w:val="center"/>
              <w:ind w:left="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01"/>
        </w:trPr>
        <w:tc>
          <w:tcPr>
            <w:tcW w:w="3380" w:type="dxa"/>
            <w:vAlign w:val="bottom"/>
            <w:vMerge w:val="restart"/>
          </w:tcPr>
          <w:p>
            <w:pPr>
              <w:jc w:val="center"/>
              <w:ind w:right="348"/>
              <w:spacing w:after="0"/>
              <w:rPr>
                <w:sz w:val="20"/>
                <w:szCs w:val="20"/>
                <w:color w:val="auto"/>
              </w:rPr>
            </w:pPr>
            <w:r>
              <w:rPr>
                <w:rFonts w:ascii="Arial" w:cs="Arial" w:eastAsia="Arial" w:hAnsi="Arial"/>
                <w:sz w:val="14"/>
                <w:szCs w:val="14"/>
                <w:color w:val="auto"/>
                <w:w w:val="95"/>
              </w:rPr>
              <w:t>(Address of Principal Executive Offices)</w:t>
            </w:r>
          </w:p>
        </w:tc>
        <w:tc>
          <w:tcPr>
            <w:tcW w:w="304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4"/>
          <w:szCs w:val="14"/>
          <w:color w:val="auto"/>
          <w:highlight w:val="black"/>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823" w:right="459" w:bottom="1440" w:gutter="0" w:footer="0" w:header="0"/>
        </w:sectPr>
      </w:pPr>
    </w:p>
    <w:p>
      <w:pPr>
        <w:spacing w:after="0" w:line="230"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380" w:space="720"/>
            <w:col w:w="2040" w:space="720"/>
            <w:col w:w="3260"/>
          </w:cols>
          <w:pgMar w:left="320" w:top="823" w:right="459" w:bottom="1440" w:gutter="0" w:footer="0" w:header="0"/>
          <w:type w:val="continuous"/>
        </w:sectPr>
      </w:pPr>
    </w:p>
    <w:p>
      <w:pPr>
        <w:ind w:left="80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PFLT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New York Stock Exchange</w:t>
      </w:r>
    </w:p>
    <w:p>
      <w:pPr>
        <w:spacing w:after="0" w:line="200" w:lineRule="exact"/>
        <w:rPr>
          <w:sz w:val="24"/>
          <w:szCs w:val="24"/>
          <w:color w:val="auto"/>
        </w:rPr>
      </w:pPr>
    </w:p>
    <w:p>
      <w:pPr>
        <w:sectPr>
          <w:pgSz w:w="11900" w:h="16838" w:orient="portrait"/>
          <w:cols w:equalWidth="0" w:num="3">
            <w:col w:w="4800" w:space="720"/>
            <w:col w:w="2120" w:space="720"/>
            <w:col w:w="2760"/>
          </w:cols>
          <w:pgMar w:left="320" w:top="823" w:right="459" w:bottom="1440" w:gutter="0" w:footer="0" w:header="0"/>
          <w:type w:val="continuous"/>
        </w:sectPr>
      </w:pPr>
    </w:p>
    <w:p>
      <w:pPr>
        <w:spacing w:after="0" w:line="2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70" w:lineRule="exact"/>
        <w:rPr>
          <w:sz w:val="24"/>
          <w:szCs w:val="24"/>
          <w:color w:val="auto"/>
        </w:rPr>
      </w:pPr>
    </w:p>
    <w:p>
      <w:pPr>
        <w:ind w:right="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23"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2.02. Results of Operations and Financial Condition</w:t>
      </w:r>
    </w:p>
    <w:p>
      <w:pPr>
        <w:spacing w:after="0" w:line="16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On November 15, 2023, PennantPark Floating Rate Capital Ltd., or the Company, issued a press release announcing its financial results for the fourth fiscal quarter ended September 30, 2023. A copy of the press release is furnished as Exhibit 99.1 to this report pursuant to Item 2.02 on Form 8-K and Regulation FD. A copy of the Company's schedule of investments as of September 30, 2023 and 2022 are furnished as Exhibit 99.2 to this report pursuant to Item 2.02 on Form 8-K and Regulation FD.</w:t>
      </w:r>
    </w:p>
    <w:p>
      <w:pPr>
        <w:spacing w:after="0" w:line="187" w:lineRule="exact"/>
        <w:rPr>
          <w:sz w:val="20"/>
          <w:szCs w:val="20"/>
          <w:color w:val="auto"/>
        </w:rPr>
      </w:pPr>
    </w:p>
    <w:p>
      <w:pPr>
        <w:jc w:val="both"/>
        <w:ind w:firstLine="444"/>
        <w:spacing w:after="0" w:line="254" w:lineRule="auto"/>
        <w:rPr>
          <w:sz w:val="20"/>
          <w:szCs w:val="20"/>
          <w:color w:val="auto"/>
        </w:rPr>
      </w:pPr>
      <w:r>
        <w:rPr>
          <w:rFonts w:ascii="Arial" w:cs="Arial" w:eastAsia="Arial" w:hAnsi="Arial"/>
          <w:sz w:val="18"/>
          <w:szCs w:val="18"/>
          <w:color w:val="auto"/>
        </w:rPr>
        <w:t>The Company is completing its assessment of the effectiveness of its internal control over financial reporting as of September 30, 2023. Based on currently available information, the Company expects to report certain material weaknesses in internal control over financial reporting in Item 9A of its Annual Report on Form 10-K for the fiscal year ended September 30, 2023 (the “2023 Annual Report”). The material weaknesses identified to date relate to the control environment over the Company’s review process of its cash and par reconciliations and its interest income analysis. The material weaknesses are not expected to impact the accuracy of the Company’s financial statements to be reported in the 2023 Annual Report. Because the Company has not completed the preparation of its consolidated financial statements for the year ended September 30, 2023, the preliminary unaudited results presented in the press release as of and for the fourth quarter and year ended September 30, 2023 are based on current expectations and are subject to adjustment.</w:t>
      </w:r>
    </w:p>
    <w:p>
      <w:pPr>
        <w:spacing w:after="0" w:line="192"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The information in this report on Form 8-K, including Exhibits 99.1 and 99.2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This report on Form 8-K, including Exhibits 99.1 and 99.2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8" w:lineRule="exact"/>
        <w:rPr>
          <w:sz w:val="20"/>
          <w:szCs w:val="20"/>
          <w:color w:val="auto"/>
        </w:rPr>
      </w:pPr>
    </w:p>
    <w:p>
      <w:pPr>
        <w:ind w:left="580" w:right="9300" w:hanging="579"/>
        <w:spacing w:after="0" w:line="293" w:lineRule="auto"/>
        <w:tabs>
          <w:tab w:leader="none" w:pos="25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580" w:right="8400" w:hanging="579"/>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80" w:right="8780" w:hanging="579"/>
        <w:spacing w:after="0" w:line="250" w:lineRule="auto"/>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60" w:hanging="259"/>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PennantPark Floating Rate Capital Ltd. dated November 15, 2023</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FF"/>
        </w:rPr>
        <w:t>Schedule of Investments as of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-19050</wp:posOffset>
            </wp:positionV>
            <wp:extent cx="2766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ind w:left="1160" w:hanging="538"/>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5080"/>
        <w:spacing w:after="0"/>
        <w:rPr>
          <w:rFonts w:ascii="Arial" w:cs="Arial" w:eastAsia="Arial" w:hAnsi="Arial"/>
          <w:sz w:val="18"/>
          <w:szCs w:val="18"/>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7" w:right="359" w:bottom="1440" w:gutter="0" w:footer="0" w:header="0"/>
        </w:sectPr>
      </w:pPr>
    </w:p>
    <w:bookmarkStart w:id="2" w:name="page3"/>
    <w:bookmarkEnd w:id="2"/>
    <w:p>
      <w:pPr>
        <w:ind w:left="20"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Dated: November 15, 2023</w:t>
            </w:r>
          </w:p>
        </w:tc>
        <w:tc>
          <w:tcPr>
            <w:tcW w:w="7560" w:type="dxa"/>
            <w:vAlign w:val="bottom"/>
            <w:gridSpan w:val="3"/>
            <w:vMerge w:val="restart"/>
          </w:tcPr>
          <w:p>
            <w:pPr>
              <w:ind w:left="1680"/>
              <w:spacing w:after="0"/>
              <w:rPr>
                <w:sz w:val="20"/>
                <w:szCs w:val="20"/>
                <w:color w:val="auto"/>
              </w:rPr>
            </w:pPr>
            <w:r>
              <w:rPr>
                <w:rFonts w:ascii="Arial" w:cs="Arial" w:eastAsia="Arial" w:hAnsi="Arial"/>
                <w:sz w:val="18"/>
                <w:szCs w:val="18"/>
                <w:b w:val="1"/>
                <w:bCs w:val="1"/>
                <w:color w:val="auto"/>
              </w:rPr>
              <w:t>PENNANTPARK FLOATING RATE CAPITAL LTD.</w:t>
            </w:r>
          </w:p>
        </w:tc>
        <w:tc>
          <w:tcPr>
            <w:tcW w:w="0" w:type="dxa"/>
            <w:vAlign w:val="bottom"/>
          </w:tcPr>
          <w:p>
            <w:pPr>
              <w:spacing w:after="0"/>
              <w:rPr>
                <w:sz w:val="1"/>
                <w:szCs w:val="1"/>
                <w:color w:val="auto"/>
              </w:rPr>
            </w:pPr>
          </w:p>
        </w:tc>
      </w:tr>
      <w:tr>
        <w:trPr>
          <w:trHeight w:val="95"/>
        </w:trPr>
        <w:tc>
          <w:tcPr>
            <w:tcW w:w="3680" w:type="dxa"/>
            <w:vAlign w:val="bottom"/>
          </w:tcPr>
          <w:p>
            <w:pPr>
              <w:spacing w:after="0"/>
              <w:rPr>
                <w:sz w:val="8"/>
                <w:szCs w:val="8"/>
                <w:color w:val="auto"/>
              </w:rPr>
            </w:pPr>
          </w:p>
        </w:tc>
        <w:tc>
          <w:tcPr>
            <w:tcW w:w="7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680" w:type="dxa"/>
            <w:vAlign w:val="bottom"/>
          </w:tcPr>
          <w:p>
            <w:pPr>
              <w:spacing w:after="0"/>
              <w:rPr>
                <w:sz w:val="24"/>
                <w:szCs w:val="24"/>
                <w:color w:val="auto"/>
              </w:rPr>
            </w:pPr>
          </w:p>
        </w:tc>
        <w:tc>
          <w:tcPr>
            <w:tcW w:w="7560" w:type="dxa"/>
            <w:vAlign w:val="bottom"/>
            <w:gridSpan w:val="3"/>
          </w:tcPr>
          <w:p>
            <w:pPr>
              <w:ind w:left="1680"/>
              <w:spacing w:after="0"/>
              <w:rPr>
                <w:sz w:val="20"/>
                <w:szCs w:val="20"/>
                <w:color w:val="auto"/>
              </w:rPr>
            </w:pPr>
            <w:r>
              <w:rPr>
                <w:rFonts w:ascii="Arial" w:cs="Arial" w:eastAsia="Arial" w:hAnsi="Arial"/>
                <w:sz w:val="18"/>
                <w:szCs w:val="18"/>
                <w:color w:val="auto"/>
              </w:rPr>
              <w:t>By: /s/ Richard T. Allorto, Jr.</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tcPr>
          <w:p>
            <w:pPr>
              <w:spacing w:after="0"/>
              <w:rPr>
                <w:sz w:val="19"/>
                <w:szCs w:val="19"/>
                <w:color w:val="auto"/>
              </w:rPr>
            </w:pPr>
          </w:p>
        </w:tc>
        <w:tc>
          <w:tcPr>
            <w:tcW w:w="7560" w:type="dxa"/>
            <w:vAlign w:val="bottom"/>
            <w:gridSpan w:val="3"/>
          </w:tcPr>
          <w:p>
            <w:pPr>
              <w:ind w:left="1960"/>
              <w:spacing w:after="0"/>
              <w:rPr>
                <w:sz w:val="20"/>
                <w:szCs w:val="20"/>
                <w:color w:val="auto"/>
              </w:rPr>
            </w:pPr>
            <w:r>
              <w:rPr>
                <w:rFonts w:ascii="Arial" w:cs="Arial" w:eastAsia="Arial" w:hAnsi="Arial"/>
                <w:sz w:val="18"/>
                <w:szCs w:val="18"/>
                <w:color w:val="auto"/>
              </w:rPr>
              <w:t>Richard T. Allorto, Jr.</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7560" w:type="dxa"/>
            <w:vAlign w:val="bottom"/>
            <w:gridSpan w:val="3"/>
          </w:tcPr>
          <w:p>
            <w:pPr>
              <w:ind w:left="1960"/>
              <w:spacing w:after="0"/>
              <w:rPr>
                <w:sz w:val="20"/>
                <w:szCs w:val="20"/>
                <w:color w:val="auto"/>
              </w:rPr>
            </w:pPr>
            <w:r>
              <w:rPr>
                <w:rFonts w:ascii="Arial" w:cs="Arial" w:eastAsia="Arial" w:hAnsi="Arial"/>
                <w:sz w:val="18"/>
                <w:szCs w:val="18"/>
                <w:i w:val="1"/>
                <w:iCs w:val="1"/>
                <w:color w:val="auto"/>
              </w:rPr>
              <w:t>Chief Financial Officer &amp; Treasurer</w:t>
            </w:r>
          </w:p>
        </w:tc>
        <w:tc>
          <w:tcPr>
            <w:tcW w:w="0" w:type="dxa"/>
            <w:vAlign w:val="bottom"/>
          </w:tcPr>
          <w:p>
            <w:pPr>
              <w:spacing w:after="0"/>
              <w:rPr>
                <w:sz w:val="1"/>
                <w:szCs w:val="1"/>
                <w:color w:val="auto"/>
              </w:rPr>
            </w:pPr>
          </w:p>
        </w:tc>
      </w:tr>
      <w:tr>
        <w:trPr>
          <w:trHeight w:val="297"/>
        </w:trPr>
        <w:tc>
          <w:tcPr>
            <w:tcW w:w="3680" w:type="dxa"/>
            <w:vAlign w:val="bottom"/>
            <w:tcBorders>
              <w:bottom w:val="single" w:sz="8" w:color="7F0000"/>
            </w:tcBorders>
          </w:tcPr>
          <w:p>
            <w:pPr>
              <w:spacing w:after="0"/>
              <w:rPr>
                <w:sz w:val="24"/>
                <w:szCs w:val="24"/>
                <w:color w:val="auto"/>
              </w:rPr>
            </w:pPr>
          </w:p>
        </w:tc>
        <w:tc>
          <w:tcPr>
            <w:tcW w:w="2000" w:type="dxa"/>
            <w:vAlign w:val="bottom"/>
            <w:tcBorders>
              <w:bottom w:val="single" w:sz="8" w:color="7F0000"/>
            </w:tcBorders>
          </w:tcPr>
          <w:p>
            <w:pPr>
              <w:spacing w:after="0"/>
              <w:rPr>
                <w:sz w:val="24"/>
                <w:szCs w:val="24"/>
                <w:color w:val="auto"/>
              </w:rPr>
            </w:pPr>
          </w:p>
        </w:tc>
        <w:tc>
          <w:tcPr>
            <w:tcW w:w="1820" w:type="dxa"/>
            <w:vAlign w:val="bottom"/>
            <w:tcBorders>
              <w:bottom w:val="single" w:sz="8" w:color="7F0000"/>
            </w:tcBorders>
          </w:tcPr>
          <w:p>
            <w:pPr>
              <w:spacing w:after="0"/>
              <w:rPr>
                <w:sz w:val="24"/>
                <w:szCs w:val="24"/>
                <w:color w:val="auto"/>
              </w:rPr>
            </w:pPr>
          </w:p>
        </w:tc>
        <w:tc>
          <w:tcPr>
            <w:tcW w:w="3740" w:type="dxa"/>
            <w:vAlign w:val="bottom"/>
            <w:tcBorders>
              <w:bottom w:val="single" w:sz="8" w:color="7F0000"/>
            </w:tcBorders>
          </w:tcPr>
          <w:p>
            <w:pPr>
              <w:spacing w:after="0"/>
              <w:rPr>
                <w:sz w:val="24"/>
                <w:szCs w:val="24"/>
                <w:color w:val="auto"/>
              </w:rPr>
            </w:pPr>
          </w:p>
        </w:tc>
        <w:tc>
          <w:tcPr>
            <w:tcW w:w="0" w:type="dxa"/>
            <w:vAlign w:val="bottom"/>
          </w:tcPr>
          <w:p>
            <w:pPr>
              <w:spacing w:after="0"/>
              <w:rPr>
                <w:sz w:val="1"/>
                <w:szCs w:val="1"/>
                <w:color w:val="auto"/>
              </w:rPr>
            </w:pPr>
          </w:p>
        </w:tc>
      </w:tr>
      <w:tr>
        <w:trPr>
          <w:trHeight w:val="2174"/>
        </w:trPr>
        <w:tc>
          <w:tcPr>
            <w:tcW w:w="36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8435"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PennantPark Floating Rate Capital Ltd. Announces Financial Results for the Fourth Quarter and Fiscal Year Ended September 30, 2023</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Miami, FL </w:t>
      </w:r>
      <w:r>
        <w:rPr>
          <w:rFonts w:ascii="Arial" w:cs="Arial" w:eastAsia="Arial" w:hAnsi="Arial"/>
          <w:sz w:val="14"/>
          <w:szCs w:val="14"/>
          <w:color w:val="auto"/>
        </w:rPr>
        <w:t>—</w:t>
      </w:r>
      <w:r>
        <w:rPr>
          <w:rFonts w:ascii="Arial" w:cs="Arial" w:eastAsia="Arial" w:hAnsi="Arial"/>
          <w:sz w:val="18"/>
          <w:szCs w:val="18"/>
          <w:color w:val="auto"/>
        </w:rPr>
        <w:t xml:space="preserve"> (GLOBE NEWSWIRE </w:t>
      </w:r>
      <w:r>
        <w:rPr>
          <w:rFonts w:ascii="Arial" w:cs="Arial" w:eastAsia="Arial" w:hAnsi="Arial"/>
          <w:sz w:val="14"/>
          <w:szCs w:val="14"/>
          <w:color w:val="auto"/>
        </w:rPr>
        <w:t>—</w:t>
      </w:r>
      <w:r>
        <w:rPr>
          <w:rFonts w:ascii="Arial" w:cs="Arial" w:eastAsia="Arial" w:hAnsi="Arial"/>
          <w:sz w:val="18"/>
          <w:szCs w:val="18"/>
          <w:color w:val="auto"/>
        </w:rPr>
        <w:t xml:space="preserve"> November 15, 2023) </w:t>
      </w:r>
      <w:r>
        <w:rPr>
          <w:rFonts w:ascii="Arial" w:cs="Arial" w:eastAsia="Arial" w:hAnsi="Arial"/>
          <w:sz w:val="14"/>
          <w:szCs w:val="14"/>
          <w:color w:val="auto"/>
        </w:rPr>
        <w:t>—</w:t>
      </w:r>
      <w:r>
        <w:rPr>
          <w:rFonts w:ascii="Arial" w:cs="Arial" w:eastAsia="Arial" w:hAnsi="Arial"/>
          <w:sz w:val="18"/>
          <w:szCs w:val="18"/>
          <w:color w:val="auto"/>
        </w:rPr>
        <w:t xml:space="preserve"> PennantPark Floating Rate Capital Ltd. (NYSE: PFLT) (TASE: PFLT) announced today financial results for the fourth quarter and fiscal year ended September 30,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Quarter ended September 30, 2023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Assets and Liabilities:</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line="175" w:lineRule="exact"/>
              <w:rPr>
                <w:sz w:val="20"/>
                <w:szCs w:val="20"/>
                <w:color w:val="auto"/>
              </w:rPr>
            </w:pPr>
            <w:r>
              <w:rPr>
                <w:rFonts w:ascii="Arial" w:cs="Arial" w:eastAsia="Arial" w:hAnsi="Arial"/>
                <w:sz w:val="14"/>
                <w:szCs w:val="14"/>
                <w:color w:val="auto"/>
              </w:rPr>
              <w:t xml:space="preserve">Investment portfolio </w:t>
            </w:r>
            <w:r>
              <w:rPr>
                <w:rFonts w:ascii="Arial" w:cs="Arial" w:eastAsia="Arial" w:hAnsi="Arial"/>
                <w:sz w:val="19"/>
                <w:szCs w:val="19"/>
                <w:color w:val="auto"/>
                <w:vertAlign w:val="superscript"/>
              </w:rPr>
              <w:t>(1)</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1,067.2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assets</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653.6</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rPr>
                <w:sz w:val="20"/>
                <w:szCs w:val="20"/>
                <w:color w:val="auto"/>
              </w:rPr>
            </w:pPr>
            <w:r>
              <w:rPr>
                <w:rFonts w:ascii="Arial" w:cs="Arial" w:eastAsia="Arial" w:hAnsi="Arial"/>
                <w:sz w:val="14"/>
                <w:szCs w:val="14"/>
                <w:color w:val="auto"/>
              </w:rPr>
              <w:t>GAAP net asset value per share</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Quarterly increase in GAAP net asset value per share</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0"/>
              <w:spacing w:after="0" w:line="175" w:lineRule="exact"/>
              <w:rPr>
                <w:sz w:val="20"/>
                <w:szCs w:val="20"/>
                <w:color w:val="auto"/>
              </w:rPr>
            </w:pPr>
            <w:r>
              <w:rPr>
                <w:rFonts w:ascii="Arial" w:cs="Arial" w:eastAsia="Arial" w:hAnsi="Arial"/>
                <w:sz w:val="14"/>
                <w:szCs w:val="14"/>
                <w:color w:val="auto"/>
              </w:rPr>
              <w:t xml:space="preserve">Adjusted net asset value per share </w:t>
            </w:r>
            <w:r>
              <w:rPr>
                <w:rFonts w:ascii="Arial" w:cs="Arial" w:eastAsia="Arial" w:hAnsi="Arial"/>
                <w:sz w:val="19"/>
                <w:szCs w:val="19"/>
                <w:color w:val="auto"/>
                <w:vertAlign w:val="superscript"/>
              </w:rPr>
              <w:t>(2)</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0"/>
              <w:spacing w:after="0" w:line="175" w:lineRule="exact"/>
              <w:rPr>
                <w:sz w:val="20"/>
                <w:szCs w:val="20"/>
                <w:color w:val="auto"/>
              </w:rPr>
            </w:pPr>
            <w:r>
              <w:rPr>
                <w:rFonts w:ascii="Arial" w:cs="Arial" w:eastAsia="Arial" w:hAnsi="Arial"/>
                <w:sz w:val="14"/>
                <w:szCs w:val="14"/>
                <w:color w:val="auto"/>
              </w:rPr>
              <w:t xml:space="preserve">Quarterly increase in adjusted net asset value per share </w:t>
            </w:r>
            <w:r>
              <w:rPr>
                <w:rFonts w:ascii="Arial" w:cs="Arial" w:eastAsia="Arial" w:hAnsi="Arial"/>
                <w:sz w:val="19"/>
                <w:szCs w:val="19"/>
                <w:color w:val="auto"/>
                <w:vertAlign w:val="superscript"/>
              </w:rPr>
              <w:t>(2)</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Credit Facility</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2026 Notes</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183.1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2031 Asset-Backed Debt</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Regulatory Debt to Equity</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0.76x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Weighted average yield on debt investments at quarter-end</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Quarter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September 30, 2023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Operating Results:</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18.5</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investment income per share (GAAP)</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0.32</w:t>
            </w: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line="175" w:lineRule="exact"/>
              <w:rPr>
                <w:sz w:val="20"/>
                <w:szCs w:val="20"/>
                <w:color w:val="auto"/>
              </w:rPr>
            </w:pPr>
            <w:r>
              <w:rPr>
                <w:rFonts w:ascii="Arial" w:cs="Arial" w:eastAsia="Arial" w:hAnsi="Arial"/>
                <w:sz w:val="14"/>
                <w:szCs w:val="14"/>
                <w:color w:val="auto"/>
              </w:rPr>
              <w:t xml:space="preserve">Core net investment income per share </w:t>
            </w:r>
            <w:r>
              <w:rPr>
                <w:rFonts w:ascii="Arial" w:cs="Arial" w:eastAsia="Arial" w:hAnsi="Arial"/>
                <w:sz w:val="19"/>
                <w:szCs w:val="19"/>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0.32</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Distributions declared per share</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0.31</w:t>
            </w: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Portfolio Activity:</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93.5</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Sales and repayments of investments</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399.1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PSSL Portfolio data:</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PSSL investment portfolio</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785.9</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785.9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Purchases of investments</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52.5</w:t>
            </w:r>
          </w:p>
        </w:tc>
        <w:tc>
          <w:tcPr>
            <w:tcW w:w="3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190.9</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80" w:type="dxa"/>
            <w:vAlign w:val="bottom"/>
          </w:tcPr>
          <w:p>
            <w:pPr>
              <w:ind w:left="200"/>
              <w:spacing w:after="0"/>
              <w:rPr>
                <w:sz w:val="20"/>
                <w:szCs w:val="20"/>
                <w:color w:val="auto"/>
              </w:rPr>
            </w:pPr>
            <w:r>
              <w:rPr>
                <w:rFonts w:ascii="Arial" w:cs="Arial" w:eastAsia="Arial" w:hAnsi="Arial"/>
                <w:sz w:val="14"/>
                <w:szCs w:val="14"/>
                <w:color w:val="auto"/>
              </w:rPr>
              <w:t>Sales and repayments of investments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76.4</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5" w:lineRule="exact"/>
        <w:rPr>
          <w:sz w:val="20"/>
          <w:szCs w:val="20"/>
          <w:color w:val="auto"/>
        </w:rPr>
      </w:pPr>
    </w:p>
    <w:p>
      <w:pPr>
        <w:ind w:left="760" w:hanging="452"/>
        <w:spacing w:after="0"/>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investments in PennantPark Senior Secured Loan Fund I LLC, or PSSL, an unconsolidated joint venture, totaling $261.0 million, at fair value.</w:t>
      </w:r>
    </w:p>
    <w:p>
      <w:pPr>
        <w:spacing w:after="0" w:line="95" w:lineRule="exact"/>
        <w:rPr>
          <w:rFonts w:ascii="Arial" w:cs="Arial" w:eastAsia="Arial" w:hAnsi="Arial"/>
          <w:sz w:val="14"/>
          <w:szCs w:val="14"/>
          <w:color w:val="auto"/>
        </w:rPr>
      </w:pPr>
    </w:p>
    <w:p>
      <w:pPr>
        <w:jc w:val="both"/>
        <w:ind w:left="760" w:right="20" w:hanging="452"/>
        <w:spacing w:after="0" w:line="238" w:lineRule="auto"/>
        <w:tabs>
          <w:tab w:leader="none" w:pos="7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is a non-GAAP financial measure. The Company believes that this number provides useful information to investors and management because it reflects the Company’s financial performance including the impact of the unrealized amounts on the Credit Facility and the 2023 Notes. The presentation of this additional information is not meant to be considered in isolation or as a substitute for financial results prepared in accordance with GAAP.</w:t>
      </w:r>
    </w:p>
    <w:p>
      <w:pPr>
        <w:spacing w:after="0" w:line="74" w:lineRule="exact"/>
        <w:rPr>
          <w:rFonts w:ascii="Arial" w:cs="Arial" w:eastAsia="Arial" w:hAnsi="Arial"/>
          <w:sz w:val="14"/>
          <w:szCs w:val="14"/>
          <w:color w:val="auto"/>
        </w:rPr>
      </w:pPr>
    </w:p>
    <w:p>
      <w:pPr>
        <w:jc w:val="both"/>
        <w:ind w:left="760" w:right="20" w:hanging="452"/>
        <w:spacing w:after="0" w:line="255" w:lineRule="auto"/>
        <w:tabs>
          <w:tab w:leader="none" w:pos="7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year ended September 30, 2023, Core NII excluded: i) $3.7 million or $0.07 per share, of dividend income related to our equity investment in Dominion Voting Systems; and ii) an add back of $0.7 million or $0.01 per share, of incentive fee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AT 9:00 A.M. ET ON NOVEMBER 16, 2023</w:t>
      </w:r>
    </w:p>
    <w:p>
      <w:pPr>
        <w:spacing w:after="0" w:line="121"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color w:val="auto"/>
        </w:rPr>
        <w:t>The Company will also host a conference call at 9:00 a.m. (Eastern Time) on Thursday, November 16, 2023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#3662054 or PennantPark Floating Rate Capital Ltd. An archived replay will also be available on a webcast link located on the Quarterly Earnings page in the Investor section of PennantPark’s website.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“We are pleased to have another quarter of solid performance from both a NAV and net investment income perspective. We also are in a position to take advantage of this excellent vintage of loans in the core middle market,” said Art Penn, Chairman and CEO. “We believe that we have a visible pathway of driving meaningfully increased income through the growing balance sheets of PFLT and our PSSL joint venture.”</w:t>
      </w:r>
    </w:p>
    <w:p>
      <w:pPr>
        <w:spacing w:after="0" w:line="98"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As of September 30, 2023, our portfolio totaled $1,067.2 million and consisted of $906.2 million of first lien secured debt (including $210.1 million in PSSL), $0.1 million of second lien secured debt and $160.9 million of preferred and common equity (including $50.9 million in PSSL). Our debt portfolio consisted of approximately 100% variable-rate investments. As of September 30, 2023, we had three portfolio companies on non-accrual, representing 0.9% and 0.2% of our overall portfolio on a cost and fair value basis, respectively. As of September 30, 2023, the portfolio had net unrealized depreciation of $25.7 million. Our overall portfolio consisted of 131 companies with an average investment size of $8.1 million, and a weighted average yield on debt investments of 12.6%.</w:t>
      </w:r>
    </w:p>
    <w:p>
      <w:pPr>
        <w:spacing w:after="0" w:line="111"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As of September 30, 2022, our portfolio totaled $1,164.3 million and consisted of $1,009.6 million of first lien secured debt (including $190.2 million in PSSL), $0.1 million of second lien secured debt and $154.5 million of preferred and common equity (including $49.4 million in PSSL). Our debt portfolio consisted of 100% variable-rate investments. As of September 30, 2022, we had two portfolio companies on non-accrual, representing 0.9% and zero percent of our overall portfolio on a cost and fair value basis, respectively. As of September 30, 2022, the portfolio had net unrealized depreciation of $13.1 million. Our overall portfolio consisted of 125 companies with an average investment size of $9.3 million and a weighted average yield on debt investments of 10.0%.</w:t>
      </w:r>
    </w:p>
    <w:p>
      <w:pPr>
        <w:spacing w:after="0" w:line="19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For the three months ended September 30, 2023, we invested $93.5 million in three new and 31 existing portfolio companies with a weighted average yield on debt investments of 12.1%. Sales and repayments of investments for the same period totaled $141.0 million. This compares to the three months ended September 30, 2022, in which we invested $54.7 million in five new and 25 existing portfolio companies with a weighted average yield on debt investments of 8.9%. Sales and repayments of investments for the same period totaled $98.0 million.</w:t>
      </w:r>
    </w:p>
    <w:p>
      <w:pPr>
        <w:spacing w:after="0" w:line="187"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For the year ended September 30, 2023, we invested $324.5 million in 16 new and 71 existing portfolio companies with a weighted average yield on debt investments of 12.1%. Sales and repayments of investments for the same period totaled $399.1 million.</w:t>
      </w:r>
    </w:p>
    <w:p>
      <w:pPr>
        <w:spacing w:after="0" w:line="170"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For the year ended September 30, 2022, we invested $607.8 million in 34 new and 129 existing portfolio companies with a weighted average yield on debt investments of 7.8%. Sales and repayments of investments for the same period totaled $495.2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As of September 30, 2023, PSSL’s portfolio totaled $785.9 million, consisted of 105 companies with an average investment size of $7.5 million and had a weighted average yield on debt investments of 12.1%. As of September 30, 2022, PSSL’s portfolio totaled $754.7 million, consisted of 95 companies with an average investment size of $8.0 million and had a weighted average yield on debt investments of 9.6%.</w:t>
      </w:r>
    </w:p>
    <w:p>
      <w:pPr>
        <w:spacing w:after="0" w:line="76"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color w:val="auto"/>
        </w:rPr>
        <w:t>For the three months ended September 30, 2023, PSSL invested $52.5 million in five new and eight existing portfolio companies with a weighted average yield on debt investments of 12.0%. PSSL’s sales and repayments of investments for the same period totaled $76.4 million. For the three months ended September 30, 2022, PSSL invested $50.2 million in nine new and five existing portfolio companies with a weighted average yield on debt investments of 8.8%. PSSL’s sales and repayments of investments for the same period totaled $33.2 million.</w:t>
      </w:r>
    </w:p>
    <w:p>
      <w:pPr>
        <w:spacing w:after="0" w:line="63"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the year ended September 30, 2023, PSSL invested $190.9 million (of which $158.2 million was purchased from the Company) in 22 new and 27 existing portfolio companies with a weighted average yield on debt investments of 11.8%. PSSL’s sales and repayments of investments for the same period totaled $155.2 million.</w:t>
      </w:r>
    </w:p>
    <w:p>
      <w:pPr>
        <w:spacing w:after="0" w:line="292"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the year ended September 30, 2022, PSSL invested $278.8 million (of which $270.6 million was purchased from the Company) in 34 new and 20 existing portfolio companies with a weighted average yield on debt investments of 8.1%. PSSL’s sales and repayments of investments for the same period totaled $102.4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operations for the three months and years ended September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7"/>
          <w:szCs w:val="17"/>
          <w:color w:val="auto"/>
        </w:rPr>
        <w:t>For the three months and year ended September 30, 2023, investment income was $35.7 million and $139.3 million, respectively, and was attributable to $31.4 million and $120.0 million from first lien secured debt, zero and $0.02 million from second lien secured debt, and $4.3 million and $19.3 million from preferred and common equity, respectively. For the three months and year ended September 30, 2022, investment income was $28.8 million and $105.5 million, respectively, and was attributable to $25.1 million and $89.1 million from first lien secured debt, zero and $0.2 million from second lien secured debt, and $3.7 million and $16.2 million from preferred and common equity, respectively. The increase in investment income compared to the same periods in the prior year was primarily due to an increase in the SOFR index.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For the three months and year ended September 30, 2023, expenses totaled $17.2 million and $71.8 million, respectively, and were comprised of $8.6 million and $38.2 million of debt related interest and expenses, $2.8 million and $11.4 million of base management fees, $4.6 million and $16.9 million of incentive fees, $1.1 million and $4.4 million of general and administrative expenses and $0.2 million and $1.0 million of provision for excise taxes. For the three months and years ended September 30, 2022, expenses totaled $16.1 million and $56.9 million, respectively, and were comprised of $9.0 million (including $0.4 million attributable to fees associated with entering into the new credit facility) and $29.8 million (including $0.4 million attributable to fees associated with entering into the new credit facility) of debt related interest and expenses, $3.0 million and $11.9 million of base management fees, $3.2 million and $11.6 million of incentive fees, $0.8 million and $3.2 million of general and administrative expenses and $0.1 million and $0.4 million of provision for excise taxes, respectively. The increase in expenses over the prior year was primarily due to an increase in debt related interest and other financing expenses and an increase in incentive fees.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229"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For the three months and year ended September 30, 2023, net investment income totaled $18.5 million and $67.5 million, or $0.32 per share and $1.33 per share, respectively. For the three months and year ended September 30, 2022, net investment income totaled $12.7 million and $48.6 million, or $0.29 per share and $1.18 per share, respectively. The increase in net investment income per share compared to the prior year was primarily due to an increase in investment income.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200" w:lineRule="exact"/>
        <w:rPr>
          <w:sz w:val="20"/>
          <w:szCs w:val="20"/>
          <w:color w:val="auto"/>
        </w:rPr>
      </w:pPr>
    </w:p>
    <w:p>
      <w:pPr>
        <w:spacing w:after="0" w:line="24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For the three months and years ended September 30, 2023, net realized gains (losses) on investments including provision for taxes totaled $(2.3) million and $(16.2) million, respectively. For the three months and years ended September 30, 2022 net realized gains (losses) totaled $0.5 million and $(11.1) million, respectively. The change in realized gains (losses) was primarily due to changes in market conditions of our investments and the values at which they were realized, caused by the fluctuations in the market and in the economy.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the Credit Facility and the 2023 Notes</w:t>
      </w:r>
    </w:p>
    <w:p>
      <w:pPr>
        <w:spacing w:after="0" w:line="229"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For the three months ended and year ended September 30, 2023, net change in unrealized appreciation (depreciation) on investments was $9.5 million and $(12.6) million, respectively. For the three months and year ended September 30, 2022, net change in unrealized appreciation (depreciation) on investments was $(20.9) million and $(24.5) million, respectively. As of September 30, 2023 and September 30, 2022, our net unrealized appreciation (depreciation) on investments totaled $(25.7) million and $(13.1) million, respectively. The net change in unrealized appreciation or depreciation on our investments for the year ended September 30, 2023 compared to the prior year was primarily due to changes in the capital market conditions of our investments and the values at which they were realized, caused by the fluctuations in the market and in the economy, as discussed above under the "Forward-Looking Statements".</w:t>
      </w:r>
    </w:p>
    <w:p>
      <w:pPr>
        <w:spacing w:after="0" w:line="195"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8"/>
          <w:szCs w:val="18"/>
          <w:color w:val="auto"/>
        </w:rPr>
        <w:t>For the three months and year ended September 30, 2023, our Credit Facility and 2023 Notes had a net change in unrealized (appreciation) depreciation of $2.6 million and $(2.3) million, respectively. For the three months and years ended September 30, 2022, the Credit Facility or our Prior Credit Facility, as applicable, and 2023 Notes had a net change in unrealized (appreciation) depreciation of $(6.2) million and $(4.9) million, respectively. As of September 30, 2023 and September 30, 2022, the net unrealized depreciation on the Credit Facility or our Prior Credit Facility, as applicable, and the 2023 Notes totaled zero and $2.3 million, respectively. The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change in unrealized appreciation or depreciation compared to the same periods in the prior year was primarily due to changes in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Net Assets Resulting from Operations</w:t>
      </w:r>
    </w:p>
    <w:p>
      <w:pPr>
        <w:spacing w:after="0" w:line="229"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8"/>
          <w:szCs w:val="18"/>
          <w:color w:val="auto"/>
        </w:rPr>
        <w:t>For the three months and year ended September 30, 2023, net increase (decrease) in net assets resulting from operations totaled $28.0 million and $39.3 million, or $0.48 per share and $0.77 per share, respectively. For the three months and year ended September 30, 2022, net increase (decrease) in net assets resulting from operations totaled $(13.1) million and $3.5 million, or $(0.34) and $0.08 per share, respectively. The increase or decrease for the year ended September 30, 2023 compared to the prior year was primarily due to a decrease in depreciation of the portfolio primarily driven by changes in market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63"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As of September 30, 2023 and 2022, we had $9.4 million and $168.8 million in outstanding borrowings under the Credit Facility, respectively, and the weighted average interest rate was 7.7% and 4.9%, respectively. As of September 30, 2023 and 2022, we had $376.6 million and $197.2 million of unused borrowing capacity under the Credit Facility, respectively, subject to leverage and borrowing base restrictions.</w:t>
      </w:r>
    </w:p>
    <w:p>
      <w:pPr>
        <w:spacing w:after="0" w:line="57"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As of September 30, 2023 and 2022, we had cash equivalents of $100.0 million and $47.9 million, respectively, available for investing and general corporate purposes. We believe our liquidity and capital resources are sufficient to allow us to efficiently operate the business.</w:t>
      </w:r>
    </w:p>
    <w:p>
      <w:pPr>
        <w:spacing w:after="0" w:line="62"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the year ended September 30, 2023, our operating activities provided cash of $143.6 million and our financing activities used cash of $(91.5) million. Our operating activities provided cash primarily due to our investment activities and our financing activities used cash primarily to fund repayments under the Credit Facility.</w:t>
      </w:r>
    </w:p>
    <w:p>
      <w:pPr>
        <w:spacing w:after="0" w:line="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the year ended September 30, 2022, our operating activities used cash of $50.0 million, and our financing activities provided cash of $47.7 million. Our operating activities used cash primarily for our investment activities and our financing activities provided cash primarily from public offering proceeds and the 2026 notes issuance.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During the three months and year ended September 30, 2023, we declared distributions of $0.31 and $1.19 per share, respectively, for total distributions of $18.1 million and $60.5 million, respectively. During the three months and year ended September 30, 2022, we declared distributions of $0.29 and $1.14 per share, respectively, for total distributions of $12.6 million and $46.7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For the period subsequent to September 30, 2023 through November 10, 2023 we invested $76.2 million in four new and 17 existing portfolio companies at a weighted average yield on debt investments of 11.8%.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 xml:space="preserve">The Company makes available on its website its Annual Report on Form 10-K filed with the SEC, and stockholders may find such report on its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1099185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ASSETS AND LIABILITIES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2023</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September 30, 2022</w:t>
            </w:r>
          </w:p>
        </w:tc>
      </w:tr>
      <w:tr>
        <w:trPr>
          <w:trHeight w:val="169"/>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 (cost—$768,240 and $882,570,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772,178</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893,249</w:t>
            </w:r>
          </w:p>
        </w:tc>
        <w:tc>
          <w:tcPr>
            <w:tcW w:w="100" w:type="dxa"/>
            <w:vAlign w:val="bottom"/>
            <w:shd w:val="clear" w:color="auto" w:fill="CCECFF"/>
          </w:tcPr>
          <w:p>
            <w:pPr>
              <w:spacing w:after="0"/>
              <w:rPr>
                <w:sz w:val="15"/>
                <w:szCs w:val="15"/>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Controlled, affiliated investments (cost— $324,639 and $294,787, respectively)</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294,996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271,005</w:t>
            </w:r>
          </w:p>
        </w:tc>
        <w:tc>
          <w:tcPr>
            <w:tcW w:w="100" w:type="dxa"/>
            <w:vAlign w:val="bottom"/>
          </w:tcPr>
          <w:p>
            <w:pPr>
              <w:spacing w:after="0"/>
              <w:rPr>
                <w:sz w:val="15"/>
                <w:szCs w:val="15"/>
                <w:color w:val="auto"/>
              </w:rPr>
            </w:pPr>
          </w:p>
        </w:tc>
      </w:tr>
      <w:tr>
        <w:trPr>
          <w:trHeight w:val="169"/>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Total of investments (cost—$1,092,878 and $1,177,357, respectively)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1,067,174</w:t>
            </w: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1,164,254</w:t>
            </w:r>
          </w:p>
        </w:tc>
        <w:tc>
          <w:tcPr>
            <w:tcW w:w="100" w:type="dxa"/>
            <w:vAlign w:val="bottom"/>
            <w:shd w:val="clear" w:color="auto" w:fill="CCECFF"/>
          </w:tcPr>
          <w:p>
            <w:pPr>
              <w:spacing w:after="0"/>
              <w:rPr>
                <w:sz w:val="14"/>
                <w:szCs w:val="14"/>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Cash and cash equivalents (cost—$99,989 and $47,917,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99,989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47,880</w:t>
            </w:r>
          </w:p>
        </w:tc>
        <w:tc>
          <w:tcPr>
            <w:tcW w:w="100" w:type="dxa"/>
            <w:vAlign w:val="bottom"/>
          </w:tcPr>
          <w:p>
            <w:pPr>
              <w:spacing w:after="0"/>
              <w:rPr>
                <w:sz w:val="15"/>
                <w:szCs w:val="15"/>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10,423</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7,543</w:t>
            </w:r>
          </w:p>
        </w:tc>
        <w:tc>
          <w:tcPr>
            <w:tcW w:w="10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Receivable for investments sold</w:t>
            </w:r>
          </w:p>
        </w:tc>
        <w:tc>
          <w:tcPr>
            <w:tcW w:w="14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3,441</w:t>
            </w:r>
          </w:p>
        </w:tc>
        <w:tc>
          <w:tcPr>
            <w:tcW w:w="100" w:type="dxa"/>
            <w:vAlign w:val="bottom"/>
          </w:tcPr>
          <w:p>
            <w:pPr>
              <w:spacing w:after="0"/>
              <w:rPr>
                <w:sz w:val="15"/>
                <w:szCs w:val="15"/>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3"/>
                <w:szCs w:val="13"/>
                <w:color w:val="auto"/>
              </w:rPr>
              <w:t>Distribution receivable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565</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5"/>
                <w:szCs w:val="15"/>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1,179,046</w:t>
            </w:r>
          </w:p>
        </w:tc>
        <w:tc>
          <w:tcPr>
            <w:tcW w:w="26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1,223,866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payable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6,020</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Credit Facility payable, at fair value (cost—$9,400 and $168,830, respectively)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9,400</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167,563</w:t>
            </w:r>
          </w:p>
        </w:tc>
        <w:tc>
          <w:tcPr>
            <w:tcW w:w="10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2023 Notes payable, at fair value (par—$76,219 and $97,006,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76,219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96,812</w:t>
            </w:r>
          </w:p>
        </w:tc>
        <w:tc>
          <w:tcPr>
            <w:tcW w:w="100" w:type="dxa"/>
            <w:vAlign w:val="bottom"/>
          </w:tcPr>
          <w:p>
            <w:pPr>
              <w:spacing w:after="0"/>
              <w:rPr>
                <w:sz w:val="15"/>
                <w:szCs w:val="15"/>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2026 Notes payable, net (par—$185,000)</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183,054</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182,276</w:t>
            </w:r>
          </w:p>
        </w:tc>
        <w:tc>
          <w:tcPr>
            <w:tcW w:w="100" w:type="dxa"/>
            <w:vAlign w:val="bottom"/>
            <w:shd w:val="clear" w:color="auto" w:fill="CCECFF"/>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2031 Asset-Backed Debt, net (par—$228,000)</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226,759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226,128</w:t>
            </w:r>
          </w:p>
        </w:tc>
        <w:tc>
          <w:tcPr>
            <w:tcW w:w="100" w:type="dxa"/>
            <w:vAlign w:val="bottom"/>
          </w:tcPr>
          <w:p>
            <w:pPr>
              <w:spacing w:after="0"/>
              <w:rPr>
                <w:sz w:val="15"/>
                <w:szCs w:val="15"/>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debt</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8,615</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8,163</w:t>
            </w:r>
          </w:p>
        </w:tc>
        <w:tc>
          <w:tcPr>
            <w:tcW w:w="10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Base management fee payable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2,759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15"/>
                <w:szCs w:val="15"/>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Performance-based incentive fee payable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4,628</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3,164</w:t>
            </w:r>
          </w:p>
        </w:tc>
        <w:tc>
          <w:tcPr>
            <w:tcW w:w="100" w:type="dxa"/>
            <w:vAlign w:val="bottom"/>
            <w:shd w:val="clear" w:color="auto" w:fill="CCECFF"/>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Accrued other expenses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5"/>
                <w:szCs w:val="15"/>
                <w:color w:val="auto"/>
              </w:rPr>
            </w:pPr>
          </w:p>
        </w:tc>
      </w:tr>
      <w:tr>
        <w:trPr>
          <w:trHeight w:val="175"/>
        </w:trPr>
        <w:tc>
          <w:tcPr>
            <w:tcW w:w="7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Deferred tax liability</w:t>
            </w:r>
          </w:p>
        </w:tc>
        <w:tc>
          <w:tcPr>
            <w:tcW w:w="14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1,794</w:t>
            </w: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4,568</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780" w:type="dxa"/>
            <w:vAlign w:val="bottom"/>
          </w:tcPr>
          <w:p>
            <w:pPr>
              <w:ind w:left="74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525,441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696,774</w:t>
            </w:r>
          </w:p>
        </w:tc>
        <w:tc>
          <w:tcPr>
            <w:tcW w:w="100" w:type="dxa"/>
            <w:vAlign w:val="bottom"/>
          </w:tcPr>
          <w:p>
            <w:pPr>
              <w:spacing w:after="0"/>
              <w:rPr>
                <w:sz w:val="14"/>
                <w:szCs w:val="14"/>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Commitments and contingencies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78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Common stock, 58,734,702 and 45,345,638 shares issued and outstanding, respectively</w:t>
            </w: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1"/>
        </w:trPr>
        <w:tc>
          <w:tcPr>
            <w:tcW w:w="77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CFF"/>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765,187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618,028</w:t>
            </w:r>
          </w:p>
        </w:tc>
        <w:tc>
          <w:tcPr>
            <w:tcW w:w="100" w:type="dxa"/>
            <w:vAlign w:val="bottom"/>
          </w:tcPr>
          <w:p>
            <w:pPr>
              <w:spacing w:after="0"/>
              <w:rPr>
                <w:sz w:val="15"/>
                <w:szCs w:val="15"/>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(111,641 )</w:t>
            </w: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(90,981 )</w:t>
            </w:r>
          </w:p>
        </w:tc>
      </w:tr>
      <w:tr>
        <w:trPr>
          <w:trHeight w:val="169"/>
        </w:trPr>
        <w:tc>
          <w:tcPr>
            <w:tcW w:w="7780" w:type="dxa"/>
            <w:vAlign w:val="bottom"/>
            <w:tcBorders>
              <w:top w:val="single" w:sz="8" w:color="CCECFF"/>
            </w:tcBorders>
          </w:tcPr>
          <w:p>
            <w:pPr>
              <w:ind w:left="740"/>
              <w:spacing w:after="0"/>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653,605</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527,092</w:t>
            </w:r>
          </w:p>
        </w:tc>
        <w:tc>
          <w:tcPr>
            <w:tcW w:w="100" w:type="dxa"/>
            <w:vAlign w:val="bottom"/>
            <w:tcBorders>
              <w:top w:val="single" w:sz="8" w:color="CCECFF"/>
            </w:tcBorders>
          </w:tcPr>
          <w:p>
            <w:pPr>
              <w:spacing w:after="0"/>
              <w:rPr>
                <w:sz w:val="14"/>
                <w:szCs w:val="14"/>
                <w:color w:val="auto"/>
              </w:rPr>
            </w:pPr>
          </w:p>
        </w:tc>
      </w:tr>
      <w:tr>
        <w:trPr>
          <w:trHeight w:val="209"/>
        </w:trPr>
        <w:tc>
          <w:tcPr>
            <w:tcW w:w="778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1,179,046</w:t>
            </w:r>
          </w:p>
        </w:tc>
        <w:tc>
          <w:tcPr>
            <w:tcW w:w="2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1,223,866</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7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11.13</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11.62</w:t>
            </w:r>
          </w:p>
        </w:tc>
        <w:tc>
          <w:tcPr>
            <w:tcW w:w="100" w:type="dxa"/>
            <w:vAlign w:val="bottom"/>
          </w:tcPr>
          <w:p>
            <w:pPr>
              <w:spacing w:after="0"/>
              <w:rPr>
                <w:sz w:val="13"/>
                <w:szCs w:val="13"/>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4"/>
        </w:trPr>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-2879725</wp:posOffset>
            </wp:positionV>
            <wp:extent cx="7683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-1533525</wp:posOffset>
            </wp:positionV>
            <wp:extent cx="7683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-753745</wp:posOffset>
            </wp:positionV>
            <wp:extent cx="768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-513715</wp:posOffset>
            </wp:positionV>
            <wp:extent cx="120840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840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328"/>
              <w:spacing w:after="0" w:line="133"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308"/>
              <w:spacing w:after="0" w:line="133"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(Unaudited)</w:t>
            </w: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2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12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spacing w:after="0"/>
              <w:rPr>
                <w:sz w:val="14"/>
                <w:szCs w:val="14"/>
                <w:color w:val="auto"/>
              </w:rPr>
            </w:pPr>
          </w:p>
        </w:tc>
        <w:tc>
          <w:tcPr>
            <w:tcW w:w="68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spacing w:after="0"/>
              <w:rPr>
                <w:sz w:val="14"/>
                <w:szCs w:val="14"/>
                <w:color w:val="auto"/>
              </w:rPr>
            </w:pPr>
          </w:p>
        </w:tc>
        <w:tc>
          <w:tcPr>
            <w:tcW w:w="68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
              <w:spacing w:after="0"/>
              <w:rPr>
                <w:sz w:val="20"/>
                <w:szCs w:val="20"/>
                <w:color w:val="auto"/>
              </w:rPr>
            </w:pPr>
            <w:r>
              <w:rPr>
                <w:rFonts w:ascii="Arial" w:cs="Arial" w:eastAsia="Arial" w:hAnsi="Arial"/>
                <w:sz w:val="14"/>
                <w:szCs w:val="14"/>
                <w:color w:val="auto"/>
              </w:rPr>
              <w:t>From non-controlled, non-affiliated investments: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23,209</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18,660</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88,649</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68,413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200"/>
              <w:spacing w:after="0"/>
              <w:rPr>
                <w:sz w:val="20"/>
                <w:szCs w:val="20"/>
                <w:color w:val="auto"/>
              </w:rPr>
            </w:pPr>
            <w:r>
              <w:rPr>
                <w:rFonts w:ascii="Arial" w:cs="Arial" w:eastAsia="Arial" w:hAnsi="Arial"/>
                <w:sz w:val="14"/>
                <w:szCs w:val="14"/>
                <w:color w:val="auto"/>
              </w:rPr>
              <w:t>Dividend</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6,279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439</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483</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1,899</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4,278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4"/>
                <w:szCs w:val="14"/>
                <w:color w:val="auto"/>
              </w:rPr>
              <w:t>From non-controlled, affiliated investments: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1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320" w:type="dxa"/>
            <w:vAlign w:val="bottom"/>
            <w:shd w:val="clear" w:color="auto" w:fill="CCECFF"/>
          </w:tcPr>
          <w:p>
            <w:pPr>
              <w:ind w:left="20"/>
              <w:spacing w:after="0"/>
              <w:rPr>
                <w:sz w:val="20"/>
                <w:szCs w:val="20"/>
                <w:color w:val="auto"/>
              </w:rPr>
            </w:pPr>
            <w:r>
              <w:rPr>
                <w:rFonts w:ascii="Arial" w:cs="Arial" w:eastAsia="Arial" w:hAnsi="Arial"/>
                <w:sz w:val="14"/>
                <w:szCs w:val="14"/>
                <w:color w:val="auto"/>
              </w:rPr>
              <w:t>From controlled, affiliated investments: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8,346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6,091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31,047</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Dividend</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3,063</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2,975</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11,463</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12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35,734</w:t>
            </w:r>
          </w:p>
        </w:tc>
        <w:tc>
          <w:tcPr>
            <w:tcW w:w="24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28,786</w:t>
            </w: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139,337</w:t>
            </w:r>
          </w:p>
        </w:tc>
        <w:tc>
          <w:tcPr>
            <w:tcW w:w="22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105,485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Base management fee</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2,759</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3,026</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11,402</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11,930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Performance-based incentive fee</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16,873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and expenses on debt</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8,571</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9,042</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38,166</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12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877</w:t>
            </w:r>
          </w:p>
        </w:tc>
        <w:tc>
          <w:tcPr>
            <w:tcW w:w="24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654</w:t>
            </w: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3,422</w:t>
            </w:r>
          </w:p>
        </w:tc>
        <w:tc>
          <w:tcPr>
            <w:tcW w:w="22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2,618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Pr>
          <w:p>
            <w:pPr>
              <w:ind w:left="200"/>
              <w:spacing w:after="0"/>
              <w:rPr>
                <w:sz w:val="20"/>
                <w:szCs w:val="20"/>
                <w:color w:val="auto"/>
              </w:rPr>
            </w:pPr>
            <w:r>
              <w:rPr>
                <w:rFonts w:ascii="Arial" w:cs="Arial" w:eastAsia="Arial" w:hAnsi="Arial"/>
                <w:sz w:val="14"/>
                <w:szCs w:val="14"/>
                <w:b w:val="1"/>
                <w:bCs w:val="1"/>
                <w:color w:val="auto"/>
              </w:rPr>
              <w:t>Expenses before provision for taxes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70,862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Credit Facility amendment costs and debt issuance costs</w:t>
            </w: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200"/>
              <w:spacing w:after="0"/>
              <w:rPr>
                <w:sz w:val="20"/>
                <w:szCs w:val="20"/>
                <w:color w:val="auto"/>
              </w:rPr>
            </w:pPr>
            <w:r>
              <w:rPr>
                <w:rFonts w:ascii="Arial" w:cs="Arial" w:eastAsia="Arial" w:hAnsi="Arial"/>
                <w:sz w:val="14"/>
                <w:szCs w:val="14"/>
                <w:color w:val="auto"/>
              </w:rPr>
              <w:t>Provision for taxes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expenses</w:t>
            </w:r>
          </w:p>
        </w:tc>
        <w:tc>
          <w:tcPr>
            <w:tcW w:w="1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17,220</w:t>
            </w:r>
          </w:p>
        </w:tc>
        <w:tc>
          <w:tcPr>
            <w:tcW w:w="24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16,130</w:t>
            </w: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71,846</w:t>
            </w:r>
          </w:p>
        </w:tc>
        <w:tc>
          <w:tcPr>
            <w:tcW w:w="22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56,903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18,514</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67,491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Realized and unrealized gain (loss) on investments and debt:</w:t>
            </w: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4"/>
                <w:szCs w:val="14"/>
                <w:color w:val="auto"/>
              </w:rPr>
              <w:t>Net realized gain (loss) on investments and debt:</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(2,372 )</w:t>
            </w:r>
          </w:p>
        </w:tc>
        <w:tc>
          <w:tcPr>
            <w:tcW w:w="3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515</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(15,892 )</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11,209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1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(22,315 )</w:t>
            </w:r>
          </w:p>
        </w:tc>
        <w:tc>
          <w:tcPr>
            <w:tcW w:w="0" w:type="dxa"/>
            <w:vAlign w:val="bottom"/>
          </w:tcPr>
          <w:p>
            <w:pPr>
              <w:spacing w:after="0"/>
              <w:rPr>
                <w:sz w:val="1"/>
                <w:szCs w:val="1"/>
                <w:color w:val="auto"/>
              </w:rPr>
            </w:pPr>
          </w:p>
        </w:tc>
      </w:tr>
      <w:tr>
        <w:trPr>
          <w:trHeight w:val="175"/>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Provision for taxes on realized gain on investments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(263 )</w:t>
            </w: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3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tcPr>
          <w:p>
            <w:pPr>
              <w:ind w:left="200"/>
              <w:spacing w:after="0"/>
              <w:rPr>
                <w:sz w:val="20"/>
                <w:szCs w:val="20"/>
                <w:color w:val="auto"/>
              </w:rPr>
            </w:pPr>
            <w:r>
              <w:rPr>
                <w:rFonts w:ascii="Arial" w:cs="Arial" w:eastAsia="Arial" w:hAnsi="Arial"/>
                <w:sz w:val="14"/>
                <w:szCs w:val="14"/>
                <w:b w:val="1"/>
                <w:bCs w:val="1"/>
                <w:color w:val="auto"/>
              </w:rPr>
              <w:t>Net realized gain (loss) on investments and debt</w:t>
            </w:r>
          </w:p>
        </w:tc>
        <w:tc>
          <w:tcPr>
            <w:tcW w:w="1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(2,335 )</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(16,155 )</w:t>
            </w:r>
          </w:p>
        </w:tc>
        <w:tc>
          <w:tcPr>
            <w:tcW w:w="3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(11,106 )</w:t>
            </w:r>
          </w:p>
        </w:tc>
        <w:tc>
          <w:tcPr>
            <w:tcW w:w="0" w:type="dxa"/>
            <w:vAlign w:val="bottom"/>
          </w:tcPr>
          <w:p>
            <w:pPr>
              <w:spacing w:after="0"/>
              <w:rPr>
                <w:sz w:val="1"/>
                <w:szCs w:val="1"/>
                <w:color w:val="auto"/>
              </w:rPr>
            </w:pPr>
          </w:p>
        </w:tc>
      </w:tr>
      <w:tr>
        <w:trPr>
          <w:trHeight w:val="169"/>
        </w:trPr>
        <w:tc>
          <w:tcPr>
            <w:tcW w:w="632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change in unrealized appreciation (depreciation) on:</w:t>
            </w:r>
          </w:p>
        </w:tc>
        <w:tc>
          <w:tcPr>
            <w:tcW w:w="12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spacing w:after="0"/>
              <w:rPr>
                <w:sz w:val="14"/>
                <w:szCs w:val="14"/>
                <w:color w:val="auto"/>
              </w:rPr>
            </w:pPr>
          </w:p>
        </w:tc>
        <w:tc>
          <w:tcPr>
            <w:tcW w:w="68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spacing w:after="0"/>
              <w:rPr>
                <w:sz w:val="14"/>
                <w:szCs w:val="14"/>
                <w:color w:val="auto"/>
              </w:rPr>
            </w:pPr>
          </w:p>
        </w:tc>
        <w:tc>
          <w:tcPr>
            <w:tcW w:w="68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5,497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(9,766 )</w:t>
            </w:r>
          </w:p>
        </w:tc>
        <w:tc>
          <w:tcPr>
            <w:tcW w:w="12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(6,707 )</w:t>
            </w:r>
          </w:p>
        </w:tc>
        <w:tc>
          <w:tcPr>
            <w:tcW w:w="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(22,009 )</w:t>
            </w:r>
          </w:p>
        </w:tc>
        <w:tc>
          <w:tcPr>
            <w:tcW w:w="0" w:type="dxa"/>
            <w:vAlign w:val="bottom"/>
          </w:tcPr>
          <w:p>
            <w:pPr>
              <w:spacing w:after="0"/>
              <w:rPr>
                <w:sz w:val="1"/>
                <w:szCs w:val="1"/>
                <w:color w:val="auto"/>
              </w:rPr>
            </w:pPr>
          </w:p>
        </w:tc>
      </w:tr>
      <w:tr>
        <w:trPr>
          <w:trHeight w:val="175"/>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3,967</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(11,100 )</w:t>
            </w:r>
          </w:p>
        </w:tc>
        <w:tc>
          <w:tcPr>
            <w:tcW w:w="1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(5,858 )</w:t>
            </w: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(2,503 )</w:t>
            </w:r>
          </w:p>
        </w:tc>
        <w:tc>
          <w:tcPr>
            <w:tcW w:w="0" w:type="dxa"/>
            <w:vAlign w:val="bottom"/>
          </w:tcPr>
          <w:p>
            <w:pPr>
              <w:spacing w:after="0"/>
              <w:rPr>
                <w:sz w:val="1"/>
                <w:szCs w:val="1"/>
                <w:color w:val="auto"/>
              </w:rPr>
            </w:pPr>
          </w:p>
        </w:tc>
      </w:tr>
      <w:tr>
        <w:trPr>
          <w:trHeight w:val="175"/>
        </w:trPr>
        <w:tc>
          <w:tcPr>
            <w:tcW w:w="6320" w:type="dxa"/>
            <w:vAlign w:val="bottom"/>
          </w:tcPr>
          <w:p>
            <w:pPr>
              <w:ind w:left="200"/>
              <w:spacing w:after="0"/>
              <w:rPr>
                <w:sz w:val="20"/>
                <w:szCs w:val="20"/>
                <w:color w:val="auto"/>
              </w:rPr>
            </w:pPr>
            <w:r>
              <w:rPr>
                <w:rFonts w:ascii="Arial" w:cs="Arial" w:eastAsia="Arial" w:hAnsi="Arial"/>
                <w:sz w:val="14"/>
                <w:szCs w:val="14"/>
                <w:color w:val="auto"/>
              </w:rPr>
              <w:t>Provision for taxes on unrealized appreciation on investments</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(155 )</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2,774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(4,568 )</w:t>
            </w:r>
          </w:p>
        </w:tc>
        <w:tc>
          <w:tcPr>
            <w:tcW w:w="0" w:type="dxa"/>
            <w:vAlign w:val="bottom"/>
          </w:tcPr>
          <w:p>
            <w:pPr>
              <w:spacing w:after="0"/>
              <w:rPr>
                <w:sz w:val="1"/>
                <w:szCs w:val="1"/>
                <w:color w:val="auto"/>
              </w:rPr>
            </w:pPr>
          </w:p>
        </w:tc>
      </w:tr>
      <w:tr>
        <w:trPr>
          <w:trHeight w:val="175"/>
        </w:trPr>
        <w:tc>
          <w:tcPr>
            <w:tcW w:w="63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Debt (appreciation) depreciation</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2,558</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(6,216 )</w:t>
            </w:r>
          </w:p>
        </w:tc>
        <w:tc>
          <w:tcPr>
            <w:tcW w:w="12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(2,284 )</w:t>
            </w: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(4,943 )</w:t>
            </w:r>
          </w:p>
        </w:tc>
        <w:tc>
          <w:tcPr>
            <w:tcW w:w="0" w:type="dxa"/>
            <w:vAlign w:val="bottom"/>
          </w:tcPr>
          <w:p>
            <w:pPr>
              <w:spacing w:after="0"/>
              <w:rPr>
                <w:sz w:val="1"/>
                <w:szCs w:val="1"/>
                <w:color w:val="auto"/>
              </w:rPr>
            </w:pPr>
          </w:p>
        </w:tc>
      </w:tr>
      <w:tr>
        <w:trPr>
          <w:trHeight w:val="20"/>
        </w:trPr>
        <w:tc>
          <w:tcPr>
            <w:tcW w:w="63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20" w:type="dxa"/>
            <w:vAlign w:val="bottom"/>
          </w:tcPr>
          <w:p>
            <w:pPr>
              <w:ind w:left="200"/>
              <w:spacing w:after="0"/>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11,867</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(26,310 )</w:t>
            </w:r>
          </w:p>
        </w:tc>
        <w:tc>
          <w:tcPr>
            <w:tcW w:w="12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(12,075 )</w:t>
            </w:r>
          </w:p>
        </w:tc>
        <w:tc>
          <w:tcPr>
            <w:tcW w:w="3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(34,023 )</w:t>
            </w:r>
          </w:p>
        </w:tc>
        <w:tc>
          <w:tcPr>
            <w:tcW w:w="0" w:type="dxa"/>
            <w:vAlign w:val="bottom"/>
          </w:tcPr>
          <w:p>
            <w:pPr>
              <w:spacing w:after="0"/>
              <w:rPr>
                <w:sz w:val="1"/>
                <w:szCs w:val="1"/>
                <w:color w:val="auto"/>
              </w:rPr>
            </w:pPr>
          </w:p>
        </w:tc>
      </w:tr>
      <w:tr>
        <w:trPr>
          <w:trHeight w:val="169"/>
        </w:trPr>
        <w:tc>
          <w:tcPr>
            <w:tcW w:w="6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12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9,532</w:t>
            </w:r>
          </w:p>
        </w:tc>
        <w:tc>
          <w:tcPr>
            <w:tcW w:w="24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(25,795</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(28,230</w:t>
            </w:r>
          </w:p>
        </w:tc>
        <w:tc>
          <w:tcPr>
            <w:tcW w:w="220" w:type="dxa"/>
            <w:vAlign w:val="bottom"/>
            <w:tcBorders>
              <w:bottom w:val="single" w:sz="8" w:color="CCECFF"/>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(45,129</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63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20" w:type="dxa"/>
            <w:vAlign w:val="bottom"/>
          </w:tcPr>
          <w:p>
            <w:pPr>
              <w:spacing w:after="0"/>
              <w:rPr>
                <w:sz w:val="14"/>
                <w:szCs w:val="14"/>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28,046</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(13,139 )</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39,261</w:t>
            </w:r>
          </w:p>
        </w:tc>
        <w:tc>
          <w:tcPr>
            <w:tcW w:w="220" w:type="dxa"/>
            <w:vAlign w:val="bottom"/>
          </w:tcPr>
          <w:p>
            <w:pPr>
              <w:spacing w:after="0"/>
              <w:rPr>
                <w:sz w:val="14"/>
                <w:szCs w:val="14"/>
                <w:color w:val="auto"/>
              </w:rPr>
            </w:pPr>
          </w:p>
        </w:tc>
        <w:tc>
          <w:tcPr>
            <w:tcW w:w="36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3,453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Net increase (decrease) in net assets resulting from operations per common share</w:t>
            </w: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0.48</w:t>
            </w:r>
          </w:p>
        </w:tc>
        <w:tc>
          <w:tcPr>
            <w:tcW w:w="24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(0.34</w:t>
            </w:r>
          </w:p>
        </w:tc>
        <w:tc>
          <w:tcPr>
            <w:tcW w:w="220" w:type="dxa"/>
            <w:vAlign w:val="bottom"/>
            <w:tcBorders>
              <w:bottom w:val="single" w:sz="8" w:color="CCECFF"/>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0.77</w:t>
            </w:r>
          </w:p>
        </w:tc>
        <w:tc>
          <w:tcPr>
            <w:tcW w:w="220" w:type="dxa"/>
            <w:vAlign w:val="bottom"/>
            <w:tcBorders>
              <w:bottom w:val="single" w:sz="8" w:color="CCECFF"/>
            </w:tcBorders>
            <w:shd w:val="clear" w:color="auto" w:fill="CCECFF"/>
          </w:tcPr>
          <w:p>
            <w:pPr>
              <w:spacing w:after="0"/>
              <w:rPr>
                <w:sz w:val="17"/>
                <w:szCs w:val="17"/>
                <w:color w:val="auto"/>
              </w:rPr>
            </w:pPr>
          </w:p>
        </w:tc>
        <w:tc>
          <w:tcPr>
            <w:tcW w:w="36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320" w:type="dxa"/>
            <w:vAlign w:val="bottom"/>
          </w:tcPr>
          <w:p>
            <w:pPr>
              <w:ind w:left="20"/>
              <w:spacing w:after="0" w:line="155" w:lineRule="exact"/>
              <w:rPr>
                <w:sz w:val="20"/>
                <w:szCs w:val="20"/>
                <w:color w:val="auto"/>
              </w:rPr>
            </w:pPr>
            <w:r>
              <w:rPr>
                <w:rFonts w:ascii="Arial" w:cs="Arial" w:eastAsia="Arial" w:hAnsi="Arial"/>
                <w:sz w:val="14"/>
                <w:szCs w:val="14"/>
                <w:color w:val="auto"/>
              </w:rPr>
              <w:t>Net investment income per common share</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0.32</w:t>
            </w:r>
          </w:p>
        </w:tc>
        <w:tc>
          <w:tcPr>
            <w:tcW w:w="2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0.29</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3"/>
                <w:szCs w:val="13"/>
                <w:color w:val="auto"/>
              </w:rPr>
            </w:pPr>
          </w:p>
        </w:tc>
        <w:tc>
          <w:tcPr>
            <w:tcW w:w="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6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-3668395</wp:posOffset>
            </wp:positionV>
            <wp:extent cx="7747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-3668395</wp:posOffset>
            </wp:positionV>
            <wp:extent cx="6858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-3668395</wp:posOffset>
            </wp:positionV>
            <wp:extent cx="6858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-2990850</wp:posOffset>
            </wp:positionV>
            <wp:extent cx="7747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-2990850</wp:posOffset>
            </wp:positionV>
            <wp:extent cx="68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-2990850</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-2519680</wp:posOffset>
            </wp:positionV>
            <wp:extent cx="774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-2519680</wp:posOffset>
            </wp:positionV>
            <wp:extent cx="6858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-2519680</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-1833880</wp:posOffset>
            </wp:positionV>
            <wp:extent cx="774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-1833880</wp:posOffset>
            </wp:positionV>
            <wp:extent cx="6858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-1833880</wp:posOffset>
            </wp:positionV>
            <wp:extent cx="6858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-1148080</wp:posOffset>
            </wp:positionV>
            <wp:extent cx="7747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-1148080</wp:posOffset>
            </wp:positionV>
            <wp:extent cx="6858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-1148080</wp:posOffset>
            </wp:positionV>
            <wp:extent cx="6858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-908050</wp:posOffset>
            </wp:positionV>
            <wp:extent cx="7747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-908050</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-908050</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-650875</wp:posOffset>
            </wp:positionV>
            <wp:extent cx="245173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173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229"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229"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color w:val="auto"/>
        </w:rPr>
        <w:t>PennantPark Investment Advisers, LLC is a leading middle-market credit platform, managing $6.8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OTHER</w:t>
      </w:r>
    </w:p>
    <w:p>
      <w:pPr>
        <w:spacing w:after="0" w:line="391"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3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The Company is completing its assessment of the effectiveness of its internal control over financial reporting as of September 30, 2023. Based on currently available information, the Company expects to report certain material weaknesses in internal control over financial reporting in Item 9A of its Annual Report on Form 10-K for the fiscal year ended September 30, 2023 (the “2023 Annual Report”). The material weaknesses identified to date relate to the control environment over the Company’s review process of its cash and par reconciliations and its interest income analysis. The material weaknesses are not expected to impact the accuracy of the Company’s financial statements to be reported in the 2023 Annual Report. Because the Company has not completed the preparation of its consolidated financial statements for the year ended September 30, 2023, the preliminary unaudited results presented in the press release as of and for the fourth quarter and year ended September 30, 2023 are based on current expectations and are subject to adjustment.</w:t>
      </w:r>
    </w:p>
    <w:p>
      <w:pPr>
        <w:spacing w:after="0" w:line="16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CONTACT:</w:t>
        <w:tab/>
        <w:t>Richard T. Allorto, Jr.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ind w:left="1160" w:right="8420" w:hanging="5"/>
        <w:spacing w:after="0" w:line="358" w:lineRule="auto"/>
        <w:tabs>
          <w:tab w:leader="none" w:pos="159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905-1000 </w:t>
      </w:r>
      <w:r>
        <w:rPr>
          <w:rFonts w:ascii="Arial" w:cs="Arial" w:eastAsia="Arial" w:hAnsi="Arial"/>
          <w:sz w:val="16"/>
          <w:szCs w:val="16"/>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b w:val="1"/>
          <w:bCs w:val="1"/>
          <w:color w:val="auto"/>
        </w:rPr>
        <w:t>EXHIBIT 99.</w:t>
      </w:r>
    </w:p>
    <w:p>
      <w:pPr>
        <w:jc w:val="center"/>
        <w:spacing w:after="0" w:line="225" w:lineRule="auto"/>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1"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SEPTEMBER 30, 2023</w:t>
      </w:r>
    </w:p>
    <w:p>
      <w:pPr>
        <w:jc w:val="center"/>
        <w:spacing w:after="0" w:line="221"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gridSpan w:val="4"/>
            <w:shd w:val="clear" w:color="auto" w:fill="CCECFF"/>
          </w:tcPr>
          <w:p>
            <w:pPr>
              <w:ind w:left="20"/>
              <w:spacing w:after="0" w:line="142" w:lineRule="exact"/>
              <w:rPr>
                <w:sz w:val="20"/>
                <w:szCs w:val="20"/>
                <w:color w:val="auto"/>
              </w:rPr>
            </w:pPr>
            <w:r>
              <w:rPr>
                <w:rFonts w:ascii="Arial" w:cs="Arial" w:eastAsia="Arial" w:hAnsi="Arial"/>
                <w:sz w:val="11"/>
                <w:szCs w:val="11"/>
                <w:b w:val="1"/>
                <w:bCs w:val="1"/>
                <w:color w:val="auto"/>
                <w:w w:val="91"/>
              </w:rPr>
              <w:t xml:space="preserve">Investments in Non-Controlled, Non-Affiliated Portfolio Companies—118.1% </w:t>
            </w:r>
            <w:r>
              <w:rPr>
                <w:rFonts w:ascii="Arial" w:cs="Arial" w:eastAsia="Arial" w:hAnsi="Arial"/>
                <w:sz w:val="14"/>
                <w:szCs w:val="14"/>
                <w:b w:val="1"/>
                <w:bCs w:val="1"/>
                <w:color w:val="auto"/>
                <w:w w:val="91"/>
                <w:vertAlign w:val="superscript"/>
              </w:rPr>
              <w:t>(3), (4)</w:t>
            </w: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Debt—101.9%</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A1 Garage Merger Sub,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12/22/2028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11.99 %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SOFR+660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1,520</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1,499</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A1 Garage Merger Sub, LLC - Unfunded Term Loan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12/22/2028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A1 Garage Merger Sub, LLC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12/22/2028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Ad.net Acquisition,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05/07/2026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11.65 %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SOFR+626</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4,888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4,846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05/07/2026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11.65 %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SOFR+626</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05/07/2026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622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25"/>
        </w:trPr>
        <w:tc>
          <w:tcPr>
            <w:tcW w:w="290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Amsive Holding Corporation (f/k/a Vision Purchaser</w:t>
            </w:r>
          </w:p>
        </w:tc>
        <w:tc>
          <w:tcPr>
            <w:tcW w:w="880" w:type="dxa"/>
            <w:vAlign w:val="bottom"/>
            <w:gridSpan w:val="2"/>
            <w:shd w:val="clear" w:color="auto" w:fill="CCECFF"/>
          </w:tcPr>
          <w:p>
            <w:pPr>
              <w:jc w:val="center"/>
              <w:ind w:left="106"/>
              <w:spacing w:after="0" w:line="125" w:lineRule="exact"/>
              <w:rPr>
                <w:sz w:val="20"/>
                <w:szCs w:val="20"/>
                <w:color w:val="auto"/>
              </w:rPr>
            </w:pPr>
            <w:r>
              <w:rPr>
                <w:rFonts w:ascii="Arial" w:cs="Arial" w:eastAsia="Arial" w:hAnsi="Arial"/>
                <w:sz w:val="11"/>
                <w:szCs w:val="11"/>
                <w:color w:val="auto"/>
                <w:w w:val="87"/>
              </w:rPr>
              <w:t>06/10/2025</w:t>
            </w:r>
          </w:p>
        </w:tc>
        <w:tc>
          <w:tcPr>
            <w:tcW w:w="16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Corporation)</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13,958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13,859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Anteriad, LLC (f/k/a MeritDirect,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05/23/2024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13,786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13,545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w w:val="93"/>
              </w:rPr>
              <w:t>Anteriad, LLC (f/k/a MeritDirect, LLC) - Incremental Term Loan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05/23/2024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12.04 %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SOFR+665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2,212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Anteriad, LLC (f/k/a MeritDirect,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05/23/2024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2,869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(50 )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Any Hour Services</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07/21/2027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11.22 %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SOFR+585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6,395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6,326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07/21/2027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Energy Equipment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07/31/2025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10.52 %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6,160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6,132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07/31/2025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294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07/31/2025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10.68 %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12,826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12,732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12,793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07/31/2025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10.86 %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07/31/2025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11.54 %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8,891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8,784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8,714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 (Unfunded Term Loan)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12/29/2026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13.25 %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SOFR+475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12/29/2026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764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Arcfield Acquisition Corp.</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08/03/2029</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11.62 %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6,526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6,429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Arcfield Acquisition Corp.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08/04/2028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1,379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Beta Plus Technologies,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07/01/2029</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11.14 %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4,950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BioDerm,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01/31/2028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11.81 %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SOFR+650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BioDerm, Inc.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01/31/2028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Blackhawk Industrial Distribution,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09/17/2026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w w:val="96"/>
              </w:rPr>
              <w:t>Blackhawk Industrial Distribution, Inc. - Unfunded Term Loan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09/17/2026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2,624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Blackhawk Industrial Distribution,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09/17/2026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13.75 %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09/17/2026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Broder Bros., Co.</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12/04/2025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11.50 %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SOFR+626</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3,324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05/16/2025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12.43 %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SOFR+688</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25,674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25,499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25,224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4"/>
                <w:szCs w:val="14"/>
                <w:color w:val="auto"/>
                <w:vertAlign w:val="superscript"/>
              </w:rPr>
              <w:t>(7)(9)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05/16/2025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3,507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(61 )</w:t>
            </w:r>
          </w:p>
        </w:tc>
        <w:tc>
          <w:tcPr>
            <w:tcW w:w="0" w:type="dxa"/>
            <w:vAlign w:val="bottom"/>
          </w:tcPr>
          <w:p>
            <w:pPr>
              <w:spacing w:after="0"/>
              <w:rPr>
                <w:sz w:val="1"/>
                <w:szCs w:val="1"/>
                <w:color w:val="auto"/>
              </w:rPr>
            </w:pPr>
          </w:p>
        </w:tc>
      </w:tr>
      <w:tr>
        <w:trPr>
          <w:trHeight w:val="152"/>
        </w:trPr>
        <w:tc>
          <w:tcPr>
            <w:tcW w:w="2900" w:type="dxa"/>
            <w:vAlign w:val="bottom"/>
          </w:tcPr>
          <w:p>
            <w:pPr>
              <w:ind w:left="20"/>
              <w:spacing w:after="0" w:line="152" w:lineRule="exact"/>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11/14/2023</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12.07 %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980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(PIK 9.50%)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Cartessa Aesthetics,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06/14/2028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11.39 %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13,076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12,907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06/14/2028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11.39 %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06/14/2028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CF512,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08/20/2026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11.59 %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SOFR+619</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5,980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5,930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08/20/2026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955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CHA Holdings,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04/10/2025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Environmental Industries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10.15 %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SOFR+476</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Challenger Performance Optimization,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08/31/2024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12.18 %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Compex Legal Services,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02/09/2026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10.99 %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8,925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02/07/2025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10.94 %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SOFR+555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02/07/2025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07/13/2027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11.16 %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SOFR+576</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3,814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3,761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07/13/2027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1,234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(43 )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08/16/2027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10.90 %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SOFR+551</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08/16/2027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10.90 %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SOFR+551</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08/16/2027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08/31/2027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11.24 %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SOFR+585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4,383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4,328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08/31/2027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3,353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11/03/2025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11.79 %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16,266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16,142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11/03/2025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Duraco Specialty Tapes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06/30/2024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Containers and Packaging</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11.93 %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SOFR+650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3,407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08/31/2030</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10.14 %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SOFR+475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10/05/2023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10.43 %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SOFR+510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4,599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8"/>
              </w:rPr>
              <w:t xml:space="preserve">eCommission Financial Services, Inc. (Revolver) </w:t>
            </w:r>
            <w:r>
              <w:rPr>
                <w:rFonts w:ascii="Arial" w:cs="Arial" w:eastAsia="Arial" w:hAnsi="Arial"/>
                <w:sz w:val="14"/>
                <w:szCs w:val="14"/>
                <w:color w:val="auto"/>
                <w:w w:val="98"/>
                <w:vertAlign w:val="superscript"/>
              </w:rPr>
              <w:t>(7), (9), (10)</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10/05/2023</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EDS Buyer, LLC - Unfunded Term Loan</w:t>
            </w:r>
          </w:p>
        </w:tc>
        <w:tc>
          <w:tcPr>
            <w:tcW w:w="8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01/10/2029</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6,750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CFF"/>
          </w:tcPr>
          <w:p>
            <w:pPr>
              <w:ind w:left="20"/>
              <w:spacing w:after="0" w:line="130" w:lineRule="exact"/>
              <w:rPr>
                <w:sz w:val="20"/>
                <w:szCs w:val="20"/>
                <w:color w:val="auto"/>
              </w:rPr>
            </w:pPr>
            <w:r>
              <w:rPr>
                <w:rFonts w:ascii="Arial" w:cs="Arial" w:eastAsia="Arial" w:hAnsi="Arial"/>
                <w:sz w:val="11"/>
                <w:szCs w:val="11"/>
                <w:color w:val="auto"/>
              </w:rPr>
              <w:t xml:space="preserve">EDS Buyer,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01/10/2029</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Efficient Collaborative Retail Marketing Company,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06/15/2024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13.15 %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SOFR+776</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7,645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ETE Intermediate II,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05/25/2029</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1,656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Exigo Intermediate II, LLC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03/15/2027</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689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454"/>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2023</w:t>
      </w:r>
    </w:p>
    <w:p>
      <w:pPr>
        <w:jc w:val="center"/>
        <w:spacing w:after="0" w:line="222"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Five Star Buyer,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02/23/2028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12.43 %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SOFR+710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4,569</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Five Star Buyer, Inc. - DDTL B Unfunded</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02/23/2028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Five Star Buyer,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02/23/2028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Gauge ETE Blocker, LLC - Promissory Note</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05/19/2029</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12.56 %</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Global Holdings InterCo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03/16/2026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11.96 %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SOFR+660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3,279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Graffiti Buyer,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10.98 %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right"/>
              <w:ind w:right="226"/>
              <w:spacing w:after="0"/>
              <w:rPr>
                <w:sz w:val="20"/>
                <w:szCs w:val="20"/>
                <w:color w:val="auto"/>
              </w:rPr>
            </w:pPr>
            <w:r>
              <w:rPr>
                <w:rFonts w:ascii="Arial" w:cs="Arial" w:eastAsia="Arial" w:hAnsi="Arial"/>
                <w:sz w:val="11"/>
                <w:szCs w:val="11"/>
                <w:color w:val="auto"/>
              </w:rPr>
              <w:t>12/8/2023</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10.98 %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10.93 %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SOFR+560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10.92 %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SOFR+560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w w:val="99"/>
              </w:rPr>
              <w:t xml:space="preserve">Hancock Roofing and Construction L.L.C. (Revolver) </w:t>
            </w:r>
            <w:r>
              <w:rPr>
                <w:rFonts w:ascii="Arial" w:cs="Arial" w:eastAsia="Arial" w:hAnsi="Arial"/>
                <w:sz w:val="14"/>
                <w:szCs w:val="14"/>
                <w:color w:val="auto"/>
                <w:w w:val="99"/>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Holdco Sands Intermediate,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11/23/2028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11.32 %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SOFR+585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4,913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11/23/2027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HW Holdco,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8,973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HW Holdco, LLC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11.82 %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09/22/2028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11.45 %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SOFR+610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4,428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4,356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09/22/2027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11/15/2027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11/15/2027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Inception Fertility Ventures,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12/31/2024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12.50 %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SOFR+715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14,803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14,656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14,803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Infinity Home Services Holdco,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12/28/2028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12.24 %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SOFR+685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2,089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Infinity Home Services Holdco, Inc. - Unfunded Term Loan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12/28/2023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Infinity Home Services Holdco,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12/28/2028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Infolinks Media Buyco,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11.17 %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SOFR+585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3,178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3,143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Infolinks Media Buyco, LLC- Unfunded Term Loan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11/01/2023</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Integrated Data Services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08/01/2029</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3,096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(72 )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01/31/2025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12.54 %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SOFR+715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15,521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15,457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Integrity Marketing Acquisition,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08/27/2026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11.57 %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15,666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15,553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15,509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w w:val="99"/>
              </w:rPr>
              <w:t>Integrity Marketing Acquisition, LLC - Unfunded Term Loan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08/31/2025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Integrity Marketing Acquisition,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08/27/2026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ITI Holdings, Inc. (Revolver)</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03/03/2028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12.05 %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SOFR+560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ITI Holdings, Inc.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03/03/2028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25"/>
        </w:trPr>
        <w:tc>
          <w:tcPr>
            <w:tcW w:w="2900" w:type="dxa"/>
            <w:vAlign w:val="bottom"/>
            <w:shd w:val="clear" w:color="auto" w:fill="CCECFF"/>
          </w:tcPr>
          <w:p>
            <w:pPr>
              <w:spacing w:after="0"/>
              <w:rPr>
                <w:sz w:val="10"/>
                <w:szCs w:val="10"/>
                <w:color w:val="auto"/>
              </w:rPr>
            </w:pPr>
          </w:p>
        </w:tc>
        <w:tc>
          <w:tcPr>
            <w:tcW w:w="880" w:type="dxa"/>
            <w:vAlign w:val="bottom"/>
            <w:gridSpan w:val="2"/>
            <w:shd w:val="clear" w:color="auto" w:fill="CCECFF"/>
          </w:tcPr>
          <w:p>
            <w:pPr>
              <w:jc w:val="center"/>
              <w:ind w:left="106"/>
              <w:spacing w:after="0" w:line="125" w:lineRule="exact"/>
              <w:rPr>
                <w:sz w:val="20"/>
                <w:szCs w:val="20"/>
                <w:color w:val="auto"/>
              </w:rPr>
            </w:pPr>
            <w:r>
              <w:rPr>
                <w:rFonts w:ascii="Arial" w:cs="Arial" w:eastAsia="Arial" w:hAnsi="Arial"/>
                <w:sz w:val="11"/>
                <w:szCs w:val="11"/>
                <w:color w:val="auto"/>
                <w:w w:val="87"/>
              </w:rPr>
              <w:t>06/30/2025</w:t>
            </w:r>
          </w:p>
        </w:tc>
        <w:tc>
          <w:tcPr>
            <w:tcW w:w="160" w:type="dxa"/>
            <w:vAlign w:val="bottom"/>
            <w:shd w:val="clear" w:color="auto" w:fill="CCECFF"/>
          </w:tcPr>
          <w:p>
            <w:pPr>
              <w:spacing w:after="0"/>
              <w:rPr>
                <w:sz w:val="10"/>
                <w:szCs w:val="10"/>
                <w:color w:val="auto"/>
              </w:rPr>
            </w:pPr>
          </w:p>
        </w:tc>
        <w:tc>
          <w:tcPr>
            <w:tcW w:w="200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SOFR+761</w:t>
            </w:r>
          </w:p>
        </w:tc>
        <w:tc>
          <w:tcPr>
            <w:tcW w:w="2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4,894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4,888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Inventus Power, Inc.</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Components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12.93 %</w:t>
            </w:r>
          </w:p>
        </w:tc>
        <w:tc>
          <w:tcPr>
            <w:tcW w:w="82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Inventus Power, Inc.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06/30/2025</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12/20/2023</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Kinetic Purchaser,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11.54 %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17,253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16,999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16,995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Kinetic Purchaser, LLC -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11/10/2026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Lash OpCo,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02/18/2027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11.88 %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SOFR+675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10,404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10,264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08/16/2026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12.15 %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2,086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2,065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986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0"/>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10/31/2024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11.83 %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SOFR+643</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7,544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7,537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5.50%)</w:t>
            </w: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tcPr>
          <w:p>
            <w:pPr>
              <w:ind w:left="20"/>
              <w:spacing w:after="0" w:line="152"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10/31/2024</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11.02 %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(PIK 5.50%)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Ledge Lounger,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11/09/2026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3,709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3,677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789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02/03/2026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SOFR+535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22,543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22,282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02/03/2026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2,499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LJ Avalon Holdings,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02/01/2030</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LJ Avalon Holdings, LLC - Unfunded Term Loan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07/31/2024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LJ Avalon Holdings,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01/31/2030</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1,130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Loving Tan Intermediate II,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05/31/2028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12.39 %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19,263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18,894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18,974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Loving Tan Intermediate II, Inc. (Revolver)</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05/31/2028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12.39 %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1,861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1,861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1,833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Loving Tan Intermediate II, Inc. (Revolver)</w:t>
            </w:r>
            <w:r>
              <w:rPr>
                <w:rFonts w:ascii="Arial" w:cs="Arial" w:eastAsia="Arial" w:hAnsi="Arial"/>
                <w:sz w:val="14"/>
                <w:szCs w:val="14"/>
                <w:color w:val="auto"/>
                <w:vertAlign w:val="superscript"/>
              </w:rPr>
              <w:t>(7)(9)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05/31/2028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Lucky Bucks, LLC </w:t>
            </w:r>
            <w:r>
              <w:rPr>
                <w:rFonts w:ascii="Arial" w:cs="Arial" w:eastAsia="Arial" w:hAnsi="Arial"/>
                <w:sz w:val="14"/>
                <w:szCs w:val="14"/>
                <w:color w:val="auto"/>
                <w:vertAlign w:val="superscript"/>
              </w:rPr>
              <w:t>(6)</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07/20/2027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0.00 %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Lucky Bucks, LLC - DIP</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10/20/2023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15.30 %</w:t>
            </w:r>
          </w:p>
        </w:tc>
        <w:tc>
          <w:tcPr>
            <w:tcW w:w="820" w:type="dxa"/>
            <w:vAlign w:val="bottom"/>
          </w:tcPr>
          <w:p>
            <w:pPr>
              <w:jc w:val="right"/>
              <w:spacing w:after="0"/>
              <w:rPr>
                <w:sz w:val="20"/>
                <w:szCs w:val="20"/>
                <w:color w:val="auto"/>
              </w:rPr>
            </w:pPr>
            <w:r>
              <w:rPr>
                <w:rFonts w:ascii="Arial" w:cs="Arial" w:eastAsia="Arial" w:hAnsi="Arial"/>
                <w:sz w:val="11"/>
                <w:szCs w:val="11"/>
                <w:color w:val="auto"/>
                <w:w w:val="97"/>
              </w:rPr>
              <w:t>3M SOFR+1000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04/01/2027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10.99 %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3,674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3,564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05/14/2026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8,728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05/14/2026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MBS Holdings, Inc.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04/16/2027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11.17 %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SOFR+585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04/16/2027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MDI Buyer,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07/25/2028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Commodity Chemicals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11.09 %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2,041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MDI Buyer,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07/25/2028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10.91 %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MDI Buyer, inc.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07/25/2028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Meadowlark Acquirer,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1,978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Meadowlark Acquirer, LLC - Term Loan I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Meadowlark Acquirer, LLC - Term Loan II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9,483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(142 )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Mission Critical Electronics,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03/28/2024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+515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3,571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3,560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03/28/2024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03/28/2024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Municipal Emergency Services,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10/01/2027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1,181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w w:val="95"/>
              </w:rPr>
              <w:t>Municipal Emergency Services, Inc. - Unfunded Term Loan A</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06/16/2023</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w w:val="95"/>
              </w:rPr>
              <w:t>Municipal Emergency Services, Inc. - Unfunded Term Loan B</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12/16/2024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10/01/2027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10/01/2027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Neptune Flood Incorporated - Revolver Unfunded</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05/09/2029</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08/19/2026</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1,677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306"/>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2023</w:t>
      </w:r>
    </w:p>
    <w:p>
      <w:pPr>
        <w:jc w:val="center"/>
        <w:spacing w:after="0" w:line="222"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NORA Acquisition,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08/31/2029</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SOFR+635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41,489</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40,662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40,659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NORA Acquisition,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08/31/2029</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5,479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(110 )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05/07/2027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Air Freight and Logistics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11.68 %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SOFR+636</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8,516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8,397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09/03/2027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12.84 %</w:t>
            </w:r>
          </w:p>
        </w:tc>
        <w:tc>
          <w:tcPr>
            <w:tcW w:w="820" w:type="dxa"/>
            <w:vAlign w:val="bottom"/>
          </w:tcPr>
          <w:p>
            <w:pPr>
              <w:jc w:val="right"/>
              <w:spacing w:after="0"/>
              <w:rPr>
                <w:sz w:val="20"/>
                <w:szCs w:val="20"/>
                <w:color w:val="auto"/>
              </w:rPr>
            </w:pPr>
            <w:r>
              <w:rPr>
                <w:rFonts w:ascii="Arial" w:cs="Arial" w:eastAsia="Arial" w:hAnsi="Arial"/>
                <w:sz w:val="11"/>
                <w:szCs w:val="11"/>
                <w:color w:val="auto"/>
              </w:rPr>
              <w:t>6M SOFR+725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4,900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4,828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09/03/2027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Output Services Group, Inc. </w:t>
            </w:r>
            <w:r>
              <w:rPr>
                <w:rFonts w:ascii="Arial" w:cs="Arial" w:eastAsia="Arial" w:hAnsi="Arial"/>
                <w:sz w:val="14"/>
                <w:szCs w:val="14"/>
                <w:color w:val="auto"/>
                <w:vertAlign w:val="superscript"/>
              </w:rPr>
              <w:t>(6)</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06/27/2026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0.00 %</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4,923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Owl Acquisition,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02/04/2028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10.80 %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SOFR+550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3,797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Construction and Building</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12.90 %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SOFR+751</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22,736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22,513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22,338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05/18/2026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Construction and Building</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(59 )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Pequod Merger Sub, Inc. - Unfunded Term Loan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12/02/2026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2,847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Pequod Merger Sub,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12/02/2026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11/09/2027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12.42 %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SOFR+710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5,612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PL Acquisitionco, LLC -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11/09/2027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2,290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(229 )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05/08/2026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10.92 %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3,386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Pragmatic Institute, LLC - Unfunded Term Loan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07/06/2028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2,290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(80 )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Pragmatic Institute, LLC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07/06/2028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11.17 %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Quantic Electronics,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11/19/2026</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11.74 %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SOFR+635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6,578</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vMerge w:val="restart"/>
          </w:tcPr>
          <w:p>
            <w:pPr>
              <w:ind w:left="20"/>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11/19/2026</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11.74 %</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3M SOFR+635</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670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670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660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Questex,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09/09/2024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9.81 %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SOFR+425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6,731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6,706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09/09/2024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1,197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12/18/2025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11.24 %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SOFR+585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12/18/2025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Recteq,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01/29/2026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12.54 %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SOFR+715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01/29/2026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(39 )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Inc. and Dynata,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12/20/2024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11.13 %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SOFR+576</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16,962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16,875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06/20/2025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10.54 %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7,939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7,828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06/20/2025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10.42 %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SOFR+510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06/20/2025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03/10/2025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11.29 %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SOFR+590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15,199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15,075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w w:val="97"/>
              </w:rPr>
              <w:t>Rural Sourcing Holdings, Inc. (HPA SPQ Merger Sub, Inc.) -</w:t>
            </w:r>
          </w:p>
        </w:tc>
        <w:tc>
          <w:tcPr>
            <w:tcW w:w="8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06/15/2029</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1,146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Unfunded Term Loan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00" w:type="dxa"/>
            <w:vAlign w:val="bottom"/>
            <w:shd w:val="clear" w:color="auto" w:fill="CCECFF"/>
          </w:tcPr>
          <w:p>
            <w:pPr>
              <w:ind w:left="20"/>
              <w:spacing w:after="0" w:line="112" w:lineRule="exact"/>
              <w:rPr>
                <w:sz w:val="20"/>
                <w:szCs w:val="20"/>
                <w:color w:val="auto"/>
              </w:rPr>
            </w:pPr>
            <w:r>
              <w:rPr>
                <w:rFonts w:ascii="Arial" w:cs="Arial" w:eastAsia="Arial" w:hAnsi="Arial"/>
                <w:sz w:val="11"/>
                <w:szCs w:val="11"/>
                <w:color w:val="auto"/>
                <w:w w:val="99"/>
              </w:rPr>
              <w:t>Rural Sourcing Holdings, Inc. (HPA SPQ Merger Sub, Inc.)</w:t>
            </w:r>
          </w:p>
        </w:tc>
        <w:tc>
          <w:tcPr>
            <w:tcW w:w="880" w:type="dxa"/>
            <w:vAlign w:val="bottom"/>
            <w:gridSpan w:val="2"/>
            <w:shd w:val="clear" w:color="auto" w:fill="CCECFF"/>
          </w:tcPr>
          <w:p>
            <w:pPr>
              <w:jc w:val="center"/>
              <w:ind w:left="106"/>
              <w:spacing w:after="0" w:line="112" w:lineRule="exact"/>
              <w:rPr>
                <w:sz w:val="20"/>
                <w:szCs w:val="20"/>
                <w:color w:val="auto"/>
              </w:rPr>
            </w:pPr>
            <w:r>
              <w:rPr>
                <w:rFonts w:ascii="Arial" w:cs="Arial" w:eastAsia="Arial" w:hAnsi="Arial"/>
                <w:sz w:val="11"/>
                <w:szCs w:val="11"/>
                <w:color w:val="auto"/>
                <w:w w:val="87"/>
              </w:rPr>
              <w:t>06/15/2029</w:t>
            </w:r>
          </w:p>
        </w:tc>
        <w:tc>
          <w:tcPr>
            <w:tcW w:w="160" w:type="dxa"/>
            <w:vAlign w:val="bottom"/>
            <w:shd w:val="clear" w:color="auto" w:fill="CCECFF"/>
          </w:tcPr>
          <w:p>
            <w:pPr>
              <w:spacing w:after="0"/>
              <w:rPr>
                <w:sz w:val="9"/>
                <w:szCs w:val="9"/>
                <w:color w:val="auto"/>
              </w:rPr>
            </w:pPr>
          </w:p>
        </w:tc>
        <w:tc>
          <w:tcPr>
            <w:tcW w:w="2000" w:type="dxa"/>
            <w:vAlign w:val="bottom"/>
            <w:shd w:val="clear" w:color="auto" w:fill="CCECFF"/>
          </w:tcPr>
          <w:p>
            <w:pPr>
              <w:jc w:val="center"/>
              <w:spacing w:after="0" w:line="112" w:lineRule="exact"/>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9"/>
                <w:szCs w:val="9"/>
                <w:color w:val="auto"/>
              </w:rPr>
            </w:pPr>
          </w:p>
        </w:tc>
        <w:tc>
          <w:tcPr>
            <w:tcW w:w="1120" w:type="dxa"/>
            <w:vAlign w:val="bottom"/>
            <w:gridSpan w:val="2"/>
            <w:shd w:val="clear" w:color="auto" w:fill="CCECFF"/>
          </w:tcPr>
          <w:p>
            <w:pPr>
              <w:jc w:val="right"/>
              <w:ind w:right="260"/>
              <w:spacing w:after="0" w:line="112" w:lineRule="exact"/>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12" w:lineRule="exact"/>
              <w:rPr>
                <w:sz w:val="20"/>
                <w:szCs w:val="20"/>
                <w:color w:val="auto"/>
              </w:rPr>
            </w:pPr>
            <w:r>
              <w:rPr>
                <w:rFonts w:ascii="Arial" w:cs="Arial" w:eastAsia="Arial" w:hAnsi="Arial"/>
                <w:sz w:val="11"/>
                <w:szCs w:val="11"/>
                <w:color w:val="auto"/>
              </w:rPr>
              <w:t>860</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40" w:type="dxa"/>
            <w:vAlign w:val="bottom"/>
            <w:gridSpan w:val="2"/>
            <w:shd w:val="clear" w:color="auto" w:fill="CCECFF"/>
          </w:tcPr>
          <w:p>
            <w:pPr>
              <w:jc w:val="right"/>
              <w:ind w:right="60"/>
              <w:spacing w:after="0" w:line="112" w:lineRule="exact"/>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62"/>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14"/>
                <w:szCs w:val="14"/>
                <w:color w:val="auto"/>
                <w:vertAlign w:val="superscript"/>
              </w:rPr>
              <w:t>(7), (9)</w:t>
            </w: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01/03/2025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11.59 %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SOFR+620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2,596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2,581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01/03/2025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Sargent &amp; Greenleaf Inc.</w:t>
            </w:r>
          </w:p>
        </w:tc>
        <w:tc>
          <w:tcPr>
            <w:tcW w:w="8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12/20/2024</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4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12.93 %</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1M SOFR+760</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3,439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3,425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3,405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 (Revolver)</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12/20/2024</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12.92 %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SOFR+760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12/20/2024</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801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07/14/2025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12.07 %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7"/>
              </w:rPr>
              <w:t>3M SOFR + 715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14,490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14,428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14,019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Schlesinger Global, Inc.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07/14/2025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12.52 %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SOFR+715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07/14/2025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Seaway Buyer,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06/13/2029</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11.54 %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Sigma Defense Systems,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12/18/2025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14.04 %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SOFR+865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10,277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10,123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10,123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12/18/2025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14.04 %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SOFR+865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1,835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12/18/2025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786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Signature Systems Holding Company</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05/03/2024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12.04 %</w:t>
            </w:r>
          </w:p>
        </w:tc>
        <w:tc>
          <w:tcPr>
            <w:tcW w:w="820" w:type="dxa"/>
            <w:vAlign w:val="bottom"/>
          </w:tcPr>
          <w:p>
            <w:pPr>
              <w:jc w:val="right"/>
              <w:spacing w:after="0"/>
              <w:rPr>
                <w:sz w:val="20"/>
                <w:szCs w:val="20"/>
                <w:color w:val="auto"/>
              </w:rPr>
            </w:pPr>
            <w:r>
              <w:rPr>
                <w:rFonts w:ascii="Arial" w:cs="Arial" w:eastAsia="Arial" w:hAnsi="Arial"/>
                <w:sz w:val="11"/>
                <w:szCs w:val="11"/>
                <w:color w:val="auto"/>
              </w:rPr>
              <w:t>1M L+665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9,708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05/03/2024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Commercial Services &amp; Supplies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Skopima Consilio Parent,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05/17/2028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9.93 %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SOFR+450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10/14/2025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9.97 %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SOFR+450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2,437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Smile Brands Inc.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10/14/2025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10.11 %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SOFR+450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Smile Brands Inc. 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10/14/2025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and Pharmaceuticals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01/17/2024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12.37 %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4,657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01/17/2024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Spendmend Holdings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03/01/2028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11.03 %</w:t>
            </w:r>
          </w:p>
        </w:tc>
        <w:tc>
          <w:tcPr>
            <w:tcW w:w="820" w:type="dxa"/>
            <w:vAlign w:val="bottom"/>
          </w:tcPr>
          <w:p>
            <w:pPr>
              <w:jc w:val="right"/>
              <w:spacing w:after="0"/>
              <w:rPr>
                <w:sz w:val="20"/>
                <w:szCs w:val="20"/>
                <w:color w:val="auto"/>
              </w:rPr>
            </w:pPr>
            <w:r>
              <w:rPr>
                <w:rFonts w:ascii="Arial" w:cs="Arial" w:eastAsia="Arial" w:hAnsi="Arial"/>
                <w:sz w:val="11"/>
                <w:szCs w:val="11"/>
                <w:color w:val="auto"/>
              </w:rPr>
              <w:t>SOFR + 565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2,061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Spendmend Holdings LLC - Unfunded Term Loan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03/01/2024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1,707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Spendmend Holdings LLC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03/01/2028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11.03 %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Spendmend Holdings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03/01/2028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10.67 %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SOFR+535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4,752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System Planning and Analysis,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08/16/2027</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11.49 %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SOFR+615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18,373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18,109</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System Planning and Analysis, Inc.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87"/>
              </w:rPr>
              <w:t>08/16/2027</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0"/>
                <w:szCs w:val="10"/>
                <w:color w:val="auto"/>
              </w:rPr>
            </w:pPr>
          </w:p>
        </w:tc>
        <w:tc>
          <w:tcPr>
            <w:tcW w:w="112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5,188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40"/>
        </w:trPr>
        <w:tc>
          <w:tcPr>
            <w:tcW w:w="2900" w:type="dxa"/>
            <w:vAlign w:val="bottom"/>
          </w:tcPr>
          <w:p>
            <w:pPr>
              <w:ind w:left="100"/>
              <w:spacing w:after="0"/>
              <w:rPr>
                <w:sz w:val="20"/>
                <w:szCs w:val="20"/>
                <w:color w:val="auto"/>
              </w:rPr>
            </w:pPr>
            <w:r>
              <w:rPr>
                <w:rFonts w:ascii="Arial" w:cs="Arial" w:eastAsia="Arial" w:hAnsi="Arial"/>
                <w:sz w:val="11"/>
                <w:szCs w:val="11"/>
                <w:color w:val="auto"/>
              </w:rPr>
              <w:t>(f/k/a Management Consulting &amp; Research, LLC)</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Teneo Holdings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07/18/2025</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10.67 %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SOFR+535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5,733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5,683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The Aegis Technologies Group,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10/31/2025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12.04 %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SOFR+665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5,421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5,374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5,340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07/28/2026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12.79 %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SOFR+740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2,368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2,331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07/28/2026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08/30/2027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11.67 %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SOFR+635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1,979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The Vertex Companies, LLC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08/30/2027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11.67 %</w:t>
            </w:r>
          </w:p>
        </w:tc>
        <w:tc>
          <w:tcPr>
            <w:tcW w:w="820" w:type="dxa"/>
            <w:vAlign w:val="bottom"/>
          </w:tcPr>
          <w:p>
            <w:pPr>
              <w:jc w:val="right"/>
              <w:spacing w:after="0"/>
              <w:rPr>
                <w:sz w:val="20"/>
                <w:szCs w:val="20"/>
                <w:color w:val="auto"/>
              </w:rPr>
            </w:pPr>
            <w:r>
              <w:rPr>
                <w:rFonts w:ascii="Arial" w:cs="Arial" w:eastAsia="Arial" w:hAnsi="Arial"/>
                <w:sz w:val="11"/>
                <w:szCs w:val="11"/>
                <w:color w:val="auto"/>
              </w:rPr>
              <w:t>1M SOFR+635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08/30/2027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(5), (10)</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11/24/2025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9"/>
              </w:rPr>
              <w:t>Food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10.90 %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4,813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06/16/2025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11.81 %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SOFR+640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4,316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4,280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06/16/2025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Diversified Consumer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2,628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04/01/2028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10.90 %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SOFR+565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11,928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11,803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04/01/2026</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1,040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(94 )</w:t>
            </w:r>
          </w:p>
        </w:tc>
        <w:tc>
          <w:tcPr>
            <w:tcW w:w="0" w:type="dxa"/>
            <w:vAlign w:val="bottom"/>
          </w:tcPr>
          <w:p>
            <w:pPr>
              <w:spacing w:after="0"/>
              <w:rPr>
                <w:sz w:val="1"/>
                <w:szCs w:val="1"/>
                <w:color w:val="auto"/>
              </w:rPr>
            </w:pPr>
          </w:p>
        </w:tc>
      </w:tr>
      <w:tr>
        <w:trPr>
          <w:trHeight w:val="306"/>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2023</w:t>
      </w:r>
    </w:p>
    <w:p>
      <w:pPr>
        <w:jc w:val="center"/>
        <w:spacing w:after="0" w:line="222"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right"/>
              <w:ind w:right="360"/>
              <w:spacing w:after="0" w:line="109" w:lineRule="exact"/>
              <w:rPr>
                <w:sz w:val="20"/>
                <w:szCs w:val="20"/>
                <w:color w:val="auto"/>
              </w:rPr>
            </w:pPr>
            <w:r>
              <w:rPr>
                <w:rFonts w:ascii="Arial" w:cs="Arial" w:eastAsia="Arial" w:hAnsi="Arial"/>
                <w:sz w:val="11"/>
                <w:szCs w:val="11"/>
                <w:b w:val="1"/>
                <w:bCs w:val="1"/>
                <w:color w:val="auto"/>
              </w:rPr>
              <w:t>Current</w:t>
            </w:r>
          </w:p>
        </w:tc>
        <w:tc>
          <w:tcPr>
            <w:tcW w:w="100" w:type="dxa"/>
            <w:vAlign w:val="bottom"/>
          </w:tcPr>
          <w:p>
            <w:pPr>
              <w:spacing w:after="0"/>
              <w:rPr>
                <w:sz w:val="9"/>
                <w:szCs w:val="9"/>
                <w:color w:val="auto"/>
              </w:rPr>
            </w:pP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LLC - Term Loan</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03/31/2027</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10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12.18 %</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SOFR+685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3,521</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3,521</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Walker Edison Furniture Company, LLC - Funded Junior</w:t>
            </w:r>
          </w:p>
        </w:tc>
        <w:tc>
          <w:tcPr>
            <w:tcW w:w="84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03/31/2027</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9"/>
              </w:rPr>
              <w:t>Wholesale</w:t>
            </w:r>
          </w:p>
        </w:tc>
        <w:tc>
          <w:tcPr>
            <w:tcW w:w="1100" w:type="dxa"/>
            <w:vAlign w:val="bottom"/>
            <w:gridSpan w:val="3"/>
          </w:tcPr>
          <w:p>
            <w:pPr>
              <w:jc w:val="right"/>
              <w:ind w:right="20"/>
              <w:spacing w:after="0" w:line="125" w:lineRule="exact"/>
              <w:rPr>
                <w:sz w:val="20"/>
                <w:szCs w:val="20"/>
                <w:color w:val="auto"/>
              </w:rPr>
            </w:pPr>
            <w:r>
              <w:rPr>
                <w:rFonts w:ascii="Arial" w:cs="Arial" w:eastAsia="Arial" w:hAnsi="Arial"/>
                <w:sz w:val="11"/>
                <w:szCs w:val="11"/>
                <w:color w:val="auto"/>
              </w:rPr>
              <w:t>11.68 %</w:t>
            </w:r>
          </w:p>
        </w:tc>
        <w:tc>
          <w:tcPr>
            <w:tcW w:w="10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1M SOFR+635</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Revolver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w w:val="91"/>
              </w:rPr>
              <w:t>Walker Edison Furniture Company, LLC - Unfunded Term Loan</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03/31/2027</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Wildcat Buyerco, Inc.</w:t>
            </w:r>
          </w:p>
        </w:tc>
        <w:tc>
          <w:tcPr>
            <w:tcW w:w="84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02/27/2026</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100" w:type="dxa"/>
            <w:vAlign w:val="bottom"/>
            <w:gridSpan w:val="3"/>
          </w:tcPr>
          <w:p>
            <w:pPr>
              <w:jc w:val="right"/>
              <w:ind w:right="20"/>
              <w:spacing w:after="0" w:line="125" w:lineRule="exact"/>
              <w:rPr>
                <w:sz w:val="20"/>
                <w:szCs w:val="20"/>
                <w:color w:val="auto"/>
              </w:rPr>
            </w:pPr>
            <w:r>
              <w:rPr>
                <w:rFonts w:ascii="Arial" w:cs="Arial" w:eastAsia="Arial" w:hAnsi="Arial"/>
                <w:sz w:val="11"/>
                <w:szCs w:val="11"/>
                <w:color w:val="auto"/>
              </w:rPr>
              <w:t>10.54 %</w:t>
            </w:r>
          </w:p>
        </w:tc>
        <w:tc>
          <w:tcPr>
            <w:tcW w:w="10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3M SOFR+515</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7,646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7,579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7,570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shd w:val="clear" w:color="auto" w:fill="CCECFF"/>
          </w:tcPr>
          <w:p>
            <w:pPr>
              <w:ind w:left="20"/>
              <w:spacing w:after="0" w:line="130" w:lineRule="exact"/>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02/27/2026</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Zips Car Wash,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03/01/2024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Automobiles</w:t>
            </w:r>
          </w:p>
        </w:tc>
        <w:tc>
          <w:tcPr>
            <w:tcW w:w="1100" w:type="dxa"/>
            <w:vAlign w:val="bottom"/>
            <w:gridSpan w:val="3"/>
          </w:tcPr>
          <w:p>
            <w:pPr>
              <w:jc w:val="right"/>
              <w:ind w:right="20"/>
              <w:spacing w:after="0"/>
              <w:rPr>
                <w:sz w:val="20"/>
                <w:szCs w:val="20"/>
                <w:color w:val="auto"/>
              </w:rPr>
            </w:pPr>
            <w:r>
              <w:rPr>
                <w:rFonts w:ascii="Arial" w:cs="Arial" w:eastAsia="Arial" w:hAnsi="Arial"/>
                <w:sz w:val="11"/>
                <w:szCs w:val="11"/>
                <w:color w:val="auto"/>
              </w:rPr>
              <w:t>12.67 %</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1M SOFR+735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13,249</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13,206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683,940</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665,725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Debt—0.0%</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7"/>
                <w:szCs w:val="7"/>
                <w:color w:val="auto"/>
                <w:w w:val="95"/>
              </w:rPr>
              <w:t>(6</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860" w:type="dxa"/>
            <w:vAlign w:val="bottom"/>
            <w:vMerge w:val="restart"/>
          </w:tcPr>
          <w:p>
            <w:pPr>
              <w:ind w:left="20"/>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84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0"/>
              </w:rPr>
              <w:t>04/23/2025</w:t>
            </w:r>
          </w:p>
        </w:tc>
        <w:tc>
          <w:tcPr>
            <w:tcW w:w="260" w:type="dxa"/>
            <w:vAlign w:val="bottom"/>
          </w:tcPr>
          <w:p>
            <w:pPr>
              <w:spacing w:after="0"/>
              <w:rPr>
                <w:sz w:val="4"/>
                <w:szCs w:val="4"/>
                <w:color w:val="auto"/>
              </w:rPr>
            </w:pPr>
          </w:p>
        </w:tc>
        <w:tc>
          <w:tcPr>
            <w:tcW w:w="2020" w:type="dxa"/>
            <w:vAlign w:val="bottom"/>
            <w:vMerge w:val="restart"/>
          </w:tcPr>
          <w:p>
            <w:pPr>
              <w:jc w:val="center"/>
              <w:spacing w:after="0"/>
              <w:rPr>
                <w:sz w:val="20"/>
                <w:szCs w:val="20"/>
                <w:color w:val="auto"/>
              </w:rPr>
            </w:pPr>
            <w:r>
              <w:rPr>
                <w:rFonts w:ascii="Arial" w:cs="Arial" w:eastAsia="Arial" w:hAnsi="Arial"/>
                <w:sz w:val="11"/>
                <w:szCs w:val="11"/>
                <w:color w:val="auto"/>
                <w:w w:val="90"/>
              </w:rPr>
              <w:t>Media: Advertising, Printing and Publishing</w:t>
            </w:r>
          </w:p>
        </w:tc>
        <w:tc>
          <w:tcPr>
            <w:tcW w:w="120" w:type="dxa"/>
            <w:vAlign w:val="bottom"/>
          </w:tcPr>
          <w:p>
            <w:pPr>
              <w:spacing w:after="0"/>
              <w:rPr>
                <w:sz w:val="4"/>
                <w:szCs w:val="4"/>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vMerge w:val="continue"/>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286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ind w:left="20"/>
              <w:spacing w:after="0"/>
              <w:rPr>
                <w:sz w:val="20"/>
                <w:szCs w:val="20"/>
                <w:color w:val="auto"/>
              </w:rPr>
            </w:pPr>
            <w:r>
              <w:rPr>
                <w:rFonts w:ascii="Arial" w:cs="Arial" w:eastAsia="Arial" w:hAnsi="Arial"/>
                <w:sz w:val="7"/>
                <w:szCs w:val="7"/>
                <w:color w:val="auto"/>
              </w:rPr>
              <w:t>)</w:t>
            </w:r>
          </w:p>
        </w:tc>
        <w:tc>
          <w:tcPr>
            <w:tcW w:w="820" w:type="dxa"/>
            <w:vAlign w:val="bottom"/>
            <w:vMerge w:val="continue"/>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1"/>
                <w:szCs w:val="11"/>
                <w:color w:val="auto"/>
              </w:rPr>
              <w:t>1,161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965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tcPr>
          <w:p>
            <w:pPr>
              <w:ind w:left="20"/>
              <w:spacing w:after="0"/>
              <w:rPr>
                <w:sz w:val="20"/>
                <w:szCs w:val="20"/>
                <w:color w:val="auto"/>
              </w:rPr>
            </w:pPr>
            <w:r>
              <w:rPr>
                <w:rFonts w:ascii="Arial" w:cs="Arial" w:eastAsia="Arial" w:hAnsi="Arial"/>
                <w:sz w:val="11"/>
                <w:szCs w:val="11"/>
                <w:color w:val="auto"/>
              </w:rPr>
              <w:t>QuantiTech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02/04/2027</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20"/>
              <w:spacing w:after="0"/>
              <w:rPr>
                <w:sz w:val="20"/>
                <w:szCs w:val="20"/>
                <w:color w:val="auto"/>
              </w:rPr>
            </w:pPr>
            <w:r>
              <w:rPr>
                <w:rFonts w:ascii="Arial" w:cs="Arial" w:eastAsia="Arial" w:hAnsi="Arial"/>
                <w:sz w:val="11"/>
                <w:szCs w:val="11"/>
                <w:color w:val="auto"/>
              </w:rPr>
              <w:t>15.50 %</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w w:val="94"/>
              </w:rPr>
              <w:t>3M SOFR+1,010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150</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1,113</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1"/>
                <w:szCs w:val="11"/>
                <w:b w:val="1"/>
                <w:bCs w:val="1"/>
                <w:color w:val="auto"/>
              </w:rPr>
              <w:t xml:space="preserve">Preferred Equity— 1.8% </w:t>
            </w:r>
            <w:r>
              <w:rPr>
                <w:rFonts w:ascii="Arial" w:cs="Arial" w:eastAsia="Arial" w:hAnsi="Arial"/>
                <w:sz w:val="14"/>
                <w:szCs w:val="14"/>
                <w:b w:val="1"/>
                <w:bCs w:val="1"/>
                <w:color w:val="auto"/>
                <w:vertAlign w:val="superscript"/>
              </w:rPr>
              <w:t>(6)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6,720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Cartessa Aesthetics, LLC (Preferred) </w:t>
            </w:r>
            <w:r>
              <w:rPr>
                <w:rFonts w:ascii="Arial" w:cs="Arial" w:eastAsia="Arial" w:hAnsi="Arial"/>
                <w:sz w:val="14"/>
                <w:szCs w:val="14"/>
                <w:color w:val="auto"/>
                <w:vertAlign w:val="superscript"/>
              </w:rPr>
              <w:t>(8)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Gauge Lash Coinvest LLC (Preferred)</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108,546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Gauge Schlesinger Coinvest LLC (Preferred Equity)</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Imagine Topco,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100" w:type="dxa"/>
            <w:vAlign w:val="bottom"/>
            <w:gridSpan w:val="3"/>
          </w:tcPr>
          <w:p>
            <w:pPr>
              <w:jc w:val="right"/>
              <w:ind w:right="20"/>
              <w:spacing w:after="0"/>
              <w:rPr>
                <w:sz w:val="20"/>
                <w:szCs w:val="20"/>
                <w:color w:val="auto"/>
              </w:rPr>
            </w:pPr>
            <w:r>
              <w:rPr>
                <w:rFonts w:ascii="Arial" w:cs="Arial" w:eastAsia="Arial" w:hAnsi="Arial"/>
                <w:sz w:val="11"/>
                <w:szCs w:val="11"/>
                <w:color w:val="auto"/>
              </w:rPr>
              <w:t>8.00 %</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Magnolia Topco LP - Class A Preferred Equity</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Automobiles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Magnolia Topco LP - Class B Preferred Equity</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Automobiles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Finance</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PL Acquisitionco, LLC (Preferred Equity)</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10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12.00 %</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(8), (10)</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5"/>
              </w:rPr>
              <w:t xml:space="preserve">TWD Parent Holdings, LLC (The Vertex Companies, LLC) </w:t>
            </w:r>
            <w:r>
              <w:rPr>
                <w:rFonts w:ascii="Arial" w:cs="Arial" w:eastAsia="Arial" w:hAnsi="Arial"/>
                <w:sz w:val="14"/>
                <w:szCs w:val="14"/>
                <w:color w:val="auto"/>
                <w:w w:val="95"/>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100" w:type="dxa"/>
            <w:vAlign w:val="bottom"/>
            <w:gridSpan w:val="3"/>
          </w:tcPr>
          <w:p>
            <w:pPr>
              <w:jc w:val="right"/>
              <w:ind w:right="20"/>
              <w:spacing w:after="0"/>
              <w:rPr>
                <w:sz w:val="20"/>
                <w:szCs w:val="20"/>
                <w:color w:val="auto"/>
              </w:rPr>
            </w:pPr>
            <w:r>
              <w:rPr>
                <w:rFonts w:ascii="Arial" w:cs="Arial" w:eastAsia="Arial" w:hAnsi="Arial"/>
                <w:sz w:val="11"/>
                <w:szCs w:val="11"/>
                <w:color w:val="auto"/>
              </w:rPr>
              <w:t>20.00 %</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343,861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10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19.00 %</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100" w:type="dxa"/>
            <w:vAlign w:val="bottom"/>
            <w:gridSpan w:val="3"/>
          </w:tcPr>
          <w:p>
            <w:pPr>
              <w:jc w:val="right"/>
              <w:ind w:right="20"/>
              <w:spacing w:after="0"/>
              <w:rPr>
                <w:sz w:val="20"/>
                <w:szCs w:val="20"/>
                <w:color w:val="auto"/>
              </w:rPr>
            </w:pPr>
            <w:r>
              <w:rPr>
                <w:rFonts w:ascii="Arial" w:cs="Arial" w:eastAsia="Arial" w:hAnsi="Arial"/>
                <w:sz w:val="11"/>
                <w:szCs w:val="11"/>
                <w:color w:val="auto"/>
              </w:rPr>
              <w:t>13.50 %</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11,028</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11,571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1"/>
                <w:szCs w:val="11"/>
                <w:b w:val="1"/>
                <w:bCs w:val="1"/>
                <w:color w:val="auto"/>
              </w:rPr>
              <w:t xml:space="preserve">Common Equity/Warrants— 14.5% </w:t>
            </w:r>
            <w:r>
              <w:rPr>
                <w:rFonts w:ascii="Arial" w:cs="Arial" w:eastAsia="Arial" w:hAnsi="Arial"/>
                <w:sz w:val="14"/>
                <w:szCs w:val="14"/>
                <w:b w:val="1"/>
                <w:bCs w:val="1"/>
                <w:color w:val="auto"/>
                <w:vertAlign w:val="superscript"/>
              </w:rPr>
              <w:t>(6)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A1 Garage Equity, LLC</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647,943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7,467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Affinion Group Holdings, Inc. (Warrants)</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04/10/2024</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Goods: Durable</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2,018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Athletico Holdings, LLC </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4,678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BioDerm Holdings, LP</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1,313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Burgess Point Holdings,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Auto Components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22,789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Connatix Parent,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38,278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760,273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6"/>
              </w:rPr>
              <w:t xml:space="preserve">Delta InvestCo LP (Sigma Defense Systems, LLC) </w:t>
            </w:r>
            <w:r>
              <w:rPr>
                <w:rFonts w:ascii="Arial" w:cs="Arial" w:eastAsia="Arial" w:hAnsi="Arial"/>
                <w:sz w:val="14"/>
                <w:szCs w:val="14"/>
                <w:color w:val="auto"/>
                <w:w w:val="96"/>
                <w:vertAlign w:val="superscript"/>
              </w:rPr>
              <w:t>(7), (8),(9)</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244,597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EDS Topco, LP</w:t>
            </w:r>
          </w:p>
        </w:tc>
        <w:tc>
          <w:tcPr>
            <w:tcW w:w="12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0"/>
                <w:szCs w:val="10"/>
                <w:color w:val="auto"/>
              </w:rPr>
            </w:pPr>
          </w:p>
        </w:tc>
        <w:tc>
          <w:tcPr>
            <w:tcW w:w="980" w:type="dxa"/>
            <w:vAlign w:val="bottom"/>
            <w:gridSpan w:val="2"/>
            <w:shd w:val="clear" w:color="auto" w:fill="CCEC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0"/>
                <w:szCs w:val="10"/>
                <w:color w:val="auto"/>
              </w:rPr>
            </w:pPr>
          </w:p>
        </w:tc>
        <w:tc>
          <w:tcPr>
            <w:tcW w:w="8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1,125,000</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1,125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1,062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Exigo,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541,667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21,665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7,566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Five Star Parent Holdings, LLC</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655,714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Gauge ETE Blocker,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374,444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1,485,953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Gauge Loving Tan,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2,481,781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391,144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19,184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Building Products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324,675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HPA SPQ Aggregator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750,399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HV Watterson Holdings, LLC</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Icon Partners V C,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1,863,863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 (9)</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636,137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(66 )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IIN Group Holdings,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5"/>
              </w:rPr>
              <w:t>Consumer Services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Topco, LP (Common)</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IHS Parent Holdngs,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1,218,045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w w:val="93"/>
              </w:rPr>
              <w:t xml:space="preserve">Ironclad Holdco, LLC (Applied Technical Services, LLC) </w:t>
            </w:r>
            <w:r>
              <w:rPr>
                <w:rFonts w:ascii="Arial" w:cs="Arial" w:eastAsia="Arial" w:hAnsi="Arial"/>
                <w:sz w:val="14"/>
                <w:szCs w:val="14"/>
                <w:color w:val="auto"/>
                <w:w w:val="93"/>
                <w:vertAlign w:val="superscript"/>
              </w:rPr>
              <w:t>(7), (8)</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5,811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ITC Infusion Co-invest, LP </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116,032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46,763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2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-6977380</wp:posOffset>
            </wp:positionV>
            <wp:extent cx="71323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-6557010</wp:posOffset>
            </wp:positionV>
            <wp:extent cx="6858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-6557010</wp:posOffset>
            </wp:positionV>
            <wp:extent cx="6858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-4465320</wp:posOffset>
            </wp:positionV>
            <wp:extent cx="6858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2023</w:t>
      </w:r>
    </w:p>
    <w:p>
      <w:pPr>
        <w:jc w:val="center"/>
        <w:spacing w:after="0" w:line="222"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46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1240" w:type="dxa"/>
            <w:vAlign w:val="bottom"/>
            <w:gridSpan w:val="3"/>
          </w:tcPr>
          <w:p>
            <w:pPr>
              <w:jc w:val="right"/>
              <w:ind w:right="646"/>
              <w:spacing w:after="0" w:line="109" w:lineRule="exact"/>
              <w:rPr>
                <w:sz w:val="20"/>
                <w:szCs w:val="20"/>
                <w:color w:val="auto"/>
              </w:rPr>
            </w:pPr>
            <w:r>
              <w:rPr>
                <w:rFonts w:ascii="Arial" w:cs="Arial" w:eastAsia="Arial" w:hAnsi="Arial"/>
                <w:sz w:val="11"/>
                <w:szCs w:val="11"/>
                <w:b w:val="1"/>
                <w:bCs w:val="1"/>
                <w:color w:val="auto"/>
              </w:rPr>
              <w:t>Par /</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Maturity</w:t>
            </w:r>
          </w:p>
        </w:tc>
        <w:tc>
          <w:tcPr>
            <w:tcW w:w="2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Kentucky Racing Holdco, LLC</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87,345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Kinetic Purchaser, LLC</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1,734,775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Healthcare Technology</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LJ Avalon, LP</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1,638,043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Magnolia Topco LP - Class A Common Equity</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Automobiles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5,144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Magnolia Topco LP - Class B Common Equity</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Automobiles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28,231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MDI Aggregator, LP</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10,761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Meadowlark Title, LLC </w:t>
            </w:r>
            <w:r>
              <w:rPr>
                <w:rFonts w:ascii="Arial" w:cs="Arial" w:eastAsia="Arial" w:hAnsi="Arial"/>
                <w:sz w:val="14"/>
                <w:szCs w:val="14"/>
                <w:color w:val="auto"/>
                <w:vertAlign w:val="superscript"/>
              </w:rPr>
              <w:t>(8)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819,231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MSpark, LLC</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Media: Advertising, Printing and Publishing</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3,988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1,973,370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NORA Parent Holdings, LLC</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2,544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North Haven Saints Equity Holdings, LP </w:t>
            </w:r>
            <w:r>
              <w:rPr>
                <w:rFonts w:ascii="Arial" w:cs="Arial" w:eastAsia="Arial" w:hAnsi="Arial"/>
                <w:sz w:val="14"/>
                <w:szCs w:val="14"/>
                <w:color w:val="auto"/>
                <w:vertAlign w:val="superscript"/>
              </w:rPr>
              <w:t>(8)</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Technology</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223,602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980" w:type="dxa"/>
            <w:vAlign w:val="bottom"/>
            <w:gridSpan w:val="2"/>
            <w:shd w:val="clear" w:color="auto" w:fill="CCECFF"/>
          </w:tcPr>
          <w:p>
            <w:pPr>
              <w:ind w:left="20"/>
              <w:spacing w:after="0" w:line="108" w:lineRule="exact"/>
              <w:rPr>
                <w:sz w:val="20"/>
                <w:szCs w:val="20"/>
                <w:color w:val="auto"/>
              </w:rPr>
            </w:pPr>
            <w:r>
              <w:rPr>
                <w:rFonts w:ascii="Arial" w:cs="Arial" w:eastAsia="Arial" w:hAnsi="Arial"/>
                <w:sz w:val="11"/>
                <w:szCs w:val="11"/>
                <w:color w:val="auto"/>
                <w:w w:val="94"/>
              </w:rPr>
              <w:t>OceanSound Discovery Equity, LP (Holdco Sands Intermediate,</w:t>
            </w:r>
          </w:p>
        </w:tc>
        <w:tc>
          <w:tcPr>
            <w:tcW w:w="720" w:type="dxa"/>
            <w:vAlign w:val="bottom"/>
            <w:shd w:val="clear" w:color="auto" w:fill="CCECFF"/>
          </w:tcPr>
          <w:p>
            <w:pPr>
              <w:ind w:left="600"/>
              <w:spacing w:after="0" w:line="108" w:lineRule="exact"/>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9"/>
                <w:szCs w:val="9"/>
                <w:color w:val="auto"/>
              </w:rPr>
            </w:pPr>
          </w:p>
        </w:tc>
        <w:tc>
          <w:tcPr>
            <w:tcW w:w="2020" w:type="dxa"/>
            <w:vAlign w:val="bottom"/>
            <w:shd w:val="clear" w:color="auto" w:fill="CCECFF"/>
          </w:tcPr>
          <w:p>
            <w:pPr>
              <w:jc w:val="center"/>
              <w:spacing w:after="0" w:line="108" w:lineRule="exact"/>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9"/>
                <w:szCs w:val="9"/>
                <w:color w:val="auto"/>
              </w:rPr>
            </w:pPr>
          </w:p>
        </w:tc>
        <w:tc>
          <w:tcPr>
            <w:tcW w:w="1080" w:type="dxa"/>
            <w:vAlign w:val="bottom"/>
            <w:gridSpan w:val="2"/>
            <w:shd w:val="clear" w:color="auto" w:fill="CCECFF"/>
          </w:tcPr>
          <w:p>
            <w:pPr>
              <w:jc w:val="right"/>
              <w:ind w:right="240"/>
              <w:spacing w:after="0" w:line="108" w:lineRule="exact"/>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08" w:lineRule="exact"/>
              <w:rPr>
                <w:sz w:val="20"/>
                <w:szCs w:val="20"/>
                <w:color w:val="auto"/>
              </w:rPr>
            </w:pPr>
            <w:r>
              <w:rPr>
                <w:rFonts w:ascii="Arial" w:cs="Arial" w:eastAsia="Arial" w:hAnsi="Arial"/>
                <w:sz w:val="11"/>
                <w:szCs w:val="11"/>
                <w:color w:val="auto"/>
              </w:rPr>
              <w:t>173,638</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1,614</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3,768</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80" w:type="dxa"/>
            <w:vAlign w:val="bottom"/>
            <w:gridSpan w:val="2"/>
            <w:shd w:val="clear" w:color="auto" w:fill="CCECFF"/>
          </w:tcPr>
          <w:p>
            <w:pPr>
              <w:ind w:left="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(7), (8)</w:t>
            </w:r>
          </w:p>
        </w:tc>
        <w:tc>
          <w:tcPr>
            <w:tcW w:w="7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OHCP V BC COI, L.P.</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743,750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(8) (9)</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506,250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(64 )</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Financial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11,167,847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11,168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LEP Pequod Holdings, LP</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Financial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Pink Lily Holdco, LLC (PL Acquisitions, LLC) </w:t>
            </w:r>
            <w:r>
              <w:rPr>
                <w:rFonts w:ascii="Arial" w:cs="Arial" w:eastAsia="Arial" w:hAnsi="Arial"/>
                <w:sz w:val="14"/>
                <w:szCs w:val="14"/>
                <w:color w:val="auto"/>
                <w:vertAlign w:val="superscript"/>
              </w:rPr>
              <w:t>(8)</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1,735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Pragmatic Institute, LLC</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610,583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Quad (U.S.) Co-Invest, L.P.</w:t>
            </w:r>
          </w:p>
        </w:tc>
        <w:tc>
          <w:tcPr>
            <w:tcW w:w="7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266,864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955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8"/>
              </w:rPr>
              <w:t>SBI Holdings Investments LLC (Sales Benchmark Index LLC)</w:t>
            </w:r>
          </w:p>
        </w:tc>
        <w:tc>
          <w:tcPr>
            <w:tcW w:w="720" w:type="dxa"/>
            <w:vAlign w:val="bottom"/>
          </w:tcPr>
          <w:p>
            <w:pPr>
              <w:ind w:left="600"/>
              <w:spacing w:after="0" w:line="108"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9"/>
                <w:szCs w:val="9"/>
                <w:color w:val="auto"/>
              </w:rPr>
            </w:pPr>
          </w:p>
        </w:tc>
        <w:tc>
          <w:tcPr>
            <w:tcW w:w="1080" w:type="dxa"/>
            <w:vAlign w:val="bottom"/>
            <w:gridSpan w:val="2"/>
          </w:tcPr>
          <w:p>
            <w:pPr>
              <w:jc w:val="right"/>
              <w:ind w:right="240"/>
              <w:spacing w:after="0" w:line="108"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64,634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646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1"/>
                <w:szCs w:val="11"/>
                <w:color w:val="auto"/>
              </w:rPr>
              <w:t>515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860" w:type="dxa"/>
            <w:vAlign w:val="bottom"/>
          </w:tcPr>
          <w:p>
            <w:pPr>
              <w:ind w:left="20"/>
              <w:spacing w:after="0"/>
              <w:rPr>
                <w:sz w:val="20"/>
                <w:szCs w:val="20"/>
                <w:color w:val="auto"/>
              </w:rPr>
            </w:pPr>
            <w:r>
              <w:rPr>
                <w:rFonts w:ascii="Arial" w:cs="Arial" w:eastAsia="Arial" w:hAnsi="Arial"/>
                <w:sz w:val="7"/>
                <w:szCs w:val="7"/>
                <w:color w:val="auto"/>
              </w:rPr>
              <w:t>(7), (8)</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29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Seaway Topco, LP</w:t>
            </w: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SP L2 Holdings, LLC (Ledge Lounger, Inc.)</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360,103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SSC Dominion Holdings, LLC</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98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14"/>
                <w:szCs w:val="14"/>
                <w:color w:val="auto"/>
                <w:vertAlign w:val="superscript"/>
              </w:rPr>
              <w:t>(7)</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161,538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533,833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shd w:val="clear" w:color="auto" w:fill="CCECFF"/>
          </w:tcPr>
          <w:p>
            <w:pPr>
              <w:ind w:left="20"/>
              <w:spacing w:after="0" w:line="108" w:lineRule="exact"/>
              <w:rPr>
                <w:sz w:val="20"/>
                <w:szCs w:val="20"/>
                <w:color w:val="auto"/>
              </w:rPr>
            </w:pPr>
            <w:r>
              <w:rPr>
                <w:rFonts w:ascii="Arial" w:cs="Arial" w:eastAsia="Arial" w:hAnsi="Arial"/>
                <w:sz w:val="11"/>
                <w:szCs w:val="11"/>
                <w:color w:val="auto"/>
                <w:w w:val="99"/>
              </w:rPr>
              <w:t>Tower Arch Infolinks Media, LP (Infolinks Media Buyco, LLC)</w:t>
            </w:r>
          </w:p>
        </w:tc>
        <w:tc>
          <w:tcPr>
            <w:tcW w:w="720" w:type="dxa"/>
            <w:vAlign w:val="bottom"/>
            <w:shd w:val="clear" w:color="auto" w:fill="CCECFF"/>
          </w:tcPr>
          <w:p>
            <w:pPr>
              <w:ind w:left="600"/>
              <w:spacing w:after="0" w:line="108" w:lineRule="exact"/>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9"/>
                <w:szCs w:val="9"/>
                <w:color w:val="auto"/>
              </w:rPr>
            </w:pPr>
          </w:p>
        </w:tc>
        <w:tc>
          <w:tcPr>
            <w:tcW w:w="2020" w:type="dxa"/>
            <w:vAlign w:val="bottom"/>
            <w:shd w:val="clear" w:color="auto" w:fill="CCECFF"/>
          </w:tcPr>
          <w:p>
            <w:pPr>
              <w:jc w:val="center"/>
              <w:spacing w:after="0" w:line="108" w:lineRule="exact"/>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9"/>
                <w:szCs w:val="9"/>
                <w:color w:val="auto"/>
              </w:rPr>
            </w:pPr>
          </w:p>
        </w:tc>
        <w:tc>
          <w:tcPr>
            <w:tcW w:w="1080" w:type="dxa"/>
            <w:vAlign w:val="bottom"/>
            <w:gridSpan w:val="2"/>
            <w:shd w:val="clear" w:color="auto" w:fill="CCECFF"/>
          </w:tcPr>
          <w:p>
            <w:pPr>
              <w:jc w:val="right"/>
              <w:ind w:right="240"/>
              <w:spacing w:after="0" w:line="108" w:lineRule="exact"/>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08" w:lineRule="exact"/>
              <w:rPr>
                <w:sz w:val="20"/>
                <w:szCs w:val="20"/>
                <w:color w:val="auto"/>
              </w:rPr>
            </w:pPr>
            <w:r>
              <w:rPr>
                <w:rFonts w:ascii="Arial" w:cs="Arial" w:eastAsia="Arial" w:hAnsi="Arial"/>
                <w:sz w:val="11"/>
                <w:szCs w:val="11"/>
                <w:color w:val="auto"/>
              </w:rPr>
              <w:t>219,056</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206</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40" w:type="dxa"/>
            <w:vAlign w:val="bottom"/>
            <w:shd w:val="clear" w:color="auto" w:fill="CCECFF"/>
          </w:tcPr>
          <w:p>
            <w:pPr>
              <w:jc w:val="right"/>
              <w:spacing w:after="0" w:line="108" w:lineRule="exact"/>
              <w:rPr>
                <w:sz w:val="20"/>
                <w:szCs w:val="20"/>
                <w:color w:val="auto"/>
              </w:rPr>
            </w:pPr>
            <w:r>
              <w:rPr>
                <w:rFonts w:ascii="Arial" w:cs="Arial" w:eastAsia="Arial" w:hAnsi="Arial"/>
                <w:sz w:val="11"/>
                <w:szCs w:val="11"/>
                <w:color w:val="auto"/>
              </w:rPr>
              <w:t>388</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7"/>
                <w:szCs w:val="7"/>
                <w:color w:val="auto"/>
              </w:rPr>
              <w:t>(8)</w:t>
            </w:r>
          </w:p>
        </w:tc>
        <w:tc>
          <w:tcPr>
            <w:tcW w:w="1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02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9"/>
              </w:rPr>
              <w:t>Tower Arch Infolinks Media, LP (Infolinks Media Buyco, LLC)</w:t>
            </w:r>
          </w:p>
        </w:tc>
        <w:tc>
          <w:tcPr>
            <w:tcW w:w="720" w:type="dxa"/>
            <w:vAlign w:val="bottom"/>
          </w:tcPr>
          <w:p>
            <w:pPr>
              <w:ind w:left="600"/>
              <w:spacing w:after="0" w:line="108"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9"/>
                <w:szCs w:val="9"/>
                <w:color w:val="auto"/>
              </w:rPr>
            </w:pPr>
          </w:p>
        </w:tc>
        <w:tc>
          <w:tcPr>
            <w:tcW w:w="1080" w:type="dxa"/>
            <w:vAlign w:val="bottom"/>
            <w:gridSpan w:val="2"/>
          </w:tcPr>
          <w:p>
            <w:pPr>
              <w:jc w:val="right"/>
              <w:ind w:right="240"/>
              <w:spacing w:after="0" w:line="108"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146,550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0"/>
        </w:trPr>
        <w:tc>
          <w:tcPr>
            <w:tcW w:w="2860" w:type="dxa"/>
            <w:vAlign w:val="bottom"/>
          </w:tcPr>
          <w:p>
            <w:pPr>
              <w:ind w:left="20"/>
              <w:spacing w:after="0"/>
              <w:rPr>
                <w:sz w:val="20"/>
                <w:szCs w:val="20"/>
                <w:color w:val="auto"/>
              </w:rPr>
            </w:pPr>
            <w:r>
              <w:rPr>
                <w:rFonts w:ascii="Arial" w:cs="Arial" w:eastAsia="Arial" w:hAnsi="Arial"/>
                <w:sz w:val="7"/>
                <w:szCs w:val="7"/>
                <w:color w:val="auto"/>
              </w:rPr>
              <w:t>(8) (9)</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29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(8), (10)</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w w:val="99"/>
              </w:rPr>
              <w:t xml:space="preserve">TWD Parent Holdings, LLC (The Vertex Companies, LLC) </w:t>
            </w:r>
            <w:r>
              <w:rPr>
                <w:rFonts w:ascii="Arial" w:cs="Arial" w:eastAsia="Arial" w:hAnsi="Arial"/>
                <w:sz w:val="14"/>
                <w:szCs w:val="14"/>
                <w:color w:val="auto"/>
                <w:w w:val="99"/>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UniTek Global Services, Inc.(C)</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213,739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UniTek Global Services, Inc. (W)</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23,889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Urology Partners Co., L.P.</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694,444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Walker Edison Holdco LLC</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36,458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WCP IvyRehab QP CF Feeder, LP</w:t>
            </w:r>
            <w:r>
              <w:rPr>
                <w:rFonts w:ascii="Arial" w:cs="Arial" w:eastAsia="Arial" w:hAnsi="Arial"/>
                <w:sz w:val="14"/>
                <w:szCs w:val="14"/>
                <w:color w:val="auto"/>
                <w:vertAlign w:val="superscript"/>
              </w:rPr>
              <w:t>(8)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3,715,012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WCP IvyRehab QP CF Feeder, LP </w:t>
            </w:r>
            <w:r>
              <w:rPr>
                <w:rFonts w:ascii="Arial" w:cs="Arial" w:eastAsia="Arial" w:hAnsi="Arial"/>
                <w:sz w:val="14"/>
                <w:szCs w:val="14"/>
                <w:color w:val="auto"/>
                <w:vertAlign w:val="superscript"/>
              </w:rPr>
              <w:t>(8), (9)</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284,988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98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720" w:type="dxa"/>
            <w:vAlign w:val="bottom"/>
          </w:tcPr>
          <w:p>
            <w:pPr>
              <w:ind w:left="60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08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2,240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224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794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Equity/Warrants</w:t>
            </w: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72,159</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94,733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00" w:type="dxa"/>
            <w:vAlign w:val="bottom"/>
            <w:gridSpan w:val="3"/>
          </w:tcPr>
          <w:p>
            <w:pPr>
              <w:ind w:left="20"/>
              <w:spacing w:after="0"/>
              <w:rPr>
                <w:sz w:val="20"/>
                <w:szCs w:val="20"/>
                <w:color w:val="auto"/>
              </w:rPr>
            </w:pPr>
            <w:r>
              <w:rPr>
                <w:rFonts w:ascii="Arial" w:cs="Arial" w:eastAsia="Arial" w:hAnsi="Arial"/>
                <w:sz w:val="11"/>
                <w:szCs w:val="11"/>
                <w:b w:val="1"/>
                <w:bCs w:val="1"/>
                <w:color w:val="auto"/>
                <w:w w:val="96"/>
              </w:rPr>
              <w:t>Total Investments in Non-Controlled, Non-Affiliated Portfolio Companies</w:t>
            </w: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768,240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772,178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3"/>
            <w:shd w:val="clear" w:color="auto" w:fill="CCECFF"/>
          </w:tcPr>
          <w:p>
            <w:pPr>
              <w:ind w:left="20"/>
              <w:spacing w:after="0" w:line="149" w:lineRule="exact"/>
              <w:rPr>
                <w:sz w:val="20"/>
                <w:szCs w:val="20"/>
                <w:color w:val="auto"/>
              </w:rPr>
            </w:pPr>
            <w:r>
              <w:rPr>
                <w:rFonts w:ascii="Arial" w:cs="Arial" w:eastAsia="Arial" w:hAnsi="Arial"/>
                <w:sz w:val="11"/>
                <w:szCs w:val="11"/>
                <w:b w:val="1"/>
                <w:bCs w:val="1"/>
                <w:color w:val="auto"/>
                <w:w w:val="98"/>
              </w:rPr>
              <w:t xml:space="preserve">Investments in Controlled, Affiliated Portfolio Companies—45.1% </w:t>
            </w:r>
            <w:r>
              <w:rPr>
                <w:rFonts w:ascii="Arial" w:cs="Arial" w:eastAsia="Arial" w:hAnsi="Arial"/>
                <w:sz w:val="14"/>
                <w:szCs w:val="14"/>
                <w:b w:val="1"/>
                <w:bCs w:val="1"/>
                <w:color w:val="auto"/>
                <w:w w:val="98"/>
                <w:vertAlign w:val="superscript"/>
              </w:rPr>
              <w:t>(3), (4)</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First Lien Secured Debt—36.8%</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80" w:type="dxa"/>
            <w:vAlign w:val="bottom"/>
            <w:gridSpan w:val="2"/>
            <w:shd w:val="clear" w:color="auto" w:fill="CCECFF"/>
          </w:tcPr>
          <w:p>
            <w:pPr>
              <w:ind w:left="20"/>
              <w:spacing w:after="0" w:line="112" w:lineRule="exact"/>
              <w:rPr>
                <w:sz w:val="20"/>
                <w:szCs w:val="20"/>
                <w:color w:val="auto"/>
              </w:rPr>
            </w:pPr>
            <w:r>
              <w:rPr>
                <w:rFonts w:ascii="Arial" w:cs="Arial" w:eastAsia="Arial" w:hAnsi="Arial"/>
                <w:sz w:val="11"/>
                <w:szCs w:val="11"/>
                <w:color w:val="auto"/>
                <w:w w:val="96"/>
              </w:rPr>
              <w:t>Marketplace Events, LLC - Super Priority First Lien Term Loan</w:t>
            </w:r>
          </w:p>
        </w:tc>
        <w:tc>
          <w:tcPr>
            <w:tcW w:w="720" w:type="dxa"/>
            <w:vAlign w:val="bottom"/>
            <w:shd w:val="clear" w:color="auto" w:fill="CCECFF"/>
          </w:tcPr>
          <w:p>
            <w:pPr>
              <w:ind w:left="100"/>
              <w:spacing w:after="0" w:line="112" w:lineRule="exact"/>
              <w:rPr>
                <w:sz w:val="20"/>
                <w:szCs w:val="20"/>
                <w:color w:val="auto"/>
              </w:rPr>
            </w:pPr>
            <w:r>
              <w:rPr>
                <w:rFonts w:ascii="Arial" w:cs="Arial" w:eastAsia="Arial" w:hAnsi="Arial"/>
                <w:sz w:val="11"/>
                <w:szCs w:val="11"/>
                <w:color w:val="auto"/>
              </w:rPr>
              <w:t>09/30/2025</w:t>
            </w:r>
          </w:p>
        </w:tc>
        <w:tc>
          <w:tcPr>
            <w:tcW w:w="260" w:type="dxa"/>
            <w:vAlign w:val="bottom"/>
            <w:shd w:val="clear" w:color="auto" w:fill="CCECFF"/>
          </w:tcPr>
          <w:p>
            <w:pPr>
              <w:spacing w:after="0"/>
              <w:rPr>
                <w:sz w:val="9"/>
                <w:szCs w:val="9"/>
                <w:color w:val="auto"/>
              </w:rPr>
            </w:pPr>
          </w:p>
        </w:tc>
        <w:tc>
          <w:tcPr>
            <w:tcW w:w="2020" w:type="dxa"/>
            <w:vAlign w:val="bottom"/>
            <w:shd w:val="clear" w:color="auto" w:fill="CCECFF"/>
          </w:tcPr>
          <w:p>
            <w:pPr>
              <w:jc w:val="center"/>
              <w:spacing w:after="0" w:line="112" w:lineRule="exact"/>
              <w:rPr>
                <w:sz w:val="20"/>
                <w:szCs w:val="20"/>
                <w:color w:val="auto"/>
              </w:rPr>
            </w:pPr>
            <w:r>
              <w:rPr>
                <w:rFonts w:ascii="Arial" w:cs="Arial" w:eastAsia="Arial" w:hAnsi="Arial"/>
                <w:sz w:val="11"/>
                <w:szCs w:val="11"/>
                <w:color w:val="auto"/>
                <w:w w:val="91"/>
              </w:rPr>
              <w:t>Media: Diversified and Production</w:t>
            </w:r>
          </w:p>
        </w:tc>
        <w:tc>
          <w:tcPr>
            <w:tcW w:w="1200" w:type="dxa"/>
            <w:vAlign w:val="bottom"/>
            <w:gridSpan w:val="3"/>
            <w:shd w:val="clear" w:color="auto" w:fill="CCECFF"/>
          </w:tcPr>
          <w:p>
            <w:pPr>
              <w:jc w:val="right"/>
              <w:ind w:right="120"/>
              <w:spacing w:after="0" w:line="112" w:lineRule="exact"/>
              <w:rPr>
                <w:sz w:val="20"/>
                <w:szCs w:val="20"/>
                <w:color w:val="auto"/>
              </w:rPr>
            </w:pPr>
            <w:r>
              <w:rPr>
                <w:rFonts w:ascii="Arial" w:cs="Arial" w:eastAsia="Arial" w:hAnsi="Arial"/>
                <w:sz w:val="11"/>
                <w:szCs w:val="11"/>
                <w:color w:val="auto"/>
              </w:rPr>
              <w:t>10.94 %</w:t>
            </w:r>
          </w:p>
        </w:tc>
        <w:tc>
          <w:tcPr>
            <w:tcW w:w="82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3M SOFR+550</w:t>
            </w:r>
          </w:p>
        </w:tc>
        <w:tc>
          <w:tcPr>
            <w:tcW w:w="1060" w:type="dxa"/>
            <w:vAlign w:val="bottom"/>
            <w:gridSpan w:val="2"/>
            <w:shd w:val="clear" w:color="auto" w:fill="CCECFF"/>
          </w:tcPr>
          <w:p>
            <w:pPr>
              <w:jc w:val="right"/>
              <w:spacing w:after="0" w:line="112" w:lineRule="exact"/>
              <w:rPr>
                <w:sz w:val="20"/>
                <w:szCs w:val="20"/>
                <w:color w:val="auto"/>
              </w:rPr>
            </w:pPr>
            <w:r>
              <w:rPr>
                <w:rFonts w:ascii="Arial" w:cs="Arial" w:eastAsia="Arial" w:hAnsi="Arial"/>
                <w:sz w:val="11"/>
                <w:szCs w:val="11"/>
                <w:color w:val="auto"/>
              </w:rPr>
              <w:t>3,582</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7"/>
                <w:szCs w:val="7"/>
                <w:color w:val="auto"/>
              </w:rPr>
              <w:t>(7)</w:t>
            </w:r>
          </w:p>
        </w:tc>
        <w:tc>
          <w:tcPr>
            <w:tcW w:w="1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02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3,582</w:t>
            </w:r>
          </w:p>
        </w:tc>
        <w:tc>
          <w:tcPr>
            <w:tcW w:w="2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3,582</w:t>
            </w:r>
          </w:p>
        </w:tc>
        <w:tc>
          <w:tcPr>
            <w:tcW w:w="10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720" w:type="dxa"/>
            <w:vAlign w:val="bottom"/>
          </w:tcPr>
          <w:p>
            <w:pPr>
              <w:ind w:left="100"/>
              <w:spacing w:after="0"/>
              <w:rPr>
                <w:sz w:val="20"/>
                <w:szCs w:val="20"/>
                <w:color w:val="auto"/>
              </w:rPr>
            </w:pPr>
            <w:r>
              <w:rPr>
                <w:rFonts w:ascii="Arial" w:cs="Arial" w:eastAsia="Arial" w:hAnsi="Arial"/>
                <w:sz w:val="11"/>
                <w:szCs w:val="11"/>
                <w:color w:val="auto"/>
              </w:rPr>
              <w:t>09/30/2025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3,261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Marketplace Events, LLC</w:t>
            </w:r>
          </w:p>
        </w:tc>
        <w:tc>
          <w:tcPr>
            <w:tcW w:w="720" w:type="dxa"/>
            <w:vAlign w:val="bottom"/>
            <w:shd w:val="clear" w:color="auto" w:fill="CCECFF"/>
          </w:tcPr>
          <w:p>
            <w:pPr>
              <w:ind w:left="100"/>
              <w:spacing w:after="0"/>
              <w:rPr>
                <w:sz w:val="20"/>
                <w:szCs w:val="20"/>
                <w:color w:val="auto"/>
              </w:rPr>
            </w:pPr>
            <w:r>
              <w:rPr>
                <w:rFonts w:ascii="Arial" w:cs="Arial" w:eastAsia="Arial" w:hAnsi="Arial"/>
                <w:sz w:val="11"/>
                <w:szCs w:val="11"/>
                <w:color w:val="auto"/>
              </w:rPr>
              <w:t>09/30/2026</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10.94 %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SOFR+550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26,771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20,931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26,770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20" w:type="dxa"/>
            <w:vAlign w:val="bottom"/>
          </w:tcPr>
          <w:p>
            <w:pPr>
              <w:ind w:left="100"/>
              <w:spacing w:after="0"/>
              <w:rPr>
                <w:sz w:val="20"/>
                <w:szCs w:val="20"/>
                <w:color w:val="auto"/>
              </w:rPr>
            </w:pPr>
            <w:r>
              <w:rPr>
                <w:rFonts w:ascii="Arial" w:cs="Arial" w:eastAsia="Arial" w:hAnsi="Arial"/>
                <w:sz w:val="11"/>
                <w:szCs w:val="11"/>
                <w:color w:val="auto"/>
              </w:rPr>
              <w:t>05/06/2024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Financial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13.33 %</w:t>
            </w:r>
          </w:p>
        </w:tc>
        <w:tc>
          <w:tcPr>
            <w:tcW w:w="820" w:type="dxa"/>
            <w:vAlign w:val="bottom"/>
          </w:tcPr>
          <w:p>
            <w:pPr>
              <w:jc w:val="right"/>
              <w:spacing w:after="0"/>
              <w:rPr>
                <w:sz w:val="20"/>
                <w:szCs w:val="20"/>
                <w:color w:val="auto"/>
              </w:rPr>
            </w:pPr>
            <w:r>
              <w:rPr>
                <w:rFonts w:ascii="Arial" w:cs="Arial" w:eastAsia="Arial" w:hAnsi="Arial"/>
                <w:sz w:val="11"/>
                <w:szCs w:val="11"/>
                <w:color w:val="auto"/>
              </w:rPr>
              <w:t>3M SOFR+800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210,088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210,088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234,601</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240,440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Equity Interests—8.3%</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3,675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Financial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90,038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90,038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90,038</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54,556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324,639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294,996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Investments—163.3%</w:t>
            </w: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1,092,878</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1,067,174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Cash and Cash Equivalents—15.3%</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Money Market - BlackRock Federal FD Institutional 30</w:t>
            </w: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99,989</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99,989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99,989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Equivalents—178.6%</w:t>
            </w:r>
          </w:p>
        </w:tc>
        <w:tc>
          <w:tcPr>
            <w:tcW w:w="7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1280" w:type="dxa"/>
            <w:vAlign w:val="bottom"/>
            <w:tcBorders>
              <w:bottom w:val="single" w:sz="8" w:color="CCECFF"/>
            </w:tcBorders>
            <w:gridSpan w:val="3"/>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1,192,867</w:t>
            </w: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1,167,163</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Liabilities in Excess of Other Assets—(78.6)%</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(513,558 )</w:t>
            </w:r>
          </w:p>
        </w:tc>
        <w:tc>
          <w:tcPr>
            <w:tcW w:w="0" w:type="dxa"/>
            <w:vAlign w:val="bottom"/>
          </w:tcPr>
          <w:p>
            <w:pPr>
              <w:spacing w:after="0"/>
              <w:rPr>
                <w:sz w:val="1"/>
                <w:szCs w:val="1"/>
                <w:color w:val="auto"/>
              </w:rPr>
            </w:pPr>
          </w:p>
        </w:tc>
      </w:tr>
      <w:tr>
        <w:trPr>
          <w:trHeight w:val="17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Net Assets—100.0%</w:t>
            </w:r>
          </w:p>
        </w:tc>
        <w:tc>
          <w:tcPr>
            <w:tcW w:w="7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653,605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-2082165</wp:posOffset>
            </wp:positionV>
            <wp:extent cx="68580"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-1250950</wp:posOffset>
            </wp:positionV>
            <wp:extent cx="6858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-856615</wp:posOffset>
            </wp:positionV>
            <wp:extent cx="68580"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-650875</wp:posOffset>
            </wp:positionV>
            <wp:extent cx="6858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-454025</wp:posOffset>
            </wp:positionV>
            <wp:extent cx="68580"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-248285</wp:posOffset>
            </wp:positionV>
            <wp:extent cx="72898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1191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7" w:lineRule="exact"/>
        <w:rPr>
          <w:sz w:val="20"/>
          <w:szCs w:val="20"/>
          <w:color w:val="auto"/>
        </w:rPr>
      </w:pPr>
    </w:p>
    <w:p>
      <w:pPr>
        <w:ind w:left="380" w:right="20" w:hanging="372"/>
        <w:spacing w:after="0" w:line="239" w:lineRule="auto"/>
        <w:tabs>
          <w:tab w:leader="none" w:pos="380" w:val="left"/>
        </w:tabs>
        <w:numPr>
          <w:ilvl w:val="0"/>
          <w:numId w:val="6"/>
        </w:numPr>
        <w:rPr>
          <w:rFonts w:ascii="Arial" w:cs="Arial" w:eastAsia="Arial" w:hAnsi="Arial"/>
          <w:sz w:val="12"/>
          <w:szCs w:val="12"/>
          <w:color w:val="auto"/>
        </w:rPr>
      </w:pPr>
      <w:r>
        <w:rPr>
          <w:rFonts w:ascii="Arial" w:cs="Arial" w:eastAsia="Arial" w:hAnsi="Arial"/>
          <w:sz w:val="12"/>
          <w:szCs w:val="12"/>
          <w:color w:val="auto"/>
        </w:rPr>
        <w:t>(1) Represents floating rate instruments that accrue interest at a predetermined spread relative to an index, typically the applicable London Interbank Offered Rate, or LIBOR or “L,” the Euro Interbank Offered Rate, or EURIBOR or “E", or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SOFR loans are typically indexed to a 30-day, 90-day or 180-day SOFR rates (1M SOFR, 3M SOFR, or 6M SOFR, respectively)at the borrower’s option. All securities are subject to a LIBOR, SOFR or Prime rate floor where a spread is provided, unless noted. The spread provided includes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6"/>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372" w:right="220" w:hanging="372"/>
        <w:spacing w:after="0" w:line="252" w:lineRule="auto"/>
        <w:tabs>
          <w:tab w:leader="none" w:pos="37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7" w:lineRule="exact"/>
        <w:rPr>
          <w:rFonts w:ascii="Arial" w:cs="Arial" w:eastAsia="Arial" w:hAnsi="Arial"/>
          <w:sz w:val="12"/>
          <w:szCs w:val="12"/>
          <w:color w:val="auto"/>
        </w:rPr>
      </w:pPr>
    </w:p>
    <w:p>
      <w:pPr>
        <w:ind w:left="372" w:hanging="372"/>
        <w:spacing w:after="0" w:line="252" w:lineRule="auto"/>
        <w:tabs>
          <w:tab w:leader="none" w:pos="37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72" w:hanging="372"/>
        <w:spacing w:after="0"/>
        <w:tabs>
          <w:tab w:leader="none" w:pos="372"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24" w:lineRule="exact"/>
        <w:rPr>
          <w:rFonts w:ascii="Arial" w:cs="Arial" w:eastAsia="Arial" w:hAnsi="Arial"/>
          <w:sz w:val="12"/>
          <w:szCs w:val="12"/>
          <w:color w:val="auto"/>
        </w:rPr>
      </w:pPr>
    </w:p>
    <w:p>
      <w:pPr>
        <w:ind w:left="372" w:hanging="372"/>
        <w:spacing w:after="0"/>
        <w:tabs>
          <w:tab w:leader="none" w:pos="372"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11) and held through PennantPark CLO I, Ltd.</w:t>
      </w:r>
    </w:p>
    <w:p>
      <w:pPr>
        <w:spacing w:after="0" w:line="49" w:lineRule="exact"/>
        <w:rPr>
          <w:rFonts w:ascii="Arial" w:cs="Arial" w:eastAsia="Arial" w:hAnsi="Arial"/>
          <w:sz w:val="11"/>
          <w:szCs w:val="11"/>
          <w:color w:val="auto"/>
        </w:rPr>
      </w:pPr>
    </w:p>
    <w:p>
      <w:pPr>
        <w:ind w:left="372" w:hanging="372"/>
        <w:spacing w:after="0"/>
        <w:tabs>
          <w:tab w:leader="none" w:pos="37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412" w:hanging="412"/>
        <w:spacing w:after="0"/>
        <w:tabs>
          <w:tab w:leader="none" w:pos="412"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5" w:lineRule="exact"/>
        <w:rPr>
          <w:rFonts w:ascii="Arial" w:cs="Arial" w:eastAsia="Arial" w:hAnsi="Arial"/>
          <w:sz w:val="11"/>
          <w:szCs w:val="11"/>
          <w:color w:val="auto"/>
        </w:rPr>
      </w:pPr>
    </w:p>
    <w:p>
      <w:pPr>
        <w:ind w:left="372" w:right="20" w:hanging="372"/>
        <w:spacing w:after="0" w:line="252" w:lineRule="auto"/>
        <w:tabs>
          <w:tab w:leader="none" w:pos="37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76% of our total assets and non-qualifying assets represent 24% of our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4" w:right="3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ind w:right="-59"/>
        <w:spacing w:after="0" w:line="221" w:lineRule="auto"/>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(in thousands, except share data)</w:t>
      </w:r>
    </w:p>
    <w:tbl>
      <w:tblPr>
        <w:tblLayout w:type="fixed"/>
        <w:tblInd w:w="20" w:type="dxa"/>
        <w:tblCellMar>
          <w:top w:w="0" w:type="dxa"/>
          <w:left w:w="0" w:type="dxa"/>
          <w:bottom w:w="0" w:type="dxa"/>
          <w:right w:w="0" w:type="dxa"/>
        </w:tblCellMar>
      </w:tblPr>
      <w:tr>
        <w:trPr>
          <w:trHeight w:val="116"/>
        </w:trPr>
        <w:tc>
          <w:tcPr>
            <w:tcW w:w="1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6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3"/>
              </w:rPr>
              <w:t>Basis Point</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00" w:type="dxa"/>
            <w:vAlign w:val="bottom"/>
          </w:tcPr>
          <w:p>
            <w:pPr>
              <w:jc w:val="center"/>
              <w:ind w:left="206"/>
              <w:spacing w:after="0" w:line="109" w:lineRule="exact"/>
              <w:rPr>
                <w:sz w:val="20"/>
                <w:szCs w:val="20"/>
                <w:color w:val="auto"/>
              </w:rPr>
            </w:pPr>
            <w:r>
              <w:rPr>
                <w:rFonts w:ascii="Arial" w:cs="Arial" w:eastAsia="Arial" w:hAnsi="Arial"/>
                <w:sz w:val="11"/>
                <w:szCs w:val="11"/>
                <w:b w:val="1"/>
                <w:bCs w:val="1"/>
                <w:color w:val="auto"/>
                <w:w w:val="90"/>
              </w:rPr>
              <w:t>Current</w:t>
            </w:r>
          </w:p>
        </w:tc>
        <w:tc>
          <w:tcPr>
            <w:tcW w:w="11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3"/>
              </w:rPr>
              <w:t>Above</w:t>
            </w:r>
          </w:p>
        </w:tc>
        <w:tc>
          <w:tcPr>
            <w:tcW w:w="1020" w:type="dxa"/>
            <w:vAlign w:val="bottom"/>
          </w:tcPr>
          <w:p>
            <w:pPr>
              <w:jc w:val="center"/>
              <w:ind w:right="46"/>
              <w:spacing w:after="0" w:line="109" w:lineRule="exact"/>
              <w:rPr>
                <w:sz w:val="20"/>
                <w:szCs w:val="20"/>
                <w:color w:val="auto"/>
              </w:rPr>
            </w:pPr>
            <w:r>
              <w:rPr>
                <w:rFonts w:ascii="Arial" w:cs="Arial" w:eastAsia="Arial" w:hAnsi="Arial"/>
                <w:sz w:val="11"/>
                <w:szCs w:val="11"/>
                <w:b w:val="1"/>
                <w:bCs w:val="1"/>
                <w:color w:val="auto"/>
              </w:rPr>
              <w:t>Par /</w:t>
            </w:r>
          </w:p>
        </w:tc>
        <w:tc>
          <w:tcPr>
            <w:tcW w:w="900" w:type="dxa"/>
            <w:vAlign w:val="bottom"/>
          </w:tcPr>
          <w:p>
            <w:pPr>
              <w:spacing w:after="0"/>
              <w:rPr>
                <w:sz w:val="9"/>
                <w:szCs w:val="9"/>
                <w:color w:val="auto"/>
              </w:rPr>
            </w:pPr>
          </w:p>
        </w:tc>
        <w:tc>
          <w:tcPr>
            <w:tcW w:w="920" w:type="dxa"/>
            <w:vAlign w:val="bottom"/>
            <w:vMerge w:val="restart"/>
          </w:tcPr>
          <w:p>
            <w:pPr>
              <w:ind w:left="3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65"/>
        </w:trPr>
        <w:tc>
          <w:tcPr>
            <w:tcW w:w="18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2280" w:type="dxa"/>
            <w:vAlign w:val="bottom"/>
          </w:tcPr>
          <w:p>
            <w:pPr>
              <w:ind w:left="1300"/>
              <w:spacing w:after="0"/>
              <w:rPr>
                <w:sz w:val="20"/>
                <w:szCs w:val="20"/>
                <w:color w:val="auto"/>
              </w:rPr>
            </w:pPr>
            <w:r>
              <w:rPr>
                <w:rFonts w:ascii="Arial" w:cs="Arial" w:eastAsia="Arial" w:hAnsi="Arial"/>
                <w:sz w:val="11"/>
                <w:szCs w:val="11"/>
                <w:b w:val="1"/>
                <w:bCs w:val="1"/>
                <w:color w:val="auto"/>
              </w:rPr>
              <w:t>Maturity</w:t>
            </w:r>
          </w:p>
        </w:tc>
        <w:tc>
          <w:tcPr>
            <w:tcW w:w="1540" w:type="dxa"/>
            <w:vAlign w:val="bottom"/>
          </w:tcPr>
          <w:p>
            <w:pPr>
              <w:ind w:left="560"/>
              <w:spacing w:after="0"/>
              <w:rPr>
                <w:sz w:val="20"/>
                <w:szCs w:val="20"/>
                <w:color w:val="auto"/>
              </w:rPr>
            </w:pPr>
            <w:r>
              <w:rPr>
                <w:rFonts w:ascii="Arial" w:cs="Arial" w:eastAsia="Arial" w:hAnsi="Arial"/>
                <w:sz w:val="11"/>
                <w:szCs w:val="11"/>
                <w:b w:val="1"/>
                <w:bCs w:val="1"/>
                <w:color w:val="auto"/>
              </w:rPr>
              <w:t>Industry</w:t>
            </w:r>
          </w:p>
        </w:tc>
        <w:tc>
          <w:tcPr>
            <w:tcW w:w="1300" w:type="dxa"/>
            <w:vAlign w:val="bottom"/>
          </w:tcPr>
          <w:p>
            <w:pPr>
              <w:jc w:val="center"/>
              <w:ind w:left="246"/>
              <w:spacing w:after="0"/>
              <w:rPr>
                <w:sz w:val="20"/>
                <w:szCs w:val="20"/>
                <w:color w:val="auto"/>
              </w:rPr>
            </w:pPr>
            <w:r>
              <w:rPr>
                <w:rFonts w:ascii="Arial" w:cs="Arial" w:eastAsia="Arial" w:hAnsi="Arial"/>
                <w:sz w:val="11"/>
                <w:szCs w:val="11"/>
                <w:b w:val="1"/>
                <w:bCs w:val="1"/>
                <w:color w:val="auto"/>
                <w:w w:val="86"/>
              </w:rPr>
              <w:t>Coupon</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1020" w:type="dxa"/>
            <w:vAlign w:val="bottom"/>
          </w:tcPr>
          <w:p>
            <w:pPr>
              <w:jc w:val="center"/>
              <w:ind w:right="26"/>
              <w:spacing w:after="0"/>
              <w:rPr>
                <w:sz w:val="20"/>
                <w:szCs w:val="20"/>
                <w:color w:val="auto"/>
              </w:rPr>
            </w:pPr>
            <w:r>
              <w:rPr>
                <w:rFonts w:ascii="Arial" w:cs="Arial" w:eastAsia="Arial" w:hAnsi="Arial"/>
                <w:sz w:val="11"/>
                <w:szCs w:val="11"/>
                <w:b w:val="1"/>
                <w:bCs w:val="1"/>
                <w:color w:val="auto"/>
                <w:w w:val="81"/>
              </w:rPr>
              <w:t>Shares</w:t>
            </w:r>
          </w:p>
        </w:tc>
        <w:tc>
          <w:tcPr>
            <w:tcW w:w="900" w:type="dxa"/>
            <w:vAlign w:val="bottom"/>
          </w:tcPr>
          <w:p>
            <w:pPr>
              <w:ind w:left="380"/>
              <w:spacing w:after="0"/>
              <w:rPr>
                <w:sz w:val="20"/>
                <w:szCs w:val="20"/>
                <w:color w:val="auto"/>
              </w:rPr>
            </w:pPr>
            <w:r>
              <w:rPr>
                <w:rFonts w:ascii="Arial" w:cs="Arial" w:eastAsia="Arial" w:hAnsi="Arial"/>
                <w:sz w:val="11"/>
                <w:szCs w:val="11"/>
                <w:b w:val="1"/>
                <w:bCs w:val="1"/>
                <w:color w:val="auto"/>
              </w:rPr>
              <w:t>Cost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0637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 xml:space="preserve">Investments in Non-Controlled, Non-Affiliated Portfolio Companies—169.5% </w:t>
      </w:r>
      <w:r>
        <w:rPr>
          <w:rFonts w:ascii="Arial" w:cs="Arial" w:eastAsia="Arial" w:hAnsi="Arial"/>
          <w:sz w:val="14"/>
          <w:szCs w:val="14"/>
          <w:b w:val="1"/>
          <w:bCs w:val="1"/>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First Lien Secured Debt—149.7%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Ad.net Acquisition,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05/06/2026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spacing w:after="0"/>
              <w:rPr>
                <w:sz w:val="20"/>
                <w:szCs w:val="20"/>
                <w:color w:val="auto"/>
              </w:rPr>
            </w:pPr>
            <w:r>
              <w:rPr>
                <w:rFonts w:ascii="Arial" w:cs="Arial" w:eastAsia="Arial" w:hAnsi="Arial"/>
                <w:sz w:val="11"/>
                <w:szCs w:val="11"/>
                <w:color w:val="auto"/>
              </w:rPr>
              <w:t>9.67 %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05/06/2026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IT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10.81 %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IT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11.67 %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07/24/2025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IT Services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12/21/2023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91"/>
              </w:rPr>
              <w:t>Building Products</w:t>
            </w:r>
          </w:p>
        </w:tc>
        <w:tc>
          <w:tcPr>
            <w:tcW w:w="920" w:type="dxa"/>
            <w:vAlign w:val="bottom"/>
          </w:tcPr>
          <w:p>
            <w:pPr>
              <w:jc w:val="right"/>
              <w:spacing w:after="0"/>
              <w:rPr>
                <w:sz w:val="20"/>
                <w:szCs w:val="20"/>
                <w:color w:val="auto"/>
              </w:rPr>
            </w:pPr>
            <w:r>
              <w:rPr>
                <w:rFonts w:ascii="Arial" w:cs="Arial" w:eastAsia="Arial" w:hAnsi="Arial"/>
                <w:sz w:val="11"/>
                <w:szCs w:val="11"/>
                <w:color w:val="auto"/>
              </w:rPr>
              <w:t>7.79 %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06/08/2023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9"/>
              </w:rPr>
              <w:t>Telecommunications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12/08/2022</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9"/>
              </w:rPr>
              <w:t>Telecommunications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121"/>
        </w:trPr>
        <w:tc>
          <w:tcPr>
            <w:tcW w:w="2900" w:type="dxa"/>
            <w:vAlign w:val="bottom"/>
          </w:tcPr>
          <w:p>
            <w:pPr>
              <w:ind w:left="20"/>
              <w:spacing w:after="0" w:line="122" w:lineRule="exact"/>
              <w:rPr>
                <w:sz w:val="20"/>
                <w:szCs w:val="20"/>
                <w:color w:val="auto"/>
              </w:rPr>
            </w:pPr>
            <w:r>
              <w:rPr>
                <w:rFonts w:ascii="Arial" w:cs="Arial" w:eastAsia="Arial" w:hAnsi="Arial"/>
                <w:sz w:val="11"/>
                <w:szCs w:val="11"/>
                <w:color w:val="auto"/>
              </w:rPr>
              <w:t>Amsive Holding Corporation (f/k/a Vision Purchaser</w:t>
            </w:r>
          </w:p>
        </w:tc>
        <w:tc>
          <w:tcPr>
            <w:tcW w:w="94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06/10/2025</w:t>
            </w:r>
          </w:p>
        </w:tc>
        <w:tc>
          <w:tcPr>
            <w:tcW w:w="228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3"/>
              </w:rPr>
              <w:t>Media</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Corporation)</w:t>
            </w:r>
          </w:p>
        </w:tc>
        <w:tc>
          <w:tcPr>
            <w:tcW w:w="9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9.85 %</w:t>
            </w: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1"/>
                <w:szCs w:val="11"/>
                <w:color w:val="auto"/>
              </w:rPr>
              <w:t>Anteriad, LLC (f/k/a MeritDirect,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05/23/2024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spacing w:after="0"/>
              <w:rPr>
                <w:sz w:val="20"/>
                <w:szCs w:val="20"/>
                <w:color w:val="auto"/>
              </w:rPr>
            </w:pPr>
            <w:r>
              <w:rPr>
                <w:rFonts w:ascii="Arial" w:cs="Arial" w:eastAsia="Arial" w:hAnsi="Arial"/>
                <w:sz w:val="11"/>
                <w:szCs w:val="11"/>
                <w:color w:val="auto"/>
              </w:rPr>
              <w:t>9.17 %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Anteriad, LLC (f/k/a MeritDirect,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05/23/2024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Any Hour Services</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07/21/2027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9"/>
              </w:rPr>
              <w:t>Energy Equipment and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7.43 %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07/21/2027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9"/>
              </w:rPr>
              <w:t>Energy Equipment and Services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6.72 %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9.67 %</w:t>
            </w: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1"/>
                <w:szCs w:val="11"/>
                <w:color w:val="auto"/>
              </w:rPr>
              <w:t>Apex Service Partners, LLC Term Loan 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7.75 %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07/31/2025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Diversified Consumer Services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line="122" w:lineRule="exact"/>
              <w:rPr>
                <w:sz w:val="20"/>
                <w:szCs w:val="20"/>
                <w:color w:val="auto"/>
              </w:rPr>
            </w:pPr>
            <w:r>
              <w:rPr>
                <w:rFonts w:ascii="Arial" w:cs="Arial" w:eastAsia="Arial" w:hAnsi="Arial"/>
                <w:sz w:val="11"/>
                <w:szCs w:val="11"/>
                <w:color w:val="auto"/>
              </w:rPr>
              <w:t>API Holding III Corp.</w:t>
            </w:r>
          </w:p>
        </w:tc>
        <w:tc>
          <w:tcPr>
            <w:tcW w:w="94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05/11/2026</w:t>
            </w:r>
          </w:p>
        </w:tc>
        <w:tc>
          <w:tcPr>
            <w:tcW w:w="2280" w:type="dxa"/>
            <w:vAlign w:val="bottom"/>
          </w:tcPr>
          <w:p>
            <w:pPr>
              <w:jc w:val="center"/>
              <w:ind w:right="66"/>
              <w:spacing w:after="0" w:line="122" w:lineRule="exact"/>
              <w:rPr>
                <w:sz w:val="20"/>
                <w:szCs w:val="20"/>
                <w:color w:val="auto"/>
              </w:rPr>
            </w:pPr>
            <w:r>
              <w:rPr>
                <w:rFonts w:ascii="Arial" w:cs="Arial" w:eastAsia="Arial" w:hAnsi="Arial"/>
                <w:sz w:val="11"/>
                <w:szCs w:val="11"/>
                <w:color w:val="auto"/>
                <w:w w:val="89"/>
              </w:rPr>
              <w:t>Electronic Equipment, Instruments, and</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7.92 %</w:t>
            </w:r>
          </w:p>
        </w:tc>
        <w:tc>
          <w:tcPr>
            <w:tcW w:w="0" w:type="dxa"/>
            <w:vAlign w:val="bottom"/>
          </w:tcPr>
          <w:p>
            <w:pPr>
              <w:spacing w:after="0"/>
              <w:rPr>
                <w:sz w:val="1"/>
                <w:szCs w:val="1"/>
                <w:color w:val="auto"/>
              </w:rPr>
            </w:pPr>
          </w:p>
        </w:tc>
      </w:tr>
      <w:tr>
        <w:trPr>
          <w:trHeight w:val="136"/>
        </w:trPr>
        <w:tc>
          <w:tcPr>
            <w:tcW w:w="2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9"/>
              </w:rPr>
              <w:t>Components</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20" w:type="dxa"/>
            <w:vAlign w:val="bottom"/>
          </w:tcPr>
          <w:p>
            <w:pPr>
              <w:jc w:val="right"/>
              <w:spacing w:after="0"/>
              <w:rPr>
                <w:sz w:val="20"/>
                <w:szCs w:val="20"/>
                <w:color w:val="auto"/>
              </w:rPr>
            </w:pPr>
            <w:r>
              <w:rPr>
                <w:rFonts w:ascii="Arial" w:cs="Arial" w:eastAsia="Arial" w:hAnsi="Arial"/>
                <w:sz w:val="11"/>
                <w:szCs w:val="11"/>
                <w:color w:val="auto"/>
              </w:rPr>
              <w:t>9.42 %</w:t>
            </w: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1"/>
                <w:szCs w:val="11"/>
                <w:color w:val="auto"/>
              </w:rPr>
              <w:t>Applied Technical Services, LLC (Unfunded Term Loan)</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04/21/2023</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20" w:type="dxa"/>
            <w:vAlign w:val="bottom"/>
          </w:tcPr>
          <w:p>
            <w:pPr>
              <w:jc w:val="right"/>
              <w:spacing w:after="0"/>
              <w:rPr>
                <w:sz w:val="20"/>
                <w:szCs w:val="20"/>
                <w:color w:val="auto"/>
              </w:rPr>
            </w:pPr>
            <w:r>
              <w:rPr>
                <w:rFonts w:ascii="Arial" w:cs="Arial" w:eastAsia="Arial" w:hAnsi="Arial"/>
                <w:sz w:val="11"/>
                <w:szCs w:val="11"/>
                <w:color w:val="auto"/>
              </w:rPr>
              <w:t>10.25 %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Arcfield Acquisition Corp. (Revolver)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03/07/2028</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Aerospace and Defense</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Beta Plus Technologies,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07/01/2029</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Internet Software and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7.76 %</w:t>
            </w: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1"/>
                <w:szCs w:val="11"/>
                <w:color w:val="auto"/>
              </w:rPr>
              <w:t>Blackhawk Industrial Distribution,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20" w:type="dxa"/>
            <w:vAlign w:val="bottom"/>
          </w:tcPr>
          <w:p>
            <w:pPr>
              <w:jc w:val="right"/>
              <w:spacing w:after="0"/>
              <w:rPr>
                <w:sz w:val="20"/>
                <w:szCs w:val="20"/>
                <w:color w:val="auto"/>
              </w:rPr>
            </w:pPr>
            <w:r>
              <w:rPr>
                <w:rFonts w:ascii="Arial" w:cs="Arial" w:eastAsia="Arial" w:hAnsi="Arial"/>
                <w:sz w:val="11"/>
                <w:szCs w:val="11"/>
                <w:color w:val="auto"/>
              </w:rPr>
              <w:t>8.33 %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(7),(9)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Blackhawk Industrial Distribution,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2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Blackhawk Industrial Distribution, Inc.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09/17/2024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Broder Bros., Co.</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12/02/2022</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90"/>
              </w:rPr>
              <w:t>Textiles, Apparel and Luxury Goods</w:t>
            </w:r>
          </w:p>
        </w:tc>
        <w:tc>
          <w:tcPr>
            <w:tcW w:w="920" w:type="dxa"/>
            <w:vAlign w:val="bottom"/>
          </w:tcPr>
          <w:p>
            <w:pPr>
              <w:jc w:val="right"/>
              <w:spacing w:after="0"/>
              <w:rPr>
                <w:sz w:val="20"/>
                <w:szCs w:val="20"/>
                <w:color w:val="auto"/>
              </w:rPr>
            </w:pPr>
            <w:r>
              <w:rPr>
                <w:rFonts w:ascii="Arial" w:cs="Arial" w:eastAsia="Arial" w:hAnsi="Arial"/>
                <w:sz w:val="11"/>
                <w:szCs w:val="11"/>
                <w:color w:val="auto"/>
              </w:rPr>
              <w:t>7.39 %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By Light Professional IT Services,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9"/>
              </w:rPr>
              <w:t>High Tech Industries</w:t>
            </w:r>
          </w:p>
        </w:tc>
        <w:tc>
          <w:tcPr>
            <w:tcW w:w="920" w:type="dxa"/>
            <w:vAlign w:val="bottom"/>
          </w:tcPr>
          <w:p>
            <w:pPr>
              <w:jc w:val="right"/>
              <w:spacing w:after="0"/>
              <w:rPr>
                <w:sz w:val="20"/>
                <w:szCs w:val="20"/>
                <w:color w:val="auto"/>
              </w:rPr>
            </w:pPr>
            <w:r>
              <w:rPr>
                <w:rFonts w:ascii="Arial" w:cs="Arial" w:eastAsia="Arial" w:hAnsi="Arial"/>
                <w:sz w:val="11"/>
                <w:szCs w:val="11"/>
                <w:color w:val="auto"/>
              </w:rPr>
              <w:t>9.26 %</w:t>
            </w: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1"/>
                <w:szCs w:val="11"/>
                <w:color w:val="auto"/>
              </w:rPr>
              <w:t>By Light Professional IT Services,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9"/>
              </w:rPr>
              <w:t>High Tech Industries</w:t>
            </w:r>
          </w:p>
        </w:tc>
        <w:tc>
          <w:tcPr>
            <w:tcW w:w="920" w:type="dxa"/>
            <w:vAlign w:val="bottom"/>
          </w:tcPr>
          <w:p>
            <w:pPr>
              <w:jc w:val="right"/>
              <w:spacing w:after="0"/>
              <w:rPr>
                <w:sz w:val="20"/>
                <w:szCs w:val="20"/>
                <w:color w:val="auto"/>
              </w:rPr>
            </w:pPr>
            <w:r>
              <w:rPr>
                <w:rFonts w:ascii="Arial" w:cs="Arial" w:eastAsia="Arial" w:hAnsi="Arial"/>
                <w:sz w:val="11"/>
                <w:szCs w:val="11"/>
                <w:color w:val="auto"/>
              </w:rPr>
              <w:t>9.75 %</w:t>
            </w:r>
          </w:p>
        </w:tc>
        <w:tc>
          <w:tcPr>
            <w:tcW w:w="0" w:type="dxa"/>
            <w:vAlign w:val="bottom"/>
          </w:tcPr>
          <w:p>
            <w:pPr>
              <w:spacing w:after="0"/>
              <w:rPr>
                <w:sz w:val="1"/>
                <w:szCs w:val="1"/>
                <w:color w:val="auto"/>
              </w:rPr>
            </w:pPr>
          </w:p>
        </w:tc>
      </w:tr>
      <w:tr>
        <w:trPr>
          <w:trHeight w:val="165"/>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05/16/2024</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9"/>
              </w:rPr>
              <w:t>High Tech Industries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900" w:type="dxa"/>
            <w:vAlign w:val="bottom"/>
            <w:shd w:val="clear" w:color="auto" w:fill="CCECFF"/>
          </w:tcPr>
          <w:p>
            <w:pPr>
              <w:ind w:left="20"/>
              <w:spacing w:after="0" w:line="152" w:lineRule="exact"/>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11/14/2023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Aerospace and Defense</w:t>
            </w:r>
          </w:p>
        </w:tc>
        <w:tc>
          <w:tcPr>
            <w:tcW w:w="920" w:type="dxa"/>
            <w:vAlign w:val="bottom"/>
          </w:tcPr>
          <w:p>
            <w:pPr>
              <w:jc w:val="right"/>
              <w:spacing w:after="0"/>
              <w:rPr>
                <w:sz w:val="20"/>
                <w:szCs w:val="20"/>
                <w:color w:val="auto"/>
              </w:rPr>
            </w:pPr>
            <w:r>
              <w:rPr>
                <w:rFonts w:ascii="Arial" w:cs="Arial" w:eastAsia="Arial" w:hAnsi="Arial"/>
                <w:sz w:val="11"/>
                <w:szCs w:val="11"/>
                <w:color w:val="auto"/>
              </w:rPr>
              <w:t>11.31 %</w:t>
            </w:r>
          </w:p>
        </w:tc>
        <w:tc>
          <w:tcPr>
            <w:tcW w:w="0" w:type="dxa"/>
            <w:vAlign w:val="bottom"/>
          </w:tcPr>
          <w:p>
            <w:pPr>
              <w:spacing w:after="0"/>
              <w:rPr>
                <w:sz w:val="1"/>
                <w:szCs w:val="1"/>
                <w:color w:val="auto"/>
              </w:rPr>
            </w:pPr>
          </w:p>
        </w:tc>
      </w:tr>
      <w:tr>
        <w:trPr>
          <w:trHeight w:val="145"/>
        </w:trPr>
        <w:tc>
          <w:tcPr>
            <w:tcW w:w="2900" w:type="dxa"/>
            <w:vAlign w:val="bottom"/>
            <w:shd w:val="clear" w:color="auto" w:fill="CCECFF"/>
          </w:tcPr>
          <w:p>
            <w:pPr>
              <w:spacing w:after="0"/>
              <w:rPr>
                <w:sz w:val="12"/>
                <w:szCs w:val="12"/>
                <w:color w:val="auto"/>
              </w:rPr>
            </w:pPr>
          </w:p>
        </w:tc>
        <w:tc>
          <w:tcPr>
            <w:tcW w:w="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(PIK 9.50%)</w:t>
            </w:r>
          </w:p>
        </w:tc>
        <w:tc>
          <w:tcPr>
            <w:tcW w:w="0" w:type="dxa"/>
            <w:vAlign w:val="bottom"/>
          </w:tcPr>
          <w:p>
            <w:pPr>
              <w:spacing w:after="0"/>
              <w:rPr>
                <w:sz w:val="1"/>
                <w:szCs w:val="1"/>
                <w:color w:val="auto"/>
              </w:rPr>
            </w:pPr>
          </w:p>
        </w:tc>
      </w:tr>
      <w:tr>
        <w:trPr>
          <w:trHeight w:val="132"/>
        </w:trPr>
        <w:tc>
          <w:tcPr>
            <w:tcW w:w="2900" w:type="dxa"/>
            <w:vAlign w:val="bottom"/>
          </w:tcPr>
          <w:p>
            <w:pPr>
              <w:ind w:left="20"/>
              <w:spacing w:after="0"/>
              <w:rPr>
                <w:sz w:val="20"/>
                <w:szCs w:val="20"/>
                <w:color w:val="auto"/>
              </w:rPr>
            </w:pPr>
            <w:r>
              <w:rPr>
                <w:rFonts w:ascii="Arial" w:cs="Arial" w:eastAsia="Arial" w:hAnsi="Arial"/>
                <w:sz w:val="11"/>
                <w:szCs w:val="11"/>
                <w:color w:val="auto"/>
              </w:rPr>
              <w:t>Cartessa Aesthetics,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05/13/2028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20" w:type="dxa"/>
            <w:vAlign w:val="bottom"/>
          </w:tcPr>
          <w:p>
            <w:pPr>
              <w:jc w:val="right"/>
              <w:spacing w:after="0"/>
              <w:rPr>
                <w:sz w:val="20"/>
                <w:szCs w:val="20"/>
                <w:color w:val="auto"/>
              </w:rPr>
            </w:pPr>
            <w:r>
              <w:rPr>
                <w:rFonts w:ascii="Arial" w:cs="Arial" w:eastAsia="Arial" w:hAnsi="Arial"/>
                <w:sz w:val="11"/>
                <w:szCs w:val="11"/>
                <w:color w:val="auto"/>
              </w:rPr>
              <w:t>9.55 %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05/13/2028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20" w:type="dxa"/>
            <w:vAlign w:val="bottom"/>
          </w:tcPr>
          <w:p>
            <w:pPr>
              <w:jc w:val="right"/>
              <w:spacing w:after="0"/>
              <w:rPr>
                <w:sz w:val="20"/>
                <w:szCs w:val="20"/>
                <w:color w:val="auto"/>
              </w:rPr>
            </w:pPr>
            <w:r>
              <w:rPr>
                <w:rFonts w:ascii="Arial" w:cs="Arial" w:eastAsia="Arial" w:hAnsi="Arial"/>
                <w:sz w:val="11"/>
                <w:szCs w:val="11"/>
                <w:color w:val="auto"/>
              </w:rPr>
              <w:t>9.55 %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Cartessa Aesthetics, LLC (Revolver) </w:t>
            </w:r>
            <w:r>
              <w:rPr>
                <w:rFonts w:ascii="Arial" w:cs="Arial" w:eastAsia="Arial" w:hAnsi="Arial"/>
                <w:sz w:val="14"/>
                <w:szCs w:val="14"/>
                <w:color w:val="auto"/>
                <w:vertAlign w:val="superscript"/>
              </w:rPr>
              <w:t>(7)(9)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05/13/2028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Distributors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CF512,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spacing w:after="0"/>
              <w:rPr>
                <w:sz w:val="20"/>
                <w:szCs w:val="20"/>
                <w:color w:val="auto"/>
              </w:rPr>
            </w:pPr>
            <w:r>
              <w:rPr>
                <w:rFonts w:ascii="Arial" w:cs="Arial" w:eastAsia="Arial" w:hAnsi="Arial"/>
                <w:sz w:val="11"/>
                <w:szCs w:val="11"/>
                <w:color w:val="auto"/>
              </w:rPr>
              <w:t>9.28 %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08/20/2026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CHA Holdings,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04/10/2025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9"/>
              </w:rPr>
              <w:t>Environmental Industries</w:t>
            </w:r>
          </w:p>
        </w:tc>
        <w:tc>
          <w:tcPr>
            <w:tcW w:w="920" w:type="dxa"/>
            <w:vAlign w:val="bottom"/>
          </w:tcPr>
          <w:p>
            <w:pPr>
              <w:jc w:val="right"/>
              <w:spacing w:after="0"/>
              <w:rPr>
                <w:sz w:val="20"/>
                <w:szCs w:val="20"/>
                <w:color w:val="auto"/>
              </w:rPr>
            </w:pPr>
            <w:r>
              <w:rPr>
                <w:rFonts w:ascii="Arial" w:cs="Arial" w:eastAsia="Arial" w:hAnsi="Arial"/>
                <w:sz w:val="11"/>
                <w:szCs w:val="11"/>
                <w:color w:val="auto"/>
              </w:rPr>
              <w:t>8.17 %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w w:val="97"/>
              </w:rPr>
              <w:t xml:space="preserve">Challenger Performance Optimization, Inc. (Revolver) </w:t>
            </w:r>
            <w:r>
              <w:rPr>
                <w:rFonts w:ascii="Arial" w:cs="Arial" w:eastAsia="Arial" w:hAnsi="Arial"/>
                <w:sz w:val="14"/>
                <w:szCs w:val="14"/>
                <w:color w:val="auto"/>
                <w:w w:val="97"/>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Business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9.27 %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w w:val="97"/>
              </w:rPr>
              <w:t xml:space="preserve">Challenger Performance Optimization, Inc. (Revolver) </w:t>
            </w:r>
            <w:r>
              <w:rPr>
                <w:rFonts w:ascii="Arial" w:cs="Arial" w:eastAsia="Arial" w:hAnsi="Arial"/>
                <w:sz w:val="14"/>
                <w:szCs w:val="14"/>
                <w:color w:val="auto"/>
                <w:w w:val="97"/>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Business Services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Compex Legal Services,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02/09/2026</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8.83 %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02/07/2025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8.92 %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02/07/2025</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Professional Services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Connatix Buyer,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07/13/2027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spacing w:after="0"/>
              <w:rPr>
                <w:sz w:val="20"/>
                <w:szCs w:val="20"/>
                <w:color w:val="auto"/>
              </w:rPr>
            </w:pPr>
            <w:r>
              <w:rPr>
                <w:rFonts w:ascii="Arial" w:cs="Arial" w:eastAsia="Arial" w:hAnsi="Arial"/>
                <w:sz w:val="11"/>
                <w:szCs w:val="11"/>
                <w:color w:val="auto"/>
              </w:rPr>
              <w:t>8.42 %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01/13/2023</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07/13/2027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3"/>
              </w:rPr>
              <w:t>Media</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Crane 1 Services,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20" w:type="dxa"/>
            <w:vAlign w:val="bottom"/>
          </w:tcPr>
          <w:p>
            <w:pPr>
              <w:jc w:val="right"/>
              <w:spacing w:after="0"/>
              <w:rPr>
                <w:sz w:val="20"/>
                <w:szCs w:val="20"/>
                <w:color w:val="auto"/>
              </w:rPr>
            </w:pPr>
            <w:r>
              <w:rPr>
                <w:rFonts w:ascii="Arial" w:cs="Arial" w:eastAsia="Arial" w:hAnsi="Arial"/>
                <w:sz w:val="11"/>
                <w:szCs w:val="11"/>
                <w:color w:val="auto"/>
              </w:rPr>
              <w:t>9.39 %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2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08/16/2027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0"/>
              </w:rPr>
              <w:t>Commercial Services &amp; Supplies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Douglas Products and Packaging Company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2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1"/>
                <w:szCs w:val="11"/>
                <w:color w:val="auto"/>
                <w:w w:val="98"/>
              </w:rPr>
              <w:t>Douglas Products and Packaging Company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20" w:type="dxa"/>
            <w:vAlign w:val="bottom"/>
          </w:tcPr>
          <w:p>
            <w:pPr>
              <w:jc w:val="right"/>
              <w:spacing w:after="0"/>
              <w:rPr>
                <w:sz w:val="20"/>
                <w:szCs w:val="20"/>
                <w:color w:val="auto"/>
              </w:rPr>
            </w:pPr>
            <w:r>
              <w:rPr>
                <w:rFonts w:ascii="Arial" w:cs="Arial" w:eastAsia="Arial" w:hAnsi="Arial"/>
                <w:sz w:val="11"/>
                <w:szCs w:val="11"/>
                <w:color w:val="auto"/>
              </w:rPr>
              <w:t>11.00 %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w w:val="93"/>
              </w:rPr>
              <w:t xml:space="preserve">Douglas Products and Packaging Company LLC (Revolver) </w:t>
            </w:r>
            <w:r>
              <w:rPr>
                <w:rFonts w:ascii="Arial" w:cs="Arial" w:eastAsia="Arial" w:hAnsi="Arial"/>
                <w:sz w:val="14"/>
                <w:szCs w:val="14"/>
                <w:color w:val="auto"/>
                <w:w w:val="93"/>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Douglas Sewer Intermediate,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10/19/2022</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7"/>
              </w:rPr>
              <w:t>Chemicals, Plastics and Rubber</w:t>
            </w:r>
          </w:p>
        </w:tc>
        <w:tc>
          <w:tcPr>
            <w:tcW w:w="92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1"/>
                <w:szCs w:val="11"/>
                <w:color w:val="auto"/>
              </w:rPr>
              <w:t>Dr. Squatch,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Personal Products</w:t>
            </w:r>
          </w:p>
        </w:tc>
        <w:tc>
          <w:tcPr>
            <w:tcW w:w="920" w:type="dxa"/>
            <w:vAlign w:val="bottom"/>
          </w:tcPr>
          <w:p>
            <w:pPr>
              <w:jc w:val="right"/>
              <w:spacing w:after="0"/>
              <w:rPr>
                <w:sz w:val="20"/>
                <w:szCs w:val="20"/>
                <w:color w:val="auto"/>
              </w:rPr>
            </w:pPr>
            <w:r>
              <w:rPr>
                <w:rFonts w:ascii="Arial" w:cs="Arial" w:eastAsia="Arial" w:hAnsi="Arial"/>
                <w:sz w:val="11"/>
                <w:szCs w:val="11"/>
                <w:color w:val="auto"/>
              </w:rPr>
              <w:t>9.42 %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Personal Products</w:t>
            </w:r>
          </w:p>
        </w:tc>
        <w:tc>
          <w:tcPr>
            <w:tcW w:w="920" w:type="dxa"/>
            <w:vAlign w:val="bottom"/>
          </w:tcPr>
          <w:p>
            <w:pPr>
              <w:jc w:val="right"/>
              <w:spacing w:after="0"/>
              <w:rPr>
                <w:sz w:val="20"/>
                <w:szCs w:val="20"/>
                <w:color w:val="auto"/>
              </w:rPr>
            </w:pPr>
            <w:r>
              <w:rPr>
                <w:rFonts w:ascii="Arial" w:cs="Arial" w:eastAsia="Arial" w:hAnsi="Arial"/>
                <w:sz w:val="11"/>
                <w:szCs w:val="11"/>
                <w:color w:val="auto"/>
              </w:rPr>
              <w:t>8.95 %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08/31/2027</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Personal Products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11/03/2025</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Personal Products</w:t>
            </w:r>
          </w:p>
        </w:tc>
        <w:tc>
          <w:tcPr>
            <w:tcW w:w="92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 (9)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11/03/2025</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6"/>
              </w:rPr>
              <w:t>Personal Products</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1"/>
                <w:szCs w:val="11"/>
                <w:color w:val="auto"/>
              </w:rPr>
              <w:t>Duraco Specialty Tapes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06/30/2024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Containers and Packaging</w:t>
            </w:r>
          </w:p>
        </w:tc>
        <w:tc>
          <w:tcPr>
            <w:tcW w:w="920" w:type="dxa"/>
            <w:vAlign w:val="bottom"/>
          </w:tcPr>
          <w:p>
            <w:pPr>
              <w:jc w:val="right"/>
              <w:spacing w:after="0"/>
              <w:rPr>
                <w:sz w:val="20"/>
                <w:szCs w:val="20"/>
                <w:color w:val="auto"/>
              </w:rPr>
            </w:pPr>
            <w:r>
              <w:rPr>
                <w:rFonts w:ascii="Arial" w:cs="Arial" w:eastAsia="Arial" w:hAnsi="Arial"/>
                <w:sz w:val="11"/>
                <w:szCs w:val="11"/>
                <w:color w:val="auto"/>
              </w:rPr>
              <w:t>8.62 %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05/01/2028</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6"/>
              </w:rPr>
              <w:t>Hotels, Restaurants and Leisure</w:t>
            </w:r>
          </w:p>
        </w:tc>
        <w:tc>
          <w:tcPr>
            <w:tcW w:w="920" w:type="dxa"/>
            <w:vAlign w:val="bottom"/>
          </w:tcPr>
          <w:p>
            <w:pPr>
              <w:jc w:val="right"/>
              <w:spacing w:after="0"/>
              <w:rPr>
                <w:sz w:val="20"/>
                <w:szCs w:val="20"/>
                <w:color w:val="auto"/>
              </w:rPr>
            </w:pPr>
            <w:r>
              <w:rPr>
                <w:rFonts w:ascii="Arial" w:cs="Arial" w:eastAsia="Arial" w:hAnsi="Arial"/>
                <w:sz w:val="11"/>
                <w:szCs w:val="11"/>
                <w:color w:val="auto"/>
              </w:rPr>
              <w:t>10.62 %</w:t>
            </w:r>
          </w:p>
        </w:tc>
        <w:tc>
          <w:tcPr>
            <w:tcW w:w="0" w:type="dxa"/>
            <w:vAlign w:val="bottom"/>
          </w:tcPr>
          <w:p>
            <w:pPr>
              <w:spacing w:after="0"/>
              <w:rPr>
                <w:sz w:val="1"/>
                <w:szCs w:val="1"/>
                <w:color w:val="auto"/>
              </w:rPr>
            </w:pPr>
          </w:p>
        </w:tc>
      </w:tr>
      <w:tr>
        <w:trPr>
          <w:trHeight w:val="134"/>
        </w:trPr>
        <w:tc>
          <w:tcPr>
            <w:tcW w:w="2900" w:type="dxa"/>
            <w:vAlign w:val="bottom"/>
          </w:tcPr>
          <w:p>
            <w:pPr>
              <w:ind w:left="20"/>
              <w:spacing w:after="0"/>
              <w:rPr>
                <w:sz w:val="20"/>
                <w:szCs w:val="20"/>
                <w:color w:val="auto"/>
              </w:rPr>
            </w:pPr>
            <w:r>
              <w:rPr>
                <w:rFonts w:ascii="Arial" w:cs="Arial" w:eastAsia="Arial" w:hAnsi="Arial"/>
                <w:sz w:val="11"/>
                <w:szCs w:val="11"/>
                <w:color w:val="auto"/>
              </w:rPr>
              <w:t>ECM Industries,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12/23/2025</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w w:val="89"/>
              </w:rPr>
              <w:t>Electronic Equipment, Instruments, and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vMerge w:val="restart"/>
          </w:tcPr>
          <w:p>
            <w:pPr>
              <w:ind w:left="20"/>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(9)</w:t>
            </w:r>
          </w:p>
        </w:tc>
        <w:tc>
          <w:tcPr>
            <w:tcW w:w="940" w:type="dxa"/>
            <w:vAlign w:val="bottom"/>
          </w:tcPr>
          <w:p>
            <w:pPr>
              <w:spacing w:after="0"/>
              <w:rPr>
                <w:sz w:val="11"/>
                <w:szCs w:val="11"/>
                <w:color w:val="auto"/>
              </w:rPr>
            </w:pP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9"/>
              </w:rPr>
              <w:t>Components</w:t>
            </w:r>
          </w:p>
        </w:tc>
        <w:tc>
          <w:tcPr>
            <w:tcW w:w="920" w:type="dxa"/>
            <w:vAlign w:val="bottom"/>
          </w:tcPr>
          <w:p>
            <w:pPr>
              <w:jc w:val="right"/>
              <w:spacing w:after="0"/>
              <w:rPr>
                <w:sz w:val="20"/>
                <w:szCs w:val="20"/>
                <w:color w:val="auto"/>
              </w:rPr>
            </w:pPr>
            <w:r>
              <w:rPr>
                <w:rFonts w:ascii="Arial" w:cs="Arial" w:eastAsia="Arial" w:hAnsi="Arial"/>
                <w:sz w:val="11"/>
                <w:szCs w:val="11"/>
                <w:color w:val="auto"/>
              </w:rPr>
              <w:t>8.00 %</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12/23/2025</w:t>
            </w:r>
          </w:p>
        </w:tc>
        <w:tc>
          <w:tcPr>
            <w:tcW w:w="2280" w:type="dxa"/>
            <w:vAlign w:val="bottom"/>
          </w:tcPr>
          <w:p>
            <w:pPr>
              <w:jc w:val="center"/>
              <w:ind w:right="66"/>
              <w:spacing w:after="0"/>
              <w:rPr>
                <w:sz w:val="20"/>
                <w:szCs w:val="20"/>
                <w:color w:val="auto"/>
              </w:rPr>
            </w:pPr>
            <w:r>
              <w:rPr>
                <w:rFonts w:ascii="Arial" w:cs="Arial" w:eastAsia="Arial" w:hAnsi="Arial"/>
                <w:sz w:val="11"/>
                <w:szCs w:val="11"/>
                <w:color w:val="auto"/>
                <w:w w:val="89"/>
              </w:rPr>
              <w:t>Electronic Equipment, Instruments, and</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00" w:type="dxa"/>
            <w:vAlign w:val="bottom"/>
            <w:vMerge w:val="restart"/>
          </w:tcPr>
          <w:p>
            <w:pPr>
              <w:ind w:left="20"/>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4"/>
                <w:szCs w:val="14"/>
                <w:color w:val="auto"/>
                <w:vertAlign w:val="superscript"/>
              </w:rPr>
              <w:t>(10)</w:t>
            </w:r>
          </w:p>
        </w:tc>
        <w:tc>
          <w:tcPr>
            <w:tcW w:w="940" w:type="dxa"/>
            <w:vAlign w:val="bottom"/>
          </w:tcPr>
          <w:p>
            <w:pPr>
              <w:spacing w:after="0"/>
              <w:rPr>
                <w:sz w:val="11"/>
                <w:szCs w:val="11"/>
                <w:color w:val="auto"/>
              </w:rPr>
            </w:pP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89"/>
              </w:rPr>
              <w:t>Components</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00" w:type="dxa"/>
            <w:vAlign w:val="bottom"/>
            <w:vMerge w:val="continue"/>
          </w:tcPr>
          <w:p>
            <w:pPr>
              <w:spacing w:after="0"/>
              <w:rPr>
                <w:sz w:val="12"/>
                <w:szCs w:val="12"/>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8"/>
              </w:rPr>
              <w:t>Banking, Finance, Insurance &amp; Real Estate</w:t>
            </w:r>
          </w:p>
        </w:tc>
        <w:tc>
          <w:tcPr>
            <w:tcW w:w="920" w:type="dxa"/>
            <w:vAlign w:val="bottom"/>
          </w:tcPr>
          <w:p>
            <w:pPr>
              <w:jc w:val="right"/>
              <w:spacing w:after="0"/>
              <w:rPr>
                <w:sz w:val="20"/>
                <w:szCs w:val="20"/>
                <w:color w:val="auto"/>
              </w:rPr>
            </w:pPr>
            <w:r>
              <w:rPr>
                <w:rFonts w:ascii="Arial" w:cs="Arial" w:eastAsia="Arial" w:hAnsi="Arial"/>
                <w:sz w:val="11"/>
                <w:szCs w:val="11"/>
                <w:color w:val="auto"/>
              </w:rPr>
              <w:t>7.63 %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4"/>
                <w:szCs w:val="14"/>
                <w:color w:val="auto"/>
                <w:vertAlign w:val="superscript"/>
              </w:rPr>
              <w:t>(7), (10)</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8"/>
              </w:rPr>
              <w:t>Banking, Finance, Insurance &amp; Real Estate</w:t>
            </w:r>
          </w:p>
        </w:tc>
        <w:tc>
          <w:tcPr>
            <w:tcW w:w="920" w:type="dxa"/>
            <w:vAlign w:val="bottom"/>
          </w:tcPr>
          <w:p>
            <w:pPr>
              <w:jc w:val="right"/>
              <w:spacing w:after="0"/>
              <w:rPr>
                <w:sz w:val="20"/>
                <w:szCs w:val="20"/>
                <w:color w:val="auto"/>
              </w:rPr>
            </w:pPr>
            <w:r>
              <w:rPr>
                <w:rFonts w:ascii="Arial" w:cs="Arial" w:eastAsia="Arial" w:hAnsi="Arial"/>
                <w:sz w:val="11"/>
                <w:szCs w:val="11"/>
                <w:color w:val="auto"/>
              </w:rPr>
              <w:t>7.63 %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w w:val="98"/>
              </w:rPr>
              <w:t xml:space="preserve">eCommission Financial Services, Inc. (Revolver) </w:t>
            </w:r>
            <w:r>
              <w:rPr>
                <w:rFonts w:ascii="Arial" w:cs="Arial" w:eastAsia="Arial" w:hAnsi="Arial"/>
                <w:sz w:val="14"/>
                <w:szCs w:val="14"/>
                <w:color w:val="auto"/>
                <w:w w:val="98"/>
                <w:vertAlign w:val="superscript"/>
              </w:rPr>
              <w:t>(7), (9), (10)</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10/05/2023</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88"/>
              </w:rPr>
              <w:t>Banking, Finance, Insurance &amp; Real Estate</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Efficient Collaborative Retail Marketing Company, LLC</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06/15/2024</w:t>
            </w:r>
          </w:p>
        </w:tc>
        <w:tc>
          <w:tcPr>
            <w:tcW w:w="2280" w:type="dxa"/>
            <w:vAlign w:val="bottom"/>
          </w:tcPr>
          <w:p>
            <w:pPr>
              <w:jc w:val="center"/>
              <w:ind w:right="6"/>
              <w:spacing w:after="0"/>
              <w:rPr>
                <w:sz w:val="20"/>
                <w:szCs w:val="20"/>
                <w:color w:val="auto"/>
              </w:rPr>
            </w:pPr>
            <w:r>
              <w:rPr>
                <w:rFonts w:ascii="Arial" w:cs="Arial" w:eastAsia="Arial" w:hAnsi="Arial"/>
                <w:sz w:val="11"/>
                <w:szCs w:val="11"/>
                <w:color w:val="auto"/>
                <w:w w:val="91"/>
              </w:rPr>
              <w:t>Media: Diversified and Production</w:t>
            </w:r>
          </w:p>
        </w:tc>
        <w:tc>
          <w:tcPr>
            <w:tcW w:w="920" w:type="dxa"/>
            <w:vAlign w:val="bottom"/>
          </w:tcPr>
          <w:p>
            <w:pPr>
              <w:jc w:val="right"/>
              <w:spacing w:after="0"/>
              <w:rPr>
                <w:sz w:val="20"/>
                <w:szCs w:val="20"/>
                <w:color w:val="auto"/>
              </w:rPr>
            </w:pPr>
            <w:r>
              <w:rPr>
                <w:rFonts w:ascii="Arial" w:cs="Arial" w:eastAsia="Arial" w:hAnsi="Arial"/>
                <w:sz w:val="11"/>
                <w:szCs w:val="11"/>
                <w:color w:val="auto"/>
              </w:rPr>
              <w:t>10.42 %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Exigo Intermediate II, LLC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03/15/2024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Arial" w:cs="Arial" w:eastAsia="Arial" w:hAnsi="Arial"/>
                <w:sz w:val="11"/>
                <w:szCs w:val="11"/>
                <w:color w:val="auto"/>
              </w:rPr>
              <w:t>Exigo Intermediate II, LLC (Revolver)</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03/15/2027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20" w:type="dxa"/>
            <w:vAlign w:val="bottom"/>
          </w:tcPr>
          <w:p>
            <w:pPr>
              <w:jc w:val="right"/>
              <w:spacing w:after="0"/>
              <w:rPr>
                <w:sz w:val="20"/>
                <w:szCs w:val="20"/>
                <w:color w:val="auto"/>
              </w:rPr>
            </w:pPr>
            <w:r>
              <w:rPr>
                <w:rFonts w:ascii="Arial" w:cs="Arial" w:eastAsia="Arial" w:hAnsi="Arial"/>
                <w:sz w:val="11"/>
                <w:szCs w:val="11"/>
                <w:color w:val="auto"/>
              </w:rPr>
              <w:t>8.87 %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Exigo Intermediate II, LLC (Revolver) </w:t>
            </w:r>
            <w:r>
              <w:rPr>
                <w:rFonts w:ascii="Arial" w:cs="Arial" w:eastAsia="Arial" w:hAnsi="Arial"/>
                <w:sz w:val="14"/>
                <w:szCs w:val="14"/>
                <w:color w:val="auto"/>
                <w:vertAlign w:val="superscript"/>
              </w:rPr>
              <w:t>(9)</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03/15/2027</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2"/>
              </w:rPr>
              <w:t>Software</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4"/>
                <w:szCs w:val="14"/>
                <w:color w:val="auto"/>
                <w:vertAlign w:val="superscript"/>
              </w:rPr>
              <w:t>(5)(10)(11)</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05/31/2024</w:t>
            </w:r>
          </w:p>
        </w:tc>
        <w:tc>
          <w:tcPr>
            <w:tcW w:w="2280" w:type="dxa"/>
            <w:vAlign w:val="bottom"/>
          </w:tcPr>
          <w:p>
            <w:pPr>
              <w:jc w:val="center"/>
              <w:ind w:right="26"/>
              <w:spacing w:after="0"/>
              <w:rPr>
                <w:sz w:val="20"/>
                <w:szCs w:val="20"/>
                <w:color w:val="auto"/>
              </w:rPr>
            </w:pPr>
            <w:r>
              <w:rPr>
                <w:rFonts w:ascii="Arial" w:cs="Arial" w:eastAsia="Arial" w:hAnsi="Arial"/>
                <w:sz w:val="11"/>
                <w:szCs w:val="11"/>
                <w:color w:val="auto"/>
                <w:w w:val="91"/>
              </w:rPr>
              <w:t>Diversified Financial Services</w:t>
            </w:r>
          </w:p>
        </w:tc>
        <w:tc>
          <w:tcPr>
            <w:tcW w:w="920" w:type="dxa"/>
            <w:vAlign w:val="bottom"/>
          </w:tcPr>
          <w:p>
            <w:pPr>
              <w:jc w:val="right"/>
              <w:spacing w:after="0"/>
              <w:rPr>
                <w:sz w:val="20"/>
                <w:szCs w:val="20"/>
                <w:color w:val="auto"/>
              </w:rPr>
            </w:pPr>
            <w:r>
              <w:rPr>
                <w:rFonts w:ascii="Arial" w:cs="Arial" w:eastAsia="Arial" w:hAnsi="Arial"/>
                <w:sz w:val="11"/>
                <w:szCs w:val="11"/>
                <w:color w:val="auto"/>
              </w:rPr>
              <w:t>7.17 %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-7017385</wp:posOffset>
            </wp:positionV>
            <wp:extent cx="713232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-6828790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-6640195</wp:posOffset>
            </wp:positionV>
            <wp:extent cx="713232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-6451600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-6185535</wp:posOffset>
            </wp:positionV>
            <wp:extent cx="713232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-5996940</wp:posOffset>
            </wp:positionV>
            <wp:extent cx="71323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-5808345</wp:posOffset>
            </wp:positionV>
            <wp:extent cx="713232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-5619750</wp:posOffset>
            </wp:positionV>
            <wp:extent cx="7132320"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-5354320</wp:posOffset>
            </wp:positionV>
            <wp:extent cx="71323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-5165725</wp:posOffset>
            </wp:positionV>
            <wp:extent cx="713232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-4977130</wp:posOffset>
            </wp:positionV>
            <wp:extent cx="7132320"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-4788535</wp:posOffset>
            </wp:positionV>
            <wp:extent cx="71323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-4599940</wp:posOffset>
            </wp:positionV>
            <wp:extent cx="713232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-4411345</wp:posOffset>
            </wp:positionV>
            <wp:extent cx="713232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-4222750</wp:posOffset>
            </wp:positionV>
            <wp:extent cx="7132320" cy="93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-4034155</wp:posOffset>
            </wp:positionV>
            <wp:extent cx="713232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-3750945</wp:posOffset>
            </wp:positionV>
            <wp:extent cx="7132320"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-3562350</wp:posOffset>
            </wp:positionV>
            <wp:extent cx="7132320"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-3373755</wp:posOffset>
            </wp:positionV>
            <wp:extent cx="713232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-3185160</wp:posOffset>
            </wp:positionV>
            <wp:extent cx="71323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-2996565</wp:posOffset>
            </wp:positionV>
            <wp:extent cx="713232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-2807970</wp:posOffset>
            </wp:positionV>
            <wp:extent cx="713232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-2619375</wp:posOffset>
            </wp:positionV>
            <wp:extent cx="7132320"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-2430780</wp:posOffset>
            </wp:positionV>
            <wp:extent cx="71323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-2242185</wp:posOffset>
            </wp:positionV>
            <wp:extent cx="7132320" cy="93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-2053590</wp:posOffset>
            </wp:positionV>
            <wp:extent cx="713232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-1864995</wp:posOffset>
            </wp:positionV>
            <wp:extent cx="7132320"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-1676400</wp:posOffset>
            </wp:positionV>
            <wp:extent cx="713232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-1487805</wp:posOffset>
            </wp:positionV>
            <wp:extent cx="713232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-1299210</wp:posOffset>
            </wp:positionV>
            <wp:extent cx="713232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-1110615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273050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80" w:type="dxa"/>
            <w:vAlign w:val="bottom"/>
          </w:tcPr>
          <w:p>
            <w:pPr>
              <w:spacing w:after="0"/>
              <w:rPr>
                <w:sz w:val="11"/>
                <w:szCs w:val="11"/>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4,938</w:t>
            </w:r>
          </w:p>
        </w:tc>
        <w:tc>
          <w:tcPr>
            <w:tcW w:w="3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4,882</w:t>
            </w:r>
          </w:p>
        </w:tc>
        <w:tc>
          <w:tcPr>
            <w:tcW w:w="4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4,900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1,244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L+800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4,794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4,756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4,626</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L+800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555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1,581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(55 )</w:t>
            </w:r>
          </w:p>
        </w:tc>
        <w:tc>
          <w:tcPr>
            <w:tcW w:w="0" w:type="dxa"/>
            <w:vAlign w:val="bottom"/>
          </w:tcPr>
          <w:p>
            <w:pPr>
              <w:spacing w:after="0"/>
              <w:rPr>
                <w:sz w:val="1"/>
                <w:szCs w:val="1"/>
                <w:color w:val="auto"/>
              </w:rPr>
            </w:pPr>
          </w:p>
        </w:tc>
      </w:tr>
      <w:tr>
        <w:trPr>
          <w:trHeight w:val="148"/>
        </w:trPr>
        <w:tc>
          <w:tcPr>
            <w:tcW w:w="280" w:type="dxa"/>
            <w:vAlign w:val="bottom"/>
            <w:vMerge w:val="restart"/>
          </w:tcPr>
          <w:p>
            <w:pPr>
              <w:jc w:val="right"/>
              <w:ind w:right="144"/>
              <w:spacing w:after="0"/>
              <w:rPr>
                <w:sz w:val="20"/>
                <w:szCs w:val="20"/>
                <w:color w:val="auto"/>
              </w:rPr>
            </w:pPr>
            <w:r>
              <w:rPr>
                <w:rFonts w:ascii="Arial" w:cs="Arial" w:eastAsia="Arial" w:hAnsi="Arial"/>
                <w:sz w:val="7"/>
                <w:szCs w:val="7"/>
                <w:color w:val="auto"/>
                <w:w w:val="92"/>
              </w:rPr>
              <w:t>(6)</w:t>
            </w: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7,601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7,559</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7,601</w:t>
            </w:r>
          </w:p>
        </w:tc>
        <w:tc>
          <w:tcPr>
            <w:tcW w:w="0" w:type="dxa"/>
            <w:vAlign w:val="bottom"/>
          </w:tcPr>
          <w:p>
            <w:pPr>
              <w:spacing w:after="0"/>
              <w:rPr>
                <w:sz w:val="1"/>
                <w:szCs w:val="1"/>
                <w:color w:val="auto"/>
              </w:rPr>
            </w:pPr>
          </w:p>
        </w:tc>
      </w:tr>
      <w:tr>
        <w:trPr>
          <w:trHeight w:val="56"/>
        </w:trPr>
        <w:tc>
          <w:tcPr>
            <w:tcW w:w="280" w:type="dxa"/>
            <w:vAlign w:val="bottom"/>
            <w:vMerge w:val="continue"/>
          </w:tcPr>
          <w:p>
            <w:pPr>
              <w:spacing w:after="0"/>
              <w:rPr>
                <w:sz w:val="4"/>
                <w:szCs w:val="4"/>
                <w:color w:val="auto"/>
              </w:rPr>
            </w:pPr>
          </w:p>
        </w:tc>
        <w:tc>
          <w:tcPr>
            <w:tcW w:w="90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7,986</w:t>
            </w:r>
          </w:p>
        </w:tc>
        <w:tc>
          <w:tcPr>
            <w:tcW w:w="380" w:type="dxa"/>
            <w:vAlign w:val="bottom"/>
          </w:tcPr>
          <w:p>
            <w:pPr>
              <w:spacing w:after="0"/>
              <w:rPr>
                <w:sz w:val="4"/>
                <w:szCs w:val="4"/>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7,915</w:t>
            </w:r>
          </w:p>
        </w:tc>
        <w:tc>
          <w:tcPr>
            <w:tcW w:w="40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93"/>
        </w:trPr>
        <w:tc>
          <w:tcPr>
            <w:tcW w:w="280" w:type="dxa"/>
            <w:vAlign w:val="bottom"/>
            <w:vMerge w:val="restart"/>
          </w:tcPr>
          <w:p>
            <w:pPr>
              <w:jc w:val="right"/>
              <w:ind w:right="144"/>
              <w:spacing w:after="0"/>
              <w:rPr>
                <w:sz w:val="20"/>
                <w:szCs w:val="20"/>
                <w:color w:val="auto"/>
              </w:rPr>
            </w:pPr>
            <w:r>
              <w:rPr>
                <w:rFonts w:ascii="Arial" w:cs="Arial" w:eastAsia="Arial" w:hAnsi="Arial"/>
                <w:sz w:val="7"/>
                <w:szCs w:val="7"/>
                <w:color w:val="auto"/>
                <w:w w:val="92"/>
              </w:rPr>
              <w:t>(6)</w:t>
            </w: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80" w:type="dxa"/>
            <w:vAlign w:val="bottom"/>
            <w:vMerge w:val="continue"/>
          </w:tcPr>
          <w:p>
            <w:pPr>
              <w:spacing w:after="0"/>
              <w:rPr>
                <w:sz w:val="4"/>
                <w:szCs w:val="4"/>
                <w:color w:val="auto"/>
              </w:rPr>
            </w:pPr>
          </w:p>
        </w:tc>
        <w:tc>
          <w:tcPr>
            <w:tcW w:w="90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1,656</w:t>
            </w:r>
          </w:p>
        </w:tc>
        <w:tc>
          <w:tcPr>
            <w:tcW w:w="380" w:type="dxa"/>
            <w:vAlign w:val="bottom"/>
          </w:tcPr>
          <w:p>
            <w:pPr>
              <w:spacing w:after="0"/>
              <w:rPr>
                <w:sz w:val="4"/>
                <w:szCs w:val="4"/>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1,642</w:t>
            </w:r>
          </w:p>
        </w:tc>
        <w:tc>
          <w:tcPr>
            <w:tcW w:w="400" w:type="dxa"/>
            <w:vAlign w:val="bottom"/>
          </w:tcPr>
          <w:p>
            <w:pPr>
              <w:spacing w:after="0"/>
              <w:rPr>
                <w:sz w:val="4"/>
                <w:szCs w:val="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14,104</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13,951</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13,892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14,568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14,486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14,568</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2,869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10,536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10,432</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10,326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1,147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6,208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6,166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6,177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296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12,906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12,814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12,841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1,845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L+425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5,805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5,785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5,050</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7,147</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7,040</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6,968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2,298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L+475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248</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1,018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887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5,000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4,901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4,900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3,232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549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549</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2,195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3,405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3,405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3,405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27,533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27,331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27,257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L+663</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877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877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868</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3,189</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L+850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3,033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3,024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3,003</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16,459</w:t>
            </w:r>
          </w:p>
        </w:tc>
        <w:tc>
          <w:tcPr>
            <w:tcW w:w="380" w:type="dxa"/>
            <w:vAlign w:val="bottom"/>
          </w:tcPr>
          <w:p>
            <w:pPr>
              <w:spacing w:after="0"/>
              <w:rPr>
                <w:sz w:val="24"/>
                <w:szCs w:val="24"/>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16,143</w:t>
            </w:r>
          </w:p>
        </w:tc>
        <w:tc>
          <w:tcPr>
            <w:tcW w:w="400" w:type="dxa"/>
            <w:vAlign w:val="bottom"/>
          </w:tcPr>
          <w:p>
            <w:pPr>
              <w:spacing w:after="0"/>
              <w:rPr>
                <w:sz w:val="24"/>
                <w:szCs w:val="2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16,212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511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511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503</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927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8,098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7,988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7,976</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191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955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L+450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1,581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1,577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1,581</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L+675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357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357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356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8,038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8,010</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8,038</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L+525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773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773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773</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633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3,907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3,841</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3,810</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2,105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1,234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891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885</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882</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224</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224</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6,477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6,476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6,477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P+475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2,627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2,627</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2,627</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3,425</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3,920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3,920</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3,920</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4,428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4,356</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4,362</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1,118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1,118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1,101</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2,236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17,111</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16,993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16,564</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1,426</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3,247</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3,208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3,169</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L+750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5,203</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5,158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5,125</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L+475</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514</w:t>
            </w:r>
          </w:p>
        </w:tc>
        <w:tc>
          <w:tcPr>
            <w:tcW w:w="380" w:type="dxa"/>
            <w:vAlign w:val="bottom"/>
          </w:tcPr>
          <w:p>
            <w:pPr>
              <w:spacing w:after="0"/>
              <w:rPr>
                <w:sz w:val="12"/>
                <w:szCs w:val="12"/>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514</w:t>
            </w:r>
          </w:p>
        </w:tc>
        <w:tc>
          <w:tcPr>
            <w:tcW w:w="40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5,837</w:t>
            </w:r>
          </w:p>
        </w:tc>
        <w:tc>
          <w:tcPr>
            <w:tcW w:w="3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5,837</w:t>
            </w:r>
          </w:p>
        </w:tc>
        <w:tc>
          <w:tcPr>
            <w:tcW w:w="400" w:type="dxa"/>
            <w:vAlign w:val="bottom"/>
          </w:tcPr>
          <w:p>
            <w:pPr>
              <w:spacing w:after="0"/>
              <w:rPr>
                <w:sz w:val="23"/>
                <w:szCs w:val="2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5,837</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1M L+500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2,500</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2,500</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L+675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7,150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7,123</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6,936</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2,758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L+575</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552</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3M L+450</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AUD 10,000</w:t>
            </w:r>
          </w:p>
        </w:tc>
        <w:tc>
          <w:tcPr>
            <w:tcW w:w="38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7,399</w:t>
            </w:r>
          </w:p>
        </w:tc>
        <w:tc>
          <w:tcPr>
            <w:tcW w:w="4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-3919855</wp:posOffset>
            </wp:positionV>
            <wp:extent cx="5297805"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97805" cy="94615"/>
                    </a:xfrm>
                    <a:prstGeom prst="rect">
                      <a:avLst/>
                    </a:prstGeom>
                    <a:noFill/>
                  </pic:spPr>
                </pic:pic>
              </a:graphicData>
            </a:graphic>
          </wp:anchor>
        </w:drawing>
      </w:r>
    </w:p>
    <w:p>
      <w:pPr>
        <w:sectPr>
          <w:pgSz w:w="11900" w:h="16838" w:orient="portrait"/>
          <w:cols w:equalWidth="0" w:num="2">
            <w:col w:w="7040" w:space="20"/>
            <w:col w:w="4120"/>
          </w:cols>
          <w:pgMar w:left="320" w:top="118" w:right="39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right"/>
              <w:ind w:right="50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Gantech Acquisition Corp.</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05/14/2026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9.37 %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21,982</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21,632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05/14/2026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9.37 %</w:t>
            </w:r>
          </w:p>
        </w:tc>
        <w:tc>
          <w:tcPr>
            <w:tcW w:w="820" w:type="dxa"/>
            <w:vAlign w:val="bottom"/>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05/14/2026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3,484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(105 )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03/16/2026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1"/>
              </w:rPr>
              <w:t>Diversified Financial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8.74 %</w:t>
            </w:r>
          </w:p>
        </w:tc>
        <w:tc>
          <w:tcPr>
            <w:tcW w:w="82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08/10/2023</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1,071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8.92 %</w:t>
            </w:r>
          </w:p>
        </w:tc>
        <w:tc>
          <w:tcPr>
            <w:tcW w:w="82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Trading Companies &amp; Distributors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Hancock Roofing and Construction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8.67 %</w:t>
            </w:r>
          </w:p>
        </w:tc>
        <w:tc>
          <w:tcPr>
            <w:tcW w:w="82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4,441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12/31/2022</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7.82 %</w:t>
            </w:r>
          </w:p>
        </w:tc>
        <w:tc>
          <w:tcPr>
            <w:tcW w:w="82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9"/>
              </w:rPr>
              <w:t xml:space="preserve">Hancock Roofing and Construction L.L.C. (Revolver) </w:t>
            </w:r>
            <w:r>
              <w:rPr>
                <w:rFonts w:ascii="Arial" w:cs="Arial" w:eastAsia="Arial" w:hAnsi="Arial"/>
                <w:sz w:val="14"/>
                <w:szCs w:val="14"/>
                <w:color w:val="auto"/>
                <w:w w:val="99"/>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11/23/2028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10.17 %</w:t>
            </w:r>
          </w:p>
        </w:tc>
        <w:tc>
          <w:tcPr>
            <w:tcW w:w="82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4,963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4,872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11/23/2027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1,791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6.00 %</w:t>
            </w:r>
          </w:p>
        </w:tc>
        <w:tc>
          <w:tcPr>
            <w:tcW w:w="820" w:type="dxa"/>
            <w:vAlign w:val="bottom"/>
          </w:tcPr>
          <w:p>
            <w:pPr>
              <w:jc w:val="right"/>
              <w:spacing w:after="0"/>
              <w:rPr>
                <w:sz w:val="20"/>
                <w:szCs w:val="20"/>
                <w:color w:val="auto"/>
              </w:rPr>
            </w:pPr>
            <w:r>
              <w:rPr>
                <w:rFonts w:ascii="Arial" w:cs="Arial" w:eastAsia="Arial" w:hAnsi="Arial"/>
                <w:sz w:val="11"/>
                <w:szCs w:val="11"/>
                <w:color w:val="auto"/>
              </w:rPr>
              <w:t>1M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8,457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8,416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HW Holdco, LLC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1,686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IDC Infusion Services,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12/30/2026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10.44 %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5,723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5,616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IDC Infusion Services, Inc.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12/30/2026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(188 )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09/22/2028</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9.45 %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4,473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09/22/2027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Acquisitionco,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11/15/2027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8.42 %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3,979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3,909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11/15/2027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11/15/2027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Software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Inception Fertility Ventures,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12/07/2023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Healthcare Providers and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10.13 %</w:t>
            </w:r>
          </w:p>
        </w:tc>
        <w:tc>
          <w:tcPr>
            <w:tcW w:w="820" w:type="dxa"/>
            <w:vAlign w:val="bottom"/>
          </w:tcPr>
          <w:p>
            <w:pPr>
              <w:jc w:val="right"/>
              <w:spacing w:after="0"/>
              <w:rPr>
                <w:sz w:val="20"/>
                <w:szCs w:val="20"/>
                <w:color w:val="auto"/>
              </w:rPr>
            </w:pPr>
            <w:r>
              <w:rPr>
                <w:rFonts w:ascii="Arial" w:cs="Arial" w:eastAsia="Arial" w:hAnsi="Arial"/>
                <w:sz w:val="11"/>
                <w:szCs w:val="11"/>
                <w:color w:val="auto"/>
              </w:rPr>
              <w:t>3M L+715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14,954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14,711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14,804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Infolinks Media Buyco,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11/01/2026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9.42 %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2,625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2,581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Infolinks Media Buyco, LLC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11/01/2023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Integrative Nutrition,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09/29/2023</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Consumer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8.42 %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15,636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09/29/2023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Consumer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08/27/2025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7.58 %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15,825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15,697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ITI Holdings, Inc. (Revolver)</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03/03/2028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IT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8.25 %</w:t>
            </w:r>
          </w:p>
        </w:tc>
        <w:tc>
          <w:tcPr>
            <w:tcW w:w="82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ITI Holdings,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03/03/2028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IT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12/20/2023</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Kinetic Purchaser,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9.67 %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17,428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17,120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Kinetic Purchaser, LLC -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11/10/2026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9.67 %</w:t>
            </w:r>
          </w:p>
        </w:tc>
        <w:tc>
          <w:tcPr>
            <w:tcW w:w="82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02/18/2027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11.17 %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10,511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10,323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08/16/2026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9.38 %</w:t>
            </w:r>
          </w:p>
        </w:tc>
        <w:tc>
          <w:tcPr>
            <w:tcW w:w="820" w:type="dxa"/>
            <w:vAlign w:val="bottom"/>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599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599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08/16/2026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10/31/2024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9.95 %</w:t>
            </w:r>
          </w:p>
        </w:tc>
        <w:tc>
          <w:tcPr>
            <w:tcW w:w="820" w:type="dxa"/>
            <w:vAlign w:val="bottom"/>
          </w:tcPr>
          <w:p>
            <w:pPr>
              <w:jc w:val="right"/>
              <w:spacing w:after="0"/>
              <w:rPr>
                <w:sz w:val="20"/>
                <w:szCs w:val="20"/>
                <w:color w:val="auto"/>
              </w:rPr>
            </w:pPr>
            <w:r>
              <w:rPr>
                <w:rFonts w:ascii="Arial" w:cs="Arial" w:eastAsia="Arial" w:hAnsi="Arial"/>
                <w:sz w:val="11"/>
                <w:szCs w:val="11"/>
                <w:color w:val="auto"/>
              </w:rPr>
              <w:t>1M L+750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9,565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9,542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(PIK 5.50%)</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10/31/2024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9.95 %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1,721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5.50%)</w:t>
            </w: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Ledge Lounger,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9.92 %</w:t>
            </w:r>
          </w:p>
        </w:tc>
        <w:tc>
          <w:tcPr>
            <w:tcW w:w="820" w:type="dxa"/>
            <w:vAlign w:val="bottom"/>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3,747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11/09/2026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Leisure Products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789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Lightspeed Buyer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02/03/2026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8.87 %</w:t>
            </w:r>
          </w:p>
        </w:tc>
        <w:tc>
          <w:tcPr>
            <w:tcW w:w="820" w:type="dxa"/>
            <w:vAlign w:val="bottom"/>
          </w:tcPr>
          <w:p>
            <w:pPr>
              <w:jc w:val="right"/>
              <w:spacing w:after="0"/>
              <w:rPr>
                <w:sz w:val="20"/>
                <w:szCs w:val="20"/>
                <w:color w:val="auto"/>
              </w:rPr>
            </w:pPr>
            <w:r>
              <w:rPr>
                <w:rFonts w:ascii="Arial" w:cs="Arial" w:eastAsia="Arial" w:hAnsi="Arial"/>
                <w:sz w:val="11"/>
                <w:szCs w:val="11"/>
                <w:color w:val="auto"/>
              </w:rPr>
              <w:t>1M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24,357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24,065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02/03/2026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Technology</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8.87 %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02/03/2026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Technology</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(46 )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Lucky Bucks,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07/20/2027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Hotels, Restaurants and Leisure</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8.31 %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4,331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4,258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MAG DS Corp.</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04/01/2027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9.17 %</w:t>
            </w:r>
          </w:p>
        </w:tc>
        <w:tc>
          <w:tcPr>
            <w:tcW w:w="82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3,714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05/14/2026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8.62 %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6,052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6,022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05/14/2026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MBS Holdings, Inc. (Revolver)</w:t>
            </w:r>
            <w:r>
              <w:rPr>
                <w:rFonts w:ascii="Arial" w:cs="Arial" w:eastAsia="Arial" w:hAnsi="Arial"/>
                <w:sz w:val="14"/>
                <w:szCs w:val="14"/>
                <w:color w:val="auto"/>
                <w:vertAlign w:val="superscript"/>
              </w:rPr>
              <w:t>(7)(9)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04/16/2027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Internet Software and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MDI Buyer, Inc. - Unfunded Term Loan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07/25/2028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1,804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MDI Buyer, inc.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07/25/2028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Meadowlark Acquirer,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9.17 %</w:t>
            </w:r>
          </w:p>
        </w:tc>
        <w:tc>
          <w:tcPr>
            <w:tcW w:w="82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Meadowlark Acquirer, LLC - Term Loan I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1,782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Meadowlark Acquirer, LLC - Term Loan II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9,483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12/10/2027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1,693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Mission Critical Electronics,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03/28/2024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8.03 %</w:t>
            </w:r>
          </w:p>
        </w:tc>
        <w:tc>
          <w:tcPr>
            <w:tcW w:w="820" w:type="dxa"/>
            <w:vAlign w:val="bottom"/>
          </w:tcPr>
          <w:p>
            <w:pPr>
              <w:jc w:val="right"/>
              <w:spacing w:after="0"/>
              <w:rPr>
                <w:sz w:val="20"/>
                <w:szCs w:val="20"/>
                <w:color w:val="auto"/>
              </w:rPr>
            </w:pPr>
            <w:r>
              <w:rPr>
                <w:rFonts w:ascii="Arial" w:cs="Arial" w:eastAsia="Arial" w:hAnsi="Arial"/>
                <w:sz w:val="11"/>
                <w:szCs w:val="11"/>
                <w:color w:val="auto"/>
              </w:rPr>
              <w:t>SOFR +500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Mission Critical Electronics, Inc. </w:t>
            </w:r>
            <w:r>
              <w:rPr>
                <w:rFonts w:ascii="Arial" w:cs="Arial" w:eastAsia="Arial" w:hAnsi="Arial"/>
                <w:sz w:val="14"/>
                <w:szCs w:val="14"/>
                <w:color w:val="auto"/>
                <w:vertAlign w:val="superscript"/>
              </w:rPr>
              <w:t>(9)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03/28/2024</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03/28/2024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Capital Equipment</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6.67 %</w:t>
            </w:r>
          </w:p>
        </w:tc>
        <w:tc>
          <w:tcPr>
            <w:tcW w:w="820" w:type="dxa"/>
            <w:vAlign w:val="bottom"/>
          </w:tcPr>
          <w:p>
            <w:pPr>
              <w:jc w:val="right"/>
              <w:spacing w:after="0"/>
              <w:rPr>
                <w:sz w:val="20"/>
                <w:szCs w:val="20"/>
                <w:color w:val="auto"/>
              </w:rPr>
            </w:pPr>
            <w:r>
              <w:rPr>
                <w:rFonts w:ascii="Arial" w:cs="Arial" w:eastAsia="Arial" w:hAnsi="Arial"/>
                <w:sz w:val="11"/>
                <w:szCs w:val="11"/>
                <w:color w:val="auto"/>
              </w:rPr>
              <w:t>1M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557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03/28/2024</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Capital Equipment</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769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09/28/2027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8.67 %</w:t>
            </w:r>
          </w:p>
        </w:tc>
        <w:tc>
          <w:tcPr>
            <w:tcW w:w="82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09/28/2027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09/28/2027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3"/>
              </w:rPr>
              <w:t>Distributors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8.67 %</w:t>
            </w:r>
          </w:p>
        </w:tc>
        <w:tc>
          <w:tcPr>
            <w:tcW w:w="82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09/28/2027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Distributors</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08/19/2026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07/09/2026</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9.45 %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+ 575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1,975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07/09/2026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8"/>
              </w:rPr>
              <w:t>Healthcare Equipment and Supplies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05/07/2027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Air Freight and Logistics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9.37 %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8,759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8,612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09/03/2027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Consumer Finance</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8.92 %</w:t>
            </w:r>
          </w:p>
        </w:tc>
        <w:tc>
          <w:tcPr>
            <w:tcW w:w="820" w:type="dxa"/>
            <w:vAlign w:val="bottom"/>
          </w:tcPr>
          <w:p>
            <w:pPr>
              <w:jc w:val="right"/>
              <w:spacing w:after="0"/>
              <w:rPr>
                <w:sz w:val="20"/>
                <w:szCs w:val="20"/>
                <w:color w:val="auto"/>
              </w:rPr>
            </w:pPr>
            <w:r>
              <w:rPr>
                <w:rFonts w:ascii="Arial" w:cs="Arial" w:eastAsia="Arial" w:hAnsi="Arial"/>
                <w:sz w:val="11"/>
                <w:szCs w:val="11"/>
                <w:color w:val="auto"/>
              </w:rPr>
              <w:t>3M L+525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7,195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 (9)</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09/03/2027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Finance</w:t>
            </w:r>
          </w:p>
        </w:tc>
        <w:tc>
          <w:tcPr>
            <w:tcW w:w="12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Output Services Group,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03/27/2024</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9.80 %</w:t>
            </w:r>
          </w:p>
        </w:tc>
        <w:tc>
          <w:tcPr>
            <w:tcW w:w="820" w:type="dxa"/>
            <w:vAlign w:val="bottom"/>
          </w:tcPr>
          <w:p>
            <w:pPr>
              <w:jc w:val="right"/>
              <w:spacing w:after="0"/>
              <w:rPr>
                <w:sz w:val="20"/>
                <w:szCs w:val="20"/>
                <w:color w:val="auto"/>
              </w:rPr>
            </w:pPr>
            <w:r>
              <w:rPr>
                <w:rFonts w:ascii="Arial" w:cs="Arial" w:eastAsia="Arial" w:hAnsi="Arial"/>
                <w:sz w:val="11"/>
                <w:szCs w:val="11"/>
                <w:color w:val="auto"/>
              </w:rPr>
              <w:t>1M L+675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4,874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4,592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Owl Acquisition,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02/04/2028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8.41 %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3,990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Construction and Building</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9.81 %</w:t>
            </w:r>
          </w:p>
        </w:tc>
        <w:tc>
          <w:tcPr>
            <w:tcW w:w="820" w:type="dxa"/>
            <w:vAlign w:val="bottom"/>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25,772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25,440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05/18/2026</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Construction and Building</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9.81 %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2,484</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05/18/2026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2"/>
              </w:rPr>
              <w:t>Construction and Building</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 Acquisitionco,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11/09/2027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9.62 %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6,110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6,015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PL Acquisitionco, LLC -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11/09/2027</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Plant Health Intermediate,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10/19/2022</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8.87 %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05/08/2026</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7"/>
              </w:rPr>
              <w:t>Leisure Products</w:t>
            </w:r>
          </w:p>
        </w:tc>
        <w:tc>
          <w:tcPr>
            <w:tcW w:w="1240" w:type="dxa"/>
            <w:vAlign w:val="bottom"/>
            <w:gridSpan w:val="3"/>
          </w:tcPr>
          <w:p>
            <w:pPr>
              <w:jc w:val="right"/>
              <w:ind w:right="140"/>
              <w:spacing w:after="0"/>
              <w:rPr>
                <w:sz w:val="20"/>
                <w:szCs w:val="20"/>
                <w:color w:val="auto"/>
              </w:rPr>
            </w:pPr>
            <w:r>
              <w:rPr>
                <w:rFonts w:ascii="Arial" w:cs="Arial" w:eastAsia="Arial" w:hAnsi="Arial"/>
                <w:sz w:val="11"/>
                <w:szCs w:val="11"/>
                <w:color w:val="auto"/>
              </w:rPr>
              <w:t>9.17 %</w:t>
            </w:r>
          </w:p>
        </w:tc>
        <w:tc>
          <w:tcPr>
            <w:tcW w:w="82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PRA Events,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08/07/2025</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14.17 %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L+1,050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3,323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2,903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10.50%)</w:t>
            </w: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1"/>
                <w:szCs w:val="11"/>
                <w:color w:val="auto"/>
              </w:rPr>
              <w:t>Pragmatic Institute, LLC - Unfunded Term Loan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07/06/2028</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9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Pragmatic Institute, LLC (Revolver)</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07/06/2028</w:t>
            </w:r>
          </w:p>
        </w:tc>
        <w:tc>
          <w:tcPr>
            <w:tcW w:w="160" w:type="dxa"/>
            <w:vAlign w:val="bottom"/>
            <w:shd w:val="clear" w:color="auto" w:fill="CCECFF"/>
          </w:tcPr>
          <w:p>
            <w:pPr>
              <w:spacing w:after="0"/>
              <w:rPr>
                <w:sz w:val="13"/>
                <w:szCs w:val="13"/>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Professional Services</w:t>
            </w: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9.30 %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Arial" w:cs="Arial" w:eastAsia="Arial" w:hAnsi="Arial"/>
                <w:sz w:val="11"/>
                <w:szCs w:val="11"/>
                <w:color w:val="auto"/>
              </w:rPr>
              <w:t xml:space="preserve">Pragmatic Institute, LLC (Revolver) </w:t>
            </w:r>
            <w:r>
              <w:rPr>
                <w:rFonts w:ascii="Arial" w:cs="Arial" w:eastAsia="Arial" w:hAnsi="Arial"/>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07/06/2028</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1"/>
                <w:szCs w:val="11"/>
                <w:color w:val="auto"/>
                <w:w w:val="86"/>
              </w:rPr>
              <w:t>Professional Services</w:t>
            </w: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306"/>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ind w:left="24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shd w:val="clear" w:color="auto" w:fill="CCECFF"/>
          </w:tcPr>
          <w:p>
            <w:pPr>
              <w:ind w:left="20"/>
              <w:spacing w:after="0" w:line="119" w:lineRule="exact"/>
              <w:rPr>
                <w:sz w:val="20"/>
                <w:szCs w:val="20"/>
                <w:color w:val="auto"/>
              </w:rPr>
            </w:pPr>
            <w:r>
              <w:rPr>
                <w:rFonts w:ascii="Arial" w:cs="Arial" w:eastAsia="Arial" w:hAnsi="Arial"/>
                <w:sz w:val="11"/>
                <w:szCs w:val="11"/>
                <w:color w:val="auto"/>
              </w:rPr>
              <w:t>Quantic Electronics, LLC</w:t>
            </w:r>
          </w:p>
        </w:tc>
        <w:tc>
          <w:tcPr>
            <w:tcW w:w="840" w:type="dxa"/>
            <w:vAlign w:val="bottom"/>
            <w:gridSpan w:val="2"/>
            <w:shd w:val="clear" w:color="auto" w:fill="CCECFF"/>
          </w:tcPr>
          <w:p>
            <w:pPr>
              <w:jc w:val="center"/>
              <w:ind w:left="66"/>
              <w:spacing w:after="0" w:line="119" w:lineRule="exact"/>
              <w:rPr>
                <w:sz w:val="20"/>
                <w:szCs w:val="20"/>
                <w:color w:val="auto"/>
              </w:rPr>
            </w:pPr>
            <w:r>
              <w:rPr>
                <w:rFonts w:ascii="Arial" w:cs="Arial" w:eastAsia="Arial" w:hAnsi="Arial"/>
                <w:sz w:val="11"/>
                <w:szCs w:val="11"/>
                <w:color w:val="auto"/>
                <w:w w:val="87"/>
              </w:rPr>
              <w:t>11/19/2026</w:t>
            </w: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line="119" w:lineRule="exact"/>
              <w:rPr>
                <w:sz w:val="20"/>
                <w:szCs w:val="20"/>
                <w:color w:val="auto"/>
              </w:rPr>
            </w:pPr>
            <w:r>
              <w:rPr>
                <w:rFonts w:ascii="Arial" w:cs="Arial" w:eastAsia="Arial" w:hAnsi="Arial"/>
                <w:sz w:val="11"/>
                <w:szCs w:val="11"/>
                <w:color w:val="auto"/>
                <w:w w:val="89"/>
              </w:rPr>
              <w:t>Electronic Equipment, Instruments, and</w:t>
            </w:r>
          </w:p>
        </w:tc>
        <w:tc>
          <w:tcPr>
            <w:tcW w:w="1200" w:type="dxa"/>
            <w:vAlign w:val="bottom"/>
            <w:gridSpan w:val="3"/>
            <w:shd w:val="clear" w:color="auto" w:fill="CCECFF"/>
          </w:tcPr>
          <w:p>
            <w:pPr>
              <w:jc w:val="right"/>
              <w:ind w:right="120"/>
              <w:spacing w:after="0" w:line="119" w:lineRule="exact"/>
              <w:rPr>
                <w:sz w:val="20"/>
                <w:szCs w:val="20"/>
                <w:color w:val="auto"/>
              </w:rPr>
            </w:pPr>
            <w:r>
              <w:rPr>
                <w:rFonts w:ascii="Arial" w:cs="Arial" w:eastAsia="Arial" w:hAnsi="Arial"/>
                <w:sz w:val="11"/>
                <w:szCs w:val="11"/>
                <w:color w:val="auto"/>
              </w:rPr>
              <w:t>9.92 %</w:t>
            </w:r>
          </w:p>
        </w:tc>
        <w:tc>
          <w:tcPr>
            <w:tcW w:w="820" w:type="dxa"/>
            <w:vAlign w:val="bottom"/>
            <w:shd w:val="clear" w:color="auto" w:fill="CCECFF"/>
          </w:tcPr>
          <w:p>
            <w:pPr>
              <w:jc w:val="right"/>
              <w:spacing w:after="0" w:line="119" w:lineRule="exact"/>
              <w:rPr>
                <w:sz w:val="20"/>
                <w:szCs w:val="20"/>
                <w:color w:val="auto"/>
              </w:rPr>
            </w:pPr>
            <w:r>
              <w:rPr>
                <w:rFonts w:ascii="Arial" w:cs="Arial" w:eastAsia="Arial" w:hAnsi="Arial"/>
                <w:sz w:val="11"/>
                <w:szCs w:val="11"/>
                <w:color w:val="auto"/>
              </w:rPr>
              <w:t>1M L+600</w:t>
            </w:r>
          </w:p>
        </w:tc>
        <w:tc>
          <w:tcPr>
            <w:tcW w:w="1060" w:type="dxa"/>
            <w:vAlign w:val="bottom"/>
            <w:gridSpan w:val="2"/>
            <w:shd w:val="clear" w:color="auto" w:fill="CCECFF"/>
          </w:tcPr>
          <w:p>
            <w:pPr>
              <w:jc w:val="right"/>
              <w:spacing w:after="0" w:line="119" w:lineRule="exact"/>
              <w:rPr>
                <w:sz w:val="20"/>
                <w:szCs w:val="20"/>
                <w:color w:val="auto"/>
              </w:rPr>
            </w:pPr>
            <w:r>
              <w:rPr>
                <w:rFonts w:ascii="Arial" w:cs="Arial" w:eastAsia="Arial" w:hAnsi="Arial"/>
                <w:sz w:val="11"/>
                <w:szCs w:val="11"/>
                <w:color w:val="auto"/>
              </w:rPr>
              <w:t>4,706</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4,632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84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87"/>
              </w:rPr>
              <w:t>11/19/2026</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0" w:type="dxa"/>
            <w:vAlign w:val="bottom"/>
            <w:gridSpan w:val="3"/>
          </w:tcPr>
          <w:p>
            <w:pPr>
              <w:jc w:val="right"/>
              <w:ind w:right="120"/>
              <w:spacing w:after="0" w:line="125" w:lineRule="exact"/>
              <w:rPr>
                <w:sz w:val="20"/>
                <w:szCs w:val="20"/>
                <w:color w:val="auto"/>
              </w:rPr>
            </w:pPr>
            <w:r>
              <w:rPr>
                <w:rFonts w:ascii="Arial" w:cs="Arial" w:eastAsia="Arial" w:hAnsi="Arial"/>
                <w:sz w:val="11"/>
                <w:szCs w:val="11"/>
                <w:color w:val="auto"/>
              </w:rPr>
              <w:t>9.51 %</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1M L+600</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268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268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263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shd w:val="clear" w:color="auto" w:fill="CCECFF"/>
          </w:tcPr>
          <w:p>
            <w:pPr>
              <w:ind w:left="20"/>
              <w:spacing w:after="0" w:line="130"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11/19/2026</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Questex,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09/09/2024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7.45 %</w:t>
            </w:r>
          </w:p>
        </w:tc>
        <w:tc>
          <w:tcPr>
            <w:tcW w:w="820" w:type="dxa"/>
            <w:vAlign w:val="bottom"/>
          </w:tcPr>
          <w:p>
            <w:pPr>
              <w:jc w:val="right"/>
              <w:spacing w:after="0"/>
              <w:rPr>
                <w:sz w:val="20"/>
                <w:szCs w:val="20"/>
                <w:color w:val="auto"/>
              </w:rPr>
            </w:pPr>
            <w:r>
              <w:rPr>
                <w:rFonts w:ascii="Arial" w:cs="Arial" w:eastAsia="Arial" w:hAnsi="Arial"/>
                <w:sz w:val="11"/>
                <w:szCs w:val="11"/>
                <w:color w:val="auto"/>
              </w:rPr>
              <w:t>3M L+500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7,200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7,146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09/09/2024</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12/18/2025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7.75 %</w:t>
            </w:r>
          </w:p>
        </w:tc>
        <w:tc>
          <w:tcPr>
            <w:tcW w:w="820" w:type="dxa"/>
            <w:vAlign w:val="bottom"/>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12/18/2025</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01/29/2026</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9.92 %</w:t>
            </w:r>
          </w:p>
        </w:tc>
        <w:tc>
          <w:tcPr>
            <w:tcW w:w="820" w:type="dxa"/>
            <w:vAlign w:val="bottom"/>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01/29/2026</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Products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9.92 %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 (9)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01/29/2026</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Inc. and Dynata, LLC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8.84 %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17,142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16,985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06/20/2025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8.65 %</w:t>
            </w:r>
          </w:p>
        </w:tc>
        <w:tc>
          <w:tcPr>
            <w:tcW w:w="82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7,980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06/20/2025</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Riverside Assessments,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03/10/2025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9.95 %</w:t>
            </w:r>
          </w:p>
        </w:tc>
        <w:tc>
          <w:tcPr>
            <w:tcW w:w="820" w:type="dxa"/>
            <w:vAlign w:val="bottom"/>
          </w:tcPr>
          <w:p>
            <w:pPr>
              <w:jc w:val="right"/>
              <w:spacing w:after="0"/>
              <w:rPr>
                <w:sz w:val="20"/>
                <w:szCs w:val="20"/>
                <w:color w:val="auto"/>
              </w:rPr>
            </w:pPr>
            <w:r>
              <w:rPr>
                <w:rFonts w:ascii="Arial" w:cs="Arial" w:eastAsia="Arial" w:hAnsi="Arial"/>
                <w:sz w:val="11"/>
                <w:szCs w:val="11"/>
                <w:color w:val="auto"/>
              </w:rPr>
              <w:t>3M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15,356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01/03/2025</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9.67 %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7,105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7,034</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 (9)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01/03/2025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25"/>
        </w:trPr>
        <w:tc>
          <w:tcPr>
            <w:tcW w:w="28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Sargent &amp; Greenleaf Inc.</w:t>
            </w:r>
          </w:p>
        </w:tc>
        <w:tc>
          <w:tcPr>
            <w:tcW w:w="840" w:type="dxa"/>
            <w:vAlign w:val="bottom"/>
            <w:gridSpan w:val="2"/>
            <w:shd w:val="clear" w:color="auto" w:fill="CCECFF"/>
          </w:tcPr>
          <w:p>
            <w:pPr>
              <w:jc w:val="center"/>
              <w:ind w:left="46"/>
              <w:spacing w:after="0" w:line="125" w:lineRule="exact"/>
              <w:rPr>
                <w:sz w:val="20"/>
                <w:szCs w:val="20"/>
                <w:color w:val="auto"/>
              </w:rPr>
            </w:pPr>
            <w:r>
              <w:rPr>
                <w:rFonts w:ascii="Arial" w:cs="Arial" w:eastAsia="Arial" w:hAnsi="Arial"/>
                <w:sz w:val="11"/>
                <w:szCs w:val="11"/>
                <w:color w:val="auto"/>
                <w:w w:val="90"/>
              </w:rPr>
              <w:t>12/20/2024</w:t>
            </w: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0" w:type="dxa"/>
            <w:vAlign w:val="bottom"/>
            <w:gridSpan w:val="3"/>
            <w:shd w:val="clear" w:color="auto" w:fill="CCECFF"/>
          </w:tcPr>
          <w:p>
            <w:pPr>
              <w:jc w:val="right"/>
              <w:ind w:right="120"/>
              <w:spacing w:after="0" w:line="125" w:lineRule="exact"/>
              <w:rPr>
                <w:sz w:val="20"/>
                <w:szCs w:val="20"/>
                <w:color w:val="auto"/>
              </w:rPr>
            </w:pPr>
            <w:r>
              <w:rPr>
                <w:rFonts w:ascii="Arial" w:cs="Arial" w:eastAsia="Arial" w:hAnsi="Arial"/>
                <w:sz w:val="11"/>
                <w:szCs w:val="11"/>
                <w:color w:val="auto"/>
              </w:rPr>
              <w:t>8.62 %</w:t>
            </w:r>
          </w:p>
        </w:tc>
        <w:tc>
          <w:tcPr>
            <w:tcW w:w="8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1M L+550</w:t>
            </w:r>
          </w:p>
        </w:tc>
        <w:tc>
          <w:tcPr>
            <w:tcW w:w="10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3,487</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3,462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3,452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Sargent &amp; Greenleaf Inc. (Revolver)</w:t>
            </w:r>
          </w:p>
        </w:tc>
        <w:tc>
          <w:tcPr>
            <w:tcW w:w="84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12/20/2024</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0" w:type="dxa"/>
            <w:vAlign w:val="bottom"/>
            <w:gridSpan w:val="3"/>
          </w:tcPr>
          <w:p>
            <w:pPr>
              <w:jc w:val="right"/>
              <w:ind w:right="120"/>
              <w:spacing w:after="0" w:line="125" w:lineRule="exact"/>
              <w:rPr>
                <w:sz w:val="20"/>
                <w:szCs w:val="20"/>
                <w:color w:val="auto"/>
              </w:rPr>
            </w:pPr>
            <w:r>
              <w:rPr>
                <w:rFonts w:ascii="Arial" w:cs="Arial" w:eastAsia="Arial" w:hAnsi="Arial"/>
                <w:sz w:val="11"/>
                <w:szCs w:val="11"/>
                <w:color w:val="auto"/>
              </w:rPr>
              <w:t>8.28 %</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1,048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1,048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1,037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shd w:val="clear" w:color="auto" w:fill="CCECFF"/>
          </w:tcPr>
          <w:p>
            <w:pPr>
              <w:ind w:left="20"/>
              <w:spacing w:after="0" w:line="130" w:lineRule="exact"/>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07/14/2025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10.27 %</w:t>
            </w:r>
          </w:p>
        </w:tc>
        <w:tc>
          <w:tcPr>
            <w:tcW w:w="820" w:type="dxa"/>
            <w:vAlign w:val="bottom"/>
          </w:tcPr>
          <w:p>
            <w:pPr>
              <w:jc w:val="right"/>
              <w:spacing w:after="0"/>
              <w:rPr>
                <w:sz w:val="20"/>
                <w:szCs w:val="20"/>
                <w:color w:val="auto"/>
              </w:rPr>
            </w:pPr>
            <w:r>
              <w:rPr>
                <w:rFonts w:ascii="Arial" w:cs="Arial" w:eastAsia="Arial" w:hAnsi="Arial"/>
                <w:sz w:val="11"/>
                <w:szCs w:val="11"/>
                <w:color w:val="auto"/>
              </w:rPr>
              <w:t>SOFR + 700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14,560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14,467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 (Revolver)</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07/14/2025</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10.14 %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4"/>
                <w:szCs w:val="14"/>
                <w:color w:val="auto"/>
                <w:vertAlign w:val="superscript"/>
              </w:rPr>
              <w:t>(7), (9)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07/14/2025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Seaway Buyer, LLC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06/13/2029</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9.41 %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6,940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6,836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Sigma Defense Systems,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12/18/2025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12.17 %</w:t>
            </w:r>
          </w:p>
        </w:tc>
        <w:tc>
          <w:tcPr>
            <w:tcW w:w="820" w:type="dxa"/>
            <w:vAlign w:val="bottom"/>
          </w:tcPr>
          <w:p>
            <w:pPr>
              <w:jc w:val="right"/>
              <w:spacing w:after="0"/>
              <w:rPr>
                <w:sz w:val="20"/>
                <w:szCs w:val="20"/>
                <w:color w:val="auto"/>
              </w:rPr>
            </w:pPr>
            <w:r>
              <w:rPr>
                <w:rFonts w:ascii="Arial" w:cs="Arial" w:eastAsia="Arial" w:hAnsi="Arial"/>
                <w:sz w:val="11"/>
                <w:szCs w:val="11"/>
                <w:color w:val="auto"/>
              </w:rPr>
              <w:t>3M L+850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10,969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10,742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12/18/2025</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12.17 %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 (9)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12/18/2025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05/03/2024</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10.17 %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10,358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10,301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05/03/2024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Smile Brands Inc.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10/14/2025</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7.42 %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2,462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2,462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4"/>
                <w:szCs w:val="14"/>
                <w:color w:val="auto"/>
                <w:vertAlign w:val="superscript"/>
              </w:rPr>
              <w:t>(7), (9)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10/14/2025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Smile Brands Inc. 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10/14/2025</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01/17/2024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Healthcare Technology</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8.87 %</w:t>
            </w:r>
          </w:p>
        </w:tc>
        <w:tc>
          <w:tcPr>
            <w:tcW w:w="82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5,740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01/17/2024</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Technology</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1,665</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Spear Education,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02/26/2025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9.42 %</w:t>
            </w:r>
          </w:p>
        </w:tc>
        <w:tc>
          <w:tcPr>
            <w:tcW w:w="82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14,747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14,747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Spendmend Holdings LLC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03/01/2028</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Technology</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8.63 %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 + 575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3,216</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3,179</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Spendmend Holdings LLC </w:t>
            </w:r>
            <w:r>
              <w:rPr>
                <w:rFonts w:ascii="Arial" w:cs="Arial" w:eastAsia="Arial" w:hAnsi="Arial"/>
                <w:sz w:val="14"/>
                <w:szCs w:val="14"/>
                <w:color w:val="auto"/>
                <w:vertAlign w:val="superscript"/>
              </w:rPr>
              <w:t>(9)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03/01/2023</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Healthcare Technology</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Spendmend Holdings LLC (Revolver)</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03/01/2028</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Technology</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8.63 %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Spendmend Holdings LLC (Revolver) </w:t>
            </w:r>
            <w:r>
              <w:rPr>
                <w:rFonts w:ascii="Arial" w:cs="Arial" w:eastAsia="Arial" w:hAnsi="Arial"/>
                <w:sz w:val="14"/>
                <w:szCs w:val="14"/>
                <w:color w:val="auto"/>
                <w:vertAlign w:val="superscript"/>
              </w:rPr>
              <w:t>(9)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03/01/2028</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Healthcare Technology</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12/11/2026</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8.37 %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4,752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System Planning and Analysis, Inc.</w:t>
            </w:r>
          </w:p>
        </w:tc>
        <w:tc>
          <w:tcPr>
            <w:tcW w:w="84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08/16/2027</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200" w:type="dxa"/>
            <w:vAlign w:val="bottom"/>
            <w:gridSpan w:val="3"/>
          </w:tcPr>
          <w:p>
            <w:pPr>
              <w:jc w:val="right"/>
              <w:ind w:right="120"/>
              <w:spacing w:after="0" w:line="125" w:lineRule="exact"/>
              <w:rPr>
                <w:sz w:val="20"/>
                <w:szCs w:val="20"/>
                <w:color w:val="auto"/>
              </w:rPr>
            </w:pPr>
            <w:r>
              <w:rPr>
                <w:rFonts w:ascii="Arial" w:cs="Arial" w:eastAsia="Arial" w:hAnsi="Arial"/>
                <w:sz w:val="11"/>
                <w:szCs w:val="11"/>
                <w:color w:val="auto"/>
              </w:rPr>
              <w:t>8.73 %</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SOFR+600</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18,560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18,237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18,263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System Planning and Analysis, Inc. (Revolver)</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08/16/2027</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5,188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(83 )</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ind w:left="120"/>
              <w:spacing w:after="0"/>
              <w:rPr>
                <w:sz w:val="20"/>
                <w:szCs w:val="20"/>
                <w:color w:val="auto"/>
              </w:rPr>
            </w:pPr>
            <w:r>
              <w:rPr>
                <w:rFonts w:ascii="Arial" w:cs="Arial" w:eastAsia="Arial" w:hAnsi="Arial"/>
                <w:sz w:val="11"/>
                <w:szCs w:val="11"/>
                <w:color w:val="auto"/>
              </w:rPr>
              <w:t>(f/k/a Management Consulting &amp; Research, LLC)</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07/18/2025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Diversified Financial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8.38 %</w:t>
            </w:r>
          </w:p>
        </w:tc>
        <w:tc>
          <w:tcPr>
            <w:tcW w:w="820" w:type="dxa"/>
            <w:vAlign w:val="bottom"/>
          </w:tcPr>
          <w:p>
            <w:pPr>
              <w:jc w:val="right"/>
              <w:spacing w:after="0"/>
              <w:rPr>
                <w:sz w:val="20"/>
                <w:szCs w:val="20"/>
                <w:color w:val="auto"/>
              </w:rPr>
            </w:pPr>
            <w:r>
              <w:rPr>
                <w:rFonts w:ascii="Arial" w:cs="Arial" w:eastAsia="Arial" w:hAnsi="Arial"/>
                <w:sz w:val="11"/>
                <w:szCs w:val="11"/>
                <w:color w:val="auto"/>
              </w:rPr>
              <w:t>1M L+525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5,793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10/31/2025</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9.55 %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4,921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The Bluebird Group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07/27/2026</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10.67 %</w:t>
            </w:r>
          </w:p>
        </w:tc>
        <w:tc>
          <w:tcPr>
            <w:tcW w:w="820" w:type="dxa"/>
            <w:vAlign w:val="bottom"/>
          </w:tcPr>
          <w:p>
            <w:pPr>
              <w:jc w:val="right"/>
              <w:spacing w:after="0"/>
              <w:rPr>
                <w:sz w:val="20"/>
                <w:szCs w:val="20"/>
                <w:color w:val="auto"/>
              </w:rPr>
            </w:pPr>
            <w:r>
              <w:rPr>
                <w:rFonts w:ascii="Arial" w:cs="Arial" w:eastAsia="Arial" w:hAnsi="Arial"/>
                <w:sz w:val="11"/>
                <w:szCs w:val="11"/>
                <w:color w:val="auto"/>
              </w:rPr>
              <w:t>3M L+700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6,265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07/27/2026</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862</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The Infosoft Group,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09/16/2024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8.51 %</w:t>
            </w:r>
          </w:p>
        </w:tc>
        <w:tc>
          <w:tcPr>
            <w:tcW w:w="820" w:type="dxa"/>
            <w:vAlign w:val="bottom"/>
          </w:tcPr>
          <w:p>
            <w:pPr>
              <w:jc w:val="right"/>
              <w:spacing w:after="0"/>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15,229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15,120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08/30/2027</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8.18 %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2,159</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 (9)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08/30/2027</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573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 (Revolver)</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08/30/2027</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8.26 %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 (9)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08/30/2027</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8"/>
              </w:rPr>
              <w:t xml:space="preserve">TPC Canada Parent, Inc. and TPC US Parent, LLC </w:t>
            </w:r>
            <w:r>
              <w:rPr>
                <w:rFonts w:ascii="Arial" w:cs="Arial" w:eastAsia="Arial" w:hAnsi="Arial"/>
                <w:sz w:val="14"/>
                <w:szCs w:val="14"/>
                <w:color w:val="auto"/>
                <w:w w:val="98"/>
                <w:vertAlign w:val="superscript"/>
              </w:rPr>
              <w:t>(5), (10)</w:t>
            </w:r>
          </w:p>
        </w:tc>
        <w:tc>
          <w:tcPr>
            <w:tcW w:w="8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Food Products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7.78 %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4,863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TVC Enterprises,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03/26/2026</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8.87 %</w:t>
            </w:r>
          </w:p>
        </w:tc>
        <w:tc>
          <w:tcPr>
            <w:tcW w:w="820" w:type="dxa"/>
            <w:vAlign w:val="bottom"/>
          </w:tcPr>
          <w:p>
            <w:pPr>
              <w:jc w:val="right"/>
              <w:spacing w:after="0"/>
              <w:rPr>
                <w:sz w:val="20"/>
                <w:szCs w:val="20"/>
                <w:color w:val="auto"/>
              </w:rPr>
            </w:pPr>
            <w:r>
              <w:rPr>
                <w:rFonts w:ascii="Arial" w:cs="Arial" w:eastAsia="Arial" w:hAnsi="Arial"/>
                <w:sz w:val="11"/>
                <w:szCs w:val="11"/>
                <w:color w:val="auto"/>
              </w:rPr>
              <w:t>1M L+600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24,721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24,378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03/26/2026</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06/16/2025</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8.76 %</w:t>
            </w:r>
          </w:p>
        </w:tc>
        <w:tc>
          <w:tcPr>
            <w:tcW w:w="820" w:type="dxa"/>
            <w:vAlign w:val="bottom"/>
          </w:tcPr>
          <w:p>
            <w:pPr>
              <w:jc w:val="right"/>
              <w:spacing w:after="0"/>
              <w:rPr>
                <w:sz w:val="20"/>
                <w:szCs w:val="20"/>
                <w:color w:val="auto"/>
              </w:rPr>
            </w:pPr>
            <w:r>
              <w:rPr>
                <w:rFonts w:ascii="Arial" w:cs="Arial" w:eastAsia="Arial" w:hAnsi="Arial"/>
                <w:sz w:val="11"/>
                <w:szCs w:val="11"/>
                <w:color w:val="auto"/>
              </w:rPr>
              <w:t>1M L+625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5,468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5,398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06/16/2025</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2,628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Tyto Athene,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04/01/2028</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7.76 %</w:t>
            </w:r>
          </w:p>
        </w:tc>
        <w:tc>
          <w:tcPr>
            <w:tcW w:w="820" w:type="dxa"/>
            <w:vAlign w:val="bottom"/>
          </w:tcPr>
          <w:p>
            <w:pPr>
              <w:jc w:val="right"/>
              <w:spacing w:after="0"/>
              <w:rPr>
                <w:sz w:val="20"/>
                <w:szCs w:val="20"/>
                <w:color w:val="auto"/>
              </w:rPr>
            </w:pPr>
            <w:r>
              <w:rPr>
                <w:rFonts w:ascii="Arial" w:cs="Arial" w:eastAsia="Arial" w:hAnsi="Arial"/>
                <w:sz w:val="11"/>
                <w:szCs w:val="11"/>
                <w:color w:val="auto"/>
              </w:rPr>
              <w:t>1M L+550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12,644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04/01/2026</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1,040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(74 )</w:t>
            </w: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UBEO,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04/03/2024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7.60 %</w:t>
            </w:r>
          </w:p>
        </w:tc>
        <w:tc>
          <w:tcPr>
            <w:tcW w:w="820" w:type="dxa"/>
            <w:vAlign w:val="bottom"/>
          </w:tcPr>
          <w:p>
            <w:pPr>
              <w:jc w:val="right"/>
              <w:spacing w:after="0"/>
              <w:rPr>
                <w:sz w:val="20"/>
                <w:szCs w:val="20"/>
                <w:color w:val="auto"/>
              </w:rPr>
            </w:pPr>
            <w:r>
              <w:rPr>
                <w:rFonts w:ascii="Arial" w:cs="Arial" w:eastAsia="Arial" w:hAnsi="Arial"/>
                <w:sz w:val="11"/>
                <w:szCs w:val="11"/>
                <w:color w:val="auto"/>
              </w:rPr>
              <w:t>3M L+450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17,926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17,860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 (Revolver)</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04/03/2024</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Capital Equipment</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9.00 %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L+275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4"/>
                <w:szCs w:val="14"/>
                <w:color w:val="auto"/>
                <w:vertAlign w:val="superscript"/>
              </w:rPr>
              <w:t>(9)</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04/03/2024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Unique Indoor Comfort, LLC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05/24/2027</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8.95 %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 + 525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9,217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9,126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Unique Indoor Comfort, LLC Term Loan </w:t>
            </w:r>
            <w:r>
              <w:rPr>
                <w:rFonts w:ascii="Arial" w:cs="Arial" w:eastAsia="Arial" w:hAnsi="Arial"/>
                <w:sz w:val="14"/>
                <w:szCs w:val="14"/>
                <w:color w:val="auto"/>
                <w:vertAlign w:val="superscript"/>
              </w:rPr>
              <w:t>(7)</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05/24/2027</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10,760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(129 )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Unique Indoor Comfort, LLC (Revolver) </w:t>
            </w:r>
            <w:r>
              <w:rPr>
                <w:rFonts w:ascii="Arial" w:cs="Arial" w:eastAsia="Arial" w:hAnsi="Arial"/>
                <w:sz w:val="14"/>
                <w:szCs w:val="14"/>
                <w:color w:val="auto"/>
                <w:vertAlign w:val="superscript"/>
              </w:rPr>
              <w:t>(7), (9)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05/24/2027</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Diversified Consumer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Walker Edison Furniture Company LLC</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03/31/2027</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12.42 %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L+875</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12,684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Wildcat Buyerco, Inc.</w:t>
            </w:r>
          </w:p>
        </w:tc>
        <w:tc>
          <w:tcPr>
            <w:tcW w:w="840" w:type="dxa"/>
            <w:vAlign w:val="bottom"/>
            <w:gridSpan w:val="2"/>
          </w:tcPr>
          <w:p>
            <w:pPr>
              <w:jc w:val="center"/>
              <w:ind w:left="46"/>
              <w:spacing w:after="0" w:line="125" w:lineRule="exact"/>
              <w:rPr>
                <w:sz w:val="20"/>
                <w:szCs w:val="20"/>
                <w:color w:val="auto"/>
              </w:rPr>
            </w:pPr>
            <w:r>
              <w:rPr>
                <w:rFonts w:ascii="Arial" w:cs="Arial" w:eastAsia="Arial" w:hAnsi="Arial"/>
                <w:sz w:val="11"/>
                <w:szCs w:val="11"/>
                <w:color w:val="auto"/>
                <w:w w:val="90"/>
              </w:rPr>
              <w:t>02/27/2026</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0" w:type="dxa"/>
            <w:vAlign w:val="bottom"/>
            <w:gridSpan w:val="3"/>
          </w:tcPr>
          <w:p>
            <w:pPr>
              <w:jc w:val="right"/>
              <w:ind w:right="120"/>
              <w:spacing w:after="0" w:line="125" w:lineRule="exact"/>
              <w:rPr>
                <w:sz w:val="20"/>
                <w:szCs w:val="20"/>
                <w:color w:val="auto"/>
              </w:rPr>
            </w:pPr>
            <w:r>
              <w:rPr>
                <w:rFonts w:ascii="Arial" w:cs="Arial" w:eastAsia="Arial" w:hAnsi="Arial"/>
                <w:sz w:val="11"/>
                <w:szCs w:val="11"/>
                <w:color w:val="auto"/>
              </w:rPr>
              <w:t>9.38 %</w:t>
            </w:r>
          </w:p>
        </w:tc>
        <w:tc>
          <w:tcPr>
            <w:tcW w:w="820" w:type="dxa"/>
            <w:vAlign w:val="bottom"/>
          </w:tcPr>
          <w:p>
            <w:pPr>
              <w:jc w:val="right"/>
              <w:spacing w:after="0" w:line="125" w:lineRule="exact"/>
              <w:rPr>
                <w:sz w:val="20"/>
                <w:szCs w:val="20"/>
                <w:color w:val="auto"/>
              </w:rPr>
            </w:pPr>
            <w:r>
              <w:rPr>
                <w:rFonts w:ascii="Arial" w:cs="Arial" w:eastAsia="Arial" w:hAnsi="Arial"/>
                <w:sz w:val="11"/>
                <w:szCs w:val="11"/>
                <w:color w:val="auto"/>
              </w:rPr>
              <w:t>3M L+575</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9,853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9,717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9,532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60" w:type="dxa"/>
            <w:vAlign w:val="bottom"/>
            <w:shd w:val="clear" w:color="auto" w:fill="CCECFF"/>
          </w:tcPr>
          <w:p>
            <w:pPr>
              <w:ind w:left="20"/>
              <w:spacing w:after="0" w:line="130" w:lineRule="exact"/>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(9)</w:t>
            </w:r>
          </w:p>
        </w:tc>
        <w:tc>
          <w:tcPr>
            <w:tcW w:w="84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02/27/2026</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Zips Car Wash,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03/01/2024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Automobiles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10.30 %</w:t>
            </w:r>
          </w:p>
        </w:tc>
        <w:tc>
          <w:tcPr>
            <w:tcW w:w="820" w:type="dxa"/>
            <w:vAlign w:val="bottom"/>
          </w:tcPr>
          <w:p>
            <w:pPr>
              <w:jc w:val="right"/>
              <w:spacing w:after="0"/>
              <w:rPr>
                <w:sz w:val="20"/>
                <w:szCs w:val="20"/>
                <w:color w:val="auto"/>
              </w:rPr>
            </w:pPr>
            <w:r>
              <w:rPr>
                <w:rFonts w:ascii="Arial" w:cs="Arial" w:eastAsia="Arial" w:hAnsi="Arial"/>
                <w:sz w:val="11"/>
                <w:szCs w:val="11"/>
                <w:color w:val="auto"/>
              </w:rPr>
              <w:t>3M L+725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13,428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13,284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815,742</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789,107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0" w:type="dxa"/>
            <w:vAlign w:val="bottom"/>
            <w:gridSpan w:val="3"/>
            <w:vMerge w:val="restart"/>
          </w:tcPr>
          <w:p>
            <w:pPr>
              <w:jc w:val="right"/>
              <w:ind w:right="20"/>
              <w:spacing w:after="0"/>
              <w:rPr>
                <w:sz w:val="20"/>
                <w:szCs w:val="20"/>
                <w:color w:val="auto"/>
              </w:rPr>
            </w:pPr>
            <w:r>
              <w:rPr>
                <w:rFonts w:ascii="Arial" w:cs="Arial" w:eastAsia="Arial" w:hAnsi="Arial"/>
                <w:sz w:val="7"/>
                <w:szCs w:val="7"/>
                <w:color w:val="auto"/>
              </w:rPr>
              <w:t>(6</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860" w:type="dxa"/>
            <w:vAlign w:val="bottom"/>
            <w:vMerge w:val="restart"/>
            <w:shd w:val="clear" w:color="auto" w:fill="CCECFF"/>
          </w:tcPr>
          <w:p>
            <w:pPr>
              <w:ind w:left="20"/>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14"/>
                <w:szCs w:val="14"/>
                <w:color w:val="auto"/>
                <w:vertAlign w:val="superscript"/>
              </w:rPr>
              <w:t>(7)</w:t>
            </w:r>
          </w:p>
        </w:tc>
        <w:tc>
          <w:tcPr>
            <w:tcW w:w="84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0"/>
              </w:rPr>
              <w:t>04/23/2025</w:t>
            </w:r>
          </w:p>
        </w:tc>
        <w:tc>
          <w:tcPr>
            <w:tcW w:w="260" w:type="dxa"/>
            <w:vAlign w:val="bottom"/>
          </w:tcPr>
          <w:p>
            <w:pPr>
              <w:spacing w:after="0"/>
              <w:rPr>
                <w:sz w:val="3"/>
                <w:szCs w:val="3"/>
                <w:color w:val="auto"/>
              </w:rPr>
            </w:pPr>
          </w:p>
        </w:tc>
        <w:tc>
          <w:tcPr>
            <w:tcW w:w="2020" w:type="dxa"/>
            <w:vAlign w:val="bottom"/>
            <w:vMerge w:val="restart"/>
          </w:tcPr>
          <w:p>
            <w:pPr>
              <w:jc w:val="center"/>
              <w:spacing w:after="0"/>
              <w:rPr>
                <w:sz w:val="20"/>
                <w:szCs w:val="20"/>
                <w:color w:val="auto"/>
              </w:rPr>
            </w:pPr>
            <w:r>
              <w:rPr>
                <w:rFonts w:ascii="Arial" w:cs="Arial" w:eastAsia="Arial" w:hAnsi="Arial"/>
                <w:sz w:val="11"/>
                <w:szCs w:val="11"/>
                <w:color w:val="auto"/>
                <w:w w:val="90"/>
              </w:rPr>
              <w:t>Media: Advertising, Printing and Publishing</w:t>
            </w:r>
          </w:p>
        </w:tc>
        <w:tc>
          <w:tcPr>
            <w:tcW w:w="1200" w:type="dxa"/>
            <w:vAlign w:val="bottom"/>
            <w:gridSpan w:val="3"/>
            <w:vMerge w:val="continue"/>
          </w:tcPr>
          <w:p>
            <w:pPr>
              <w:spacing w:after="0"/>
              <w:rPr>
                <w:sz w:val="3"/>
                <w:szCs w:val="3"/>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860" w:type="dxa"/>
            <w:vAlign w:val="bottom"/>
            <w:vMerge w:val="continue"/>
            <w:shd w:val="clear" w:color="auto" w:fill="CCECFF"/>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1200" w:type="dxa"/>
            <w:vAlign w:val="bottom"/>
            <w:gridSpan w:val="3"/>
          </w:tcPr>
          <w:p>
            <w:pPr>
              <w:jc w:val="right"/>
              <w:ind w:right="60"/>
              <w:spacing w:after="0" w:line="151" w:lineRule="exact"/>
              <w:rPr>
                <w:sz w:val="20"/>
                <w:szCs w:val="20"/>
                <w:color w:val="auto"/>
              </w:rPr>
            </w:pPr>
            <w:r>
              <w:rPr>
                <w:rFonts w:ascii="Arial" w:cs="Arial" w:eastAsia="Arial" w:hAnsi="Arial"/>
                <w:sz w:val="11"/>
                <w:szCs w:val="11"/>
                <w:color w:val="auto"/>
              </w:rPr>
              <w:t xml:space="preserve">0.00 % </w:t>
            </w:r>
            <w:r>
              <w:rPr>
                <w:rFonts w:ascii="Arial" w:cs="Arial" w:eastAsia="Arial" w:hAnsi="Arial"/>
                <w:sz w:val="14"/>
                <w:szCs w:val="14"/>
                <w:color w:val="auto"/>
                <w:vertAlign w:val="superscript"/>
              </w:rPr>
              <w:t>)</w:t>
            </w:r>
          </w:p>
        </w:tc>
        <w:tc>
          <w:tcPr>
            <w:tcW w:w="820" w:type="dxa"/>
            <w:vAlign w:val="bottom"/>
            <w:vMerge w:val="continue"/>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(PIK 15.00%)</w:t>
            </w: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rPr>
                <w:sz w:val="20"/>
                <w:szCs w:val="20"/>
                <w:color w:val="auto"/>
              </w:rPr>
            </w:pPr>
            <w:r>
              <w:rPr>
                <w:rFonts w:ascii="Arial" w:cs="Arial" w:eastAsia="Arial" w:hAnsi="Arial"/>
                <w:sz w:val="11"/>
                <w:szCs w:val="11"/>
                <w:color w:val="auto"/>
              </w:rPr>
              <w:t>QuantiTech LLC</w:t>
            </w:r>
          </w:p>
        </w:tc>
        <w:tc>
          <w:tcPr>
            <w:tcW w:w="84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02/04/2027</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12.68 %</w:t>
            </w:r>
          </w:p>
        </w:tc>
        <w:tc>
          <w:tcPr>
            <w:tcW w:w="820" w:type="dxa"/>
            <w:vAlign w:val="bottom"/>
          </w:tcPr>
          <w:p>
            <w:pPr>
              <w:jc w:val="right"/>
              <w:spacing w:after="0"/>
              <w:rPr>
                <w:sz w:val="20"/>
                <w:szCs w:val="20"/>
                <w:color w:val="auto"/>
              </w:rPr>
            </w:pPr>
            <w:r>
              <w:rPr>
                <w:rFonts w:ascii="Arial" w:cs="Arial" w:eastAsia="Arial" w:hAnsi="Arial"/>
                <w:sz w:val="11"/>
                <w:szCs w:val="11"/>
                <w:color w:val="auto"/>
              </w:rPr>
              <w:t>3M L+1,000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150</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1,113</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1"/>
                <w:szCs w:val="11"/>
                <w:b w:val="1"/>
                <w:bCs w:val="1"/>
                <w:color w:val="auto"/>
              </w:rPr>
              <w:t xml:space="preserve">Preferred Equity— 1.6% </w:t>
            </w:r>
            <w:r>
              <w:rPr>
                <w:rFonts w:ascii="Arial" w:cs="Arial" w:eastAsia="Arial" w:hAnsi="Arial"/>
                <w:sz w:val="14"/>
                <w:szCs w:val="14"/>
                <w:b w:val="1"/>
                <w:bCs w:val="1"/>
                <w:color w:val="auto"/>
                <w:vertAlign w:val="superscript"/>
              </w:rPr>
              <w:t>(6)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6,720</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Cartessa Aesthetics,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Topco, LP</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8.00 %</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2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-616585</wp:posOffset>
            </wp:positionV>
            <wp:extent cx="6858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46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ind w:left="20"/>
              <w:spacing w:after="0" w:line="142"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40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12.00 %</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5"/>
              </w:rPr>
              <w:t xml:space="preserve">TWD Parent Holdings, LLC (The Vertex Companies, LLC) </w:t>
            </w:r>
            <w:r>
              <w:rPr>
                <w:rFonts w:ascii="Arial" w:cs="Arial" w:eastAsia="Arial" w:hAnsi="Arial"/>
                <w:sz w:val="14"/>
                <w:szCs w:val="14"/>
                <w:color w:val="auto"/>
                <w:w w:val="95"/>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20.00 %</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343,861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20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19.00 %</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13.50 %</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1,047,317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10,297</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9,945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ind w:left="20"/>
              <w:spacing w:after="0" w:line="146" w:lineRule="exact"/>
              <w:rPr>
                <w:sz w:val="20"/>
                <w:szCs w:val="20"/>
                <w:color w:val="auto"/>
              </w:rPr>
            </w:pPr>
            <w:r>
              <w:rPr>
                <w:rFonts w:ascii="Arial" w:cs="Arial" w:eastAsia="Arial" w:hAnsi="Arial"/>
                <w:sz w:val="11"/>
                <w:szCs w:val="11"/>
                <w:b w:val="1"/>
                <w:bCs w:val="1"/>
                <w:color w:val="auto"/>
              </w:rPr>
              <w:t xml:space="preserve">Common Equity/Warrants— 18.1% </w:t>
            </w:r>
            <w:r>
              <w:rPr>
                <w:rFonts w:ascii="Arial" w:cs="Arial" w:eastAsia="Arial" w:hAnsi="Arial"/>
                <w:sz w:val="14"/>
                <w:szCs w:val="14"/>
                <w:b w:val="1"/>
                <w:bCs w:val="1"/>
                <w:color w:val="auto"/>
                <w:vertAlign w:val="superscript"/>
              </w:rPr>
              <w:t>(6)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7,467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4"/>
                <w:szCs w:val="14"/>
                <w:color w:val="auto"/>
                <w:vertAlign w:val="superscript"/>
              </w:rPr>
              <w:t>(7)</w:t>
            </w:r>
          </w:p>
        </w:tc>
        <w:tc>
          <w:tcPr>
            <w:tcW w:w="840" w:type="dxa"/>
            <w:vAlign w:val="bottom"/>
            <w:gridSpan w:val="2"/>
          </w:tcPr>
          <w:p>
            <w:pPr>
              <w:jc w:val="right"/>
              <w:ind w:right="66"/>
              <w:spacing w:after="0"/>
              <w:rPr>
                <w:sz w:val="20"/>
                <w:szCs w:val="20"/>
                <w:color w:val="auto"/>
              </w:rPr>
            </w:pPr>
            <w:r>
              <w:rPr>
                <w:rFonts w:ascii="Arial" w:cs="Arial" w:eastAsia="Arial" w:hAnsi="Arial"/>
                <w:sz w:val="11"/>
                <w:szCs w:val="11"/>
                <w:color w:val="auto"/>
              </w:rPr>
              <w:t>04/10/2024</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Consumer Goods: Durable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8,893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(8), (9)</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w w:val="97"/>
              </w:rPr>
              <w:t xml:space="preserve">Anteriad Holdings, LP (f/k/a MeritDirect Holdings, LP) </w:t>
            </w:r>
            <w:r>
              <w:rPr>
                <w:rFonts w:ascii="Arial" w:cs="Arial" w:eastAsia="Arial" w:hAnsi="Arial"/>
                <w:sz w:val="14"/>
                <w:szCs w:val="14"/>
                <w:color w:val="auto"/>
                <w:w w:val="97"/>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Athletico Holdings, LLC</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4,678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Burgess Point Holdings,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Auto Components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22,090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4"/>
                <w:szCs w:val="14"/>
                <w:color w:val="auto"/>
                <w:vertAlign w:val="superscript"/>
              </w:rPr>
              <w:t>(7), (8), (9)</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High Tech Industries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3,223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Connatix Parent,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38,278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615,484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w w:val="96"/>
              </w:rPr>
              <w:t xml:space="preserve">Delta InvestCo LP (Sigma Defense Systems, LLC) </w:t>
            </w:r>
            <w:r>
              <w:rPr>
                <w:rFonts w:ascii="Arial" w:cs="Arial" w:eastAsia="Arial" w:hAnsi="Arial"/>
                <w:sz w:val="14"/>
                <w:szCs w:val="14"/>
                <w:color w:val="auto"/>
                <w:w w:val="96"/>
                <w:vertAlign w:val="superscript"/>
              </w:rPr>
              <w:t>(7), (8),(9)</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389,386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(7), (8)</w:t>
            </w:r>
          </w:p>
        </w:tc>
        <w:tc>
          <w:tcPr>
            <w:tcW w:w="120" w:type="dxa"/>
            <w:vAlign w:val="bottom"/>
          </w:tcPr>
          <w:p>
            <w:pPr>
              <w:spacing w:after="0"/>
              <w:rPr>
                <w:sz w:val="10"/>
                <w:szCs w:val="10"/>
                <w:color w:val="auto"/>
              </w:rPr>
            </w:pPr>
          </w:p>
        </w:tc>
        <w:tc>
          <w:tcPr>
            <w:tcW w:w="720" w:type="dxa"/>
            <w:vAlign w:val="bottom"/>
          </w:tcPr>
          <w:p>
            <w:pPr>
              <w:ind w:left="60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tcPr>
          <w:p>
            <w:pPr>
              <w:spacing w:after="0"/>
              <w:rPr>
                <w:sz w:val="10"/>
                <w:szCs w:val="10"/>
                <w:color w:val="auto"/>
              </w:rPr>
            </w:pPr>
          </w:p>
        </w:tc>
        <w:tc>
          <w:tcPr>
            <w:tcW w:w="108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20" w:type="dxa"/>
            <w:vAlign w:val="bottom"/>
          </w:tcPr>
          <w:p>
            <w:pPr>
              <w:ind w:left="700"/>
              <w:spacing w:after="0" w:line="125" w:lineRule="exact"/>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295,982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65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Arial" w:cs="Arial" w:eastAsia="Arial" w:hAnsi="Arial"/>
                <w:sz w:val="11"/>
                <w:szCs w:val="11"/>
                <w:color w:val="auto"/>
              </w:rPr>
              <w:t>633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(7), (10)</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Exigo,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541,667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Express Wash Topco, LLC</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Automobiles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21,083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(7),(8),(9)</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9,488</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Gauge InfosoftCoInvest, LLC</w:t>
            </w:r>
          </w:p>
        </w:tc>
        <w:tc>
          <w:tcPr>
            <w:tcW w:w="12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Media: Broadcasting and Subscription</w:t>
            </w:r>
          </w:p>
        </w:tc>
        <w:tc>
          <w:tcPr>
            <w:tcW w:w="12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4"/>
                <w:szCs w:val="14"/>
                <w:color w:val="auto"/>
                <w:vertAlign w:val="superscript"/>
              </w:rPr>
              <w:t>(7)</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1,485,953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19,184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Go Dawgs Capital III, LP</w:t>
            </w: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Building Products</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HV Watterson Holdings, LLC</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Icon Partners V C,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1,851,852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 (9)</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Internet Software and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648,148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860" w:type="dxa"/>
            <w:vAlign w:val="bottom"/>
          </w:tcPr>
          <w:p>
            <w:pPr>
              <w:ind w:left="20"/>
              <w:spacing w:after="0"/>
              <w:rPr>
                <w:sz w:val="20"/>
                <w:szCs w:val="20"/>
                <w:color w:val="auto"/>
              </w:rPr>
            </w:pPr>
            <w:r>
              <w:rPr>
                <w:rFonts w:ascii="Arial" w:cs="Arial" w:eastAsia="Arial" w:hAnsi="Arial"/>
                <w:sz w:val="11"/>
                <w:szCs w:val="11"/>
                <w:color w:val="auto"/>
              </w:rPr>
              <w:t>IIN Group Holdings, LLC</w:t>
            </w:r>
          </w:p>
        </w:tc>
        <w:tc>
          <w:tcPr>
            <w:tcW w:w="12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5"/>
              </w:rPr>
              <w:t>Consumer Services</w:t>
            </w:r>
          </w:p>
        </w:tc>
        <w:tc>
          <w:tcPr>
            <w:tcW w:w="12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10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4"/>
                <w:szCs w:val="14"/>
                <w:color w:val="auto"/>
                <w:vertAlign w:val="superscript"/>
              </w:rPr>
              <w:t>(7), (8)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Imagine Topco, LP (Common)</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Software</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1,236,027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w w:val="93"/>
              </w:rPr>
              <w:t xml:space="preserve">Ironclad Holdco, LLC (Applied Technical Services, LLC) </w:t>
            </w:r>
            <w:r>
              <w:rPr>
                <w:rFonts w:ascii="Arial" w:cs="Arial" w:eastAsia="Arial" w:hAnsi="Arial"/>
                <w:sz w:val="14"/>
                <w:szCs w:val="14"/>
                <w:color w:val="auto"/>
                <w:w w:val="93"/>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5,811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ITC Infusion Co-invest, LP</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81,313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(7),(8)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Healthcare and Pharmaceuticals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46,763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JWC-WE Holdings, L.P.</w:t>
            </w: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Wholesale</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1,948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568</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Kinetic Purchaser,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Personal Products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1,734,775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Energy Equipment and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7"/>
              </w:rPr>
              <w:t>Hotels, Restaurants and Leisure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87,345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Healthcare Technology</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MDI Aggregator, LP</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Commodity Chemicals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668,747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Meadowlark Title,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819,231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MSpark, LLC</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Media: Advertising, Printing and Publishing</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3,988</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1,288</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1,973,370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(7), (8)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tcPr>
          <w:p>
            <w:pPr>
              <w:ind w:left="20"/>
              <w:spacing w:after="0"/>
              <w:rPr>
                <w:sz w:val="20"/>
                <w:szCs w:val="20"/>
                <w:color w:val="auto"/>
              </w:rPr>
            </w:pPr>
            <w:r>
              <w:rPr>
                <w:rFonts w:ascii="Arial" w:cs="Arial" w:eastAsia="Arial" w:hAnsi="Arial"/>
                <w:sz w:val="11"/>
                <w:szCs w:val="11"/>
                <w:color w:val="auto"/>
              </w:rPr>
              <w:t>North Haven Saints Equity Holdings, LP</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Healthcare Technology</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223,602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IT Services</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Arial" w:cs="Arial" w:eastAsia="Arial" w:hAnsi="Arial"/>
                <w:sz w:val="11"/>
                <w:szCs w:val="11"/>
                <w:color w:val="auto"/>
                <w:w w:val="90"/>
              </w:rPr>
              <w:t>OceanSound Discovery Equity, LP (Holdco Sands Intermediate,</w:t>
            </w:r>
          </w:p>
        </w:tc>
        <w:tc>
          <w:tcPr>
            <w:tcW w:w="120" w:type="dxa"/>
            <w:vAlign w:val="bottom"/>
          </w:tcPr>
          <w:p>
            <w:pPr>
              <w:spacing w:after="0"/>
              <w:rPr>
                <w:sz w:val="9"/>
                <w:szCs w:val="9"/>
                <w:color w:val="auto"/>
              </w:rPr>
            </w:pPr>
          </w:p>
        </w:tc>
        <w:tc>
          <w:tcPr>
            <w:tcW w:w="720" w:type="dxa"/>
            <w:vAlign w:val="bottom"/>
          </w:tcPr>
          <w:p>
            <w:pPr>
              <w:ind w:left="600"/>
              <w:spacing w:after="0" w:line="108"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9"/>
                <w:szCs w:val="9"/>
                <w:color w:val="auto"/>
              </w:rPr>
            </w:pPr>
          </w:p>
        </w:tc>
        <w:tc>
          <w:tcPr>
            <w:tcW w:w="1080" w:type="dxa"/>
            <w:vAlign w:val="bottom"/>
            <w:gridSpan w:val="2"/>
          </w:tcPr>
          <w:p>
            <w:pPr>
              <w:jc w:val="right"/>
              <w:ind w:right="240"/>
              <w:spacing w:after="0" w:line="108" w:lineRule="exact"/>
              <w:rPr>
                <w:sz w:val="20"/>
                <w:szCs w:val="20"/>
                <w:color w:val="auto"/>
              </w:rPr>
            </w:pPr>
            <w:r>
              <w:rPr>
                <w:rFonts w:ascii="Arial" w:cs="Arial" w:eastAsia="Arial" w:hAnsi="Arial"/>
                <w:sz w:val="11"/>
                <w:szCs w:val="11"/>
                <w:color w:val="auto"/>
              </w:rPr>
              <w:t>—</w:t>
            </w:r>
          </w:p>
        </w:tc>
        <w:tc>
          <w:tcPr>
            <w:tcW w:w="820" w:type="dxa"/>
            <w:vAlign w:val="bottom"/>
          </w:tcPr>
          <w:p>
            <w:pPr>
              <w:ind w:left="700"/>
              <w:spacing w:after="0" w:line="108" w:lineRule="exact"/>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173,638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1,729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1"/>
                <w:szCs w:val="11"/>
                <w:color w:val="auto"/>
              </w:rPr>
              <w:t>2,917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(7), (8)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OHCP V BC COI, L.P.</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743,750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(8) (9)</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Distributors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506,250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(73 )</w:t>
            </w: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14"/>
                <w:szCs w:val="14"/>
                <w:color w:val="auto"/>
                <w:vertAlign w:val="superscript"/>
              </w:rPr>
              <w:t>(7),(8)</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3,872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ORL Holdco,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Consumer Finance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1,474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Financial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11,167,847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11,168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Pink Lily Holdco, LLC (PL Acquisitions, LLC)</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0"/>
              </w:rPr>
              <w:t>Textiles, Apparel and Luxury Goods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ind w:left="700"/>
              <w:spacing w:after="0"/>
              <w:rPr>
                <w:sz w:val="20"/>
                <w:szCs w:val="20"/>
                <w:color w:val="auto"/>
              </w:rPr>
            </w:pPr>
            <w:r>
              <w:rPr>
                <w:rFonts w:ascii="Arial" w:cs="Arial" w:eastAsia="Arial" w:hAnsi="Arial"/>
                <w:sz w:val="11"/>
                <w:szCs w:val="11"/>
                <w:color w:val="auto"/>
                <w:w w:val="90"/>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1,735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8"/>
        </w:trPr>
        <w:tc>
          <w:tcPr>
            <w:tcW w:w="2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-6325870</wp:posOffset>
            </wp:positionV>
            <wp:extent cx="6858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-6325870</wp:posOffset>
            </wp:positionV>
            <wp:extent cx="6858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data)</w:t>
      </w:r>
    </w:p>
    <w:tbl>
      <w:tblPr>
        <w:tblLayout w:type="fixed"/>
        <w:tblInd w:w="0" w:type="dxa"/>
        <w:tblCellMar>
          <w:top w:w="0" w:type="dxa"/>
          <w:left w:w="0" w:type="dxa"/>
          <w:bottom w:w="0" w:type="dxa"/>
          <w:right w:w="0" w:type="dxa"/>
        </w:tblCellMar>
      </w:tblPr>
      <w:tr>
        <w:trPr>
          <w:trHeight w:val="116"/>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460"/>
              <w:spacing w:after="0" w:line="109" w:lineRule="exact"/>
              <w:rPr>
                <w:sz w:val="20"/>
                <w:szCs w:val="20"/>
                <w:color w:val="auto"/>
              </w:rPr>
            </w:pPr>
            <w:r>
              <w:rPr>
                <w:rFonts w:ascii="Arial" w:cs="Arial" w:eastAsia="Arial" w:hAnsi="Arial"/>
                <w:sz w:val="11"/>
                <w:szCs w:val="11"/>
                <w:b w:val="1"/>
                <w:bCs w:val="1"/>
                <w:color w:val="auto"/>
              </w:rPr>
              <w:t>Current</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09" w:lineRule="exact"/>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Maturity</w:t>
            </w:r>
          </w:p>
        </w:tc>
        <w:tc>
          <w:tcPr>
            <w:tcW w:w="2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Coupon</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Pragmatic Institute, LLC</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Professional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610,583</w:t>
            </w:r>
          </w:p>
        </w:tc>
        <w:tc>
          <w:tcPr>
            <w:tcW w:w="400" w:type="dxa"/>
            <w:vAlign w:val="bottom"/>
            <w:gridSpan w:val="2"/>
            <w:shd w:val="clear" w:color="auto" w:fill="CCECFF"/>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 (8), (9)</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955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(7), (8),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14"/>
                <w:szCs w:val="14"/>
                <w:color w:val="auto"/>
                <w:vertAlign w:val="superscript"/>
              </w:rPr>
              <w:t>(7)</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Healthcare Equipment and Supplies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8"/>
              </w:rPr>
              <w:t>SBI Holdings Investments LLC (Sales Benchmark Index LLC)</w:t>
            </w:r>
          </w:p>
        </w:tc>
        <w:tc>
          <w:tcPr>
            <w:tcW w:w="720" w:type="dxa"/>
            <w:vAlign w:val="bottom"/>
          </w:tcPr>
          <w:p>
            <w:pPr>
              <w:ind w:left="600"/>
              <w:spacing w:after="0" w:line="108"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1"/>
                <w:szCs w:val="11"/>
                <w:color w:val="auto"/>
                <w:w w:val="88"/>
              </w:rPr>
              <w:t>Professional Services</w:t>
            </w:r>
          </w:p>
        </w:tc>
        <w:tc>
          <w:tcPr>
            <w:tcW w:w="120" w:type="dxa"/>
            <w:vAlign w:val="bottom"/>
          </w:tcPr>
          <w:p>
            <w:pPr>
              <w:spacing w:after="0"/>
              <w:rPr>
                <w:sz w:val="9"/>
                <w:szCs w:val="9"/>
                <w:color w:val="auto"/>
              </w:rPr>
            </w:pPr>
          </w:p>
        </w:tc>
        <w:tc>
          <w:tcPr>
            <w:tcW w:w="1080" w:type="dxa"/>
            <w:vAlign w:val="bottom"/>
            <w:gridSpan w:val="2"/>
          </w:tcPr>
          <w:p>
            <w:pPr>
              <w:jc w:val="right"/>
              <w:ind w:right="240"/>
              <w:spacing w:after="0" w:line="108"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08"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64,634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1"/>
                <w:szCs w:val="11"/>
                <w:color w:val="auto"/>
              </w:rPr>
              <w:t>646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1"/>
                <w:szCs w:val="11"/>
                <w:color w:val="auto"/>
              </w:rPr>
              <w:t>634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860" w:type="dxa"/>
            <w:vAlign w:val="bottom"/>
          </w:tcPr>
          <w:p>
            <w:pPr>
              <w:ind w:left="20"/>
              <w:spacing w:after="0"/>
              <w:rPr>
                <w:sz w:val="20"/>
                <w:szCs w:val="20"/>
                <w:color w:val="auto"/>
              </w:rPr>
            </w:pPr>
            <w:r>
              <w:rPr>
                <w:rFonts w:ascii="Arial" w:cs="Arial" w:eastAsia="Arial" w:hAnsi="Arial"/>
                <w:sz w:val="7"/>
                <w:szCs w:val="7"/>
                <w:color w:val="auto"/>
              </w:rPr>
              <w:t>(7), (8)</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29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Seaway Topco, LP</w:t>
            </w: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Commercial Services &amp; Supplies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SP L2 Holdings, LLC (Ledge Lounger, Inc.)</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Products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360,103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SSC Dominion Holdings, LLC</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gridSpan w:val="2"/>
          </w:tcPr>
          <w:p>
            <w:pPr>
              <w:ind w:left="10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4"/>
                <w:szCs w:val="14"/>
                <w:color w:val="auto"/>
                <w:vertAlign w:val="superscript"/>
              </w:rPr>
              <w:t>(7)</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Capital Equipment</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161,538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(7),(8)</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488,372</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w w:val="99"/>
              </w:rPr>
              <w:t>Tower Arch Infolinks Media, LP (Infolinks Media Buyco, LLC)</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216,925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80" w:type="dxa"/>
            <w:vAlign w:val="bottom"/>
            <w:gridSpan w:val="2"/>
            <w:shd w:val="clear" w:color="auto" w:fill="CCECFF"/>
          </w:tcPr>
          <w:p>
            <w:pPr>
              <w:ind w:left="20"/>
              <w:spacing w:after="0" w:line="112" w:lineRule="exact"/>
              <w:rPr>
                <w:sz w:val="20"/>
                <w:szCs w:val="20"/>
                <w:color w:val="auto"/>
              </w:rPr>
            </w:pPr>
            <w:r>
              <w:rPr>
                <w:rFonts w:ascii="Arial" w:cs="Arial" w:eastAsia="Arial" w:hAnsi="Arial"/>
                <w:sz w:val="11"/>
                <w:szCs w:val="11"/>
                <w:color w:val="auto"/>
                <w:w w:val="99"/>
              </w:rPr>
              <w:t>Tower Arch Infolinks Media, LP (Infolinks Media Buyco, LLC)</w:t>
            </w:r>
          </w:p>
        </w:tc>
        <w:tc>
          <w:tcPr>
            <w:tcW w:w="720" w:type="dxa"/>
            <w:vAlign w:val="bottom"/>
            <w:shd w:val="clear" w:color="auto" w:fill="CCECFF"/>
          </w:tcPr>
          <w:p>
            <w:pPr>
              <w:ind w:left="600"/>
              <w:spacing w:after="0" w:line="112" w:lineRule="exact"/>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9"/>
                <w:szCs w:val="9"/>
                <w:color w:val="auto"/>
              </w:rPr>
            </w:pPr>
          </w:p>
        </w:tc>
        <w:tc>
          <w:tcPr>
            <w:tcW w:w="2020" w:type="dxa"/>
            <w:vAlign w:val="bottom"/>
            <w:shd w:val="clear" w:color="auto" w:fill="CCECFF"/>
          </w:tcPr>
          <w:p>
            <w:pPr>
              <w:jc w:val="center"/>
              <w:spacing w:after="0" w:line="112" w:lineRule="exact"/>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9"/>
                <w:szCs w:val="9"/>
                <w:color w:val="auto"/>
              </w:rPr>
            </w:pPr>
          </w:p>
        </w:tc>
        <w:tc>
          <w:tcPr>
            <w:tcW w:w="1080" w:type="dxa"/>
            <w:vAlign w:val="bottom"/>
            <w:gridSpan w:val="2"/>
            <w:shd w:val="clear" w:color="auto" w:fill="CCECFF"/>
          </w:tcPr>
          <w:p>
            <w:pPr>
              <w:jc w:val="right"/>
              <w:ind w:right="240"/>
              <w:spacing w:after="0" w:line="112" w:lineRule="exact"/>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12" w:lineRule="exact"/>
              <w:rPr>
                <w:sz w:val="20"/>
                <w:szCs w:val="20"/>
                <w:color w:val="auto"/>
              </w:rPr>
            </w:pPr>
            <w:r>
              <w:rPr>
                <w:rFonts w:ascii="Arial" w:cs="Arial" w:eastAsia="Arial" w:hAnsi="Arial"/>
                <w:sz w:val="11"/>
                <w:szCs w:val="11"/>
                <w:color w:val="auto"/>
              </w:rPr>
              <w:t>148,681</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40" w:type="dxa"/>
            <w:vAlign w:val="bottom"/>
            <w:shd w:val="clear" w:color="auto" w:fill="CCECFF"/>
          </w:tcPr>
          <w:p>
            <w:pPr>
              <w:jc w:val="right"/>
              <w:spacing w:after="0" w:line="112" w:lineRule="exact"/>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40" w:type="dxa"/>
            <w:vAlign w:val="bottom"/>
            <w:gridSpan w:val="2"/>
            <w:shd w:val="clear" w:color="auto" w:fill="CCEC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2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7"/>
                <w:szCs w:val="7"/>
                <w:color w:val="auto"/>
              </w:rPr>
              <w:t>(8) (9)</w:t>
            </w:r>
          </w:p>
        </w:tc>
        <w:tc>
          <w:tcPr>
            <w:tcW w:w="1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02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(5), (7), (10)</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Food Products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w w:val="99"/>
              </w:rPr>
              <w:t xml:space="preserve">TWD Parent Holdings, LLC (The Vertex Companies, LLC) </w:t>
            </w:r>
            <w:r>
              <w:rPr>
                <w:rFonts w:ascii="Arial" w:cs="Arial" w:eastAsia="Arial" w:hAnsi="Arial"/>
                <w:sz w:val="14"/>
                <w:szCs w:val="14"/>
                <w:color w:val="auto"/>
                <w:w w:val="99"/>
                <w:vertAlign w:val="superscript"/>
              </w:rPr>
              <w:t>(7)</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Construction &amp; Engineering</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4"/>
                <w:szCs w:val="14"/>
                <w:color w:val="auto"/>
                <w:vertAlign w:val="superscript"/>
              </w:rPr>
              <w:t>(7)</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213,739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4"/>
                <w:szCs w:val="14"/>
                <w:color w:val="auto"/>
                <w:vertAlign w:val="superscript"/>
              </w:rPr>
              <w:t>(7)</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23,889</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(7),(8)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WCP IvyRehab QP CF Feeder, LP</w:t>
            </w:r>
          </w:p>
        </w:tc>
        <w:tc>
          <w:tcPr>
            <w:tcW w:w="720" w:type="dxa"/>
            <w:vAlign w:val="bottom"/>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3,762,257</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3,762</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WCP IvyRehab QP CF Feeder, LP </w:t>
            </w:r>
            <w:r>
              <w:rPr>
                <w:rFonts w:ascii="Arial" w:cs="Arial" w:eastAsia="Arial" w:hAnsi="Arial"/>
                <w:sz w:val="14"/>
                <w:szCs w:val="14"/>
                <w:color w:val="auto"/>
                <w:vertAlign w:val="superscript"/>
              </w:rPr>
              <w:t>(9)</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88"/>
              </w:rPr>
              <w:t>Healthcare Providers and Services</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237,743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980" w:type="dxa"/>
            <w:vAlign w:val="bottom"/>
            <w:gridSpan w:val="2"/>
            <w:shd w:val="clear" w:color="auto" w:fill="CCECFF"/>
          </w:tcPr>
          <w:p>
            <w:pPr>
              <w:ind w:left="20"/>
              <w:spacing w:after="0" w:line="125"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14"/>
                <w:szCs w:val="14"/>
                <w:color w:val="auto"/>
                <w:vertAlign w:val="superscript"/>
              </w:rPr>
              <w:t>(7), (8)</w:t>
            </w:r>
          </w:p>
        </w:tc>
        <w:tc>
          <w:tcPr>
            <w:tcW w:w="720" w:type="dxa"/>
            <w:vAlign w:val="bottom"/>
            <w:shd w:val="clear" w:color="auto" w:fill="CCECFF"/>
          </w:tcPr>
          <w:p>
            <w:pPr>
              <w:ind w:left="60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120" w:type="dxa"/>
            <w:vAlign w:val="bottom"/>
            <w:shd w:val="clear" w:color="auto" w:fill="CCECFF"/>
          </w:tcPr>
          <w:p>
            <w:pPr>
              <w:spacing w:after="0"/>
              <w:rPr>
                <w:sz w:val="10"/>
                <w:szCs w:val="10"/>
                <w:color w:val="auto"/>
              </w:rPr>
            </w:pPr>
          </w:p>
        </w:tc>
        <w:tc>
          <w:tcPr>
            <w:tcW w:w="1080" w:type="dxa"/>
            <w:vAlign w:val="bottom"/>
            <w:gridSpan w:val="2"/>
            <w:shd w:val="clear" w:color="auto" w:fill="CCECFF"/>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2,240</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596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0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6"/>
              </w:rPr>
              <w:t>Components</w:t>
            </w: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Common Equity/Warrants</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55,418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94,050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w w:val="96"/>
              </w:rPr>
              <w:t>Total Investments in Non-Controlled, Non-Affiliated Portfolio Companies</w:t>
            </w: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882,570</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893,249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00" w:type="dxa"/>
            <w:vAlign w:val="bottom"/>
            <w:gridSpan w:val="3"/>
          </w:tcPr>
          <w:p>
            <w:pPr>
              <w:ind w:left="20"/>
              <w:spacing w:after="0" w:line="146" w:lineRule="exact"/>
              <w:rPr>
                <w:sz w:val="20"/>
                <w:szCs w:val="20"/>
                <w:color w:val="auto"/>
              </w:rPr>
            </w:pPr>
            <w:r>
              <w:rPr>
                <w:rFonts w:ascii="Arial" w:cs="Arial" w:eastAsia="Arial" w:hAnsi="Arial"/>
                <w:sz w:val="11"/>
                <w:szCs w:val="11"/>
                <w:b w:val="1"/>
                <w:bCs w:val="1"/>
                <w:color w:val="auto"/>
                <w:w w:val="98"/>
              </w:rPr>
              <w:t xml:space="preserve">Investments in Controlled, Affiliated Portfolio Companies—51.4% </w:t>
            </w:r>
            <w:r>
              <w:rPr>
                <w:rFonts w:ascii="Arial" w:cs="Arial" w:eastAsia="Arial" w:hAnsi="Arial"/>
                <w:sz w:val="14"/>
                <w:szCs w:val="14"/>
                <w:b w:val="1"/>
                <w:bCs w:val="1"/>
                <w:color w:val="auto"/>
                <w:w w:val="98"/>
                <w:vertAlign w:val="superscript"/>
              </w:rPr>
              <w:t>(3), (4)</w:t>
            </w: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First Lien Secured Debt—41.8%</w:t>
            </w: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98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6"/>
              </w:rPr>
              <w:t>Marketplace Events, LLC - Super Priority First Lien Term Loan</w:t>
            </w:r>
          </w:p>
        </w:tc>
        <w:tc>
          <w:tcPr>
            <w:tcW w:w="720" w:type="dxa"/>
            <w:vAlign w:val="bottom"/>
          </w:tcPr>
          <w:p>
            <w:pPr>
              <w:ind w:left="100"/>
              <w:spacing w:after="0" w:line="108" w:lineRule="exact"/>
              <w:rPr>
                <w:sz w:val="20"/>
                <w:szCs w:val="20"/>
                <w:color w:val="auto"/>
              </w:rPr>
            </w:pPr>
            <w:r>
              <w:rPr>
                <w:rFonts w:ascii="Arial" w:cs="Arial" w:eastAsia="Arial" w:hAnsi="Arial"/>
                <w:sz w:val="11"/>
                <w:szCs w:val="11"/>
                <w:color w:val="auto"/>
              </w:rPr>
              <w:t>09/30/2025</w:t>
            </w:r>
          </w:p>
        </w:tc>
        <w:tc>
          <w:tcPr>
            <w:tcW w:w="26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1"/>
                <w:szCs w:val="11"/>
                <w:color w:val="auto"/>
                <w:w w:val="91"/>
              </w:rPr>
              <w:t>Media: Diversified and Production</w:t>
            </w:r>
          </w:p>
        </w:tc>
        <w:tc>
          <w:tcPr>
            <w:tcW w:w="1200" w:type="dxa"/>
            <w:vAlign w:val="bottom"/>
            <w:gridSpan w:val="3"/>
          </w:tcPr>
          <w:p>
            <w:pPr>
              <w:jc w:val="right"/>
              <w:ind w:right="120"/>
              <w:spacing w:after="0" w:line="108" w:lineRule="exact"/>
              <w:rPr>
                <w:sz w:val="20"/>
                <w:szCs w:val="20"/>
                <w:color w:val="auto"/>
              </w:rPr>
            </w:pPr>
            <w:r>
              <w:rPr>
                <w:rFonts w:ascii="Arial" w:cs="Arial" w:eastAsia="Arial" w:hAnsi="Arial"/>
                <w:sz w:val="11"/>
                <w:szCs w:val="11"/>
                <w:color w:val="auto"/>
              </w:rPr>
              <w:t>8.19 %</w:t>
            </w:r>
          </w:p>
        </w:tc>
        <w:tc>
          <w:tcPr>
            <w:tcW w:w="820" w:type="dxa"/>
            <w:vAlign w:val="bottom"/>
          </w:tcPr>
          <w:p>
            <w:pPr>
              <w:jc w:val="right"/>
              <w:spacing w:after="0" w:line="108" w:lineRule="exact"/>
              <w:rPr>
                <w:sz w:val="20"/>
                <w:szCs w:val="20"/>
                <w:color w:val="auto"/>
              </w:rPr>
            </w:pPr>
            <w:r>
              <w:rPr>
                <w:rFonts w:ascii="Arial" w:cs="Arial" w:eastAsia="Arial" w:hAnsi="Arial"/>
                <w:sz w:val="11"/>
                <w:szCs w:val="11"/>
                <w:color w:val="auto"/>
              </w:rPr>
              <w:t>3M L+525</w:t>
            </w:r>
          </w:p>
        </w:tc>
        <w:tc>
          <w:tcPr>
            <w:tcW w:w="10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3,582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860" w:type="dxa"/>
            <w:vAlign w:val="bottom"/>
          </w:tcPr>
          <w:p>
            <w:pPr>
              <w:ind w:left="20"/>
              <w:spacing w:after="0"/>
              <w:rPr>
                <w:sz w:val="20"/>
                <w:szCs w:val="20"/>
                <w:color w:val="auto"/>
              </w:rPr>
            </w:pPr>
            <w:r>
              <w:rPr>
                <w:rFonts w:ascii="Arial" w:cs="Arial" w:eastAsia="Arial" w:hAnsi="Arial"/>
                <w:sz w:val="7"/>
                <w:szCs w:val="7"/>
                <w:color w:val="auto"/>
              </w:rPr>
              <w:t>(7)</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line="125" w:lineRule="exact"/>
              <w:rPr>
                <w:sz w:val="20"/>
                <w:szCs w:val="20"/>
                <w:color w:val="auto"/>
              </w:rPr>
            </w:pPr>
            <w:r>
              <w:rPr>
                <w:rFonts w:ascii="Arial" w:cs="Arial" w:eastAsia="Arial" w:hAnsi="Arial"/>
                <w:sz w:val="11"/>
                <w:szCs w:val="11"/>
                <w:color w:val="auto"/>
              </w:rPr>
              <w:t>3,582</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spacing w:after="0" w:line="125" w:lineRule="exact"/>
              <w:rPr>
                <w:sz w:val="20"/>
                <w:szCs w:val="20"/>
                <w:color w:val="auto"/>
              </w:rPr>
            </w:pPr>
            <w:r>
              <w:rPr>
                <w:rFonts w:ascii="Arial" w:cs="Arial" w:eastAsia="Arial" w:hAnsi="Arial"/>
                <w:sz w:val="11"/>
                <w:szCs w:val="11"/>
                <w:color w:val="auto"/>
              </w:rPr>
              <w:t>3,582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(PIK 5.25%)</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14"/>
                <w:szCs w:val="14"/>
                <w:color w:val="auto"/>
                <w:vertAlign w:val="superscript"/>
              </w:rPr>
              <w:t>(7), (9)</w:t>
            </w:r>
          </w:p>
        </w:tc>
        <w:tc>
          <w:tcPr>
            <w:tcW w:w="720" w:type="dxa"/>
            <w:vAlign w:val="bottom"/>
            <w:shd w:val="clear" w:color="auto" w:fill="CCECFF"/>
          </w:tcPr>
          <w:p>
            <w:pPr>
              <w:ind w:left="100"/>
              <w:spacing w:after="0"/>
              <w:rPr>
                <w:sz w:val="20"/>
                <w:szCs w:val="20"/>
                <w:color w:val="auto"/>
              </w:rPr>
            </w:pPr>
            <w:r>
              <w:rPr>
                <w:rFonts w:ascii="Arial" w:cs="Arial" w:eastAsia="Arial" w:hAnsi="Arial"/>
                <w:sz w:val="11"/>
                <w:szCs w:val="11"/>
                <w:color w:val="auto"/>
              </w:rPr>
              <w:t>09/30/2025</w:t>
            </w:r>
          </w:p>
        </w:tc>
        <w:tc>
          <w:tcPr>
            <w:tcW w:w="260" w:type="dxa"/>
            <w:vAlign w:val="bottom"/>
            <w:shd w:val="clear" w:color="auto" w:fill="CCECFF"/>
          </w:tcPr>
          <w:p>
            <w:pPr>
              <w:spacing w:after="0"/>
              <w:rPr>
                <w:sz w:val="13"/>
                <w:szCs w:val="13"/>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3,261</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Marketplace Events, LLC</w:t>
            </w:r>
          </w:p>
        </w:tc>
        <w:tc>
          <w:tcPr>
            <w:tcW w:w="720" w:type="dxa"/>
            <w:vAlign w:val="bottom"/>
          </w:tcPr>
          <w:p>
            <w:pPr>
              <w:ind w:left="100"/>
              <w:spacing w:after="0"/>
              <w:rPr>
                <w:sz w:val="20"/>
                <w:szCs w:val="20"/>
                <w:color w:val="auto"/>
              </w:rPr>
            </w:pPr>
            <w:r>
              <w:rPr>
                <w:rFonts w:ascii="Arial" w:cs="Arial" w:eastAsia="Arial" w:hAnsi="Arial"/>
                <w:sz w:val="11"/>
                <w:szCs w:val="11"/>
                <w:color w:val="auto"/>
              </w:rPr>
              <w:t>09/30/2026</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8.19 %</w:t>
            </w:r>
          </w:p>
        </w:tc>
        <w:tc>
          <w:tcPr>
            <w:tcW w:w="820" w:type="dxa"/>
            <w:vAlign w:val="bottom"/>
          </w:tcPr>
          <w:p>
            <w:pPr>
              <w:jc w:val="right"/>
              <w:spacing w:after="0"/>
              <w:rPr>
                <w:sz w:val="20"/>
                <w:szCs w:val="20"/>
                <w:color w:val="auto"/>
              </w:rPr>
            </w:pPr>
            <w:r>
              <w:rPr>
                <w:rFonts w:ascii="Arial" w:cs="Arial" w:eastAsia="Arial" w:hAnsi="Arial"/>
                <w:sz w:val="11"/>
                <w:szCs w:val="11"/>
                <w:color w:val="auto"/>
              </w:rPr>
              <w:t>3M L+525</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26,771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19,518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tcBorders>
              <w:bottom w:val="single" w:sz="8" w:color="CCECFF"/>
            </w:tcBorders>
            <w:gridSpan w:val="2"/>
            <w:shd w:val="clear" w:color="auto" w:fill="CCECFF"/>
          </w:tcPr>
          <w:p>
            <w:pPr>
              <w:ind w:left="20"/>
              <w:spacing w:after="0" w:line="153"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2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1"/>
                <w:szCs w:val="11"/>
                <w:color w:val="auto"/>
              </w:rPr>
              <w:t>05/06/2024</w:t>
            </w:r>
          </w:p>
        </w:tc>
        <w:tc>
          <w:tcPr>
            <w:tcW w:w="260" w:type="dxa"/>
            <w:vAlign w:val="bottom"/>
            <w:tcBorders>
              <w:bottom w:val="single" w:sz="8" w:color="CCECFF"/>
            </w:tcBorders>
            <w:shd w:val="clear" w:color="auto" w:fill="CCECFF"/>
          </w:tcPr>
          <w:p>
            <w:pPr>
              <w:spacing w:after="0"/>
              <w:rPr>
                <w:sz w:val="13"/>
                <w:szCs w:val="13"/>
                <w:color w:val="auto"/>
              </w:rPr>
            </w:pPr>
          </w:p>
        </w:tc>
        <w:tc>
          <w:tcPr>
            <w:tcW w:w="20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7"/>
              </w:rPr>
              <w:t>Financial Services</w:t>
            </w:r>
          </w:p>
        </w:tc>
        <w:tc>
          <w:tcPr>
            <w:tcW w:w="1200" w:type="dxa"/>
            <w:vAlign w:val="bottom"/>
            <w:tcBorders>
              <w:bottom w:val="single" w:sz="8" w:color="CCECFF"/>
            </w:tcBorders>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10.71 %</w:t>
            </w:r>
          </w:p>
        </w:tc>
        <w:tc>
          <w:tcPr>
            <w:tcW w:w="8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10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190,181</w:t>
            </w:r>
          </w:p>
        </w:tc>
        <w:tc>
          <w:tcPr>
            <w:tcW w:w="2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190,181</w:t>
            </w: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190,182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213,281</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220,535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Equity Interests—9.6%</w:t>
            </w: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14"/>
                <w:szCs w:val="14"/>
                <w:color w:val="auto"/>
                <w:vertAlign w:val="superscript"/>
              </w:rPr>
              <w:t>(7),(8)</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1"/>
                <w:szCs w:val="11"/>
                <w:color w:val="auto"/>
                <w:w w:val="91"/>
              </w:rPr>
              <w:t>Media: Diversified and Production</w:t>
            </w: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CCECFF"/>
            </w:tcBorders>
            <w:gridSpan w:val="2"/>
            <w:shd w:val="clear" w:color="auto" w:fill="CCECFF"/>
          </w:tcPr>
          <w:p>
            <w:pPr>
              <w:ind w:left="20"/>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4"/>
                <w:szCs w:val="14"/>
                <w:color w:val="auto"/>
                <w:vertAlign w:val="superscript"/>
              </w:rPr>
              <w:t>(7), (9), (10)</w:t>
            </w:r>
          </w:p>
        </w:tc>
        <w:tc>
          <w:tcPr>
            <w:tcW w:w="720" w:type="dxa"/>
            <w:vAlign w:val="bottom"/>
            <w:tcBorders>
              <w:bottom w:val="single" w:sz="8" w:color="CCECFF"/>
            </w:tcBorders>
            <w:shd w:val="clear" w:color="auto" w:fill="CCECFF"/>
          </w:tcPr>
          <w:p>
            <w:pPr>
              <w:ind w:left="600"/>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7"/>
              </w:rPr>
              <w:t>Financial Services</w:t>
            </w:r>
          </w:p>
        </w:tc>
        <w:tc>
          <w:tcPr>
            <w:tcW w:w="12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81,506</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81,506</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49,434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Equity Interests</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81,506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50,470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294,787</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271,005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Investments—220.9%</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1,177,357</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1,164,254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Cash and Cash Equivalents—9.1%</w:t>
            </w:r>
          </w:p>
        </w:tc>
        <w:tc>
          <w:tcPr>
            <w:tcW w:w="7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gridSpan w:val="2"/>
          </w:tcPr>
          <w:p>
            <w:pPr>
              <w:ind w:left="20"/>
              <w:spacing w:after="0"/>
              <w:rPr>
                <w:sz w:val="20"/>
                <w:szCs w:val="20"/>
                <w:color w:val="auto"/>
              </w:rPr>
            </w:pPr>
            <w:r>
              <w:rPr>
                <w:rFonts w:ascii="Arial" w:cs="Arial" w:eastAsia="Arial" w:hAnsi="Arial"/>
                <w:sz w:val="11"/>
                <w:szCs w:val="11"/>
                <w:color w:val="auto"/>
              </w:rPr>
              <w:t>BlackRock Federal FD Institutional 30</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38,209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BNY Mellon Cash</w:t>
            </w: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9,707</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9,671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47,916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Equivalents—230.0%</w:t>
            </w:r>
          </w:p>
        </w:tc>
        <w:tc>
          <w:tcPr>
            <w:tcW w:w="7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1,225,273</w:t>
            </w: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1,212,134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ind w:left="20"/>
              <w:spacing w:after="0"/>
              <w:rPr>
                <w:sz w:val="20"/>
                <w:szCs w:val="20"/>
                <w:color w:val="auto"/>
              </w:rPr>
            </w:pPr>
            <w:r>
              <w:rPr>
                <w:rFonts w:ascii="Arial" w:cs="Arial" w:eastAsia="Arial" w:hAnsi="Arial"/>
                <w:sz w:val="11"/>
                <w:szCs w:val="11"/>
                <w:b w:val="1"/>
                <w:bCs w:val="1"/>
                <w:color w:val="auto"/>
              </w:rPr>
              <w:t>Liabilities in Excess of Other Assets—(130.0)%</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(685,042 )</w:t>
            </w:r>
          </w:p>
        </w:tc>
        <w:tc>
          <w:tcPr>
            <w:tcW w:w="0" w:type="dxa"/>
            <w:vAlign w:val="bottom"/>
          </w:tcPr>
          <w:p>
            <w:pPr>
              <w:spacing w:after="0"/>
              <w:rPr>
                <w:sz w:val="1"/>
                <w:szCs w:val="1"/>
                <w:color w:val="auto"/>
              </w:rPr>
            </w:pPr>
          </w:p>
        </w:tc>
      </w:tr>
      <w:tr>
        <w:trPr>
          <w:trHeight w:val="178"/>
        </w:trPr>
        <w:tc>
          <w:tcPr>
            <w:tcW w:w="29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Net Assets—100.0%</w:t>
            </w:r>
          </w:p>
        </w:tc>
        <w:tc>
          <w:tcPr>
            <w:tcW w:w="7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527,092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-2373630</wp:posOffset>
            </wp:positionV>
            <wp:extent cx="68580"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1111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-2167890</wp:posOffset>
            </wp:positionV>
            <wp:extent cx="6858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-1447800</wp:posOffset>
            </wp:positionV>
            <wp:extent cx="68580"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-1053465</wp:posOffset>
            </wp:positionV>
            <wp:extent cx="68580" cy="1111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1111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-848360</wp:posOffset>
            </wp:positionV>
            <wp:extent cx="68580"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111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-453390</wp:posOffset>
            </wp:positionV>
            <wp:extent cx="68580" cy="1111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111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-248285</wp:posOffset>
            </wp:positionV>
            <wp:extent cx="72898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4" w:lineRule="exact"/>
        <w:rPr>
          <w:sz w:val="20"/>
          <w:szCs w:val="20"/>
          <w:color w:val="auto"/>
        </w:rPr>
      </w:pPr>
    </w:p>
    <w:p>
      <w:pPr>
        <w:ind w:left="380" w:right="20" w:hanging="372"/>
        <w:spacing w:after="0" w:line="276"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24" w:lineRule="exact"/>
        <w:rPr>
          <w:rFonts w:ascii="Arial" w:cs="Arial" w:eastAsia="Arial" w:hAnsi="Arial"/>
          <w:sz w:val="12"/>
          <w:szCs w:val="12"/>
          <w:color w:val="auto"/>
        </w:rPr>
      </w:pPr>
    </w:p>
    <w:p>
      <w:pPr>
        <w:ind w:left="380" w:right="220" w:hanging="372"/>
        <w:spacing w:after="0" w:line="252"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24"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11)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24"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our total assets and non-qualifying assets represent 19%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(AUD) as denoted.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1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2023-11-15T15:31:25Z</dcterms:created>
  <dcterms:modified xsi:type="dcterms:W3CDTF">2023-11-15T15:31:25Z</dcterms:modified>
</cp:coreProperties>
</file>