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100526.htm"/>
      <w:bookmarkStart w:id="1" w:name="ksf8k_100526"/>
      <w:bookmarkEnd w:id="0"/>
      <w:bookmarkEnd w:id="1"/>
      <w:r>
        <w:rPr>
          <w:b/>
          <w:sz w:val="20"/>
        </w:rPr>
        <w:t>UNITED STATES</w:t>
      </w:r>
    </w:p>
    <w:p>
      <w:pPr>
        <w:pStyle w:val="TextBody"/>
        <w:bidi w:val="0"/>
        <w:spacing w:before="0" w:after="0"/>
        <w:jc w:val="center"/>
        <w:rPr>
          <w:b/>
          <w:sz w:val="20"/>
        </w:rPr>
      </w:pPr>
      <w:r>
        <w:rPr>
          <w:b/>
          <w:sz w:val="20"/>
        </w:rPr>
        <w:t>SECURITIES AND EXCHANGE COMMISSION</w:t>
      </w:r>
    </w:p>
    <w:p>
      <w:pPr>
        <w:pStyle w:val="TextBody"/>
        <w:bidi w:val="0"/>
        <w:spacing w:before="0" w:after="0"/>
        <w:jc w:val="center"/>
        <w:rPr>
          <w:sz w:val="20"/>
        </w:rPr>
      </w:pPr>
      <w:r>
        <w:rPr>
          <w:sz w:val="20"/>
        </w:rPr>
        <w:t>Washington, D.C. 20549</w:t>
      </w:r>
    </w:p>
    <w:p>
      <w:pPr>
        <w:pStyle w:val="TextBody"/>
        <w:bidi w:val="0"/>
        <w:spacing w:before="0" w:after="0"/>
        <w:jc w:val="center"/>
        <w:rPr/>
      </w:pPr>
      <w:r>
        <w:rPr/>
        <w:t> </w:t>
      </w:r>
    </w:p>
    <w:p>
      <w:pPr>
        <w:pStyle w:val="TextBody"/>
        <w:bidi w:val="0"/>
        <w:spacing w:before="0" w:after="0"/>
        <w:jc w:val="center"/>
        <w:rPr>
          <w:b/>
          <w:sz w:val="20"/>
        </w:rPr>
      </w:pPr>
      <w:r>
        <w:rPr>
          <w:b/>
          <w:sz w:val="20"/>
        </w:rPr>
        <w:t xml:space="preserve">FORM </w:t>
      </w:r>
      <w:bookmarkStart w:id="2" w:name="xdx_90B_edei--DocumentType_c20261006__20"/>
      <w:bookmarkEnd w:id="2"/>
      <w:r>
        <w:rPr>
          <w:b/>
          <w:sz w:val="20"/>
        </w:rPr>
        <w:t>8-K</w:t>
      </w:r>
    </w:p>
    <w:p>
      <w:pPr>
        <w:pStyle w:val="TextBody"/>
        <w:bidi w:val="0"/>
        <w:spacing w:before="0" w:after="0"/>
        <w:jc w:val="center"/>
        <w:rPr/>
      </w:pPr>
      <w:r>
        <w:rPr/>
        <w:t> </w:t>
      </w:r>
    </w:p>
    <w:p>
      <w:pPr>
        <w:pStyle w:val="TextBody"/>
        <w:bidi w:val="0"/>
        <w:spacing w:before="0" w:after="0"/>
        <w:jc w:val="center"/>
        <w:rPr>
          <w:sz w:val="20"/>
        </w:rPr>
      </w:pPr>
      <w:r>
        <w:rPr>
          <w:sz w:val="20"/>
        </w:rPr>
        <w:t>CURRENT REPORT</w:t>
      </w:r>
    </w:p>
    <w:p>
      <w:pPr>
        <w:pStyle w:val="TextBody"/>
        <w:bidi w:val="0"/>
        <w:spacing w:before="0" w:after="0"/>
        <w:jc w:val="center"/>
        <w:rPr/>
      </w:pPr>
      <w:r>
        <w:rPr/>
        <w:t> </w:t>
      </w:r>
    </w:p>
    <w:p>
      <w:pPr>
        <w:pStyle w:val="TextBody"/>
        <w:bidi w:val="0"/>
        <w:spacing w:before="0" w:after="0"/>
        <w:jc w:val="center"/>
        <w:rPr>
          <w:sz w:val="20"/>
        </w:rPr>
      </w:pPr>
      <w:r>
        <w:rPr>
          <w:sz w:val="20"/>
        </w:rPr>
        <w:t>Pursuant to Section 13 or 15(d) of the</w:t>
      </w:r>
    </w:p>
    <w:p>
      <w:pPr>
        <w:pStyle w:val="TextBody"/>
        <w:bidi w:val="0"/>
        <w:spacing w:before="0" w:after="0"/>
        <w:jc w:val="center"/>
        <w:rPr>
          <w:sz w:val="20"/>
        </w:rPr>
      </w:pPr>
      <w:r>
        <w:rPr>
          <w:sz w:val="20"/>
        </w:rPr>
        <w:t>Securities Exchange Act of 1934</w:t>
      </w:r>
    </w:p>
    <w:p>
      <w:pPr>
        <w:pStyle w:val="TextBody"/>
        <w:bidi w:val="0"/>
        <w:spacing w:before="0" w:after="0"/>
        <w:jc w:val="center"/>
        <w:rPr/>
      </w:pPr>
      <w:r>
        <w:rPr/>
        <w:t> </w:t>
      </w:r>
    </w:p>
    <w:p>
      <w:pPr>
        <w:pStyle w:val="TextBody"/>
        <w:bidi w:val="0"/>
        <w:spacing w:before="0" w:after="0"/>
        <w:jc w:val="center"/>
        <w:rPr>
          <w:b/>
          <w:sz w:val="20"/>
        </w:rPr>
      </w:pPr>
      <w:r>
        <w:rPr>
          <w:b/>
          <w:sz w:val="20"/>
        </w:rPr>
        <w:t xml:space="preserve">Date of Report: </w:t>
      </w:r>
      <w:bookmarkStart w:id="3" w:name="xdx_906_edei--DocumentPeriodEndDate_c202"/>
      <w:bookmarkEnd w:id="3"/>
      <w:r>
        <w:rPr>
          <w:b/>
          <w:sz w:val="20"/>
        </w:rPr>
        <w:t>October 6, 2026</w:t>
      </w:r>
    </w:p>
    <w:p>
      <w:pPr>
        <w:pStyle w:val="TextBody"/>
        <w:bidi w:val="0"/>
        <w:spacing w:before="0" w:after="0"/>
        <w:jc w:val="center"/>
        <w:rPr>
          <w:sz w:val="20"/>
        </w:rPr>
      </w:pPr>
      <w:r>
        <w:rPr>
          <w:sz w:val="20"/>
        </w:rPr>
        <w:t>(Date of earliest event reported)</w:t>
      </w:r>
    </w:p>
    <w:p>
      <w:pPr>
        <w:pStyle w:val="TextBody"/>
        <w:bidi w:val="0"/>
        <w:spacing w:before="0" w:after="0"/>
        <w:jc w:val="center"/>
        <w:rPr/>
      </w:pPr>
      <w:r>
        <w:rPr/>
        <w:t> </w:t>
      </w:r>
    </w:p>
    <w:p>
      <w:pPr>
        <w:pStyle w:val="TextBody"/>
        <w:bidi w:val="0"/>
        <w:spacing w:before="0" w:after="0"/>
        <w:jc w:val="center"/>
        <w:rPr>
          <w:b/>
          <w:sz w:val="20"/>
        </w:rPr>
      </w:pPr>
      <w:bookmarkStart w:id="4" w:name="xdx_900_edei--EntityRegistrantName_c2026"/>
      <w:bookmarkEnd w:id="4"/>
      <w:r>
        <w:rPr>
          <w:b/>
          <w:sz w:val="20"/>
        </w:rPr>
        <w:t>PennantPark Floating Rate Capital Ltd.</w:t>
      </w:r>
    </w:p>
    <w:p>
      <w:pPr>
        <w:pStyle w:val="TextBody"/>
        <w:bidi w:val="0"/>
        <w:spacing w:before="0" w:after="0"/>
        <w:jc w:val="center"/>
        <w:rPr>
          <w:sz w:val="20"/>
        </w:rPr>
      </w:pPr>
      <w:r>
        <w:rPr>
          <w:sz w:val="20"/>
        </w:rPr>
        <w:t>(Exact name of registrant as specified in its charter)</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028"/>
        <w:gridCol w:w="2567"/>
        <w:gridCol w:w="3610"/>
      </w:tblGrid>
      <w:tr>
        <w:trPr/>
        <w:tc>
          <w:tcPr>
            <w:tcW w:w="4028" w:type="dxa"/>
            <w:tcBorders/>
            <w:vAlign w:val="center"/>
          </w:tcPr>
          <w:p>
            <w:pPr>
              <w:pStyle w:val="TableContents"/>
              <w:bidi w:val="0"/>
              <w:spacing w:before="0" w:after="0"/>
              <w:jc w:val="center"/>
              <w:rPr>
                <w:b/>
                <w:sz w:val="20"/>
              </w:rPr>
            </w:pPr>
            <w:bookmarkStart w:id="5" w:name="xdx_902_edei--EntityIncorporationStateCo"/>
            <w:bookmarkEnd w:id="5"/>
            <w:r>
              <w:rPr>
                <w:b/>
                <w:sz w:val="20"/>
              </w:rPr>
              <w:t>Maryland</w:t>
            </w:r>
          </w:p>
        </w:tc>
        <w:tc>
          <w:tcPr>
            <w:tcW w:w="2567" w:type="dxa"/>
            <w:tcBorders/>
            <w:vAlign w:val="center"/>
          </w:tcPr>
          <w:p>
            <w:pPr>
              <w:pStyle w:val="TableContents"/>
              <w:bidi w:val="0"/>
              <w:spacing w:before="0" w:after="0"/>
              <w:jc w:val="center"/>
              <w:rPr>
                <w:b/>
                <w:sz w:val="20"/>
              </w:rPr>
            </w:pPr>
            <w:bookmarkStart w:id="6" w:name="xdx_90D_edei--EntityFileNumber_c20261006"/>
            <w:bookmarkEnd w:id="6"/>
            <w:r>
              <w:rPr>
                <w:b/>
                <w:sz w:val="20"/>
              </w:rPr>
              <w:t>814-00891</w:t>
            </w:r>
          </w:p>
        </w:tc>
        <w:tc>
          <w:tcPr>
            <w:tcW w:w="3610" w:type="dxa"/>
            <w:tcBorders/>
            <w:vAlign w:val="center"/>
          </w:tcPr>
          <w:p>
            <w:pPr>
              <w:pStyle w:val="TableContents"/>
              <w:bidi w:val="0"/>
              <w:spacing w:before="0" w:after="0"/>
              <w:jc w:val="center"/>
              <w:rPr>
                <w:b/>
                <w:sz w:val="20"/>
              </w:rPr>
            </w:pPr>
            <w:bookmarkStart w:id="7" w:name="xdx_904_edei--EntityTaxIdentificationNum"/>
            <w:bookmarkEnd w:id="7"/>
            <w:r>
              <w:rPr>
                <w:b/>
                <w:sz w:val="20"/>
              </w:rPr>
              <w:t>27-3794690</w:t>
            </w:r>
          </w:p>
        </w:tc>
      </w:tr>
      <w:tr>
        <w:trPr/>
        <w:tc>
          <w:tcPr>
            <w:tcW w:w="4028" w:type="dxa"/>
            <w:tcBorders/>
            <w:vAlign w:val="center"/>
          </w:tcPr>
          <w:p>
            <w:pPr>
              <w:pStyle w:val="TableContents"/>
              <w:bidi w:val="0"/>
              <w:spacing w:before="0" w:after="283"/>
              <w:jc w:val="center"/>
              <w:rPr/>
            </w:pPr>
            <w:r>
              <w:rPr/>
              <w:t>(State or other jurisdiction of incorporation)</w:t>
            </w:r>
          </w:p>
        </w:tc>
        <w:tc>
          <w:tcPr>
            <w:tcW w:w="2567" w:type="dxa"/>
            <w:tcBorders/>
            <w:vAlign w:val="center"/>
          </w:tcPr>
          <w:p>
            <w:pPr>
              <w:pStyle w:val="TableContents"/>
              <w:bidi w:val="0"/>
              <w:spacing w:before="0" w:after="283"/>
              <w:jc w:val="center"/>
              <w:rPr/>
            </w:pPr>
            <w:r>
              <w:rPr/>
              <w:t>(Commission File Number)</w:t>
            </w:r>
          </w:p>
        </w:tc>
        <w:tc>
          <w:tcPr>
            <w:tcW w:w="3610" w:type="dxa"/>
            <w:tcBorders/>
            <w:vAlign w:val="center"/>
          </w:tcPr>
          <w:p>
            <w:pPr>
              <w:pStyle w:val="TableContents"/>
              <w:bidi w:val="0"/>
              <w:spacing w:before="0" w:after="283"/>
              <w:jc w:val="center"/>
              <w:rPr/>
            </w:pPr>
            <w:r>
              <w:rPr/>
              <w:t>(IRS Employer Identification Number)</w:t>
            </w:r>
          </w:p>
        </w:tc>
      </w:tr>
    </w:tbl>
    <w:p>
      <w:pPr>
        <w:pStyle w:val="TextBody"/>
        <w:bidi w:val="0"/>
        <w:spacing w:before="0" w:after="0"/>
        <w:ind w:left="0" w:right="0" w:hanging="0"/>
        <w:jc w:val="left"/>
        <w:rPr/>
      </w:pPr>
      <w:r>
        <w:rPr/>
        <w:t> </w:t>
      </w:r>
    </w:p>
    <w:tbl>
      <w:tblPr>
        <w:tblW w:w="4990" w:type="dxa"/>
        <w:jc w:val="left"/>
        <w:tblInd w:w="0" w:type="dxa"/>
        <w:tblLayout w:type="fixed"/>
        <w:tblCellMar>
          <w:top w:w="0" w:type="dxa"/>
          <w:left w:w="0" w:type="dxa"/>
          <w:bottom w:w="0" w:type="dxa"/>
          <w:right w:w="0" w:type="dxa"/>
        </w:tblCellMar>
      </w:tblPr>
      <w:tblGrid>
        <w:gridCol w:w="3905"/>
        <w:gridCol w:w="1085"/>
      </w:tblGrid>
      <w:tr>
        <w:trPr/>
        <w:tc>
          <w:tcPr>
            <w:tcW w:w="3905" w:type="dxa"/>
            <w:tcBorders/>
            <w:vAlign w:val="center"/>
          </w:tcPr>
          <w:p>
            <w:pPr>
              <w:pStyle w:val="TableContents"/>
              <w:bidi w:val="0"/>
              <w:spacing w:before="0" w:after="0"/>
              <w:jc w:val="center"/>
              <w:rPr>
                <w:b/>
                <w:sz w:val="20"/>
              </w:rPr>
            </w:pPr>
            <w:bookmarkStart w:id="8" w:name="xdx_908_edei--EntityAddressAddressLine1_"/>
            <w:bookmarkEnd w:id="8"/>
            <w:r>
              <w:rPr>
                <w:b/>
                <w:sz w:val="20"/>
              </w:rPr>
              <w:t xml:space="preserve">1691 Michigan Avenue </w:t>
            </w:r>
            <w:bookmarkStart w:id="9" w:name="xdx_903_edei--EntityAddressCityOrTown_c2"/>
            <w:bookmarkEnd w:id="9"/>
            <w:r>
              <w:rPr>
                <w:b/>
                <w:sz w:val="20"/>
              </w:rPr>
              <w:t xml:space="preserve">Miami Beach, </w:t>
            </w:r>
            <w:bookmarkStart w:id="10" w:name="xdx_90A_edei--EntityAddressStateOrProvin"/>
            <w:bookmarkEnd w:id="10"/>
            <w:r>
              <w:rPr>
                <w:b/>
                <w:sz w:val="20"/>
              </w:rPr>
              <w:t>Florida</w:t>
            </w:r>
          </w:p>
        </w:tc>
        <w:tc>
          <w:tcPr>
            <w:tcW w:w="1085" w:type="dxa"/>
            <w:tcBorders/>
            <w:vAlign w:val="center"/>
          </w:tcPr>
          <w:p>
            <w:pPr>
              <w:pStyle w:val="TableContents"/>
              <w:bidi w:val="0"/>
              <w:spacing w:before="0" w:after="0"/>
              <w:jc w:val="center"/>
              <w:rPr>
                <w:b/>
                <w:sz w:val="20"/>
              </w:rPr>
            </w:pPr>
            <w:bookmarkStart w:id="11" w:name="xdx_902_edei--EntityAddressPostalZipCode"/>
            <w:bookmarkEnd w:id="11"/>
            <w:r>
              <w:rPr>
                <w:b/>
                <w:sz w:val="20"/>
              </w:rPr>
              <w:t>33139</w:t>
            </w:r>
          </w:p>
        </w:tc>
      </w:tr>
      <w:tr>
        <w:trPr/>
        <w:tc>
          <w:tcPr>
            <w:tcW w:w="3905" w:type="dxa"/>
            <w:tcBorders/>
            <w:vAlign w:val="center"/>
          </w:tcPr>
          <w:p>
            <w:pPr>
              <w:pStyle w:val="TableContents"/>
              <w:bidi w:val="0"/>
              <w:spacing w:before="0" w:after="283"/>
              <w:jc w:val="center"/>
              <w:rPr/>
            </w:pPr>
            <w:r>
              <w:rPr/>
              <w:t>(Address of principal executive offices)</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pPr>
      <w:r>
        <w:rPr/>
        <w:t> </w:t>
      </w:r>
    </w:p>
    <w:p>
      <w:pPr>
        <w:pStyle w:val="TextBody"/>
        <w:bidi w:val="0"/>
        <w:spacing w:before="0" w:after="0"/>
        <w:ind w:left="3430" w:right="3228" w:hanging="0"/>
        <w:jc w:val="center"/>
        <w:rPr>
          <w:b/>
          <w:sz w:val="20"/>
        </w:rPr>
      </w:pPr>
      <w:bookmarkStart w:id="12" w:name="xdx_90E_edei--CityAreaCode_c20261006__20"/>
      <w:bookmarkEnd w:id="12"/>
      <w:r>
        <w:rPr>
          <w:b/>
          <w:sz w:val="20"/>
        </w:rPr>
        <w:t xml:space="preserve">(786) </w:t>
      </w:r>
      <w:bookmarkStart w:id="13" w:name="xdx_90C_edei--LocalPhoneNumber_c20261006"/>
      <w:bookmarkEnd w:id="13"/>
      <w:r>
        <w:rPr>
          <w:b/>
          <w:sz w:val="20"/>
        </w:rPr>
        <w:t>297-9500</w:t>
      </w:r>
    </w:p>
    <w:p>
      <w:pPr>
        <w:pStyle w:val="TextBody"/>
        <w:bidi w:val="0"/>
        <w:spacing w:before="0" w:after="0"/>
        <w:ind w:left="3507" w:right="3228" w:hanging="0"/>
        <w:jc w:val="center"/>
        <w:rPr>
          <w:sz w:val="20"/>
        </w:rPr>
      </w:pPr>
      <w:r>
        <w:rPr>
          <w:sz w:val="20"/>
        </w:rPr>
        <w:t>(Registrant's telephone number, including area code)</w:t>
      </w:r>
    </w:p>
    <w:p>
      <w:pPr>
        <w:pStyle w:val="TextBody"/>
        <w:bidi w:val="0"/>
        <w:spacing w:before="0" w:after="0"/>
        <w:ind w:left="0" w:right="0" w:hanging="0"/>
        <w:jc w:val="left"/>
        <w:rPr/>
      </w:pPr>
      <w:r>
        <w:rPr/>
        <w:t> </w:t>
      </w:r>
    </w:p>
    <w:p>
      <w:pPr>
        <w:pStyle w:val="TextBody"/>
        <w:bidi w:val="0"/>
        <w:spacing w:before="0" w:after="0"/>
        <w:ind w:left="3425" w:right="3228" w:hanging="0"/>
        <w:jc w:val="center"/>
        <w:rPr>
          <w:b/>
          <w:sz w:val="20"/>
        </w:rPr>
      </w:pPr>
      <w:r>
        <w:rPr>
          <w:b/>
          <w:sz w:val="20"/>
        </w:rPr>
        <w:t>Not Applicable</w:t>
      </w:r>
    </w:p>
    <w:p>
      <w:pPr>
        <w:pStyle w:val="TextBody"/>
        <w:bidi w:val="0"/>
        <w:spacing w:before="0" w:after="0"/>
        <w:ind w:left="3511" w:right="3228" w:hanging="0"/>
        <w:jc w:val="center"/>
        <w:rPr>
          <w:sz w:val="20"/>
        </w:rPr>
      </w:pPr>
      <w:r>
        <w:rPr>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4" w:name="xdx_906_edei--WrittenCommunications_c202"/>
      <w:bookmarkEnd w:id="14"/>
      <w:r>
        <w:rPr/>
        <w:t xml:space="preserve">☐ </w:t>
      </w:r>
      <w:r>
        <w:rPr>
          <w:sz w:val="20"/>
        </w:rPr>
        <w:t>Written communications pursuant to Rule 425 under the Securities Act (17 CFR 230.425)</w:t>
      </w:r>
    </w:p>
    <w:p>
      <w:pPr>
        <w:pStyle w:val="TextBody"/>
        <w:bidi w:val="0"/>
        <w:spacing w:before="0" w:after="0"/>
        <w:ind w:left="0" w:right="0" w:hanging="0"/>
        <w:jc w:val="left"/>
        <w:rPr/>
      </w:pPr>
      <w:bookmarkStart w:id="15" w:name="xdx_908_edei--SolicitingMaterial_c202610"/>
      <w:bookmarkEnd w:id="15"/>
      <w:r>
        <w:rPr/>
        <w:t xml:space="preserve">☐ </w:t>
      </w:r>
      <w:r>
        <w:rPr>
          <w:sz w:val="20"/>
        </w:rPr>
        <w:t>Soliciting material pursuant to Rule 14a-12 under the Exchange Act (17 CFR 240.14a-12)</w:t>
      </w:r>
    </w:p>
    <w:p>
      <w:pPr>
        <w:pStyle w:val="TextBody"/>
        <w:bidi w:val="0"/>
        <w:spacing w:before="0" w:after="0"/>
        <w:ind w:left="0" w:right="0" w:hanging="0"/>
        <w:jc w:val="left"/>
        <w:rPr/>
      </w:pPr>
      <w:bookmarkStart w:id="16" w:name="xdx_900_edei--PreCommencementTenderOffer"/>
      <w:bookmarkEnd w:id="16"/>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bookmarkStart w:id="17" w:name="xdx_901_edei--PreCommencementIssuerTende"/>
      <w:bookmarkEnd w:id="17"/>
      <w:r>
        <w:rPr/>
        <w:t xml:space="preserve">☐ </w:t>
      </w:r>
      <w:r>
        <w:rPr>
          <w:sz w:val="20"/>
        </w:rPr>
        <w:t>Pre-commencement communications pursuant to Rule 13e-4(c) under the Exchange Act (17 CFR 240.13e-4(c))</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registered pursuant to Section 12(b) of the Act: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02"/>
        <w:gridCol w:w="1844"/>
        <w:gridCol w:w="4459"/>
      </w:tblGrid>
      <w:tr>
        <w:trPr/>
        <w:tc>
          <w:tcPr>
            <w:tcW w:w="3902" w:type="dxa"/>
            <w:tcBorders/>
            <w:vAlign w:val="center"/>
          </w:tcPr>
          <w:p>
            <w:pPr>
              <w:pStyle w:val="TableContents"/>
              <w:bidi w:val="0"/>
              <w:spacing w:before="0" w:after="283"/>
              <w:jc w:val="center"/>
              <w:rPr>
                <w:b/>
              </w:rPr>
            </w:pPr>
            <w:r>
              <w:rPr>
                <w:b/>
              </w:rPr>
              <w:t>Title of Each Class</w:t>
            </w:r>
          </w:p>
        </w:tc>
        <w:tc>
          <w:tcPr>
            <w:tcW w:w="1844" w:type="dxa"/>
            <w:tcBorders/>
            <w:vAlign w:val="center"/>
          </w:tcPr>
          <w:p>
            <w:pPr>
              <w:pStyle w:val="TableContents"/>
              <w:bidi w:val="0"/>
              <w:spacing w:before="0" w:after="283"/>
              <w:jc w:val="center"/>
              <w:rPr>
                <w:b/>
              </w:rPr>
            </w:pPr>
            <w:r>
              <w:rPr>
                <w:b/>
              </w:rPr>
              <w:t>Trading Symbol(s)</w:t>
            </w:r>
          </w:p>
        </w:tc>
        <w:tc>
          <w:tcPr>
            <w:tcW w:w="4459" w:type="dxa"/>
            <w:tcBorders/>
            <w:vAlign w:val="center"/>
          </w:tcPr>
          <w:p>
            <w:pPr>
              <w:pStyle w:val="TableContents"/>
              <w:bidi w:val="0"/>
              <w:spacing w:before="0" w:after="283"/>
              <w:jc w:val="center"/>
              <w:rPr>
                <w:b/>
              </w:rPr>
            </w:pPr>
            <w:r>
              <w:rPr>
                <w:b/>
              </w:rPr>
              <w:t>Name of Each Exchange on Which Registered</w:t>
            </w:r>
          </w:p>
        </w:tc>
      </w:tr>
      <w:tr>
        <w:trPr/>
        <w:tc>
          <w:tcPr>
            <w:tcW w:w="3902" w:type="dxa"/>
            <w:tcBorders/>
            <w:vAlign w:val="center"/>
          </w:tcPr>
          <w:p>
            <w:pPr>
              <w:pStyle w:val="TableContents"/>
              <w:bidi w:val="0"/>
              <w:spacing w:before="0" w:after="283"/>
              <w:jc w:val="center"/>
              <w:rPr/>
            </w:pPr>
            <w:bookmarkStart w:id="18" w:name="xdx_905_edei--Security12bTitle_c20261006"/>
            <w:bookmarkEnd w:id="18"/>
            <w:r>
              <w:rPr/>
              <w:t>Common Stock, par value $0.001 per share</w:t>
            </w:r>
          </w:p>
        </w:tc>
        <w:tc>
          <w:tcPr>
            <w:tcW w:w="1844" w:type="dxa"/>
            <w:tcBorders/>
            <w:vAlign w:val="center"/>
          </w:tcPr>
          <w:p>
            <w:pPr>
              <w:pStyle w:val="TableContents"/>
              <w:bidi w:val="0"/>
              <w:spacing w:before="0" w:after="283"/>
              <w:jc w:val="center"/>
              <w:rPr/>
            </w:pPr>
            <w:bookmarkStart w:id="19" w:name="xdx_900_edei--TradingSymbol_c20261006__2"/>
            <w:bookmarkEnd w:id="19"/>
            <w:r>
              <w:rPr/>
              <w:t>PFLT</w:t>
            </w:r>
          </w:p>
        </w:tc>
        <w:tc>
          <w:tcPr>
            <w:tcW w:w="4459" w:type="dxa"/>
            <w:tcBorders/>
            <w:vAlign w:val="center"/>
          </w:tcPr>
          <w:p>
            <w:pPr>
              <w:pStyle w:val="TableContents"/>
              <w:bidi w:val="0"/>
              <w:spacing w:before="0" w:after="283"/>
              <w:jc w:val="center"/>
              <w:rPr/>
            </w:pPr>
            <w:bookmarkStart w:id="20" w:name="xdx_90E_edei--SecurityExchangeName_c2026"/>
            <w:bookmarkEnd w:id="20"/>
            <w:r>
              <w:rPr/>
              <w:t>The New York Stock Exchange</w:t>
            </w:r>
          </w:p>
        </w:tc>
      </w:tr>
      <w:tr>
        <w:trPr/>
        <w:tc>
          <w:tcPr>
            <w:tcW w:w="3902" w:type="dxa"/>
            <w:tcBorders/>
            <w:vAlign w:val="center"/>
          </w:tcPr>
          <w:p>
            <w:pPr>
              <w:pStyle w:val="TableContents"/>
              <w:bidi w:val="0"/>
              <w:spacing w:before="0" w:after="283"/>
              <w:jc w:val="center"/>
              <w:rPr/>
            </w:pPr>
            <w:bookmarkStart w:id="21" w:name="xdx_901_edei--Security12bTitle_c20261006"/>
            <w:bookmarkEnd w:id="21"/>
            <w:r>
              <w:rPr/>
              <w:t>7.375% Notes due 2031</w:t>
            </w:r>
          </w:p>
        </w:tc>
        <w:tc>
          <w:tcPr>
            <w:tcW w:w="1844" w:type="dxa"/>
            <w:tcBorders/>
            <w:vAlign w:val="center"/>
          </w:tcPr>
          <w:p>
            <w:pPr>
              <w:pStyle w:val="TableContents"/>
              <w:bidi w:val="0"/>
              <w:spacing w:before="0" w:after="283"/>
              <w:jc w:val="center"/>
              <w:rPr/>
            </w:pPr>
            <w:bookmarkStart w:id="22" w:name="xdx_90B_edei--TradingSymbol_c20261006__2"/>
            <w:bookmarkEnd w:id="22"/>
            <w:r>
              <w:rPr/>
              <w:t>PFLA</w:t>
            </w:r>
          </w:p>
        </w:tc>
        <w:tc>
          <w:tcPr>
            <w:tcW w:w="4459" w:type="dxa"/>
            <w:tcBorders/>
            <w:vAlign w:val="center"/>
          </w:tcPr>
          <w:p>
            <w:pPr>
              <w:pStyle w:val="TableContents"/>
              <w:bidi w:val="0"/>
              <w:spacing w:before="0" w:after="283"/>
              <w:jc w:val="center"/>
              <w:rPr/>
            </w:pPr>
            <w:bookmarkStart w:id="23" w:name="xdx_90C_edei--SecurityExchangeName_c2026"/>
            <w:bookmarkEnd w:id="23"/>
            <w:r>
              <w:rPr/>
              <w:t>The New York Stock Exchange</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24" w:name="xdx_900_edei--EntityEmergingGrowthCompan"/>
      <w:bookmarkEnd w:id="24"/>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7.01. Regulation FD Disclosure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October 6, 2026, PennantPark Floating Rate Capital Ltd. issued a press release announcing its scheduled earnings release for the fourth fiscal quarter ended September 30, 2026. A copy of the press release is furnished as Exhibit 99.1 to this report, pursuant to Item 7.01 and Regulation FD.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9.01. Financial Statements and Exhibits</w:t>
      </w:r>
    </w:p>
    <w:p>
      <w:pPr>
        <w:pStyle w:val="TextBody"/>
        <w:bidi w:val="0"/>
        <w:spacing w:before="0" w:after="0"/>
        <w:ind w:left="0" w:right="0" w:hanging="0"/>
        <w:jc w:val="left"/>
        <w:rPr/>
      </w:pPr>
      <w:r>
        <w:rPr/>
        <w:t> </w:t>
      </w:r>
    </w:p>
    <w:tbl>
      <w:tblPr>
        <w:tblW w:w="2485" w:type="dxa"/>
        <w:jc w:val="left"/>
        <w:tblInd w:w="0" w:type="dxa"/>
        <w:tblLayout w:type="fixed"/>
        <w:tblCellMar>
          <w:top w:w="0" w:type="dxa"/>
          <w:left w:w="0" w:type="dxa"/>
          <w:bottom w:w="0" w:type="dxa"/>
          <w:right w:w="0" w:type="dxa"/>
        </w:tblCellMar>
      </w:tblPr>
      <w:tblGrid>
        <w:gridCol w:w="305"/>
        <w:gridCol w:w="2180"/>
      </w:tblGrid>
      <w:tr>
        <w:trPr/>
        <w:tc>
          <w:tcPr>
            <w:tcW w:w="305" w:type="dxa"/>
            <w:tcBorders/>
            <w:vAlign w:val="center"/>
          </w:tcPr>
          <w:p>
            <w:pPr>
              <w:pStyle w:val="TableContents"/>
              <w:bidi w:val="0"/>
              <w:spacing w:before="0" w:after="283"/>
              <w:jc w:val="left"/>
              <w:rPr>
                <w:b/>
              </w:rPr>
            </w:pPr>
            <w:r>
              <w:rPr>
                <w:b/>
              </w:rPr>
              <w:t>(a)</w:t>
            </w:r>
          </w:p>
        </w:tc>
        <w:tc>
          <w:tcPr>
            <w:tcW w:w="2180" w:type="dxa"/>
            <w:tcBorders/>
            <w:vAlign w:val="center"/>
          </w:tcPr>
          <w:p>
            <w:pPr>
              <w:pStyle w:val="TableContents"/>
              <w:bidi w:val="0"/>
              <w:spacing w:before="0" w:after="283"/>
              <w:jc w:val="left"/>
              <w:rPr>
                <w:b/>
              </w:rPr>
            </w:pPr>
            <w:r>
              <w:rPr>
                <w:b/>
              </w:rPr>
              <w:t>Financial statements:</w:t>
            </w:r>
          </w:p>
        </w:tc>
      </w:tr>
    </w:tbl>
    <w:p>
      <w:pPr>
        <w:pStyle w:val="TextBody"/>
        <w:bidi w:val="0"/>
        <w:spacing w:before="0" w:after="0"/>
        <w:ind w:left="0" w:right="0" w:firstLine="400"/>
        <w:jc w:val="left"/>
        <w:rPr/>
      </w:pPr>
      <w:r>
        <w:rPr/>
        <w:t> </w:t>
      </w:r>
    </w:p>
    <w:p>
      <w:pPr>
        <w:pStyle w:val="TextBody"/>
        <w:bidi w:val="0"/>
        <w:spacing w:before="0" w:after="0"/>
        <w:ind w:left="0" w:right="0" w:firstLine="400"/>
        <w:jc w:val="left"/>
        <w:rPr>
          <w:sz w:val="20"/>
        </w:rPr>
      </w:pPr>
      <w:r>
        <w:rPr>
          <w:sz w:val="20"/>
        </w:rPr>
        <w:t>None</w:t>
      </w:r>
    </w:p>
    <w:p>
      <w:pPr>
        <w:pStyle w:val="TextBody"/>
        <w:bidi w:val="0"/>
        <w:spacing w:before="0" w:after="0"/>
        <w:ind w:left="0" w:right="0" w:firstLine="400"/>
        <w:jc w:val="left"/>
        <w:rPr/>
      </w:pPr>
      <w:r>
        <w:rPr/>
        <w:t> </w:t>
      </w:r>
    </w:p>
    <w:tbl>
      <w:tblPr>
        <w:tblW w:w="3370" w:type="dxa"/>
        <w:jc w:val="left"/>
        <w:tblInd w:w="0" w:type="dxa"/>
        <w:tblLayout w:type="fixed"/>
        <w:tblCellMar>
          <w:top w:w="0" w:type="dxa"/>
          <w:left w:w="0" w:type="dxa"/>
          <w:bottom w:w="0" w:type="dxa"/>
          <w:right w:w="0" w:type="dxa"/>
        </w:tblCellMar>
      </w:tblPr>
      <w:tblGrid>
        <w:gridCol w:w="305"/>
        <w:gridCol w:w="3065"/>
      </w:tblGrid>
      <w:tr>
        <w:trPr/>
        <w:tc>
          <w:tcPr>
            <w:tcW w:w="305" w:type="dxa"/>
            <w:tcBorders/>
            <w:vAlign w:val="center"/>
          </w:tcPr>
          <w:p>
            <w:pPr>
              <w:pStyle w:val="TableContents"/>
              <w:bidi w:val="0"/>
              <w:spacing w:before="0" w:after="283"/>
              <w:jc w:val="left"/>
              <w:rPr/>
            </w:pPr>
            <w:r>
              <w:rPr/>
              <w:t>(b)</w:t>
            </w:r>
          </w:p>
        </w:tc>
        <w:tc>
          <w:tcPr>
            <w:tcW w:w="3065" w:type="dxa"/>
            <w:tcBorders/>
            <w:vAlign w:val="center"/>
          </w:tcPr>
          <w:p>
            <w:pPr>
              <w:pStyle w:val="TableContents"/>
              <w:bidi w:val="0"/>
              <w:spacing w:before="0" w:after="283"/>
              <w:jc w:val="left"/>
              <w:rPr/>
            </w:pPr>
            <w:r>
              <w:rPr/>
              <w:t>Pro forma financial information:</w:t>
            </w:r>
          </w:p>
        </w:tc>
      </w:tr>
    </w:tbl>
    <w:p>
      <w:pPr>
        <w:pStyle w:val="TextBody"/>
        <w:bidi w:val="0"/>
        <w:spacing w:before="0" w:after="0"/>
        <w:ind w:left="0" w:right="0" w:firstLine="400"/>
        <w:jc w:val="left"/>
        <w:rPr/>
      </w:pPr>
      <w:r>
        <w:rPr/>
        <w:t> </w:t>
      </w:r>
    </w:p>
    <w:p>
      <w:pPr>
        <w:pStyle w:val="TextBody"/>
        <w:bidi w:val="0"/>
        <w:spacing w:before="0" w:after="0"/>
        <w:ind w:left="0" w:right="0" w:firstLine="400"/>
        <w:jc w:val="left"/>
        <w:rPr>
          <w:sz w:val="20"/>
        </w:rPr>
      </w:pPr>
      <w:r>
        <w:rPr>
          <w:sz w:val="20"/>
        </w:rPr>
        <w:t>None</w:t>
      </w:r>
    </w:p>
    <w:p>
      <w:pPr>
        <w:pStyle w:val="TextBody"/>
        <w:bidi w:val="0"/>
        <w:spacing w:before="0" w:after="0"/>
        <w:ind w:left="0" w:right="0" w:firstLine="400"/>
        <w:jc w:val="left"/>
        <w:rPr/>
      </w:pPr>
      <w:r>
        <w:rPr/>
        <w:t> </w:t>
      </w:r>
    </w:p>
    <w:tbl>
      <w:tblPr>
        <w:tblW w:w="2965" w:type="dxa"/>
        <w:jc w:val="left"/>
        <w:tblInd w:w="0" w:type="dxa"/>
        <w:tblLayout w:type="fixed"/>
        <w:tblCellMar>
          <w:top w:w="0" w:type="dxa"/>
          <w:left w:w="0" w:type="dxa"/>
          <w:bottom w:w="0" w:type="dxa"/>
          <w:right w:w="0" w:type="dxa"/>
        </w:tblCellMar>
      </w:tblPr>
      <w:tblGrid>
        <w:gridCol w:w="290"/>
        <w:gridCol w:w="2675"/>
      </w:tblGrid>
      <w:tr>
        <w:trPr/>
        <w:tc>
          <w:tcPr>
            <w:tcW w:w="290" w:type="dxa"/>
            <w:tcBorders/>
            <w:vAlign w:val="center"/>
          </w:tcPr>
          <w:p>
            <w:pPr>
              <w:pStyle w:val="TableContents"/>
              <w:bidi w:val="0"/>
              <w:spacing w:before="0" w:after="283"/>
              <w:jc w:val="left"/>
              <w:rPr/>
            </w:pPr>
            <w:r>
              <w:rPr/>
              <w:t>(c)</w:t>
            </w:r>
          </w:p>
        </w:tc>
        <w:tc>
          <w:tcPr>
            <w:tcW w:w="2675" w:type="dxa"/>
            <w:tcBorders/>
            <w:vAlign w:val="center"/>
          </w:tcPr>
          <w:p>
            <w:pPr>
              <w:pStyle w:val="TableContents"/>
              <w:bidi w:val="0"/>
              <w:spacing w:before="0" w:after="283"/>
              <w:jc w:val="left"/>
              <w:rPr/>
            </w:pPr>
            <w:r>
              <w:rPr/>
              <w:t>Shell company transactions:</w:t>
            </w:r>
          </w:p>
        </w:tc>
      </w:tr>
    </w:tbl>
    <w:p>
      <w:pPr>
        <w:pStyle w:val="TextBody"/>
        <w:bidi w:val="0"/>
        <w:spacing w:before="0" w:after="0"/>
        <w:ind w:left="0" w:right="0" w:firstLine="400"/>
        <w:jc w:val="left"/>
        <w:rPr/>
      </w:pPr>
      <w:r>
        <w:rPr/>
        <w:t> </w:t>
      </w:r>
    </w:p>
    <w:p>
      <w:pPr>
        <w:pStyle w:val="TextBody"/>
        <w:bidi w:val="0"/>
        <w:spacing w:before="0" w:after="0"/>
        <w:ind w:left="0" w:right="0" w:firstLine="400"/>
        <w:jc w:val="left"/>
        <w:rPr>
          <w:sz w:val="20"/>
        </w:rPr>
      </w:pPr>
      <w:r>
        <w:rPr>
          <w:sz w:val="20"/>
        </w:rPr>
        <w:t>None</w:t>
      </w:r>
    </w:p>
    <w:p>
      <w:pPr>
        <w:pStyle w:val="TextBody"/>
        <w:bidi w:val="0"/>
        <w:spacing w:before="0" w:after="0"/>
        <w:ind w:left="0" w:right="0" w:firstLine="400"/>
        <w:jc w:val="left"/>
        <w:rPr/>
      </w:pPr>
      <w:r>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left"/>
              <w:rPr/>
            </w:pPr>
            <w:r>
              <w:rPr/>
              <w:t>Exhibits</w:t>
            </w:r>
          </w:p>
        </w:tc>
      </w:tr>
    </w:tbl>
    <w:p>
      <w:pPr>
        <w:pStyle w:val="TextBody"/>
        <w:bidi w:val="0"/>
        <w:spacing w:before="0" w:after="283"/>
        <w:jc w:val="left"/>
        <w:rPr/>
      </w:pPr>
      <w:r>
        <w:rPr/>
        <w:t> </w:t>
      </w:r>
    </w:p>
    <w:tbl>
      <w:tblPr>
        <w:tblW w:w="8080" w:type="dxa"/>
        <w:jc w:val="left"/>
        <w:tblInd w:w="0" w:type="dxa"/>
        <w:tblLayout w:type="fixed"/>
        <w:tblCellMar>
          <w:top w:w="0" w:type="dxa"/>
          <w:left w:w="0" w:type="dxa"/>
          <w:bottom w:w="0" w:type="dxa"/>
          <w:right w:w="0" w:type="dxa"/>
        </w:tblCellMar>
      </w:tblPr>
      <w:tblGrid>
        <w:gridCol w:w="455"/>
        <w:gridCol w:w="7625"/>
      </w:tblGrid>
      <w:tr>
        <w:trPr/>
        <w:tc>
          <w:tcPr>
            <w:tcW w:w="455" w:type="dxa"/>
            <w:tcBorders/>
            <w:vAlign w:val="center"/>
          </w:tcPr>
          <w:p>
            <w:pPr>
              <w:pStyle w:val="TableContents"/>
              <w:bidi w:val="0"/>
              <w:spacing w:before="0" w:after="283"/>
              <w:jc w:val="left"/>
              <w:rPr/>
            </w:pPr>
            <w:hyperlink w:anchor="exh_991.htm">
              <w:r>
                <w:rPr>
                  <w:rStyle w:val="InternetLink"/>
                </w:rPr>
                <w:t>99.1</w:t>
              </w:r>
            </w:hyperlink>
          </w:p>
        </w:tc>
        <w:tc>
          <w:tcPr>
            <w:tcW w:w="7625" w:type="dxa"/>
            <w:tcBorders/>
            <w:vAlign w:val="center"/>
          </w:tcPr>
          <w:p>
            <w:pPr>
              <w:pStyle w:val="TableContents"/>
              <w:bidi w:val="0"/>
              <w:spacing w:before="0" w:after="283"/>
              <w:jc w:val="left"/>
              <w:rPr/>
            </w:pPr>
            <w:hyperlink w:anchor="exh_991.htm">
              <w:r>
                <w:rPr>
                  <w:rStyle w:val="InternetLink"/>
                </w:rPr>
                <w:t>Press Release of PennantPark Floating Rate Capital Ltd. dated October 6, 2026</w:t>
              </w:r>
            </w:hyperlink>
          </w:p>
        </w:tc>
      </w:tr>
      <w:tr>
        <w:trPr/>
        <w:tc>
          <w:tcPr>
            <w:tcW w:w="455" w:type="dxa"/>
            <w:tcBorders/>
            <w:vAlign w:val="center"/>
          </w:tcPr>
          <w:p>
            <w:pPr>
              <w:pStyle w:val="TableContents"/>
              <w:bidi w:val="0"/>
              <w:spacing w:before="0" w:after="283"/>
              <w:jc w:val="left"/>
              <w:rPr/>
            </w:pPr>
            <w:r>
              <w:rPr/>
              <w:t>104</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SIGNATURE</w:t>
      </w:r>
    </w:p>
    <w:p>
      <w:pPr>
        <w:pStyle w:val="TextBody"/>
        <w:bidi w:val="0"/>
        <w:spacing w:before="0" w:after="0"/>
        <w:ind w:left="0" w:right="0" w:hanging="0"/>
        <w:jc w:val="left"/>
        <w:rPr/>
      </w:pPr>
      <w:r>
        <w:rPr/>
        <w:t> </w:t>
      </w:r>
    </w:p>
    <w:p>
      <w:pPr>
        <w:pStyle w:val="TextBody"/>
        <w:bidi w:val="0"/>
        <w:spacing w:before="0" w:after="0"/>
        <w:ind w:left="0" w:right="0" w:firstLine="391"/>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91"/>
        <w:jc w:val="left"/>
        <w:rPr/>
      </w:pPr>
      <w:r>
        <w:rPr/>
        <w:t> </w:t>
      </w:r>
    </w:p>
    <w:tbl>
      <w:tblPr>
        <w:tblW w:w="6504" w:type="dxa"/>
        <w:jc w:val="left"/>
        <w:tblInd w:w="0" w:type="dxa"/>
        <w:tblLayout w:type="fixed"/>
        <w:tblCellMar>
          <w:top w:w="0" w:type="dxa"/>
          <w:left w:w="0" w:type="dxa"/>
          <w:bottom w:w="0" w:type="dxa"/>
          <w:right w:w="0" w:type="dxa"/>
        </w:tblCellMar>
      </w:tblPr>
      <w:tblGrid>
        <w:gridCol w:w="1925"/>
        <w:gridCol w:w="434"/>
        <w:gridCol w:w="4145"/>
      </w:tblGrid>
      <w:tr>
        <w:trPr/>
        <w:tc>
          <w:tcPr>
            <w:tcW w:w="1925" w:type="dxa"/>
            <w:tcBorders/>
            <w:vAlign w:val="center"/>
          </w:tcPr>
          <w:p>
            <w:pPr>
              <w:pStyle w:val="TableContents"/>
              <w:bidi w:val="0"/>
              <w:spacing w:before="0" w:after="283"/>
              <w:jc w:val="left"/>
              <w:rPr>
                <w:sz w:val="20"/>
              </w:rPr>
            </w:pPr>
            <w:r>
              <w:rPr>
                <w:sz w:val="20"/>
              </w:rPr>
              <w:t>Dated: October 6, 2026</w:t>
            </w:r>
          </w:p>
        </w:tc>
        <w:tc>
          <w:tcPr>
            <w:tcW w:w="4579" w:type="dxa"/>
            <w:gridSpan w:val="2"/>
            <w:tcBorders/>
            <w:vAlign w:val="center"/>
          </w:tcPr>
          <w:p>
            <w:pPr>
              <w:pStyle w:val="TableContents"/>
              <w:bidi w:val="0"/>
              <w:spacing w:before="0" w:after="0"/>
              <w:ind w:left="0" w:right="0" w:hanging="0"/>
              <w:jc w:val="left"/>
              <w:rPr>
                <w:b/>
                <w:sz w:val="20"/>
              </w:rPr>
            </w:pPr>
            <w:r>
              <w:rPr>
                <w:b/>
                <w:sz w:val="20"/>
              </w:rPr>
              <w:t>PENNANTPARK FLOATING RATE CAPITAL LTD.</w:t>
            </w:r>
          </w:p>
        </w:tc>
      </w:tr>
      <w:tr>
        <w:trPr/>
        <w:tc>
          <w:tcPr>
            <w:tcW w:w="192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By:</w:t>
            </w:r>
          </w:p>
        </w:tc>
        <w:tc>
          <w:tcPr>
            <w:tcW w:w="4145" w:type="dxa"/>
            <w:tcBorders/>
            <w:vAlign w:val="center"/>
          </w:tcPr>
          <w:p>
            <w:pPr>
              <w:pStyle w:val="TableContents"/>
              <w:bidi w:val="0"/>
              <w:spacing w:before="0" w:after="283"/>
              <w:jc w:val="left"/>
              <w:rPr>
                <w:u w:val="single"/>
              </w:rPr>
            </w:pPr>
            <w:r>
              <w:rPr>
                <w:u w:val="single"/>
              </w:rPr>
              <w:t xml:space="preserve">/s/ Richard T. Allorto, Jr. </w:t>
            </w:r>
          </w:p>
        </w:tc>
      </w:tr>
      <w:tr>
        <w:trPr/>
        <w:tc>
          <w:tcPr>
            <w:tcW w:w="192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pPr>
            <w:r>
              <w:rPr/>
              <w:t>Richard T. Allorto, Jr.</w:t>
            </w:r>
          </w:p>
        </w:tc>
      </w:tr>
      <w:tr>
        <w:trPr/>
        <w:tc>
          <w:tcPr>
            <w:tcW w:w="1925" w:type="dxa"/>
            <w:tcBorders/>
            <w:vAlign w:val="center"/>
          </w:tcPr>
          <w:p>
            <w:pPr>
              <w:pStyle w:val="TableContents"/>
              <w:bidi w:val="0"/>
              <w:spacing w:before="0" w:after="283"/>
              <w:jc w:val="left"/>
              <w:rPr/>
            </w:pPr>
            <w:r>
              <w:rPr/>
              <w:t> </w:t>
            </w:r>
          </w:p>
        </w:tc>
        <w:tc>
          <w:tcPr>
            <w:tcW w:w="434"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283"/>
              <w:jc w:val="left"/>
              <w:rPr>
                <w:i/>
              </w:rPr>
            </w:pPr>
            <w:r>
              <w:rPr>
                <w:i/>
              </w:rPr>
              <w:t>Chief Financial Officer &amp; Treasurer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pPr>
      <w:bookmarkStart w:id="25" w:name="exh_991.htm"/>
      <w:bookmarkStart w:id="26" w:name="ksexh_991"/>
      <w:bookmarkEnd w:id="25"/>
      <w:bookmarkEnd w:id="26"/>
      <w:r>
        <w:rPr>
          <w:rStyle w:val="StrongEmphasis"/>
        </w:rPr>
        <w:t>EXHIBIT 99.1</w:t>
      </w:r>
      <w:r>
        <w:br w:type="page"/>
      </w:r>
    </w:p>
    <w:p>
      <w:pPr>
        <w:pStyle w:val="TextBody"/>
        <w:bidi w:val="0"/>
        <w:jc w:val="center"/>
        <w:rPr/>
      </w:pPr>
      <w:r>
        <w:rPr>
          <w:rStyle w:val="StrongEmphasis"/>
        </w:rPr>
        <w:t>PennantPark Floating Rate Capital Ltd. Schedules Earnings Release of Fourth Fiscal Quarter 2026 Results</w:t>
      </w:r>
    </w:p>
    <w:p>
      <w:pPr>
        <w:pStyle w:val="TextBody"/>
        <w:bidi w:val="0"/>
        <w:jc w:val="both"/>
        <w:rPr/>
      </w:pPr>
      <w:r>
        <w:rPr/>
        <w:t>MIAMI , Oct. 06, 2026 (GLOBE NEWSWIRE) -- PennantPark Floating Rate Capital Ltd. (the "Company") (NYSE: PFLT) announced that it will report results for the fourth fiscal quarter ended September 30, 2026 on Monday, November 23, 2026 after the close of the financial markets.</w:t>
      </w:r>
    </w:p>
    <w:p>
      <w:pPr>
        <w:pStyle w:val="TextBody"/>
        <w:bidi w:val="0"/>
        <w:jc w:val="both"/>
        <w:rPr/>
      </w:pPr>
      <w:r>
        <w:rPr/>
        <w:t>The Company will also host a conference call at 9:00 a.m. (Eastern Time) on Tuesday, November 24,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#9077013 or PennantPark Floating Rate Capital Ltd. An archived replay will also be available on a webcast link located on the Quarterly Earnings page in the Investor section of PennantPark’s website.</w:t>
      </w:r>
    </w:p>
    <w:p>
      <w:pPr>
        <w:pStyle w:val="TextBody"/>
        <w:bidi w:val="0"/>
        <w:spacing w:before="0" w:after="283"/>
        <w:jc w:val="left"/>
        <w:rPr/>
      </w:pPr>
      <w:r>
        <w:rPr/>
        <w:t>ABOUT PENNANTPARK FLOATING RATE CAPITAL LTD.</w:t>
      </w:r>
    </w:p>
    <w:p>
      <w:pPr>
        <w:pStyle w:val="TextBody"/>
        <w:bidi w:val="0"/>
        <w:jc w:val="both"/>
        <w:rPr/>
      </w:pPr>
      <w:r>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pStyle w:val="TextBody"/>
        <w:bidi w:val="0"/>
        <w:spacing w:before="0" w:after="283"/>
        <w:jc w:val="left"/>
        <w:rPr/>
      </w:pPr>
      <w:r>
        <w:rPr/>
        <w:t>ABOUT PENNANTPARK INVESTMENT ADVISERS, LLC</w:t>
      </w:r>
    </w:p>
    <w:p>
      <w:pPr>
        <w:pStyle w:val="TextBody"/>
        <w:bidi w:val="0"/>
        <w:jc w:val="both"/>
        <w:rPr/>
      </w:pPr>
      <w:r>
        <w:rPr/>
        <w:t>PennantPark Investment Advisers, LLC is a leading middle market credit platform, and its affiliates, manage over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pStyle w:val="TextBody"/>
        <w:bidi w:val="0"/>
        <w:spacing w:before="0" w:after="283"/>
        <w:jc w:val="left"/>
        <w:rPr/>
      </w:pPr>
      <w:r>
        <w:rPr/>
        <w:t>FORWARD-LOOKING STATEMENTS</w:t>
      </w:r>
    </w:p>
    <w:p>
      <w:pPr>
        <w:pStyle w:val="TextBody"/>
        <w:bidi w:val="0"/>
        <w:spacing w:before="0" w:after="283"/>
        <w:jc w:val="left"/>
        <w:rPr/>
      </w:pPr>
      <w:r>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r>
    </w:p>
    <w:p>
      <w:pPr>
        <w:pStyle w:val="TextBody"/>
        <w:bidi w:val="0"/>
        <w:spacing w:before="0" w:after="283"/>
        <w:jc w:val="both"/>
        <w:rPr/>
      </w:pPr>
      <w:r>
        <w:rPr/>
        <w:t>Richard T. Allorto, Jr.</w:t>
        <w:br/>
        <w:t>PennantPark Floating Rate Capital Ltd.</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1167</Words>
  <Characters>6564</Characters>
  <CharactersWithSpaces>7695</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