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15,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
        <w:spacing w:after="0" w:line="282" w:lineRule="auto"/>
        <w:rPr>
          <w:sz w:val="20"/>
          <w:szCs w:val="20"/>
          <w:color w:val="auto"/>
        </w:rPr>
      </w:pPr>
      <w:r>
        <w:rPr>
          <w:rFonts w:ascii="Arial" w:cs="Arial" w:eastAsia="Arial" w:hAnsi="Arial"/>
          <w:sz w:val="19"/>
          <w:szCs w:val="19"/>
          <w:color w:val="auto"/>
        </w:rPr>
        <w:t>Set forth below are certain preliminary estimates of our financial condition and results of operations for the three months ended June 30, 2013. These estimates are subject to the completion of our financial closing procedures and are not a comprehensive statement of our financial results for the three months ended June 30, 2013. We advise you that our actual results may differ materially from these estimates as a result of the completion of our financial closing procedures, final adjustments and other developments arising between now and the time that our financial results for the three months ended June 30, 2013 are finalized.</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Net asset value as of June 30, 2013 is estimated to be between $13.95 and $14.00 per share.</w:t>
      </w:r>
    </w:p>
    <w:p>
      <w:pPr>
        <w:spacing w:after="0" w:line="233" w:lineRule="exact"/>
        <w:rPr>
          <w:sz w:val="24"/>
          <w:szCs w:val="24"/>
          <w:color w:val="auto"/>
        </w:rPr>
      </w:pPr>
    </w:p>
    <w:p>
      <w:pPr>
        <w:ind w:left="40" w:right="140"/>
        <w:spacing w:after="0" w:line="250" w:lineRule="auto"/>
        <w:rPr>
          <w:sz w:val="20"/>
          <w:szCs w:val="20"/>
          <w:color w:val="auto"/>
        </w:rPr>
      </w:pPr>
      <w:r>
        <w:rPr>
          <w:rFonts w:ascii="Arial" w:cs="Arial" w:eastAsia="Arial" w:hAnsi="Arial"/>
          <w:sz w:val="22"/>
          <w:szCs w:val="22"/>
          <w:color w:val="auto"/>
        </w:rPr>
        <w:t>We intend to announce final results of operations for the three months ended June 30, 2013 on August 8, 2013 after the close of the financial markets.</w:t>
      </w:r>
    </w:p>
    <w:p>
      <w:pPr>
        <w:spacing w:after="0" w:line="202" w:lineRule="exact"/>
        <w:rPr>
          <w:sz w:val="24"/>
          <w:szCs w:val="24"/>
          <w:color w:val="auto"/>
        </w:rPr>
      </w:pPr>
    </w:p>
    <w:p>
      <w:pPr>
        <w:ind w:left="40" w:right="60"/>
        <w:spacing w:after="0" w:line="252" w:lineRule="auto"/>
        <w:rPr>
          <w:sz w:val="20"/>
          <w:szCs w:val="20"/>
          <w:color w:val="auto"/>
        </w:rPr>
      </w:pPr>
      <w:r>
        <w:rPr>
          <w:rFonts w:ascii="Arial" w:cs="Arial" w:eastAsia="Arial" w:hAnsi="Arial"/>
          <w:sz w:val="21"/>
          <w:szCs w:val="21"/>
          <w:color w:val="auto"/>
        </w:rPr>
        <w:t>The preliminary financial data included herein have been prepared by, and is the responsibility of, management. Our independent registered public accounting firm, has not audited, reviewed, compiled or performed any procedures with respect to these preliminary estimates. Accordingly, Our independent registered public accounting firm does not express an opinion or any other form of assurance with respect to these preliminary estimates.</w:t>
      </w:r>
    </w:p>
    <w:p>
      <w:pPr>
        <w:spacing w:after="0" w:line="168"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360"/>
        <w:spacing w:after="0" w:line="328" w:lineRule="auto"/>
        <w:rPr>
          <w:sz w:val="20"/>
          <w:szCs w:val="20"/>
          <w:color w:val="auto"/>
        </w:rPr>
      </w:pPr>
      <w:r>
        <w:rPr>
          <w:rFonts w:ascii="Arial" w:cs="Arial" w:eastAsia="Arial" w:hAnsi="Arial"/>
          <w:sz w:val="19"/>
          <w:szCs w:val="19"/>
          <w:color w:val="auto"/>
        </w:rPr>
        <w:t>On July 15, 2013, PennantPark Floating Rate Capital Ltd. issued a press release announcing its plans for a public offering. A copy of the press release is furnished as Exhibit 99.1 to this report pursuant to Item 7.01 and Regulation FD.</w:t>
      </w:r>
    </w:p>
    <w:p>
      <w:pPr>
        <w:spacing w:after="0" w:line="132"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The information in this Current Report on Form 8-K, including Exhibit 99.1 furnished herewith, is being furnished and shall not</w:t>
      </w:r>
    </w:p>
    <w:p>
      <w:pPr>
        <w:sectPr>
          <w:pgSz w:w="11900" w:h="16838" w:orient="portrait"/>
          <w:cols w:equalWidth="0" w:num="1">
            <w:col w:w="11200"/>
          </w:cols>
          <w:pgMar w:left="320" w:top="828" w:right="379" w:bottom="0" w:gutter="0" w:footer="0" w:header="0"/>
        </w:sectPr>
      </w:pPr>
    </w:p>
    <w:bookmarkStart w:id="1" w:name="page2"/>
    <w:bookmarkEnd w:id="1"/>
    <w:p>
      <w:pPr>
        <w:jc w:val="both"/>
        <w:ind w:right="320"/>
        <w:spacing w:after="0" w:line="238" w:lineRule="auto"/>
        <w:rPr>
          <w:sz w:val="20"/>
          <w:szCs w:val="20"/>
          <w:color w:val="auto"/>
        </w:rPr>
      </w:pPr>
      <w:r>
        <w:rPr>
          <w:rFonts w:ascii="Arial" w:cs="Arial" w:eastAsia="Arial" w:hAnsi="Arial"/>
          <w:sz w:val="22"/>
          <w:szCs w:val="22"/>
          <w:color w:val="auto"/>
        </w:rPr>
        <w:t>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July 15,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15, 2013</w:t>
            </w:r>
          </w:p>
        </w:tc>
        <w:tc>
          <w:tcPr>
            <w:tcW w:w="6920" w:type="dxa"/>
            <w:vAlign w:val="bottom"/>
            <w:gridSpan w:val="3"/>
          </w:tcPr>
          <w:p>
            <w:pPr>
              <w:ind w:left="19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00" w:type="dxa"/>
            <w:vAlign w:val="bottom"/>
          </w:tcPr>
          <w:p>
            <w:pPr>
              <w:spacing w:after="0"/>
              <w:rPr>
                <w:sz w:val="24"/>
                <w:szCs w:val="24"/>
                <w:color w:val="auto"/>
              </w:rPr>
            </w:pPr>
          </w:p>
        </w:tc>
        <w:tc>
          <w:tcPr>
            <w:tcW w:w="692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92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920" w:type="dxa"/>
            <w:vAlign w:val="bottom"/>
            <w:gridSpan w:val="3"/>
          </w:tcPr>
          <w:p>
            <w:pPr>
              <w:ind w:left="22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July 15, 2013</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Public Offering</w:t>
      </w:r>
    </w:p>
    <w:p>
      <w:pPr>
        <w:spacing w:after="0" w:line="213"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NEW YORK, NY -- (Marketwired - July 15, 2013) - PennantPark Floating Rate Capital Ltd. (the "Company") (NASDAQ: PFLT) announced that it plans to make a public offering of 4,700,000 shares of its common stock. The Company also expects to grant the underwriters an option to purchase up to an additional 705,000 shares of common stock to cover over-allotments, if any. The offering price of the shares, subject to the approval of the Company's Board of Directors, will be determined by market conditions at the time of pricing in consultation with the underwriters of the offering. The offering of the shares will be made under the Company's shelf registration statement, which was filed with, and has been declared effective by, the Securities and Exchange Commission.</w:t>
      </w:r>
    </w:p>
    <w:p>
      <w:pPr>
        <w:spacing w:after="0" w:line="191"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The Company expects to use all of the net proceeds from selling securities pursuant to a prospectus supplement to reduce outstanding obligations under its credit facility, invest in new or existing portfolio companies or for other general corporate or strategic purposes.</w:t>
      </w:r>
    </w:p>
    <w:p>
      <w:pPr>
        <w:spacing w:after="0" w:line="186"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Morgan Stanley &amp; Co. LLC, J.P. Morgan Securities LLC and Keefe, Bruyette &amp; Woods, Inc. are acting as joint bookrunning underwriters.</w:t>
      </w:r>
    </w:p>
    <w:p>
      <w:pPr>
        <w:spacing w:after="0" w:line="169" w:lineRule="exact"/>
        <w:rPr>
          <w:sz w:val="20"/>
          <w:szCs w:val="20"/>
          <w:color w:val="auto"/>
        </w:rPr>
      </w:pPr>
    </w:p>
    <w:p>
      <w:pPr>
        <w:jc w:val="both"/>
        <w:ind w:right="360"/>
        <w:spacing w:after="0" w:line="289" w:lineRule="auto"/>
        <w:rPr>
          <w:sz w:val="20"/>
          <w:szCs w:val="20"/>
          <w:color w:val="auto"/>
        </w:rPr>
      </w:pPr>
      <w:r>
        <w:rPr>
          <w:rFonts w:ascii="Arial" w:cs="Arial" w:eastAsia="Arial" w:hAnsi="Arial"/>
          <w:sz w:val="19"/>
          <w:szCs w:val="19"/>
          <w:b w:val="1"/>
          <w:bCs w:val="1"/>
          <w:color w:val="auto"/>
        </w:rPr>
        <w:t>Investors are advised to carefully consider the investment objectives, risks and charges and expenses of the Company before investing. The preliminary prospectus supplement dated July 15, 2013 and the accompanying prospectus dated July 5, 2013, which have been filed with the Securities and Exchange Commission, contain this and other information about the Company and should be read carefully before investing.</w:t>
      </w:r>
    </w:p>
    <w:p>
      <w:pPr>
        <w:spacing w:after="0" w:line="142" w:lineRule="exact"/>
        <w:rPr>
          <w:sz w:val="20"/>
          <w:szCs w:val="20"/>
          <w:color w:val="auto"/>
        </w:rPr>
      </w:pPr>
    </w:p>
    <w:p>
      <w:pPr>
        <w:jc w:val="both"/>
        <w:ind w:right="140"/>
        <w:spacing w:after="0" w:line="257" w:lineRule="auto"/>
        <w:rPr>
          <w:sz w:val="20"/>
          <w:szCs w:val="20"/>
          <w:color w:val="auto"/>
        </w:rPr>
      </w:pPr>
      <w:r>
        <w:rPr>
          <w:rFonts w:ascii="Arial" w:cs="Arial" w:eastAsia="Arial" w:hAnsi="Arial"/>
          <w:sz w:val="21"/>
          <w:szCs w:val="21"/>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163" w:lineRule="exact"/>
        <w:rPr>
          <w:sz w:val="20"/>
          <w:szCs w:val="20"/>
          <w:color w:val="auto"/>
        </w:rPr>
      </w:pPr>
    </w:p>
    <w:p>
      <w:pPr>
        <w:ind w:right="280"/>
        <w:spacing w:after="0" w:line="273" w:lineRule="auto"/>
        <w:rPr>
          <w:sz w:val="20"/>
          <w:szCs w:val="20"/>
          <w:color w:val="auto"/>
        </w:rPr>
      </w:pPr>
      <w:r>
        <w:rPr>
          <w:rFonts w:ascii="Arial" w:cs="Arial" w:eastAsia="Arial" w:hAnsi="Arial"/>
          <w:sz w:val="19"/>
          <w:szCs w:val="19"/>
          <w:b w:val="1"/>
          <w:bCs w:val="1"/>
          <w:color w:val="auto"/>
        </w:rPr>
        <w:t xml:space="preserve">The offering may be made only by means of a prospectus and a related prospectus supplement, copies of which may be obtained from the joint bookrunners at the following addresses: Morgan Stanley &amp; Co. LLC, Attention: Prospectus Department, 180 Varick Street, 2nd Floor, New York, NY 10014, telephone: (866) 718-1649 or by emailing </w:t>
      </w:r>
      <w:r>
        <w:rPr>
          <w:rFonts w:ascii="Arial" w:cs="Arial" w:eastAsia="Arial" w:hAnsi="Arial"/>
          <w:sz w:val="19"/>
          <w:szCs w:val="19"/>
          <w:color w:val="auto"/>
        </w:rPr>
        <w:t>prospectus@morganstanley.com</w:t>
      </w:r>
      <w:r>
        <w:rPr>
          <w:rFonts w:ascii="Arial" w:cs="Arial" w:eastAsia="Arial" w:hAnsi="Arial"/>
          <w:sz w:val="19"/>
          <w:szCs w:val="19"/>
          <w:b w:val="1"/>
          <w:bCs w:val="1"/>
          <w:color w:val="auto"/>
        </w:rPr>
        <w:t>; J.P. Morgan Securities LLC, c/o Broadridge Financial Solutions, 1155 Long Island</w:t>
      </w:r>
    </w:p>
    <w:p>
      <w:pPr>
        <w:spacing w:after="0" w:line="2" w:lineRule="exact"/>
        <w:rPr>
          <w:sz w:val="20"/>
          <w:szCs w:val="20"/>
          <w:color w:val="auto"/>
        </w:rPr>
      </w:pPr>
    </w:p>
    <w:p>
      <w:pPr>
        <w:ind w:right="120"/>
        <w:spacing w:after="0" w:line="308" w:lineRule="auto"/>
        <w:rPr>
          <w:sz w:val="20"/>
          <w:szCs w:val="20"/>
          <w:color w:val="auto"/>
        </w:rPr>
      </w:pPr>
      <w:r>
        <w:rPr>
          <w:rFonts w:ascii="Arial" w:cs="Arial" w:eastAsia="Arial" w:hAnsi="Arial"/>
          <w:sz w:val="19"/>
          <w:szCs w:val="19"/>
          <w:b w:val="1"/>
          <w:bCs w:val="1"/>
          <w:color w:val="auto"/>
        </w:rPr>
        <w:t>Avenue, Edgewood, NY 11717 or by calling toll-free (866) 803-9204; or Keefe, Bruyette &amp; Woods, Inc., Attention: Equity Capital Markets, 787 Seventh Avenue, 4th Floor, New York, NY 10019 or by calling toll-free (800) 966-1559.</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in this release.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(212) 905-1000</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2020-05-05T12:04:30Z</dcterms:created>
  <dcterms:modified xsi:type="dcterms:W3CDTF">2020-05-05T12:04:30Z</dcterms:modified>
</cp:coreProperties>
</file>